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786" w:right="3763"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浙江宏磊铜业股份有限公司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公司负责人章利全、主管会计工作负责人郑树英及会计机构负责人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郑树英声明：保证年度报告中财务报告的真实、准确、完整。</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line="410" w:lineRule="auto" w:before="0"/>
        <w:ind w:left="153" w:right="1140"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中汇会计师事务所对公司出具了非标准无保留审计报告，本公司董事会、</w:t>
      </w:r>
      <w:r>
        <w:rPr>
          <w:rFonts w:ascii="宋体" w:hAnsi="宋体" w:cs="宋体" w:eastAsia="宋体" w:hint="default"/>
          <w:b/>
          <w:bCs/>
          <w:w w:val="99"/>
          <w:sz w:val="28"/>
          <w:szCs w:val="28"/>
        </w:rPr>
        <w:t> </w:t>
      </w:r>
      <w:r>
        <w:rPr>
          <w:rFonts w:ascii="宋体" w:hAnsi="宋体" w:cs="宋体" w:eastAsia="宋体" w:hint="default"/>
          <w:b/>
          <w:bCs/>
          <w:sz w:val="28"/>
          <w:szCs w:val="28"/>
        </w:rPr>
        <w:t>监事会对相关事项已有详细说明，请投资者注意阅读。</w:t>
      </w:r>
      <w:r>
        <w:rPr>
          <w:rFonts w:ascii="宋体" w:hAnsi="宋体" w:cs="宋体" w:eastAsia="宋体" w:hint="default"/>
          <w:sz w:val="28"/>
          <w:szCs w:val="28"/>
        </w:rPr>
      </w:r>
    </w:p>
    <w:p>
      <w:pPr>
        <w:spacing w:line="408" w:lineRule="auto" w:before="157"/>
        <w:ind w:left="153" w:right="1130"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根据公司财务报告内部控制重大缺陷的认定情况，于内部控制评价报告基</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准日，公司的内部控制设计与运行在报告期内基本有效，但公司在贸易业务合</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同执行及资金管理方面尚需完善和整改。存在缺陷如下：公司及子公司从事铜</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材贸易业务，未严格执行对供应商、客户资信评审程序；贸易商品仓单等凭据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流转不及时；与贸易业务相关的采购付款、销售收款内部控制执行不到位，存</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在不按合同约定的结算方式和期限进行交易和收、付款的情况，存在大额预付</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款项退回的情形。董事会认为，除上述缺陷外，根据深圳证券交易所《中小企</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业板上市公司规范运作指引》及相关规定，本公司财务报告内部控制于</w:t>
      </w:r>
      <w:r>
        <w:rPr>
          <w:rFonts w:ascii="宋体" w:hAnsi="宋体" w:cs="宋体" w:eastAsia="宋体" w:hint="default"/>
          <w:b/>
          <w:bCs/>
          <w:spacing w:val="-108"/>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42"/>
          <w:sz w:val="28"/>
          <w:szCs w:val="28"/>
        </w:rPr>
        <w:t> </w:t>
      </w:r>
      <w:r>
        <w:rPr>
          <w:rFonts w:ascii="宋体" w:hAnsi="宋体" w:cs="宋体" w:eastAsia="宋体" w:hint="default"/>
          <w:b/>
          <w:bCs/>
          <w:sz w:val="28"/>
          <w:szCs w:val="28"/>
        </w:rPr>
        <w:t>年</w:t>
      </w:r>
      <w:r>
        <w:rPr>
          <w:rFonts w:ascii="宋体" w:hAnsi="宋体" w:cs="宋体" w:eastAsia="宋体" w:hint="default"/>
          <w:sz w:val="28"/>
          <w:szCs w:val="28"/>
        </w:rPr>
      </w:r>
    </w:p>
    <w:p>
      <w:pPr>
        <w:spacing w:before="21"/>
        <w:ind w:left="153"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月</w:t>
      </w:r>
      <w:r>
        <w:rPr>
          <w:rFonts w:ascii="宋体" w:hAnsi="宋体" w:cs="宋体" w:eastAsia="宋体" w:hint="default"/>
          <w:b/>
          <w:bCs/>
          <w:spacing w:val="-76"/>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日在其他重大方面是有效的。</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before="0"/>
        <w:ind w:left="71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、原材料价格波动的风险本公司产品售价按照</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铜价</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加工费</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的原则确定，</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0" w:lineRule="auto" w:before="13"/>
        <w:ind w:left="153" w:right="1135"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利润来源于相对稳定的加工费，从定价模式上来看，公司可将铜价波动的风险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转移给下游客户，但若铜材价格发生持续大幅波动，仍可能对公司经营业绩的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2"/>
          <w:sz w:val="28"/>
          <w:szCs w:val="28"/>
        </w:rPr>
        <w:t>稳定性带来一定程度的影响。</w:t>
      </w:r>
      <w:r>
        <w:rPr>
          <w:rFonts w:ascii="Times New Roman" w:hAnsi="Times New Roman" w:cs="Times New Roman" w:eastAsia="Times New Roman" w:hint="default"/>
          <w:b/>
          <w:bCs/>
          <w:spacing w:val="-2"/>
          <w:sz w:val="28"/>
          <w:szCs w:val="28"/>
        </w:rPr>
        <w:t>2</w:t>
      </w:r>
      <w:r>
        <w:rPr>
          <w:rFonts w:ascii="宋体" w:hAnsi="宋体" w:cs="宋体" w:eastAsia="宋体" w:hint="default"/>
          <w:b/>
          <w:bCs/>
          <w:spacing w:val="-2"/>
          <w:sz w:val="28"/>
          <w:szCs w:val="28"/>
        </w:rPr>
        <w:t>、控股子公司宏天铜业搬迁的风险为提升城市形</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象，完善城市功能，诸暨市人民政府对公司控股子公司宏天铜业位于诸暨市大</w:t>
      </w:r>
      <w:r>
        <w:rPr>
          <w:rFonts w:ascii="宋体" w:hAnsi="宋体" w:cs="宋体" w:eastAsia="宋体" w:hint="default"/>
          <w:b/>
          <w:bCs/>
          <w:spacing w:val="32"/>
          <w:w w:val="95"/>
          <w:sz w:val="28"/>
          <w:szCs w:val="28"/>
        </w:rPr>
        <w:t> </w:t>
      </w:r>
      <w:r>
        <w:rPr>
          <w:rFonts w:ascii="宋体" w:hAnsi="宋体" w:cs="宋体" w:eastAsia="宋体" w:hint="default"/>
          <w:b/>
          <w:bCs/>
          <w:spacing w:val="32"/>
          <w:w w:val="95"/>
          <w:sz w:val="28"/>
          <w:szCs w:val="28"/>
        </w:rPr>
      </w:r>
      <w:r>
        <w:rPr>
          <w:rFonts w:ascii="宋体" w:hAnsi="宋体" w:cs="宋体" w:eastAsia="宋体" w:hint="default"/>
          <w:b/>
          <w:bCs/>
          <w:spacing w:val="3"/>
          <w:w w:val="95"/>
          <w:sz w:val="28"/>
          <w:szCs w:val="28"/>
        </w:rPr>
        <w:t>唐镇路西新村（原大唐镇庙山头村）的土地及厂房建筑物进行征收。宏天铜业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sz w:val="28"/>
          <w:szCs w:val="28"/>
        </w:rPr>
        <w:t>的搬迁将对公司生产经营造成一定的影响。</w:t>
      </w:r>
      <w:r>
        <w:rPr>
          <w:rFonts w:ascii="宋体" w:hAnsi="宋体" w:cs="宋体" w:eastAsia="宋体" w:hint="default"/>
          <w:b/>
          <w:bCs/>
          <w:spacing w:val="-33"/>
          <w:sz w:val="28"/>
          <w:szCs w:val="28"/>
        </w:rPr>
        <w:t> </w:t>
      </w:r>
      <w:r>
        <w:rPr>
          <w:rFonts w:ascii="Times New Roman" w:hAnsi="Times New Roman" w:cs="Times New Roman" w:eastAsia="Times New Roman" w:hint="default"/>
          <w:b/>
          <w:bCs/>
          <w:spacing w:val="3"/>
          <w:sz w:val="28"/>
          <w:szCs w:val="28"/>
        </w:rPr>
        <w:t>3</w:t>
      </w:r>
      <w:r>
        <w:rPr>
          <w:rFonts w:ascii="宋体" w:hAnsi="宋体" w:cs="宋体" w:eastAsia="宋体" w:hint="default"/>
          <w:b/>
          <w:bCs/>
          <w:spacing w:val="3"/>
          <w:sz w:val="28"/>
          <w:szCs w:val="28"/>
        </w:rPr>
        <w:t>、筹划重大资产重组事项的风险</w:t>
      </w:r>
      <w:r>
        <w:rPr>
          <w:rFonts w:ascii="宋体" w:hAnsi="宋体" w:cs="宋体" w:eastAsia="宋体" w:hint="default"/>
          <w:b/>
          <w:bCs/>
          <w:w w:val="99"/>
          <w:sz w:val="28"/>
          <w:szCs w:val="28"/>
        </w:rPr>
        <w:t> </w:t>
      </w:r>
      <w:r>
        <w:rPr>
          <w:rFonts w:ascii="宋体" w:hAnsi="宋体" w:cs="宋体" w:eastAsia="宋体" w:hint="default"/>
          <w:b/>
          <w:bCs/>
          <w:sz w:val="28"/>
          <w:szCs w:val="28"/>
        </w:rPr>
        <w:t>公司于</w:t>
      </w:r>
      <w:r>
        <w:rPr>
          <w:rFonts w:ascii="宋体" w:hAnsi="宋体" w:cs="宋体" w:eastAsia="宋体" w:hint="default"/>
          <w:b/>
          <w:bCs/>
          <w:spacing w:val="-62"/>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年</w:t>
      </w:r>
      <w:r>
        <w:rPr>
          <w:rFonts w:ascii="宋体" w:hAnsi="宋体" w:cs="宋体" w:eastAsia="宋体" w:hint="default"/>
          <w:b/>
          <w:bCs/>
          <w:spacing w:val="-62"/>
          <w:sz w:val="28"/>
          <w:szCs w:val="28"/>
        </w:rPr>
        <w:t> </w:t>
      </w:r>
      <w:r>
        <w:rPr>
          <w:rFonts w:ascii="Times New Roman" w:hAnsi="Times New Roman" w:cs="Times New Roman" w:eastAsia="Times New Roman" w:hint="default"/>
          <w:b/>
          <w:bCs/>
          <w:sz w:val="28"/>
          <w:szCs w:val="28"/>
        </w:rPr>
        <w:t>1</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月</w:t>
      </w:r>
      <w:r>
        <w:rPr>
          <w:rFonts w:ascii="宋体" w:hAnsi="宋体" w:cs="宋体" w:eastAsia="宋体" w:hint="default"/>
          <w:b/>
          <w:bCs/>
          <w:spacing w:val="-62"/>
          <w:sz w:val="28"/>
          <w:szCs w:val="28"/>
        </w:rPr>
        <w:t> </w:t>
      </w:r>
      <w:r>
        <w:rPr>
          <w:rFonts w:ascii="Times New Roman" w:hAnsi="Times New Roman" w:cs="Times New Roman" w:eastAsia="Times New Roman" w:hint="default"/>
          <w:b/>
          <w:bCs/>
          <w:sz w:val="28"/>
          <w:szCs w:val="28"/>
        </w:rPr>
        <w:t>21</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日召开第二届董事会第三十次会议审议通过了《公司发</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行股份及支付现金购买资产并募集配套资金》预案等重组事项相关的议案。但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鉴于该重组事项仍存在交易终止、交易无法获得批准、交易可能进行调整等方</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面的风险。</w:t>
      </w:r>
      <w:r>
        <w:rPr>
          <w:rFonts w:ascii="宋体" w:hAnsi="宋体" w:cs="宋体" w:eastAsia="宋体" w:hint="default"/>
          <w:sz w:val="28"/>
          <w:szCs w:val="28"/>
        </w:rPr>
      </w:r>
    </w:p>
    <w:p>
      <w:pPr>
        <w:spacing w:after="0" w:line="400"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董事会报告</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内部控制</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2" w:val="right" w:leader="dot"/>
            </w:tabs>
            <w:spacing w:line="240" w:lineRule="auto"/>
            <w:ind w:left="154"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160</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278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公司、本公司、宏磊股份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浙江宏磊铜业股份有限公司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宏天铜业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浙江宏天铜业有限公司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江西宏磊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江西宏磊铜业有限公司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民族证券、保荐机构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中国民族证券有限责任公司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律师事务所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国浩律师（杭州）事务所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《浙江宏磊铜业股份有限公司章程》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2786" w:right="3763"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0" w:lineRule="auto" w:before="0"/>
        <w:ind w:left="153" w:right="1014" w:firstLine="562"/>
        <w:jc w:val="left"/>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1</w:t>
      </w:r>
      <w:r>
        <w:rPr>
          <w:rFonts w:ascii="宋体" w:hAnsi="宋体" w:cs="宋体" w:eastAsia="宋体" w:hint="default"/>
          <w:b/>
          <w:bCs/>
          <w:spacing w:val="-2"/>
          <w:w w:val="95"/>
          <w:sz w:val="28"/>
          <w:szCs w:val="28"/>
        </w:rPr>
        <w:t>、原材料价格波动的风险本公司产品售价按照</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铜价</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加工费</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的原则确定，</w:t>
      </w:r>
      <w:r>
        <w:rPr>
          <w:rFonts w:ascii="宋体" w:hAnsi="宋体" w:cs="宋体" w:eastAsia="宋体" w:hint="default"/>
          <w:b/>
          <w:bCs/>
          <w:w w:val="99"/>
          <w:sz w:val="28"/>
          <w:szCs w:val="28"/>
        </w:rPr>
        <w:t> </w:t>
      </w:r>
      <w:r>
        <w:rPr>
          <w:rFonts w:ascii="宋体" w:hAnsi="宋体" w:cs="宋体" w:eastAsia="宋体" w:hint="default"/>
          <w:b/>
          <w:bCs/>
          <w:spacing w:val="3"/>
          <w:sz w:val="28"/>
          <w:szCs w:val="28"/>
        </w:rPr>
        <w:t>利润来源于相对稳定的加工费，从定价模式上来看，公司可将铜价波动的风险</w:t>
      </w:r>
      <w:r>
        <w:rPr>
          <w:rFonts w:ascii="宋体" w:hAnsi="宋体" w:cs="宋体" w:eastAsia="宋体" w:hint="default"/>
          <w:b/>
          <w:bCs/>
          <w:w w:val="99"/>
          <w:sz w:val="28"/>
          <w:szCs w:val="28"/>
        </w:rPr>
        <w:t> </w:t>
      </w:r>
      <w:r>
        <w:rPr>
          <w:rFonts w:ascii="宋体" w:hAnsi="宋体" w:cs="宋体" w:eastAsia="宋体" w:hint="default"/>
          <w:b/>
          <w:bCs/>
          <w:spacing w:val="3"/>
          <w:sz w:val="28"/>
          <w:szCs w:val="28"/>
        </w:rPr>
        <w:t>转移给下游客户，但若铜材价格发生持续大幅波动，仍可能对公司经营业绩的</w:t>
      </w:r>
      <w:r>
        <w:rPr>
          <w:rFonts w:ascii="宋体" w:hAnsi="宋体" w:cs="宋体" w:eastAsia="宋体" w:hint="default"/>
          <w:b/>
          <w:bCs/>
          <w:w w:val="99"/>
          <w:sz w:val="28"/>
          <w:szCs w:val="28"/>
        </w:rPr>
        <w:t> </w:t>
      </w:r>
      <w:r>
        <w:rPr>
          <w:rFonts w:ascii="宋体" w:hAnsi="宋体" w:cs="宋体" w:eastAsia="宋体" w:hint="default"/>
          <w:b/>
          <w:bCs/>
          <w:sz w:val="28"/>
          <w:szCs w:val="28"/>
        </w:rPr>
        <w:t>稳定性带来一定程度的影响。</w:t>
      </w: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、控股子公司宏天铜业搬迁的风险为提升城市形</w:t>
      </w:r>
      <w:r>
        <w:rPr>
          <w:rFonts w:ascii="宋体" w:hAnsi="宋体" w:cs="宋体" w:eastAsia="宋体" w:hint="default"/>
          <w:b/>
          <w:bCs/>
          <w:w w:val="99"/>
          <w:sz w:val="28"/>
          <w:szCs w:val="28"/>
        </w:rPr>
        <w:t> </w:t>
      </w:r>
      <w:r>
        <w:rPr>
          <w:rFonts w:ascii="宋体" w:hAnsi="宋体" w:cs="宋体" w:eastAsia="宋体" w:hint="default"/>
          <w:b/>
          <w:bCs/>
          <w:spacing w:val="3"/>
          <w:sz w:val="28"/>
          <w:szCs w:val="28"/>
        </w:rPr>
        <w:t>象，完善城市功能，诸暨市人民政府对公司控股子公司宏天铜业位于诸暨市大</w:t>
      </w:r>
      <w:r>
        <w:rPr>
          <w:rFonts w:ascii="宋体" w:hAnsi="宋体" w:cs="宋体" w:eastAsia="宋体" w:hint="default"/>
          <w:b/>
          <w:bCs/>
          <w:w w:val="99"/>
          <w:sz w:val="28"/>
          <w:szCs w:val="28"/>
        </w:rPr>
        <w:t> </w:t>
      </w:r>
      <w:r>
        <w:rPr>
          <w:rFonts w:ascii="宋体" w:hAnsi="宋体" w:cs="宋体" w:eastAsia="宋体" w:hint="default"/>
          <w:b/>
          <w:bCs/>
          <w:spacing w:val="3"/>
          <w:sz w:val="28"/>
          <w:szCs w:val="28"/>
        </w:rPr>
        <w:t>唐镇路西新村（原大唐镇庙山头村）的土地及厂房建筑物进行征收。宏天铜业</w:t>
      </w:r>
      <w:r>
        <w:rPr>
          <w:rFonts w:ascii="宋体" w:hAnsi="宋体" w:cs="宋体" w:eastAsia="宋体" w:hint="default"/>
          <w:b/>
          <w:bCs/>
          <w:w w:val="99"/>
          <w:sz w:val="28"/>
          <w:szCs w:val="28"/>
        </w:rPr>
        <w:t> </w:t>
      </w:r>
      <w:r>
        <w:rPr>
          <w:rFonts w:ascii="宋体" w:hAnsi="宋体" w:cs="宋体" w:eastAsia="宋体" w:hint="default"/>
          <w:b/>
          <w:bCs/>
          <w:spacing w:val="3"/>
          <w:sz w:val="28"/>
          <w:szCs w:val="28"/>
        </w:rPr>
        <w:t>的搬迁将对公司生产经营造成一定的影响。</w:t>
      </w:r>
      <w:r>
        <w:rPr>
          <w:rFonts w:ascii="宋体" w:hAnsi="宋体" w:cs="宋体" w:eastAsia="宋体" w:hint="default"/>
          <w:b/>
          <w:bCs/>
          <w:spacing w:val="-16"/>
          <w:sz w:val="28"/>
          <w:szCs w:val="28"/>
        </w:rPr>
        <w:t> </w:t>
      </w:r>
      <w:r>
        <w:rPr>
          <w:rFonts w:ascii="Times New Roman" w:hAnsi="Times New Roman" w:cs="Times New Roman" w:eastAsia="Times New Roman" w:hint="default"/>
          <w:b/>
          <w:bCs/>
          <w:spacing w:val="3"/>
          <w:sz w:val="28"/>
          <w:szCs w:val="28"/>
        </w:rPr>
        <w:t>3</w:t>
      </w:r>
      <w:r>
        <w:rPr>
          <w:rFonts w:ascii="宋体" w:hAnsi="宋体" w:cs="宋体" w:eastAsia="宋体" w:hint="default"/>
          <w:b/>
          <w:bCs/>
          <w:spacing w:val="3"/>
          <w:sz w:val="28"/>
          <w:szCs w:val="28"/>
        </w:rPr>
        <w:t>、筹划重大资产重组事项的风险</w:t>
      </w:r>
      <w:r>
        <w:rPr>
          <w:rFonts w:ascii="宋体" w:hAnsi="宋体" w:cs="宋体" w:eastAsia="宋体" w:hint="default"/>
          <w:b/>
          <w:bCs/>
          <w:w w:val="99"/>
          <w:sz w:val="28"/>
          <w:szCs w:val="28"/>
        </w:rPr>
        <w:t> </w:t>
      </w:r>
      <w:r>
        <w:rPr>
          <w:rFonts w:ascii="宋体" w:hAnsi="宋体" w:cs="宋体" w:eastAsia="宋体" w:hint="default"/>
          <w:b/>
          <w:bCs/>
          <w:sz w:val="28"/>
          <w:szCs w:val="28"/>
        </w:rPr>
        <w:t>公司于</w:t>
      </w:r>
      <w:r>
        <w:rPr>
          <w:rFonts w:ascii="宋体" w:hAnsi="宋体" w:cs="宋体" w:eastAsia="宋体" w:hint="default"/>
          <w:b/>
          <w:bCs/>
          <w:spacing w:val="-61"/>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年</w:t>
      </w:r>
      <w:r>
        <w:rPr>
          <w:rFonts w:ascii="宋体" w:hAnsi="宋体" w:cs="宋体" w:eastAsia="宋体" w:hint="default"/>
          <w:b/>
          <w:bCs/>
          <w:spacing w:val="-61"/>
          <w:sz w:val="28"/>
          <w:szCs w:val="28"/>
        </w:rPr>
        <w:t> </w:t>
      </w:r>
      <w:r>
        <w:rPr>
          <w:rFonts w:ascii="Times New Roman" w:hAnsi="Times New Roman" w:cs="Times New Roman" w:eastAsia="Times New Roman" w:hint="default"/>
          <w:b/>
          <w:bCs/>
          <w:sz w:val="28"/>
          <w:szCs w:val="28"/>
        </w:rPr>
        <w:t>1</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月</w:t>
      </w:r>
      <w:r>
        <w:rPr>
          <w:rFonts w:ascii="宋体" w:hAnsi="宋体" w:cs="宋体" w:eastAsia="宋体" w:hint="default"/>
          <w:b/>
          <w:bCs/>
          <w:spacing w:val="-61"/>
          <w:sz w:val="28"/>
          <w:szCs w:val="28"/>
        </w:rPr>
        <w:t> </w:t>
      </w:r>
      <w:r>
        <w:rPr>
          <w:rFonts w:ascii="Times New Roman" w:hAnsi="Times New Roman" w:cs="Times New Roman" w:eastAsia="Times New Roman" w:hint="default"/>
          <w:b/>
          <w:bCs/>
          <w:sz w:val="28"/>
          <w:szCs w:val="28"/>
        </w:rPr>
        <w:t>21</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日召开第二届董事会第三十次会议审议通过了《公司发</w:t>
      </w:r>
      <w:r>
        <w:rPr>
          <w:rFonts w:ascii="宋体" w:hAnsi="宋体" w:cs="宋体" w:eastAsia="宋体" w:hint="default"/>
          <w:b/>
          <w:bCs/>
          <w:w w:val="99"/>
          <w:sz w:val="28"/>
          <w:szCs w:val="28"/>
        </w:rPr>
        <w:t> </w:t>
      </w:r>
      <w:r>
        <w:rPr>
          <w:rFonts w:ascii="宋体" w:hAnsi="宋体" w:cs="宋体" w:eastAsia="宋体" w:hint="default"/>
          <w:b/>
          <w:bCs/>
          <w:spacing w:val="3"/>
          <w:sz w:val="28"/>
          <w:szCs w:val="28"/>
        </w:rPr>
        <w:t>行股份及支付现金购买资产并募集配套资金》预案等重组事项相关的议案。但</w:t>
      </w:r>
      <w:r>
        <w:rPr>
          <w:rFonts w:ascii="宋体" w:hAnsi="宋体" w:cs="宋体" w:eastAsia="宋体" w:hint="default"/>
          <w:b/>
          <w:bCs/>
          <w:w w:val="99"/>
          <w:sz w:val="28"/>
          <w:szCs w:val="28"/>
        </w:rPr>
        <w:t> </w:t>
      </w:r>
      <w:r>
        <w:rPr>
          <w:rFonts w:ascii="宋体" w:hAnsi="宋体" w:cs="宋体" w:eastAsia="宋体" w:hint="default"/>
          <w:b/>
          <w:bCs/>
          <w:spacing w:val="3"/>
          <w:sz w:val="28"/>
          <w:szCs w:val="28"/>
        </w:rPr>
        <w:t>鉴于该重组事项仍存在交易终止、交易无法获得批准、交易可能进行调整等方</w:t>
      </w:r>
      <w:r>
        <w:rPr>
          <w:rFonts w:ascii="宋体" w:hAnsi="宋体" w:cs="宋体" w:eastAsia="宋体" w:hint="default"/>
          <w:b/>
          <w:bCs/>
          <w:w w:val="99"/>
          <w:sz w:val="28"/>
          <w:szCs w:val="28"/>
        </w:rPr>
        <w:t> </w:t>
      </w:r>
      <w:r>
        <w:rPr>
          <w:rFonts w:ascii="宋体" w:hAnsi="宋体" w:cs="宋体" w:eastAsia="宋体" w:hint="default"/>
          <w:b/>
          <w:bCs/>
          <w:sz w:val="28"/>
          <w:szCs w:val="28"/>
        </w:rPr>
        <w:t>面的风险。</w:t>
      </w:r>
      <w:r>
        <w:rPr>
          <w:rFonts w:ascii="宋体" w:hAnsi="宋体" w:cs="宋体" w:eastAsia="宋体" w:hint="default"/>
          <w:sz w:val="28"/>
          <w:szCs w:val="28"/>
        </w:rPr>
      </w:r>
    </w:p>
    <w:p>
      <w:pPr>
        <w:spacing w:after="0" w:line="400"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855472"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3763"/>
        <w:jc w:val="center"/>
        <w:rPr>
          <w:b w:val="0"/>
          <w:bCs w:val="0"/>
        </w:rPr>
      </w:pPr>
      <w:bookmarkStart w:name="_TOC_250010" w:id="3"/>
      <w:bookmarkStart w:name="第二节 公司简介" w:id="4"/>
      <w:r>
        <w:rPr>
          <w:b w:val="0"/>
          <w:bCs w:val="0"/>
        </w:rPr>
      </w:r>
      <w:r>
        <w:rPr/>
        <w:t>第二节</w:t>
      </w:r>
      <w:r>
        <w:rPr>
          <w:spacing w:val="-5"/>
        </w:rPr>
        <w:t> </w:t>
      </w:r>
      <w:r>
        <w:rPr/>
        <w:t>公司简介</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宏磊股份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002647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浙江宏磊铜业股份有限公司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宏磊股份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ZHEJIANG    HONGLEI    COPPER</w:t>
            </w:r>
            <w:r>
              <w:rPr>
                <w:rFonts w:ascii="Times New Roman"/>
                <w:spacing w:val="2"/>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HONGLEI</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章利全</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浙江省诸暨市大唐镇开元东路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311800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浙江省诸暨市经济开发区迎宾路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311800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http://www.chinahonglei.com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honglei@chinahonglei.com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杨凯</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浙江省诸暨市经济开发区迎宾路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浙江省诸暨市经济开发区迎宾路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0575-87387532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0575-87387320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0575-80708938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0575-80708938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hl_zhaoyi@qq.com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yk751</w:t>
              </w:r>
            </w:hyperlink>
            <w:hyperlink r:id="rId12">
              <w:r>
                <w:rPr>
                  <w:rFonts w:ascii="Times New Roman"/>
                  <w:sz w:val="18"/>
                </w:rPr>
                <w:t>18@163.com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3">
              <w:r>
                <w:rPr>
                  <w:rFonts w:ascii="Times New Roman" w:hAnsi="Times New Roman" w:cs="Times New Roman" w:eastAsia="Times New Roman" w:hint="default"/>
                  <w:sz w:val="18"/>
                  <w:szCs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left="153"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浙江省工商行政管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330681000010590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330681753974205</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75397420-5</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浙江省工商行政管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330681000010590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330681753974205</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75397420-5</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浙江杭州市钱江新城新业路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时代大厦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吴成航、包平荣</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中国民族证券有限责任公司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北京市朝阳区北四环中路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号盘古大观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何继兵、冯春杰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2011.12-2014.12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10"/>
      <w:bookmarkStart w:name="第三节 会计数据和财务指标摘要" w:id="11"/>
      <w:r>
        <w:rPr>
          <w:b w:val="0"/>
          <w:bCs w:val="0"/>
        </w:rPr>
      </w:r>
      <w:r>
        <w:rPr/>
        <w:t>第三节</w:t>
      </w:r>
      <w:r>
        <w:rPr>
          <w:spacing w:val="-11"/>
        </w:rPr>
        <w:t> </w:t>
      </w:r>
      <w:r>
        <w:rPr/>
        <w:t>会计数据和财务指标摘要</w:t>
      </w:r>
      <w:bookmarkEnd w:id="1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3"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4,634,458,799.23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3,721,023,384.82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3,759,884,467.69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-47,749,752.94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75,083,156.38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-163.60%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31,616,376.29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-79,500,351.09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-78,155,100.10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19,553,769.49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-852,954,337.81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62,976,833.27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-1,454.39%</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-563,248,443.91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-150.00%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-150.00%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2,668,133,641.88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2,652,558,211.44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2,778,498,370.61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989,874,511.37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1,052,826,164.31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986,188,939.68</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同时按照国际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2、同时按照境外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5"/>
        <w:rPr>
          <w:rFonts w:ascii="宋体" w:hAnsi="宋体" w:cs="宋体" w:eastAsia="宋体" w:hint="default"/>
          <w:sz w:val="19"/>
          <w:szCs w:val="19"/>
        </w:rPr>
      </w:pPr>
    </w:p>
    <w:p>
      <w:pPr>
        <w:pStyle w:val="Heading2"/>
        <w:spacing w:line="240" w:lineRule="auto"/>
        <w:ind w:left="153" w:right="0"/>
        <w:jc w:val="left"/>
        <w:rPr>
          <w:b w:val="0"/>
          <w:bCs w:val="0"/>
        </w:rPr>
      </w:pPr>
      <w:bookmarkStart w:name="三、非经常性损益项目及金额" w:id="16"/>
      <w:bookmarkEnd w:id="16"/>
      <w:r>
        <w:rPr>
          <w:b w:val="0"/>
          <w:bCs w:val="0"/>
        </w:rPr>
      </w:r>
      <w:r>
        <w:rPr/>
        <w:t>三、非经常性损益项目及金额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92,671.71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206,758,720.75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-678.64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14,080,507.15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20,612,659.82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3,825,580.00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32,371,721.70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23,507,682.08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12,528,115.95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-3,124,181.77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-1,358,452.97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1,799.99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7,655,764.96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34,772,288.48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4,088,704.33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4,014,355.68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61,510,064.72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203,506.17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31,750,598.15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153,238,256.48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12,062,606.80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5"/>
        <w:gridCol w:w="2126"/>
        <w:gridCol w:w="5178"/>
      </w:tblGrid>
      <w:tr>
        <w:trPr>
          <w:trHeight w:val="401"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搬迁补助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12,570,807.15</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诸政发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26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《诸暨市土地房屋征收补偿安置协议》</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万吨废杂铜连铸连轧低氧 铜杆资源综合利用项目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浙江省经济贸易委员会浙经贸资源</w:t>
            </w:r>
            <w:r>
              <w:rPr>
                <w:rFonts w:ascii="Times New Roman" w:hAnsi="Times New Roman" w:cs="Times New Roman" w:eastAsia="Times New Roman" w:hint="default"/>
                <w:sz w:val="18"/>
                <w:szCs w:val="18"/>
              </w:rPr>
              <w:t>(2008)405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耐冷媒漆包线项目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江西鹰潭市发改委及市经贸委鹰发改工字</w:t>
            </w:r>
            <w:r>
              <w:rPr>
                <w:rFonts w:ascii="Times New Roman" w:hAnsi="Times New Roman" w:cs="Times New Roman" w:eastAsia="Times New Roman" w:hint="default"/>
                <w:sz w:val="18"/>
                <w:szCs w:val="18"/>
              </w:rPr>
              <w:t>(2009)74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号、江西省财 政厅赣财企</w:t>
            </w:r>
            <w:r>
              <w:rPr>
                <w:rFonts w:ascii="Times New Roman" w:hAnsi="Times New Roman" w:cs="Times New Roman" w:eastAsia="Times New Roman" w:hint="default"/>
                <w:sz w:val="18"/>
                <w:szCs w:val="18"/>
              </w:rPr>
              <w:t>(2009)179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万吨节能环保型特种漆包 线建设项目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诸暨市经信局</w:t>
            </w:r>
            <w:r>
              <w:rPr>
                <w:rFonts w:ascii="Times New Roman" w:hAnsi="Times New Roman" w:cs="Times New Roman" w:eastAsia="Times New Roman" w:hint="default"/>
                <w:sz w:val="18"/>
                <w:szCs w:val="18"/>
              </w:rPr>
              <w:t>(</w:t>
            </w:r>
            <w:r>
              <w:rPr>
                <w:rFonts w:ascii="宋体" w:hAnsi="宋体" w:cs="宋体" w:eastAsia="宋体" w:hint="default"/>
                <w:sz w:val="18"/>
                <w:szCs w:val="18"/>
              </w:rPr>
              <w:t>诸经信</w:t>
            </w:r>
            <w:r>
              <w:rPr>
                <w:rFonts w:ascii="Times New Roman" w:hAnsi="Times New Roman" w:cs="Times New Roman" w:eastAsia="Times New Roman" w:hint="default"/>
                <w:sz w:val="18"/>
                <w:szCs w:val="18"/>
              </w:rPr>
              <w:t>[2014]10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0"/>
              <w:jc w:val="left"/>
              <w:rPr>
                <w:rFonts w:ascii="宋体" w:hAnsi="宋体" w:cs="宋体" w:eastAsia="宋体" w:hint="default"/>
                <w:sz w:val="18"/>
                <w:szCs w:val="18"/>
              </w:rPr>
            </w:pPr>
            <w:r>
              <w:rPr>
                <w:rFonts w:ascii="宋体" w:hAnsi="宋体" w:cs="宋体" w:eastAsia="宋体" w:hint="default"/>
                <w:sz w:val="18"/>
                <w:szCs w:val="18"/>
              </w:rPr>
              <w:t>诸暨市大唐镇人民政府奖励 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诸暨市大唐镇人民政府</w:t>
            </w: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诸暨财政局人才奖励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诸暨市财政局</w:t>
            </w: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博士后工作站建站补助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绍兴市人力资源和社会保障局（绍市人社发</w:t>
            </w:r>
            <w:r>
              <w:rPr>
                <w:rFonts w:ascii="Times New Roman" w:hAnsi="Times New Roman" w:cs="Times New Roman" w:eastAsia="Times New Roman" w:hint="default"/>
                <w:sz w:val="18"/>
                <w:szCs w:val="18"/>
              </w:rPr>
              <w:t>[2014]97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其他科技补助及专利奖励费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pacing w:val="-4"/>
                <w:sz w:val="18"/>
                <w:szCs w:val="18"/>
              </w:rPr>
              <w:t>诸暨市科学技术局、诸暨市科学技术局诸科</w:t>
            </w:r>
            <w:r>
              <w:rPr>
                <w:rFonts w:ascii="Times New Roman" w:hAnsi="Times New Roman" w:cs="Times New Roman" w:eastAsia="Times New Roman" w:hint="default"/>
                <w:spacing w:val="-4"/>
                <w:sz w:val="18"/>
                <w:szCs w:val="18"/>
              </w:rPr>
              <w:t>[2014]10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号文专利奖励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费、诸暨市财政局</w:t>
            </w:r>
          </w:p>
        </w:tc>
      </w:tr>
      <w:tr>
        <w:trPr>
          <w:trHeight w:val="403"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14,080,507.15</w:t>
            </w:r>
          </w:p>
        </w:tc>
        <w:tc>
          <w:tcPr>
            <w:tcW w:w="51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_TOC_250008" w:id="17"/>
      <w:bookmarkStart w:name="第四节 董事会报告" w:id="18"/>
      <w:r>
        <w:rPr>
          <w:b w:val="0"/>
          <w:bCs w:val="0"/>
        </w:rPr>
      </w:r>
      <w:r>
        <w:rPr/>
        <w:t>第四节</w:t>
      </w:r>
      <w:r>
        <w:rPr>
          <w:spacing w:val="-6"/>
        </w:rPr>
        <w:t> </w:t>
      </w:r>
      <w:r>
        <w:rPr/>
        <w:t>董事会报告</w:t>
      </w:r>
      <w:bookmarkEnd w:id="1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both"/>
        <w:rPr>
          <w:b w:val="0"/>
          <w:bCs w:val="0"/>
        </w:rPr>
      </w:pPr>
      <w:bookmarkStart w:name="一、概述" w:id="19"/>
      <w:bookmarkEnd w:id="19"/>
      <w:r>
        <w:rPr>
          <w:b w:val="0"/>
          <w:bCs w:val="0"/>
        </w:rPr>
      </w:r>
      <w:r>
        <w:rPr/>
        <w:t>一、概述</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14" w:firstLine="399"/>
        <w:jc w:val="left"/>
      </w:pPr>
      <w:r>
        <w:rPr/>
        <w:t>报告期内，公司主营业务的范围：漆包线、铜管、铜杆、铜线的生产、销售。</w:t>
      </w:r>
      <w:r>
        <w:rPr>
          <w:rFonts w:ascii="Times New Roman" w:hAnsi="Times New Roman" w:cs="Times New Roman" w:eastAsia="Times New Roman" w:hint="default"/>
        </w:rPr>
        <w:t>2014</w:t>
      </w:r>
      <w:r>
        <w:rPr/>
        <w:t>年度公司营业总收 入</w:t>
      </w:r>
      <w:r>
        <w:rPr>
          <w:rFonts w:ascii="Times New Roman" w:hAnsi="Times New Roman" w:cs="Times New Roman" w:eastAsia="Times New Roman" w:hint="default"/>
        </w:rPr>
        <w:t>463445.88  </w:t>
      </w:r>
      <w:r>
        <w:rPr/>
        <w:t>万元</w:t>
      </w:r>
      <w:r>
        <w:rPr>
          <w:rFonts w:ascii="Times New Roman" w:hAnsi="Times New Roman" w:cs="Times New Roman" w:eastAsia="Times New Roman" w:hint="default"/>
        </w:rPr>
        <w:t>,</w:t>
      </w:r>
      <w:r>
        <w:rPr/>
        <w:t>比上年同期增加</w:t>
      </w:r>
      <w:r>
        <w:rPr>
          <w:rFonts w:ascii="Times New Roman" w:hAnsi="Times New Roman" w:cs="Times New Roman" w:eastAsia="Times New Roman" w:hint="default"/>
        </w:rPr>
        <w:t>24.55   %</w:t>
      </w:r>
      <w:r>
        <w:rPr/>
        <w:t>；利润总额 </w:t>
      </w:r>
      <w:r>
        <w:rPr>
          <w:rFonts w:ascii="Times New Roman" w:hAnsi="Times New Roman" w:cs="Times New Roman" w:eastAsia="Times New Roman" w:hint="default"/>
        </w:rPr>
        <w:t>-6287.81</w:t>
      </w:r>
      <w:r>
        <w:rPr/>
        <w:t>万元</w:t>
      </w:r>
      <w:r>
        <w:rPr>
          <w:rFonts w:ascii="Times New Roman" w:hAnsi="Times New Roman" w:cs="Times New Roman" w:eastAsia="Times New Roman" w:hint="default"/>
        </w:rPr>
        <w:t>,</w:t>
      </w:r>
      <w:r>
        <w:rPr/>
        <w:t>比上年同期减少</w:t>
      </w:r>
      <w:r>
        <w:rPr>
          <w:rFonts w:ascii="Times New Roman" w:hAnsi="Times New Roman" w:cs="Times New Roman" w:eastAsia="Times New Roman" w:hint="default"/>
        </w:rPr>
        <w:t>144.20</w:t>
      </w:r>
      <w:r>
        <w:rPr>
          <w:rFonts w:ascii="Times New Roman" w:hAnsi="Times New Roman" w:cs="Times New Roman" w:eastAsia="Times New Roman" w:hint="default"/>
          <w:spacing w:val="-26"/>
        </w:rPr>
        <w:t> </w:t>
      </w:r>
      <w:r>
        <w:rPr>
          <w:rFonts w:ascii="Times New Roman" w:hAnsi="Times New Roman" w:cs="Times New Roman" w:eastAsia="Times New Roman" w:hint="default"/>
        </w:rPr>
        <w:t>%</w:t>
      </w:r>
      <w:r>
        <w:rPr/>
        <w:t>；净利润为</w:t>
      </w:r>
    </w:p>
    <w:p>
      <w:pPr>
        <w:pStyle w:val="BodyText"/>
        <w:spacing w:line="240" w:lineRule="auto" w:before="5"/>
        <w:ind w:right="0"/>
        <w:jc w:val="both"/>
      </w:pPr>
      <w:r>
        <w:rPr>
          <w:rFonts w:ascii="Times New Roman" w:hAnsi="Times New Roman" w:cs="Times New Roman" w:eastAsia="Times New Roman" w:hint="default"/>
          <w:spacing w:val="4"/>
        </w:rPr>
        <w:t>-5894.51</w:t>
      </w:r>
      <w:r>
        <w:rPr>
          <w:spacing w:val="4"/>
        </w:rPr>
        <w:t>万元，比上年同期减少</w:t>
      </w:r>
      <w:r>
        <w:rPr>
          <w:rFonts w:ascii="Times New Roman" w:hAnsi="Times New Roman" w:cs="Times New Roman" w:eastAsia="Times New Roman" w:hint="default"/>
          <w:spacing w:val="4"/>
        </w:rPr>
        <w:t>155.87</w:t>
      </w:r>
      <w:r>
        <w:rPr>
          <w:rFonts w:ascii="Times New Roman" w:hAnsi="Times New Roman" w:cs="Times New Roman" w:eastAsia="Times New Roman" w:hint="default"/>
          <w:spacing w:val="58"/>
        </w:rPr>
        <w:t> </w:t>
      </w:r>
      <w:r>
        <w:rPr>
          <w:spacing w:val="6"/>
        </w:rPr>
        <w:t>％；归属上市公司股东的净利润</w:t>
      </w:r>
      <w:r>
        <w:rPr>
          <w:rFonts w:ascii="Times New Roman" w:hAnsi="Times New Roman" w:cs="Times New Roman" w:eastAsia="Times New Roman" w:hint="default"/>
          <w:spacing w:val="6"/>
        </w:rPr>
        <w:t>-4774.98</w:t>
      </w:r>
      <w:r>
        <w:rPr>
          <w:spacing w:val="6"/>
        </w:rPr>
        <w:t>万元，比上年同期减少</w:t>
      </w:r>
    </w:p>
    <w:p>
      <w:pPr>
        <w:pStyle w:val="BodyText"/>
        <w:spacing w:line="240" w:lineRule="auto" w:before="21"/>
        <w:ind w:right="0"/>
        <w:jc w:val="both"/>
      </w:pPr>
      <w:r>
        <w:rPr>
          <w:rFonts w:ascii="Times New Roman" w:hAnsi="Times New Roman" w:cs="Times New Roman" w:eastAsia="Times New Roman" w:hint="default"/>
        </w:rPr>
        <w:t>163.60</w:t>
      </w:r>
      <w:r>
        <w:rPr>
          <w:rFonts w:ascii="Times New Roman" w:hAnsi="Times New Roman" w:cs="Times New Roman" w:eastAsia="Times New Roman" w:hint="default"/>
          <w:spacing w:val="31"/>
        </w:rPr>
        <w:t> </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Heading2"/>
        <w:spacing w:line="240" w:lineRule="auto"/>
        <w:ind w:left="153" w:right="0"/>
        <w:jc w:val="both"/>
        <w:rPr>
          <w:b w:val="0"/>
          <w:bCs w:val="0"/>
        </w:rPr>
      </w:pPr>
      <w:bookmarkStart w:name="二、主营业务分析" w:id="20"/>
      <w:bookmarkEnd w:id="20"/>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概述" w:id="21"/>
      <w:bookmarkEnd w:id="21"/>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469" w:right="0"/>
        <w:jc w:val="left"/>
      </w:pPr>
      <w:r>
        <w:rPr/>
        <w:t>报告期内，公司主营业务的范围：漆包线、铜管、铜杆、铜线的生产、销售。</w:t>
      </w:r>
    </w:p>
    <w:p>
      <w:pPr>
        <w:spacing w:line="240" w:lineRule="auto" w:before="0"/>
        <w:rPr>
          <w:rFonts w:ascii="宋体" w:hAnsi="宋体" w:cs="宋体" w:eastAsia="宋体" w:hint="default"/>
          <w:sz w:val="20"/>
          <w:szCs w:val="20"/>
        </w:rPr>
      </w:pPr>
    </w:p>
    <w:p>
      <w:pPr>
        <w:spacing w:before="153"/>
        <w:ind w:left="153" w:right="0" w:firstLine="0"/>
        <w:jc w:val="both"/>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pStyle w:val="BodyText"/>
        <w:spacing w:line="273" w:lineRule="auto" w:before="90"/>
        <w:ind w:left="565" w:right="0"/>
        <w:jc w:val="left"/>
      </w:pPr>
      <w:r>
        <w:rPr>
          <w:rFonts w:ascii="宋体" w:hAnsi="宋体" w:cs="宋体" w:eastAsia="宋体" w:hint="default"/>
        </w:rPr>
        <w:t>1.</w:t>
      </w:r>
      <w:r>
        <w:rPr>
          <w:rFonts w:ascii="宋体" w:hAnsi="宋体" w:cs="宋体" w:eastAsia="宋体" w:hint="default"/>
          <w:spacing w:val="44"/>
        </w:rPr>
        <w:t> </w:t>
      </w:r>
      <w:r>
        <w:rPr/>
        <w:t>压缩低效产能，调整产品结构 </w:t>
      </w:r>
      <w:r>
        <w:rPr>
          <w:spacing w:val="-1"/>
        </w:rPr>
        <w:t>报告期内，公司根据市场行情和铜价波动，有计划地压缩了部分低效的产能，有效控制产品销售效益</w:t>
      </w:r>
      <w:r>
        <w:rPr>
          <w:spacing w:val="-76"/>
        </w:rPr>
        <w:t> </w:t>
      </w:r>
      <w:r>
        <w:rPr>
          <w:spacing w:val="-76"/>
        </w:rPr>
      </w:r>
      <w:r>
        <w:rPr/>
        <w:t>下滑的局面。公司利用《年产</w:t>
      </w:r>
      <w:r>
        <w:rPr>
          <w:rFonts w:ascii="Times New Roman" w:hAnsi="Times New Roman" w:cs="Times New Roman" w:eastAsia="Times New Roman" w:hint="default"/>
        </w:rPr>
        <w:t>15</w:t>
      </w:r>
      <w:r>
        <w:rPr/>
        <w:t>万吨高性能</w:t>
      </w:r>
    </w:p>
    <w:p>
      <w:pPr>
        <w:pStyle w:val="BodyText"/>
        <w:spacing w:line="256" w:lineRule="auto" w:before="0"/>
        <w:ind w:right="0"/>
        <w:jc w:val="left"/>
      </w:pPr>
      <w:r>
        <w:rPr/>
        <w:t>铜及铜合金杆材》、《年产</w:t>
      </w:r>
      <w:r>
        <w:rPr>
          <w:rFonts w:ascii="Times New Roman" w:hAnsi="Times New Roman" w:cs="Times New Roman" w:eastAsia="Times New Roman" w:hint="default"/>
        </w:rPr>
        <w:t>3</w:t>
      </w:r>
      <w:r>
        <w:rPr/>
        <w:t>万吨节能环保型特种漆包线》募投项目建成进入小批量生产或试生产阶段，</w:t>
      </w:r>
      <w:r>
        <w:rPr>
          <w:spacing w:val="-31"/>
        </w:rPr>
        <w:t> </w:t>
      </w:r>
      <w:r>
        <w:rPr>
          <w:spacing w:val="-31"/>
        </w:rPr>
      </w:r>
      <w:r>
        <w:rPr/>
        <w:t>积极调整优化产品结构，研发节能、高效、精细的新产品，扩大利润空间。</w:t>
      </w:r>
    </w:p>
    <w:p>
      <w:pPr>
        <w:pStyle w:val="BodyText"/>
        <w:spacing w:line="256" w:lineRule="auto" w:before="22"/>
        <w:ind w:left="469" w:right="1302" w:firstLine="104"/>
        <w:jc w:val="left"/>
      </w:pPr>
      <w:r>
        <w:rPr>
          <w:rFonts w:ascii="Times New Roman" w:hAnsi="Times New Roman" w:cs="Times New Roman" w:eastAsia="Times New Roman" w:hint="default"/>
        </w:rPr>
        <w:t>2</w:t>
      </w:r>
      <w:r>
        <w:rPr/>
        <w:t>、筹划资产重组，加快转型升级 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日开始启动重大资产重组事项，并于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日召开第二届董事会第三十次会</w:t>
      </w:r>
    </w:p>
    <w:p>
      <w:pPr>
        <w:pStyle w:val="BodyText"/>
        <w:spacing w:line="273" w:lineRule="auto" w:before="5"/>
        <w:ind w:right="1131"/>
        <w:jc w:val="both"/>
      </w:pPr>
      <w:r>
        <w:rPr>
          <w:spacing w:val="-1"/>
        </w:rPr>
        <w:t>议，审议通了了《关于〈浙江宏磊铜业股份有限公司发行股份及支付现金购买资产并募集配套资金暨关联</w:t>
      </w:r>
      <w:r>
        <w:rPr>
          <w:spacing w:val="-83"/>
        </w:rPr>
        <w:t> </w:t>
      </w:r>
      <w:r>
        <w:rPr>
          <w:spacing w:val="-83"/>
        </w:rPr>
      </w:r>
      <w:r>
        <w:rPr>
          <w:spacing w:val="-1"/>
        </w:rPr>
        <w:t>交易预案〉的议案》等与本次重大资产重组相关的议案，充分利用资本市场加快转型升级，实现公司多产</w:t>
      </w:r>
      <w:r>
        <w:rPr>
          <w:spacing w:val="-86"/>
        </w:rPr>
        <w:t> </w:t>
      </w:r>
      <w:r>
        <w:rPr>
          <w:spacing w:val="-86"/>
        </w:rPr>
      </w:r>
      <w:r>
        <w:rPr/>
        <w:t>业驱动发展的战略。</w:t>
      </w:r>
    </w:p>
    <w:p>
      <w:pPr>
        <w:pStyle w:val="BodyText"/>
        <w:spacing w:line="256" w:lineRule="auto"/>
        <w:ind w:left="573" w:right="0"/>
        <w:jc w:val="left"/>
      </w:pPr>
      <w:r>
        <w:rPr>
          <w:rFonts w:ascii="Times New Roman" w:hAnsi="Times New Roman" w:cs="Times New Roman" w:eastAsia="Times New Roman" w:hint="default"/>
        </w:rPr>
        <w:t>3</w:t>
      </w:r>
      <w:r>
        <w:rPr/>
        <w:t>、强化内控管理、提升运营质量 </w:t>
      </w:r>
      <w:r>
        <w:rPr>
          <w:spacing w:val="-1"/>
        </w:rPr>
        <w:t>公司认真吸取上年度发生了控股股东占用公司资金违规事件的教训，进一步完善内控体系建设，加强</w:t>
      </w:r>
    </w:p>
    <w:p>
      <w:pPr>
        <w:pStyle w:val="BodyText"/>
        <w:spacing w:line="273" w:lineRule="auto" w:before="22"/>
        <w:ind w:right="1133"/>
        <w:jc w:val="both"/>
      </w:pPr>
      <w:r>
        <w:rPr>
          <w:spacing w:val="-1"/>
        </w:rPr>
        <w:t>对内部审计部门的建设，对内部控制管理制度进行整理，强化资金管理力度，提升运营质量。同时，公司</w:t>
      </w:r>
      <w:r>
        <w:rPr>
          <w:spacing w:val="-83"/>
        </w:rPr>
        <w:t> </w:t>
      </w:r>
      <w:r>
        <w:rPr>
          <w:spacing w:val="-83"/>
        </w:rPr>
      </w:r>
      <w:r>
        <w:rPr>
          <w:spacing w:val="-1"/>
        </w:rPr>
        <w:t>不断完善公司法人治理结构，切实保护投资者利益，自觉履行信息披露义务，做好投资者关系管理，规范</w:t>
      </w:r>
      <w:r>
        <w:rPr>
          <w:spacing w:val="-86"/>
        </w:rPr>
        <w:t> </w:t>
      </w:r>
      <w:r>
        <w:rPr>
          <w:spacing w:val="-86"/>
        </w:rPr>
      </w:r>
      <w:r>
        <w:rPr/>
        <w:t>公司运作水平。</w:t>
      </w:r>
    </w:p>
    <w:p>
      <w:pPr>
        <w:spacing w:line="240" w:lineRule="auto" w:before="7"/>
        <w:rPr>
          <w:rFonts w:ascii="宋体" w:hAnsi="宋体" w:cs="宋体" w:eastAsia="宋体" w:hint="default"/>
          <w:sz w:val="29"/>
          <w:szCs w:val="29"/>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both"/>
        <w:rPr>
          <w:b w:val="0"/>
          <w:bCs w:val="0"/>
        </w:rPr>
      </w:pPr>
      <w:bookmarkStart w:name="2、收入" w:id="22"/>
      <w:bookmarkEnd w:id="22"/>
      <w:r>
        <w:rPr>
          <w:b w:val="0"/>
          <w:bCs w:val="0"/>
        </w:rPr>
      </w: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5"/>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1475"/>
        <w:gridCol w:w="2239"/>
        <w:gridCol w:w="2361"/>
        <w:gridCol w:w="1281"/>
      </w:tblGrid>
      <w:tr>
        <w:trPr>
          <w:trHeight w:val="340" w:hRule="exact"/>
        </w:trPr>
        <w:tc>
          <w:tcPr>
            <w:tcW w:w="1475" w:type="dxa"/>
            <w:tcBorders>
              <w:top w:val="nil" w:sz="6" w:space="0" w:color="auto"/>
              <w:left w:val="nil" w:sz="6" w:space="0" w:color="auto"/>
              <w:bottom w:val="single" w:sz="6" w:space="0" w:color="000000"/>
              <w:right w:val="single" w:sz="6" w:space="0" w:color="000000"/>
            </w:tcBorders>
          </w:tcPr>
          <w:p>
            <w:pPr>
              <w:pStyle w:val="TableParagraph"/>
              <w:spacing w:line="240" w:lineRule="auto" w:before="4"/>
              <w:ind w:left="502"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0"/>
                <w:sz w:val="20"/>
                <w:szCs w:val="20"/>
              </w:rPr>
              <w:t> </w:t>
            </w:r>
            <w:r>
              <w:rPr>
                <w:rFonts w:ascii="宋体" w:hAnsi="宋体" w:cs="宋体" w:eastAsia="宋体" w:hint="default"/>
                <w:sz w:val="20"/>
                <w:szCs w:val="20"/>
              </w:rPr>
              <w:t>目</w:t>
            </w:r>
          </w:p>
        </w:tc>
        <w:tc>
          <w:tcPr>
            <w:tcW w:w="223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
              <w:ind w:left="80" w:right="0"/>
              <w:jc w:val="center"/>
              <w:rPr>
                <w:rFonts w:ascii="宋体" w:hAnsi="宋体" w:cs="宋体" w:eastAsia="宋体" w:hint="default"/>
                <w:sz w:val="20"/>
                <w:szCs w:val="20"/>
              </w:rPr>
            </w:pPr>
            <w:r>
              <w:rPr>
                <w:rFonts w:ascii="宋体" w:hAnsi="宋体" w:cs="宋体" w:eastAsia="宋体" w:hint="default"/>
                <w:sz w:val="20"/>
                <w:szCs w:val="20"/>
              </w:rPr>
              <w:t>本期数</w:t>
            </w:r>
          </w:p>
        </w:tc>
        <w:tc>
          <w:tcPr>
            <w:tcW w:w="236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
              <w:ind w:left="753" w:right="0"/>
              <w:jc w:val="left"/>
              <w:rPr>
                <w:rFonts w:ascii="宋体" w:hAnsi="宋体" w:cs="宋体" w:eastAsia="宋体" w:hint="default"/>
                <w:sz w:val="20"/>
                <w:szCs w:val="20"/>
              </w:rPr>
            </w:pPr>
            <w:r>
              <w:rPr>
                <w:rFonts w:ascii="宋体" w:hAnsi="宋体" w:cs="宋体" w:eastAsia="宋体" w:hint="default"/>
                <w:sz w:val="20"/>
                <w:szCs w:val="20"/>
              </w:rPr>
              <w:t>上年同期数</w:t>
            </w:r>
          </w:p>
        </w:tc>
        <w:tc>
          <w:tcPr>
            <w:tcW w:w="128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
              <w:ind w:left="371" w:right="0"/>
              <w:jc w:val="left"/>
              <w:rPr>
                <w:rFonts w:ascii="宋体" w:hAnsi="宋体" w:cs="宋体" w:eastAsia="宋体" w:hint="default"/>
                <w:sz w:val="20"/>
                <w:szCs w:val="20"/>
              </w:rPr>
            </w:pPr>
            <w:r>
              <w:rPr>
                <w:rFonts w:ascii="宋体" w:hAnsi="宋体" w:cs="宋体" w:eastAsia="宋体" w:hint="default"/>
                <w:sz w:val="20"/>
                <w:szCs w:val="20"/>
              </w:rPr>
              <w:t>增减率</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2" w:type="dxa"/>
        <w:tblLayout w:type="fixed"/>
        <w:tblCellMar>
          <w:top w:w="0" w:type="dxa"/>
          <w:left w:w="0" w:type="dxa"/>
          <w:bottom w:w="0" w:type="dxa"/>
          <w:right w:w="0" w:type="dxa"/>
        </w:tblCellMar>
        <w:tblLook w:val="01E0"/>
      </w:tblPr>
      <w:tblGrid>
        <w:gridCol w:w="1475"/>
        <w:gridCol w:w="2239"/>
        <w:gridCol w:w="2361"/>
        <w:gridCol w:w="1281"/>
      </w:tblGrid>
      <w:tr>
        <w:trPr>
          <w:trHeight w:val="340" w:hRule="exact"/>
        </w:trPr>
        <w:tc>
          <w:tcPr>
            <w:tcW w:w="1475" w:type="dxa"/>
            <w:tcBorders>
              <w:top w:val="nil" w:sz="6" w:space="0" w:color="auto"/>
              <w:left w:val="nil" w:sz="6" w:space="0" w:color="auto"/>
              <w:bottom w:val="single" w:sz="6" w:space="0" w:color="000000"/>
              <w:right w:val="single" w:sz="6" w:space="0" w:color="000000"/>
            </w:tcBorders>
          </w:tcPr>
          <w:p>
            <w:pPr>
              <w:pStyle w:val="TableParagraph"/>
              <w:spacing w:line="240" w:lineRule="auto" w:before="4"/>
              <w:ind w:left="24"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223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4,634,289,684.62</w:t>
            </w:r>
          </w:p>
        </w:tc>
        <w:tc>
          <w:tcPr>
            <w:tcW w:w="236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3,720,412,073.11</w:t>
            </w:r>
          </w:p>
        </w:tc>
        <w:tc>
          <w:tcPr>
            <w:tcW w:w="128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z w:val="20"/>
              </w:rPr>
              <w:t>24.56%</w:t>
            </w:r>
          </w:p>
        </w:tc>
      </w:tr>
      <w:tr>
        <w:trPr>
          <w:trHeight w:val="336" w:hRule="exact"/>
        </w:trPr>
        <w:tc>
          <w:tcPr>
            <w:tcW w:w="1475"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169,114.61</w:t>
            </w:r>
          </w:p>
        </w:tc>
        <w:tc>
          <w:tcPr>
            <w:tcW w:w="2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611,311.71</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-80.51%</w:t>
            </w:r>
          </w:p>
        </w:tc>
      </w:tr>
      <w:tr>
        <w:trPr>
          <w:trHeight w:val="338" w:hRule="exact"/>
        </w:trPr>
        <w:tc>
          <w:tcPr>
            <w:tcW w:w="1475"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right="55"/>
              <w:jc w:val="center"/>
              <w:rPr>
                <w:rFonts w:ascii="宋体" w:hAnsi="宋体" w:cs="宋体" w:eastAsia="宋体" w:hint="default"/>
                <w:sz w:val="20"/>
                <w:szCs w:val="20"/>
              </w:rPr>
            </w:pPr>
            <w:r>
              <w:rPr>
                <w:rFonts w:ascii="宋体" w:hAnsi="宋体" w:cs="宋体" w:eastAsia="宋体" w:hint="default"/>
                <w:sz w:val="20"/>
                <w:szCs w:val="20"/>
              </w:rPr>
              <w:t>合计</w:t>
            </w: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4,634,458,799.23</w:t>
            </w:r>
          </w:p>
        </w:tc>
        <w:tc>
          <w:tcPr>
            <w:tcW w:w="2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3,721,023,384.82</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24.55%</w:t>
            </w: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40" w:lineRule="auto" w:before="116"/>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公司重大的在手订单情况</w:t>
      </w:r>
    </w:p>
    <w:p>
      <w:pPr>
        <w:spacing w:line="338" w:lineRule="auto" w:before="4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line="338" w:lineRule="auto" w:before="43"/>
        <w:ind w:left="153" w:right="89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公司主要销售客户情况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3,316,466,461.76</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1,161,675,771.58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869,940,672.21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505,813,718.05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440,926,697.18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338,109,602.74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3,316,466,461.76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成本" w:id="23"/>
      <w:bookmarkEnd w:id="23"/>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170,851,908.91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1,141,749,385.70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4,397,951,643.59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2,565,381,098.48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4,568,803,552.50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3,707,130,484.18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漆包线</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169,793,042.87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1,124,795,841.89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-26.62%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铜管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869,034.85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12,855,026.49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其他铜材贸易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4,397,951,643.59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2,565,381,098.48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受托加工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189,831.19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4,098,517.32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4,568,803,552.50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3,707,130,484.18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10392"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2,486,816,498.14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791,102,379.24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554,766,195.30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426,397,583.80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407,466,759.10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307,083,580.70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2,486,816,498.14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费用" w:id="24"/>
      <w:bookmarkEnd w:id="24"/>
      <w:r>
        <w:rPr>
          <w:b w:val="0"/>
          <w:bCs w:val="0"/>
        </w:rPr>
      </w:r>
      <w:r>
        <w:rPr>
          <w:rFonts w:ascii="Times New Roman" w:hAnsi="Times New Roman" w:cs="Times New Roman" w:eastAsia="Times New Roman" w:hint="default"/>
        </w:rPr>
        <w:t>4</w:t>
      </w:r>
      <w:r>
        <w:rPr/>
        <w:t>、费用</w:t>
      </w:r>
      <w:r>
        <w:rPr>
          <w:b w:val="0"/>
          <w:bCs w:val="0"/>
        </w:rPr>
      </w:r>
    </w:p>
    <w:p>
      <w:pPr>
        <w:spacing w:line="240" w:lineRule="auto" w:before="9"/>
        <w:rPr>
          <w:rFonts w:ascii="宋体" w:hAnsi="宋体" w:cs="宋体" w:eastAsia="宋体" w:hint="default"/>
          <w:b/>
          <w:bCs/>
          <w:sz w:val="25"/>
          <w:szCs w:val="25"/>
        </w:rPr>
      </w:pPr>
    </w:p>
    <w:tbl>
      <w:tblPr>
        <w:tblW w:w="0" w:type="auto"/>
        <w:jc w:val="left"/>
        <w:tblInd w:w="132" w:type="dxa"/>
        <w:tblLayout w:type="fixed"/>
        <w:tblCellMar>
          <w:top w:w="0" w:type="dxa"/>
          <w:left w:w="0" w:type="dxa"/>
          <w:bottom w:w="0" w:type="dxa"/>
          <w:right w:w="0" w:type="dxa"/>
        </w:tblCellMar>
        <w:tblLook w:val="01E0"/>
      </w:tblPr>
      <w:tblGrid>
        <w:gridCol w:w="2298"/>
        <w:gridCol w:w="2676"/>
        <w:gridCol w:w="2220"/>
        <w:gridCol w:w="1097"/>
      </w:tblGrid>
      <w:tr>
        <w:trPr>
          <w:trHeight w:val="340" w:hRule="exact"/>
        </w:trPr>
        <w:tc>
          <w:tcPr>
            <w:tcW w:w="2298" w:type="dxa"/>
            <w:tcBorders>
              <w:top w:val="nil" w:sz="6" w:space="0" w:color="auto"/>
              <w:left w:val="nil" w:sz="6" w:space="0" w:color="auto"/>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2676" w:type="dxa"/>
            <w:tcBorders>
              <w:top w:val="nil" w:sz="6" w:space="0" w:color="auto"/>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宋体" w:hAnsi="宋体" w:cs="宋体" w:eastAsia="宋体" w:hint="default"/>
                <w:sz w:val="22"/>
                <w:szCs w:val="22"/>
              </w:rPr>
              <w:t>年金额</w:t>
            </w:r>
          </w:p>
        </w:tc>
        <w:tc>
          <w:tcPr>
            <w:tcW w:w="2220" w:type="dxa"/>
            <w:tcBorders>
              <w:top w:val="nil" w:sz="6" w:space="0" w:color="auto"/>
              <w:left w:val="single" w:sz="6" w:space="0" w:color="000000"/>
              <w:bottom w:val="single" w:sz="6" w:space="0" w:color="000000"/>
              <w:right w:val="single" w:sz="6" w:space="0" w:color="000000"/>
            </w:tcBorders>
          </w:tcPr>
          <w:p>
            <w:pPr>
              <w:pStyle w:val="TableParagraph"/>
              <w:spacing w:line="292" w:lineRule="exact"/>
              <w:ind w:left="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宋体" w:hAnsi="宋体" w:cs="宋体" w:eastAsia="宋体" w:hint="default"/>
                <w:sz w:val="22"/>
                <w:szCs w:val="22"/>
              </w:rPr>
              <w:t>年金额</w:t>
            </w:r>
          </w:p>
        </w:tc>
        <w:tc>
          <w:tcPr>
            <w:tcW w:w="1097"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增减率</w:t>
            </w:r>
          </w:p>
        </w:tc>
      </w:tr>
      <w:tr>
        <w:trPr>
          <w:trHeight w:val="337" w:hRule="exact"/>
        </w:trPr>
        <w:tc>
          <w:tcPr>
            <w:tcW w:w="2298"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315" w:right="0"/>
              <w:jc w:val="left"/>
              <w:rPr>
                <w:rFonts w:ascii="宋体" w:hAnsi="宋体" w:cs="宋体" w:eastAsia="宋体" w:hint="default"/>
                <w:sz w:val="24"/>
                <w:szCs w:val="24"/>
              </w:rPr>
            </w:pPr>
            <w:r>
              <w:rPr>
                <w:rFonts w:ascii="宋体" w:hAnsi="宋体" w:cs="宋体" w:eastAsia="宋体" w:hint="default"/>
                <w:sz w:val="24"/>
                <w:szCs w:val="24"/>
              </w:rPr>
              <w:t>营业税金及附加</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790" w:right="0"/>
              <w:jc w:val="left"/>
              <w:rPr>
                <w:rFonts w:ascii="Times New Roman" w:hAnsi="Times New Roman" w:cs="Times New Roman" w:eastAsia="Times New Roman" w:hint="default"/>
                <w:sz w:val="24"/>
                <w:szCs w:val="24"/>
              </w:rPr>
            </w:pPr>
            <w:r>
              <w:rPr>
                <w:rFonts w:ascii="Times New Roman"/>
                <w:sz w:val="24"/>
              </w:rPr>
              <w:t>155,900.23</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72" w:right="0"/>
              <w:jc w:val="left"/>
              <w:rPr>
                <w:rFonts w:ascii="Times New Roman" w:hAnsi="Times New Roman" w:cs="Times New Roman" w:eastAsia="Times New Roman" w:hint="default"/>
                <w:sz w:val="24"/>
                <w:szCs w:val="24"/>
              </w:rPr>
            </w:pPr>
            <w:r>
              <w:rPr>
                <w:rFonts w:ascii="Times New Roman"/>
                <w:sz w:val="24"/>
              </w:rPr>
              <w:t>1,633,838.60</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65" w:right="0"/>
              <w:jc w:val="left"/>
              <w:rPr>
                <w:rFonts w:ascii="Times New Roman" w:hAnsi="Times New Roman" w:cs="Times New Roman" w:eastAsia="Times New Roman" w:hint="default"/>
                <w:sz w:val="22"/>
                <w:szCs w:val="22"/>
              </w:rPr>
            </w:pPr>
            <w:r>
              <w:rPr>
                <w:rFonts w:ascii="Times New Roman"/>
                <w:sz w:val="22"/>
              </w:rPr>
              <w:t>-90.46%</w:t>
            </w:r>
          </w:p>
        </w:tc>
      </w:tr>
      <w:tr>
        <w:trPr>
          <w:trHeight w:val="337" w:hRule="exact"/>
        </w:trPr>
        <w:tc>
          <w:tcPr>
            <w:tcW w:w="2298"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676"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00" w:right="0"/>
              <w:jc w:val="left"/>
              <w:rPr>
                <w:rFonts w:ascii="Times New Roman" w:hAnsi="Times New Roman" w:cs="Times New Roman" w:eastAsia="Times New Roman" w:hint="default"/>
                <w:sz w:val="24"/>
                <w:szCs w:val="24"/>
              </w:rPr>
            </w:pPr>
            <w:r>
              <w:rPr>
                <w:rFonts w:ascii="Times New Roman"/>
                <w:sz w:val="24"/>
              </w:rPr>
              <w:t>4,090,871.26</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1"/>
              <w:jc w:val="right"/>
              <w:rPr>
                <w:rFonts w:ascii="Times New Roman" w:hAnsi="Times New Roman" w:cs="Times New Roman" w:eastAsia="Times New Roman" w:hint="default"/>
                <w:sz w:val="24"/>
                <w:szCs w:val="24"/>
              </w:rPr>
            </w:pPr>
            <w:r>
              <w:rPr>
                <w:rFonts w:ascii="Times New Roman"/>
                <w:sz w:val="24"/>
              </w:rPr>
              <w:t>16,543,740.21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65" w:right="0"/>
              <w:jc w:val="left"/>
              <w:rPr>
                <w:rFonts w:ascii="Times New Roman" w:hAnsi="Times New Roman" w:cs="Times New Roman" w:eastAsia="Times New Roman" w:hint="default"/>
                <w:sz w:val="22"/>
                <w:szCs w:val="22"/>
              </w:rPr>
            </w:pPr>
            <w:r>
              <w:rPr>
                <w:rFonts w:ascii="Times New Roman"/>
                <w:sz w:val="22"/>
              </w:rPr>
              <w:t>-75.27%</w:t>
            </w:r>
          </w:p>
        </w:tc>
      </w:tr>
      <w:tr>
        <w:trPr>
          <w:trHeight w:val="337" w:hRule="exact"/>
        </w:trPr>
        <w:tc>
          <w:tcPr>
            <w:tcW w:w="2298"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676"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39"/>
              <w:jc w:val="right"/>
              <w:rPr>
                <w:rFonts w:ascii="Times New Roman" w:hAnsi="Times New Roman" w:cs="Times New Roman" w:eastAsia="Times New Roman" w:hint="default"/>
                <w:sz w:val="24"/>
                <w:szCs w:val="24"/>
              </w:rPr>
            </w:pPr>
            <w:r>
              <w:rPr>
                <w:rFonts w:ascii="Times New Roman"/>
                <w:sz w:val="24"/>
              </w:rPr>
              <w:t>61,285,954.91</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1"/>
              <w:jc w:val="right"/>
              <w:rPr>
                <w:rFonts w:ascii="Times New Roman" w:hAnsi="Times New Roman" w:cs="Times New Roman" w:eastAsia="Times New Roman" w:hint="default"/>
                <w:sz w:val="24"/>
                <w:szCs w:val="24"/>
              </w:rPr>
            </w:pPr>
            <w:r>
              <w:rPr>
                <w:rFonts w:ascii="Times New Roman"/>
                <w:sz w:val="24"/>
              </w:rPr>
              <w:t>55,617,930.47</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02" w:right="0"/>
              <w:jc w:val="left"/>
              <w:rPr>
                <w:rFonts w:ascii="Times New Roman" w:hAnsi="Times New Roman" w:cs="Times New Roman" w:eastAsia="Times New Roman" w:hint="default"/>
                <w:sz w:val="22"/>
                <w:szCs w:val="22"/>
              </w:rPr>
            </w:pPr>
            <w:r>
              <w:rPr>
                <w:rFonts w:ascii="Times New Roman"/>
                <w:sz w:val="22"/>
              </w:rPr>
              <w:t>10.19%</w:t>
            </w:r>
          </w:p>
        </w:tc>
      </w:tr>
      <w:tr>
        <w:trPr>
          <w:trHeight w:val="336" w:hRule="exact"/>
        </w:trPr>
        <w:tc>
          <w:tcPr>
            <w:tcW w:w="2298"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676"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39"/>
              <w:jc w:val="right"/>
              <w:rPr>
                <w:rFonts w:ascii="Times New Roman" w:hAnsi="Times New Roman" w:cs="Times New Roman" w:eastAsia="Times New Roman" w:hint="default"/>
                <w:sz w:val="24"/>
                <w:szCs w:val="24"/>
              </w:rPr>
            </w:pPr>
            <w:r>
              <w:rPr>
                <w:rFonts w:ascii="Times New Roman"/>
                <w:sz w:val="24"/>
              </w:rPr>
              <w:t>43,592,145.11</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1"/>
              <w:jc w:val="right"/>
              <w:rPr>
                <w:rFonts w:ascii="Times New Roman" w:hAnsi="Times New Roman" w:cs="Times New Roman" w:eastAsia="Times New Roman" w:hint="default"/>
                <w:sz w:val="24"/>
                <w:szCs w:val="24"/>
              </w:rPr>
            </w:pPr>
            <w:r>
              <w:rPr>
                <w:rFonts w:ascii="Times New Roman"/>
                <w:sz w:val="24"/>
              </w:rPr>
              <w:t>33,745,908.25</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02" w:right="0"/>
              <w:jc w:val="left"/>
              <w:rPr>
                <w:rFonts w:ascii="Times New Roman" w:hAnsi="Times New Roman" w:cs="Times New Roman" w:eastAsia="Times New Roman" w:hint="default"/>
                <w:sz w:val="22"/>
                <w:szCs w:val="22"/>
              </w:rPr>
            </w:pPr>
            <w:r>
              <w:rPr>
                <w:rFonts w:ascii="Times New Roman"/>
                <w:sz w:val="22"/>
              </w:rPr>
              <w:t>29.18%</w:t>
            </w:r>
          </w:p>
        </w:tc>
      </w:tr>
      <w:tr>
        <w:trPr>
          <w:trHeight w:val="338" w:hRule="exact"/>
        </w:trPr>
        <w:tc>
          <w:tcPr>
            <w:tcW w:w="2298"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556"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59"/>
              <w:jc w:val="right"/>
              <w:rPr>
                <w:rFonts w:ascii="Times New Roman" w:hAnsi="Times New Roman" w:cs="Times New Roman" w:eastAsia="Times New Roman" w:hint="default"/>
                <w:sz w:val="24"/>
                <w:szCs w:val="24"/>
              </w:rPr>
            </w:pPr>
            <w:r>
              <w:rPr>
                <w:rFonts w:ascii="Times New Roman"/>
                <w:w w:val="95"/>
                <w:sz w:val="24"/>
              </w:rPr>
              <w:t>-3,933,048.26</w:t>
            </w:r>
            <w:r>
              <w:rPr>
                <w:rFonts w:ascii="Times New Roman"/>
                <w:sz w:val="24"/>
              </w:rPr>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411"/>
              <w:jc w:val="right"/>
              <w:rPr>
                <w:rFonts w:ascii="Times New Roman" w:hAnsi="Times New Roman" w:cs="Times New Roman" w:eastAsia="Times New Roman" w:hint="default"/>
                <w:sz w:val="24"/>
                <w:szCs w:val="24"/>
              </w:rPr>
            </w:pPr>
            <w:r>
              <w:rPr>
                <w:rFonts w:ascii="Times New Roman"/>
                <w:sz w:val="24"/>
              </w:rPr>
              <w:t>36,750,382.58</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10" w:right="0"/>
              <w:jc w:val="left"/>
              <w:rPr>
                <w:rFonts w:ascii="Times New Roman" w:hAnsi="Times New Roman" w:cs="Times New Roman" w:eastAsia="Times New Roman" w:hint="default"/>
                <w:sz w:val="22"/>
                <w:szCs w:val="22"/>
              </w:rPr>
            </w:pPr>
            <w:r>
              <w:rPr>
                <w:rFonts w:ascii="Times New Roman"/>
                <w:sz w:val="22"/>
              </w:rPr>
              <w:t>-110.70%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240" w:lineRule="auto" w:before="35"/>
        <w:ind w:right="0"/>
        <w:jc w:val="left"/>
        <w:rPr>
          <w:b w:val="0"/>
          <w:bCs w:val="0"/>
        </w:rPr>
      </w:pPr>
      <w:bookmarkStart w:name="5、研发支出" w:id="25"/>
      <w:bookmarkEnd w:id="25"/>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9"/>
        <w:rPr>
          <w:rFonts w:ascii="宋体" w:hAnsi="宋体" w:cs="宋体" w:eastAsia="宋体" w:hint="default"/>
          <w:b/>
          <w:bCs/>
          <w:sz w:val="25"/>
          <w:szCs w:val="25"/>
        </w:rPr>
      </w:pPr>
    </w:p>
    <w:tbl>
      <w:tblPr>
        <w:tblW w:w="0" w:type="auto"/>
        <w:jc w:val="left"/>
        <w:tblInd w:w="206" w:type="dxa"/>
        <w:tblLayout w:type="fixed"/>
        <w:tblCellMar>
          <w:top w:w="0" w:type="dxa"/>
          <w:left w:w="0" w:type="dxa"/>
          <w:bottom w:w="0" w:type="dxa"/>
          <w:right w:w="0" w:type="dxa"/>
        </w:tblCellMar>
        <w:tblLook w:val="01E0"/>
      </w:tblPr>
      <w:tblGrid>
        <w:gridCol w:w="1859"/>
        <w:gridCol w:w="1656"/>
        <w:gridCol w:w="2153"/>
        <w:gridCol w:w="2687"/>
      </w:tblGrid>
      <w:tr>
        <w:trPr>
          <w:trHeight w:val="347" w:hRule="exact"/>
        </w:trPr>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sz w:val="22"/>
                <w:szCs w:val="22"/>
              </w:rPr>
              <w:t>项目</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宋体" w:hAnsi="宋体" w:cs="宋体" w:eastAsia="宋体" w:hint="default"/>
                <w:sz w:val="22"/>
                <w:szCs w:val="22"/>
              </w:rPr>
              <w:t>年金额</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宋体" w:hAnsi="宋体" w:cs="宋体" w:eastAsia="宋体" w:hint="default"/>
                <w:sz w:val="22"/>
                <w:szCs w:val="22"/>
              </w:rPr>
              <w:t>年金额</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增减率</w:t>
            </w:r>
          </w:p>
        </w:tc>
      </w:tr>
      <w:tr>
        <w:trPr>
          <w:trHeight w:val="347" w:hRule="exact"/>
        </w:trPr>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研发费用</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2,200,986.32</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4,013,630.13</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2"/>
                <w:szCs w:val="22"/>
              </w:rPr>
            </w:pPr>
            <w:r>
              <w:rPr>
                <w:rFonts w:ascii="Times New Roman"/>
                <w:sz w:val="22"/>
              </w:rPr>
              <w:t>-45.16%</w:t>
            </w:r>
          </w:p>
        </w:tc>
      </w:tr>
      <w:tr>
        <w:trPr>
          <w:trHeight w:val="347" w:hRule="exact"/>
        </w:trPr>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占净资产比例</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0.20%</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0.34%</w:t>
            </w:r>
          </w:p>
        </w:tc>
        <w:tc>
          <w:tcPr>
            <w:tcW w:w="268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占营业收入比例</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0.05%</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0.11%</w:t>
            </w:r>
          </w:p>
        </w:tc>
        <w:tc>
          <w:tcPr>
            <w:tcW w:w="268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6、现金流" w:id="26"/>
      <w:bookmarkEnd w:id="26"/>
      <w:r>
        <w:rPr>
          <w:b w:val="0"/>
          <w:bCs w:val="0"/>
        </w:rPr>
      </w: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8,040,317,397.60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6,945,634,758.90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8,893,271,735.41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6,882,657,925.63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-852,954,337.81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62,976,833.27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-1,454.39%</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128,938,116.47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621,233,892.08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119,459,707.21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306,507,911.14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9,478,409.26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314,725,980.94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1,582,039,319.84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794,754,876.27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974,209,955.38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940,947,517.07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607,829,364.46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-146,192,640.80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515.77%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-235,897,338.16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230,811,974.25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-202.20%</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、经营活动产生的现金流量净额期末较期初减少</w:t>
      </w:r>
      <w:r>
        <w:rPr>
          <w:rFonts w:ascii="Times New Roman" w:hAnsi="Times New Roman" w:cs="Times New Roman" w:eastAsia="Times New Roman" w:hint="default"/>
          <w:sz w:val="18"/>
          <w:szCs w:val="18"/>
        </w:rPr>
        <w:t>1454.39%%</w:t>
      </w:r>
      <w:r>
        <w:rPr>
          <w:rFonts w:ascii="宋体" w:hAnsi="宋体" w:cs="宋体" w:eastAsia="宋体" w:hint="default"/>
          <w:sz w:val="18"/>
          <w:szCs w:val="18"/>
        </w:rPr>
        <w:t>主要是银行承兑、信用证保证金减少及支付货款增加所致。</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、投资活动产生的现金流量净额期末较期初减少</w:t>
      </w:r>
      <w:r>
        <w:rPr>
          <w:rFonts w:ascii="Times New Roman" w:hAnsi="Times New Roman" w:cs="Times New Roman" w:eastAsia="Times New Roman" w:hint="default"/>
          <w:sz w:val="18"/>
          <w:szCs w:val="18"/>
        </w:rPr>
        <w:t>96.99%</w:t>
      </w:r>
      <w:r>
        <w:rPr>
          <w:rFonts w:ascii="宋体" w:hAnsi="宋体" w:cs="宋体" w:eastAsia="宋体" w:hint="default"/>
          <w:sz w:val="18"/>
          <w:szCs w:val="18"/>
        </w:rPr>
        <w:t>，主要是</w:t>
      </w:r>
      <w:r>
        <w:rPr>
          <w:rFonts w:ascii="Times New Roman" w:hAnsi="Times New Roman" w:cs="Times New Roman" w:eastAsia="Times New Roman" w:hint="default"/>
          <w:sz w:val="18"/>
          <w:szCs w:val="18"/>
        </w:rPr>
        <w:t>13</w:t>
      </w:r>
      <w:r>
        <w:rPr>
          <w:rFonts w:ascii="宋体" w:hAnsi="宋体" w:cs="宋体" w:eastAsia="宋体" w:hint="default"/>
          <w:sz w:val="18"/>
          <w:szCs w:val="18"/>
        </w:rPr>
        <w:t>年宏天铜业收到政府搬迁收入增加所致，</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、筹资活动产生的现金流量净额期末较期初增加</w:t>
      </w:r>
      <w:r>
        <w:rPr>
          <w:rFonts w:ascii="Times New Roman" w:hAnsi="Times New Roman" w:cs="Times New Roman" w:eastAsia="Times New Roman" w:hint="default"/>
          <w:sz w:val="18"/>
          <w:szCs w:val="18"/>
        </w:rPr>
        <w:t>515.77%</w:t>
      </w:r>
      <w:r>
        <w:rPr>
          <w:rFonts w:ascii="宋体" w:hAnsi="宋体" w:cs="宋体" w:eastAsia="宋体" w:hint="default"/>
          <w:sz w:val="18"/>
          <w:szCs w:val="18"/>
        </w:rPr>
        <w:t>，主要是减少本年的融资结构调整，增加银行借款融资所致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主营业务构成情况" w:id="27"/>
      <w:bookmarkEnd w:id="27"/>
      <w:r>
        <w:rPr>
          <w:b w:val="0"/>
          <w:bCs w:val="0"/>
        </w:rPr>
      </w:r>
      <w:r>
        <w:rPr/>
        <w:t>三、主营业务构成情况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152,540,398.15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170,851,908.91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4,481,749,286.47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4,397,951,643.59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3.19%</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4,634,289,684.62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4,568,803,552.50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漆包线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151,524,169.82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169,793,042.87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铜线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801,582.66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869,034.85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-5.14%</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其他铜材贸易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4,481,749,286.47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4,397,951,643.59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受托加工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214,645.67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189,831.19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4,634,289,684.62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4,568,803,552.50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4,634,289,684.62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4,568,803,552.50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4,634,289,684.62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4,568,803,552.50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资产、负债状况分析" w:id="28"/>
      <w:bookmarkEnd w:id="28"/>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资产项目重大变动情况" w:id="29"/>
      <w:bookmarkEnd w:id="29"/>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930"/>
        <w:gridCol w:w="2786"/>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158,223,374.7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5.93%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682,539,674.32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25.73%</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-19.80%</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主要系公司本期银行承兑汇票、信 用证保证金减少所致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587,973,340.8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22.04%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567,373,149.97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21.39%</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0.65%</w:t>
            </w:r>
          </w:p>
        </w:tc>
        <w:tc>
          <w:tcPr>
            <w:tcW w:w="2786"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504,865,986.0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18.92%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448,850,651.67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16.92%</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2.00%</w:t>
            </w:r>
          </w:p>
        </w:tc>
        <w:tc>
          <w:tcPr>
            <w:tcW w:w="2786"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290,957,685.5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10.90%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327,416,285.99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12.34%</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-1.44%</w:t>
            </w:r>
          </w:p>
        </w:tc>
        <w:tc>
          <w:tcPr>
            <w:tcW w:w="2786"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 w:right="0"/>
              <w:jc w:val="left"/>
              <w:rPr>
                <w:rFonts w:ascii="Times New Roman" w:hAnsi="Times New Roman" w:cs="Times New Roman" w:eastAsia="Times New Roman" w:hint="default"/>
                <w:sz w:val="18"/>
                <w:szCs w:val="18"/>
              </w:rPr>
            </w:pPr>
            <w:r>
              <w:rPr>
                <w:rFonts w:ascii="Times New Roman"/>
                <w:sz w:val="18"/>
              </w:rPr>
              <w:t>28,068,245.28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22,011,242.92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0.83%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w:t>
            </w:r>
          </w:p>
        </w:tc>
        <w:tc>
          <w:tcPr>
            <w:tcW w:w="27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负债项目重大变动情况" w:id="30"/>
      <w:bookmarkEnd w:id="30"/>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52"/>
        <w:gridCol w:w="1207"/>
        <w:gridCol w:w="1051"/>
        <w:gridCol w:w="810"/>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6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07"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1"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1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4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989,378,030.2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37.08%</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470,943,562.77</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17.75%</w:t>
            </w:r>
          </w:p>
        </w:tc>
        <w:tc>
          <w:tcPr>
            <w:tcW w:w="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19.33%</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主要系本期融资结构调整，增加银行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借款融资所致。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52"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1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1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both"/>
        <w:rPr>
          <w:b w:val="0"/>
          <w:bCs w:val="0"/>
        </w:rPr>
      </w:pPr>
      <w:bookmarkStart w:name="3、以公允价值计量的资产和负债" w:id="31"/>
      <w:bookmarkEnd w:id="31"/>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both"/>
        <w:rPr>
          <w:b w:val="0"/>
          <w:bCs w:val="0"/>
        </w:rPr>
      </w:pPr>
      <w:bookmarkStart w:name="五、核心竞争力分析" w:id="32"/>
      <w:bookmarkEnd w:id="32"/>
      <w:r>
        <w:rPr>
          <w:b w:val="0"/>
          <w:bCs w:val="0"/>
        </w:rPr>
      </w:r>
      <w:r>
        <w:rPr/>
        <w:t>五、核心竞争力分析</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3" w:right="0"/>
        <w:jc w:val="left"/>
      </w:pPr>
      <w:r>
        <w:rPr>
          <w:rFonts w:ascii="Times New Roman" w:hAnsi="Times New Roman" w:cs="Times New Roman" w:eastAsia="Times New Roman" w:hint="default"/>
        </w:rPr>
        <w:t>1</w:t>
      </w:r>
      <w:r>
        <w:rPr/>
        <w:t>、规模和技术优势 </w:t>
      </w:r>
      <w:r>
        <w:rPr>
          <w:spacing w:val="-3"/>
        </w:rPr>
        <w:t>本公司是国内规模较大、技术领先的综合性漆包线产品生产商之一，公司秉承</w:t>
      </w:r>
      <w:r>
        <w:rPr>
          <w:rFonts w:ascii="Times New Roman" w:hAnsi="Times New Roman" w:cs="Times New Roman" w:eastAsia="Times New Roman" w:hint="default"/>
          <w:spacing w:val="-3"/>
        </w:rPr>
        <w:t>“</w:t>
      </w:r>
      <w:r>
        <w:rPr>
          <w:spacing w:val="-3"/>
        </w:rPr>
        <w:t>科技兴企</w:t>
      </w:r>
      <w:r>
        <w:rPr>
          <w:rFonts w:ascii="Times New Roman" w:hAnsi="Times New Roman" w:cs="Times New Roman" w:eastAsia="Times New Roman" w:hint="default"/>
          <w:spacing w:val="-3"/>
        </w:rPr>
        <w:t>”</w:t>
      </w:r>
      <w:r>
        <w:rPr>
          <w:spacing w:val="-3"/>
        </w:rPr>
        <w:t>的发展理念，</w:t>
      </w:r>
    </w:p>
    <w:p>
      <w:pPr>
        <w:pStyle w:val="BodyText"/>
        <w:spacing w:line="266" w:lineRule="auto" w:before="5"/>
        <w:ind w:left="154" w:right="1131"/>
        <w:jc w:val="both"/>
      </w:pPr>
      <w:r>
        <w:rPr/>
        <w:t>坚持</w:t>
      </w:r>
      <w:r>
        <w:rPr>
          <w:rFonts w:ascii="Times New Roman" w:hAnsi="Times New Roman" w:cs="Times New Roman" w:eastAsia="Times New Roman" w:hint="default"/>
        </w:rPr>
        <w:t>“</w:t>
      </w:r>
      <w:r>
        <w:rPr/>
        <w:t>应用一代、试制一代、研究一代、规划一代</w:t>
      </w:r>
      <w:r>
        <w:rPr>
          <w:rFonts w:ascii="Times New Roman" w:hAnsi="Times New Roman" w:cs="Times New Roman" w:eastAsia="Times New Roman" w:hint="default"/>
        </w:rPr>
        <w:t>”</w:t>
      </w:r>
      <w:r>
        <w:rPr/>
        <w:t>的自主创新战略，不仅在业内率先建立了省级高新技术 </w:t>
      </w:r>
      <w:r>
        <w:rPr>
          <w:spacing w:val="-1"/>
        </w:rPr>
        <w:t>研究开发中心、省级企业技术中心和博士后科研工作站，而且与江西理工大学、中南大学、上海电缆研究</w:t>
      </w:r>
      <w:r>
        <w:rPr>
          <w:spacing w:val="-86"/>
        </w:rPr>
        <w:t> </w:t>
      </w:r>
      <w:r>
        <w:rPr>
          <w:spacing w:val="-86"/>
        </w:rPr>
      </w:r>
      <w:r>
        <w:rPr>
          <w:spacing w:val="-1"/>
        </w:rPr>
        <w:t>所等省内外多家重点高校、科研院所建立了长期产学研深度合作关系，通过自主研发和引进吸收等方式不</w:t>
      </w:r>
      <w:r>
        <w:rPr>
          <w:spacing w:val="-81"/>
        </w:rPr>
        <w:t> </w:t>
      </w:r>
      <w:r>
        <w:rPr>
          <w:spacing w:val="-81"/>
        </w:rPr>
      </w:r>
      <w:r>
        <w:rPr/>
        <w:t>断提升产品技术水平，增强核心竞争力。</w:t>
      </w:r>
    </w:p>
    <w:p>
      <w:pPr>
        <w:pStyle w:val="BodyText"/>
        <w:spacing w:line="256" w:lineRule="auto" w:before="14"/>
        <w:ind w:left="573" w:right="1014"/>
        <w:jc w:val="left"/>
      </w:pPr>
      <w:r>
        <w:rPr>
          <w:rFonts w:ascii="Times New Roman" w:hAnsi="Times New Roman" w:cs="Times New Roman" w:eastAsia="Times New Roman" w:hint="default"/>
        </w:rPr>
        <w:t>2</w:t>
      </w:r>
      <w:r>
        <w:rPr/>
        <w:t>、地缘优势 </w:t>
      </w:r>
      <w:r>
        <w:rPr>
          <w:spacing w:val="-1"/>
        </w:rPr>
        <w:t>本公司位于中国制造业最发达的浙江省，产品销售覆盖包括以山东、江苏、上海、浙江为代表的华东</w:t>
      </w:r>
    </w:p>
    <w:p>
      <w:pPr>
        <w:pStyle w:val="BodyText"/>
        <w:spacing w:line="273" w:lineRule="auto" w:before="22"/>
        <w:ind w:right="1109"/>
        <w:jc w:val="both"/>
      </w:pPr>
      <w:r>
        <w:rPr/>
        <w:t>市场、以广东为代表的华南市场及其他地区，目前我国规模较大的电机生产企业主要分布于浙江、江苏、 </w:t>
      </w:r>
      <w:r>
        <w:rPr>
          <w:spacing w:val="-1"/>
        </w:rPr>
        <w:t>山东、上海、广东等东部沿海地区，产业集中度较高。产业集群促进了公司产品品牌的推广，地缘相近的</w:t>
      </w:r>
      <w:r>
        <w:rPr>
          <w:spacing w:val="-83"/>
        </w:rPr>
        <w:t> </w:t>
      </w:r>
      <w:r>
        <w:rPr>
          <w:spacing w:val="-83"/>
        </w:rPr>
      </w:r>
      <w:r>
        <w:rPr/>
        <w:t>优势缩短了运输时间，减少了运输费用，更有助于公司与客户的沟通交流。</w:t>
      </w:r>
    </w:p>
    <w:p>
      <w:pPr>
        <w:pStyle w:val="BodyText"/>
        <w:spacing w:line="256" w:lineRule="auto"/>
        <w:ind w:left="522" w:right="0" w:firstLine="51"/>
        <w:jc w:val="left"/>
      </w:pPr>
      <w:r>
        <w:rPr>
          <w:rFonts w:ascii="Times New Roman" w:hAnsi="Times New Roman" w:cs="Times New Roman" w:eastAsia="Times New Roman" w:hint="default"/>
        </w:rPr>
        <w:t>3</w:t>
      </w:r>
      <w:r>
        <w:rPr/>
        <w:t>、质量管理优势 公司管理优势体现在产品性能的先进性和稳定性方面。公司已建立了一整套覆盖原材料进货检验、工</w:t>
      </w:r>
    </w:p>
    <w:p>
      <w:pPr>
        <w:pStyle w:val="BodyText"/>
        <w:spacing w:line="264" w:lineRule="auto" w:before="22"/>
        <w:ind w:right="1130"/>
        <w:jc w:val="both"/>
      </w:pPr>
      <w:r>
        <w:rPr>
          <w:spacing w:val="-1"/>
        </w:rPr>
        <w:t>序检验及不合格产品预防、出厂检验等方面的控制制度，保证了公司质量目标的实现及持续改进。公司是</w:t>
      </w:r>
      <w:r>
        <w:rPr>
          <w:spacing w:val="-83"/>
        </w:rPr>
        <w:t> </w:t>
      </w:r>
      <w:r>
        <w:rPr>
          <w:spacing w:val="-83"/>
        </w:rPr>
      </w:r>
      <w:r>
        <w:rPr/>
        <w:t>业内率先通过</w:t>
      </w:r>
      <w:r>
        <w:rPr>
          <w:rFonts w:ascii="Times New Roman" w:hAnsi="Times New Roman" w:cs="Times New Roman" w:eastAsia="Times New Roman" w:hint="default"/>
        </w:rPr>
        <w:t>ISO9001:2008</w:t>
      </w:r>
      <w:r>
        <w:rPr/>
        <w:t>质量管理体系、</w:t>
      </w:r>
      <w:r>
        <w:rPr>
          <w:rFonts w:ascii="Times New Roman" w:hAnsi="Times New Roman" w:cs="Times New Roman" w:eastAsia="Times New Roman" w:hint="default"/>
        </w:rPr>
        <w:t>ISO14001:2004</w:t>
      </w:r>
      <w:r>
        <w:rPr/>
        <w:t>环境管理体系和</w:t>
      </w:r>
      <w:r>
        <w:rPr>
          <w:rFonts w:ascii="Times New Roman" w:hAnsi="Times New Roman" w:cs="Times New Roman" w:eastAsia="Times New Roman" w:hint="default"/>
        </w:rPr>
        <w:t>BS-OHSAS18001:2007</w:t>
      </w:r>
      <w:r>
        <w:rPr/>
        <w:t>职业健康 安全管理体系认证的企业。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33"/>
        <w:ind w:left="153" w:right="0"/>
        <w:jc w:val="both"/>
        <w:rPr>
          <w:b w:val="0"/>
          <w:bCs w:val="0"/>
        </w:rPr>
      </w:pPr>
      <w:bookmarkStart w:name="六、投资状况分析" w:id="33"/>
      <w:bookmarkEnd w:id="33"/>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对外股权投资情况" w:id="34"/>
      <w:bookmarkEnd w:id="34"/>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对外投资情况" w:id="35"/>
      <w:bookmarkEnd w:id="35"/>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7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公司报告期无对外投资。</w:t>
      </w:r>
    </w:p>
    <w:p>
      <w:pPr>
        <w:spacing w:line="240" w:lineRule="auto" w:before="11"/>
        <w:rPr>
          <w:rFonts w:ascii="宋体" w:hAnsi="宋体" w:cs="宋体" w:eastAsia="宋体" w:hint="default"/>
          <w:sz w:val="19"/>
          <w:szCs w:val="19"/>
        </w:rPr>
      </w:pPr>
    </w:p>
    <w:p>
      <w:pPr>
        <w:pStyle w:val="Heading4"/>
        <w:spacing w:line="240" w:lineRule="auto"/>
        <w:ind w:right="0"/>
        <w:jc w:val="both"/>
        <w:rPr>
          <w:b w:val="0"/>
          <w:bCs w:val="0"/>
        </w:rPr>
      </w:pPr>
      <w:bookmarkStart w:name="（2）持有金融企业股权情况" w:id="36"/>
      <w:bookmarkEnd w:id="36"/>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公司报告期未持有金融企业股权。</w:t>
      </w:r>
    </w:p>
    <w:p>
      <w:pPr>
        <w:spacing w:line="240" w:lineRule="auto" w:before="13"/>
        <w:rPr>
          <w:rFonts w:ascii="宋体" w:hAnsi="宋体" w:cs="宋体" w:eastAsia="宋体" w:hint="default"/>
          <w:sz w:val="19"/>
          <w:szCs w:val="19"/>
        </w:rPr>
      </w:pPr>
    </w:p>
    <w:p>
      <w:pPr>
        <w:pStyle w:val="Heading4"/>
        <w:spacing w:line="240" w:lineRule="auto"/>
        <w:ind w:right="0"/>
        <w:jc w:val="both"/>
        <w:rPr>
          <w:b w:val="0"/>
          <w:bCs w:val="0"/>
        </w:rPr>
      </w:pPr>
      <w:bookmarkStart w:name="（3）证券投资情况" w:id="37"/>
      <w:bookmarkEnd w:id="37"/>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9"/>
        <w:rPr>
          <w:rFonts w:ascii="宋体" w:hAnsi="宋体" w:cs="宋体" w:eastAsia="宋体" w:hint="default"/>
          <w:b/>
          <w:bCs/>
          <w:sz w:val="26"/>
          <w:szCs w:val="26"/>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公司报告期不存在证券投资。</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4）持有其他上市公司股权情况的说明" w:id="38"/>
      <w:bookmarkEnd w:id="38"/>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6433"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公司报告期未持有其他上市公司股权。</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2、委托理财、衍生品投资和委托贷款情况" w:id="39"/>
      <w:bookmarkEnd w:id="39"/>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40"/>
      <w:bookmarkEnd w:id="4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公司报告期不存在委托理财。</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2）衍生品投资情况" w:id="41"/>
      <w:bookmarkEnd w:id="4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2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公司报告期不存在衍生品投资。</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委托贷款情况" w:id="42"/>
      <w:bookmarkEnd w:id="4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3、募集资金使用情况" w:id="43"/>
      <w:bookmarkEnd w:id="43"/>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募集资金总体使用情况" w:id="44"/>
      <w:bookmarkEnd w:id="44"/>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8"/>
        <w:gridCol w:w="5480"/>
      </w:tblGrid>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50,285.2</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1,067.24</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35,822.92</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11"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．以前年度已使用金额本公司募集资金用于年产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万吨高性能铜及铜合金杆材项目、年产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万吨节能环保型特种漆包线</w:t>
            </w:r>
          </w:p>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z w:val="18"/>
                <w:szCs w:val="18"/>
              </w:rPr>
              <w:t>项目、年产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吨热交换器用高效节能高翘片铜管建设项目，以前年度已使用金额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23,380.48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万元。以前年度本公司已使</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用超募资金永久补充流动资金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11,375.20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万元，使用闲置募集资金暂时补充流动资金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．本年度使用金额</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及当前余额</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年度，本公司募集资金使用情况为：</w:t>
            </w:r>
            <w:r>
              <w:rPr>
                <w:rFonts w:ascii="Times New Roman" w:hAnsi="Times New Roman" w:cs="Times New Roman" w:eastAsia="Times New Roman" w:hint="default"/>
                <w:sz w:val="18"/>
                <w:szCs w:val="18"/>
              </w:rPr>
              <w:t>(1)</w:t>
            </w:r>
            <w:r>
              <w:rPr>
                <w:rFonts w:ascii="宋体" w:hAnsi="宋体" w:cs="宋体" w:eastAsia="宋体" w:hint="default"/>
                <w:sz w:val="18"/>
                <w:szCs w:val="18"/>
              </w:rPr>
              <w:t>直接投入募集资金投资项目情况</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年度，本公司投入募集资金</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投资项目的募集资金为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1,067.24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暂时补充流动资金情况本公司于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日召开的第二届董事会第二十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8"/>
          <w:szCs w:val="28"/>
        </w:rPr>
      </w:pPr>
    </w:p>
    <w:p>
      <w:pPr>
        <w:spacing w:line="2234" w:lineRule="exact"/>
        <w:ind w:left="154" w:right="0" w:firstLine="0"/>
        <w:rPr>
          <w:rFonts w:ascii="宋体" w:hAnsi="宋体" w:cs="宋体" w:eastAsia="宋体" w:hint="default"/>
          <w:sz w:val="20"/>
          <w:szCs w:val="20"/>
        </w:rPr>
      </w:pPr>
      <w:r>
        <w:rPr>
          <w:rFonts w:ascii="宋体" w:hAnsi="宋体" w:cs="宋体" w:eastAsia="宋体" w:hint="default"/>
          <w:position w:val="-44"/>
          <w:sz w:val="20"/>
          <w:szCs w:val="20"/>
        </w:rPr>
        <w:pict>
          <v:shape style="width:478.45pt;height:111.75pt;mso-position-horizontal-relative:char;mso-position-vertical-relative:line" type="#_x0000_t202" filled="false" stroked="true" strokeweight=".48pt" strokecolor="#000000">
            <w10:anchorlock/>
            <v:textbox inset="0,0,0,0">
              <w:txbxContent>
                <w:p>
                  <w:pPr>
                    <w:spacing w:before="10"/>
                    <w:ind w:left="2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八次会议审议通过</w:t>
                  </w:r>
                  <w:r>
                    <w:rPr>
                      <w:rFonts w:ascii="宋体" w:hAnsi="宋体" w:cs="宋体" w:eastAsia="宋体" w:hint="default"/>
                      <w:spacing w:val="-90"/>
                      <w:sz w:val="18"/>
                      <w:szCs w:val="18"/>
                    </w:rPr>
                    <w:t>了</w:t>
                  </w:r>
                  <w:r>
                    <w:rPr>
                      <w:rFonts w:ascii="宋体" w:hAnsi="宋体" w:cs="宋体" w:eastAsia="宋体" w:hint="default"/>
                      <w:sz w:val="18"/>
                      <w:szCs w:val="18"/>
                    </w:rPr>
                    <w:t>《关于继续以部分闲置募集资金临时性补充公司流动资金的议案</w:t>
                  </w:r>
                  <w:r>
                    <w:rPr>
                      <w:rFonts w:ascii="宋体" w:hAnsi="宋体" w:cs="宋体" w:eastAsia="宋体" w:hint="default"/>
                      <w:spacing w:val="-90"/>
                      <w:sz w:val="18"/>
                      <w:szCs w:val="18"/>
                    </w:rPr>
                    <w:t>》，</w:t>
                  </w:r>
                  <w:r>
                    <w:rPr>
                      <w:rFonts w:ascii="宋体" w:hAnsi="宋体" w:cs="宋体" w:eastAsia="宋体" w:hint="default"/>
                      <w:sz w:val="18"/>
                      <w:szCs w:val="18"/>
                    </w:rPr>
                    <w:t>并由</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日召</w:t>
                  </w:r>
                  <w:r>
                    <w:rPr>
                      <w:rFonts w:ascii="宋体" w:hAnsi="宋体" w:cs="宋体" w:eastAsia="宋体" w:hint="default"/>
                      <w:spacing w:val="-2"/>
                      <w:sz w:val="18"/>
                      <w:szCs w:val="18"/>
                    </w:rPr>
                    <w:t>开</w:t>
                  </w:r>
                  <w:r>
                    <w:rPr>
                      <w:rFonts w:ascii="宋体" w:hAnsi="宋体" w:cs="宋体" w:eastAsia="宋体" w:hint="default"/>
                      <w:sz w:val="18"/>
                      <w:szCs w:val="18"/>
                    </w:rPr>
                    <w:t>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w:t>
                  </w:r>
                </w:p>
                <w:p>
                  <w:pPr>
                    <w:spacing w:before="63"/>
                    <w:ind w:left="22" w:right="0" w:firstLine="0"/>
                    <w:jc w:val="left"/>
                    <w:rPr>
                      <w:rFonts w:ascii="宋体" w:hAnsi="宋体" w:cs="宋体" w:eastAsia="宋体" w:hint="default"/>
                      <w:sz w:val="18"/>
                      <w:szCs w:val="18"/>
                    </w:rPr>
                  </w:pPr>
                  <w:r>
                    <w:rPr>
                      <w:rFonts w:ascii="宋体" w:hAnsi="宋体" w:cs="宋体" w:eastAsia="宋体" w:hint="default"/>
                      <w:sz w:val="18"/>
                      <w:szCs w:val="18"/>
                    </w:rPr>
                    <w:t>年第三次临时股东大会审议表决通过，在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日之前将</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万元募集资金归还至公司相应的募集资金专</w:t>
                  </w:r>
                </w:p>
                <w:p>
                  <w:pPr>
                    <w:spacing w:before="63"/>
                    <w:ind w:left="22" w:right="0" w:firstLine="0"/>
                    <w:jc w:val="left"/>
                    <w:rPr>
                      <w:rFonts w:ascii="宋体" w:hAnsi="宋体" w:cs="宋体" w:eastAsia="宋体" w:hint="default"/>
                      <w:sz w:val="18"/>
                      <w:szCs w:val="18"/>
                    </w:rPr>
                  </w:pPr>
                  <w:r>
                    <w:rPr>
                      <w:rFonts w:ascii="宋体" w:hAnsi="宋体" w:cs="宋体" w:eastAsia="宋体" w:hint="default"/>
                      <w:sz w:val="18"/>
                      <w:szCs w:val="18"/>
                    </w:rPr>
                    <w:t>项账户后，公司拟继续将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万元闲置募集资金临时性补充流动资金，使用期限自公司股东大会审议通过之日起不</w:t>
                  </w:r>
                </w:p>
                <w:p>
                  <w:pPr>
                    <w:spacing w:before="63"/>
                    <w:ind w:left="22" w:right="0" w:firstLine="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个月，该项补充流动资金行为不存在变相改变募集资金用途的情形。截止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日，公司实际使用募集</w:t>
                  </w:r>
                </w:p>
                <w:p>
                  <w:pPr>
                    <w:spacing w:before="63"/>
                    <w:ind w:left="22" w:right="0" w:firstLine="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13,320.00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万元临时性补充流动资金。截至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日止，尚未使用的募集资金余额为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1,142.28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不包括使</w:t>
                  </w:r>
                </w:p>
                <w:p>
                  <w:pPr>
                    <w:spacing w:before="63"/>
                    <w:ind w:left="2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用闲置募集资金暂时补充流动资金尚未归还余额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13,320.00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，加上银行存款利息收入扣除银行手续费等的净额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115.95</w:t>
                  </w:r>
                </w:p>
                <w:p>
                  <w:pPr>
                    <w:spacing w:before="64"/>
                    <w:ind w:left="22" w:right="0" w:firstLine="0"/>
                    <w:jc w:val="left"/>
                    <w:rPr>
                      <w:rFonts w:ascii="宋体" w:hAnsi="宋体" w:cs="宋体" w:eastAsia="宋体" w:hint="default"/>
                      <w:sz w:val="18"/>
                      <w:szCs w:val="18"/>
                    </w:rPr>
                  </w:pPr>
                  <w:r>
                    <w:rPr>
                      <w:rFonts w:ascii="宋体" w:hAnsi="宋体" w:cs="宋体" w:eastAsia="宋体" w:hint="default"/>
                      <w:sz w:val="18"/>
                      <w:szCs w:val="18"/>
                    </w:rPr>
                    <w:t>万元，募集资金存储专户实际余额为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1,258.23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xbxContent>
            </v:textbox>
          </v:shape>
        </w:pict>
      </w:r>
      <w:r>
        <w:rPr>
          <w:rFonts w:ascii="宋体" w:hAnsi="宋体" w:cs="宋体" w:eastAsia="宋体" w:hint="default"/>
          <w:position w:val="-44"/>
          <w:sz w:val="20"/>
          <w:szCs w:val="20"/>
        </w:rPr>
      </w:r>
    </w:p>
    <w:p>
      <w:pPr>
        <w:spacing w:line="240" w:lineRule="auto" w:before="8"/>
        <w:rPr>
          <w:rFonts w:ascii="宋体" w:hAnsi="宋体" w:cs="宋体" w:eastAsia="宋体" w:hint="default"/>
          <w:sz w:val="19"/>
          <w:szCs w:val="19"/>
        </w:rPr>
      </w:pPr>
    </w:p>
    <w:p>
      <w:pPr>
        <w:pStyle w:val="Heading4"/>
        <w:spacing w:line="240" w:lineRule="auto" w:before="35"/>
        <w:ind w:right="0"/>
        <w:jc w:val="left"/>
        <w:rPr>
          <w:b w:val="0"/>
          <w:bCs w:val="0"/>
        </w:rPr>
      </w:pPr>
      <w:bookmarkStart w:name="（2）募集资金承诺项目情况" w:id="45"/>
      <w:bookmarkEnd w:id="45"/>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4"/>
        <w:gridCol w:w="194"/>
        <w:gridCol w:w="578"/>
        <w:gridCol w:w="780"/>
        <w:gridCol w:w="776"/>
        <w:gridCol w:w="781"/>
        <w:gridCol w:w="786"/>
        <w:gridCol w:w="778"/>
        <w:gridCol w:w="778"/>
        <w:gridCol w:w="790"/>
        <w:gridCol w:w="778"/>
        <w:gridCol w:w="786"/>
      </w:tblGrid>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81" w:right="79"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1"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2"/>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万吨高性能铜 及铜合金杆材项目</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16,398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14,350.07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87.51%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09"/>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万吨节能环保 型特种漆包线项目</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17,532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543.24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9,169.12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52.30%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吨热交换器 用高效节能高翘片铜 管建设项目</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433.09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928.53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18.65%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
        </w:tc>
        <w:tc>
          <w:tcPr>
            <w:tcW w:w="771"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38,910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1,067.24</w:t>
            </w:r>
          </w:p>
        </w:tc>
        <w:tc>
          <w:tcPr>
            <w:tcW w:w="78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24,447.72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13" w:space="0" w:color="D2D2D2"/>
              <w:bottom w:val="single" w:sz="4" w:space="0" w:color="000000"/>
              <w:right w:val="single" w:sz="9" w:space="0" w:color="D2D2D2"/>
            </w:tcBorders>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6"/>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6"/>
              <w:ind w:left="132"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w w:val="95"/>
                <w:sz w:val="18"/>
              </w:rPr>
              <w:t>11,375.2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w w:val="95"/>
                <w:sz w:val="18"/>
              </w:rPr>
              <w:t>11,375.2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w w:val="95"/>
                <w:sz w:val="18"/>
              </w:rPr>
              <w:t>11,375.2</w:t>
            </w:r>
          </w:p>
        </w:tc>
        <w:tc>
          <w:tcPr>
            <w:tcW w:w="77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100.00%</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11,375.2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11,375.2</w:t>
            </w:r>
          </w:p>
        </w:tc>
        <w:tc>
          <w:tcPr>
            <w:tcW w:w="78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11,375.2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13" w:space="0" w:color="D2D2D2"/>
              <w:bottom w:val="single" w:sz="4" w:space="0" w:color="000000"/>
              <w:right w:val="single" w:sz="9" w:space="0" w:color="D2D2D2"/>
            </w:tcBorders>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50,285.2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50,285.2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1,067.24</w:t>
            </w:r>
          </w:p>
        </w:tc>
        <w:tc>
          <w:tcPr>
            <w:tcW w:w="78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35,822.92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73"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1"/>
            <w:vMerge w:val="restart"/>
            <w:tcBorders>
              <w:top w:val="single" w:sz="4" w:space="0" w:color="000000"/>
              <w:left w:val="single" w:sz="9" w:space="0" w:color="D2D2D2"/>
              <w:right w:val="single" w:sz="4" w:space="0" w:color="000000"/>
            </w:tcBorders>
          </w:tcPr>
          <w:p>
            <w:pPr>
              <w:pStyle w:val="TableParagraph"/>
              <w:spacing w:line="300" w:lineRule="auto" w:before="51"/>
              <w:ind w:left="16"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万吨高性能铜及铜合金杆材项目”自投产以来，因受经济疲软、市场低迷等因素的影 响，仅进行了少量调试，未达到预期效益。</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万吨节能环保型特种漆包线项目”因新产品 </w:t>
            </w:r>
            <w:r>
              <w:rPr>
                <w:rFonts w:ascii="宋体" w:hAnsi="宋体" w:cs="宋体" w:eastAsia="宋体" w:hint="default"/>
                <w:spacing w:val="-7"/>
                <w:sz w:val="18"/>
                <w:szCs w:val="18"/>
              </w:rPr>
              <w:t>试制、市场开发及部分配套设备交货期延长等因素影响，仅进行了少量生产，未达到预期效益。</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“年</w:t>
            </w:r>
            <w:r>
              <w:rPr>
                <w:rFonts w:ascii="宋体" w:hAnsi="宋体" w:cs="宋体" w:eastAsia="宋体" w:hint="default"/>
                <w:spacing w:val="-76"/>
                <w:sz w:val="18"/>
                <w:szCs w:val="18"/>
              </w:rPr>
              <w:t> </w:t>
            </w:r>
            <w:r>
              <w:rPr>
                <w:rFonts w:ascii="宋体" w:hAnsi="宋体" w:cs="宋体" w:eastAsia="宋体" w:hint="default"/>
                <w:sz w:val="18"/>
                <w:szCs w:val="18"/>
              </w:rPr>
              <w:t>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吨热交换器用高效节能高翘片铜管建设项目”由控股子公司浙江宏天铜业有限公司负责实</w:t>
            </w:r>
          </w:p>
          <w:p>
            <w:pPr>
              <w:pStyle w:val="TableParagraph"/>
              <w:spacing w:line="240" w:lineRule="auto" w:before="13"/>
              <w:ind w:left="16" w:right="0"/>
              <w:jc w:val="both"/>
              <w:rPr>
                <w:rFonts w:ascii="宋体" w:hAnsi="宋体" w:cs="宋体" w:eastAsia="宋体" w:hint="default"/>
                <w:sz w:val="18"/>
                <w:szCs w:val="18"/>
              </w:rPr>
            </w:pPr>
            <w:r>
              <w:rPr>
                <w:rFonts w:ascii="宋体" w:hAnsi="宋体" w:cs="宋体" w:eastAsia="宋体" w:hint="default"/>
                <w:sz w:val="18"/>
                <w:szCs w:val="18"/>
              </w:rPr>
              <w:t>施，因浙江宏天铜业有限公司土地厂房被政府征收</w:t>
            </w:r>
            <w:r>
              <w:rPr>
                <w:rFonts w:ascii="宋体" w:hAnsi="宋体" w:cs="宋体" w:eastAsia="宋体" w:hint="default"/>
                <w:spacing w:val="-90"/>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吨热</w:t>
            </w:r>
            <w:r>
              <w:rPr>
                <w:rFonts w:ascii="宋体" w:hAnsi="宋体" w:cs="宋体" w:eastAsia="宋体" w:hint="default"/>
                <w:spacing w:val="1"/>
                <w:sz w:val="18"/>
                <w:szCs w:val="18"/>
              </w:rPr>
              <w:t>交</w:t>
            </w:r>
            <w:r>
              <w:rPr>
                <w:rFonts w:ascii="宋体" w:hAnsi="宋体" w:cs="宋体" w:eastAsia="宋体" w:hint="default"/>
                <w:sz w:val="18"/>
                <w:szCs w:val="18"/>
              </w:rPr>
              <w:t>换器用高效节能高翘片铜管</w:t>
            </w:r>
          </w:p>
          <w:p>
            <w:pPr>
              <w:pStyle w:val="TableParagraph"/>
              <w:spacing w:line="240" w:lineRule="auto" w:before="64"/>
              <w:ind w:left="16" w:right="0"/>
              <w:jc w:val="both"/>
              <w:rPr>
                <w:rFonts w:ascii="宋体" w:hAnsi="宋体" w:cs="宋体" w:eastAsia="宋体" w:hint="default"/>
                <w:sz w:val="18"/>
                <w:szCs w:val="18"/>
              </w:rPr>
            </w:pPr>
            <w:r>
              <w:rPr>
                <w:rFonts w:ascii="宋体" w:hAnsi="宋体" w:cs="宋体" w:eastAsia="宋体" w:hint="default"/>
                <w:sz w:val="18"/>
                <w:szCs w:val="18"/>
              </w:rPr>
              <w:t>建设项目”建设进度未达到计划进度，项目达到预定可使用状态日期变更为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17"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1"/>
            <w:vMerge/>
            <w:tcBorders>
              <w:left w:val="single" w:sz="9" w:space="0" w:color="D2D2D2"/>
              <w:right w:val="single" w:sz="4" w:space="0" w:color="000000"/>
            </w:tcBorders>
          </w:tcPr>
          <w:p>
            <w:pPr/>
          </w:p>
        </w:tc>
      </w:tr>
      <w:tr>
        <w:trPr>
          <w:trHeight w:val="473"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1"/>
            <w:vMerge/>
            <w:tcBorders>
              <w:left w:val="single" w:sz="9" w:space="0" w:color="D2D2D2"/>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4"/>
        <w:gridCol w:w="7804"/>
      </w:tblGrid>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日召开第二届董事第六次会议，决定使用超募资金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113,752,010.00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元永久性补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充公司流动资金。已于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日将该笔超募资金划出相应的募集资金专项账户。</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14"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控股子公司浙江宏天铜业有限公司因城镇规划需要搬迁，由该子公司负责的年产</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吨高效节能高</w:t>
            </w:r>
            <w:r>
              <w:rPr>
                <w:rFonts w:ascii="宋体" w:hAnsi="宋体" w:cs="宋体" w:eastAsia="宋体" w:hint="default"/>
                <w:spacing w:val="-87"/>
                <w:sz w:val="18"/>
                <w:szCs w:val="18"/>
              </w:rPr>
              <w:t> </w:t>
            </w:r>
            <w:r>
              <w:rPr>
                <w:rFonts w:ascii="宋体" w:hAnsi="宋体" w:cs="宋体" w:eastAsia="宋体" w:hint="default"/>
                <w:sz w:val="18"/>
                <w:szCs w:val="18"/>
              </w:rPr>
              <w:t>翅片铜管项目拟变更在新的生产基地实施。</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日召开第二届董事第六次会议，审议通过了《关于用募集资金置换先期投入的</w:t>
            </w:r>
          </w:p>
          <w:p>
            <w:pPr>
              <w:pStyle w:val="TableParagraph"/>
              <w:spacing w:line="302" w:lineRule="auto" w:before="63"/>
              <w:ind w:left="22" w:right="82"/>
              <w:jc w:val="left"/>
              <w:rPr>
                <w:rFonts w:ascii="宋体" w:hAnsi="宋体" w:cs="宋体" w:eastAsia="宋体" w:hint="default"/>
                <w:sz w:val="18"/>
                <w:szCs w:val="18"/>
              </w:rPr>
            </w:pPr>
            <w:r>
              <w:rPr>
                <w:rFonts w:ascii="宋体" w:hAnsi="宋体" w:cs="宋体" w:eastAsia="宋体" w:hint="default"/>
                <w:spacing w:val="-5"/>
                <w:sz w:val="18"/>
                <w:szCs w:val="18"/>
              </w:rPr>
              <w:t>议案》，公司用募集资金置换先期投入自筹资金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11,369.24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日将该笔自筹资 金划出相应的募集资金专项账户。</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2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日公司第二届董事会第十一次会议、</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时股东大会决议，公司使用闲置募集资金</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万元暂时补充流动资金，使用具体期限自股东大会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决议通过之日起不超过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归还至公司相应的募集资金专项账户。</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召</w:t>
            </w:r>
            <w:r>
              <w:rPr>
                <w:rFonts w:ascii="宋体" w:hAnsi="宋体" w:cs="宋体" w:eastAsia="宋体" w:hint="default"/>
                <w:sz w:val="18"/>
                <w:szCs w:val="18"/>
              </w:rPr>
              <w:t>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第</w:t>
            </w:r>
            <w:r>
              <w:rPr>
                <w:rFonts w:ascii="宋体" w:hAnsi="宋体" w:cs="宋体" w:eastAsia="宋体" w:hint="default"/>
                <w:sz w:val="18"/>
                <w:szCs w:val="18"/>
              </w:rPr>
              <w:t>一次临时股东大会决议</w:t>
            </w:r>
            <w:r>
              <w:rPr>
                <w:rFonts w:ascii="宋体" w:hAnsi="宋体" w:cs="宋体" w:eastAsia="宋体" w:hint="default"/>
                <w:spacing w:val="-82"/>
                <w:sz w:val="18"/>
                <w:szCs w:val="18"/>
              </w:rPr>
              <w:t>，</w:t>
            </w:r>
            <w:r>
              <w:rPr>
                <w:rFonts w:ascii="宋体" w:hAnsi="宋体" w:cs="宋体" w:eastAsia="宋体" w:hint="default"/>
                <w:sz w:val="18"/>
                <w:szCs w:val="18"/>
              </w:rPr>
              <w:t>公司使用闲置募集资金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万元暂时补充流动资金，使用具体期限自股东大会审议通过之日起不超过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个月。公司已于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日归还至公司相应的募集资金专项账户。根据公司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第二次临时股东大会决议，公司使用闲置募集资金</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14,000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万元暂时补充流动资金，使用具体期限为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自股东大会审议通过之日起不超过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r>
              <w:rPr>
                <w:rFonts w:ascii="宋体" w:hAnsi="宋体" w:cs="宋体" w:eastAsia="宋体" w:hint="default"/>
                <w:spacing w:val="-82"/>
                <w:sz w:val="18"/>
                <w:szCs w:val="18"/>
              </w:rPr>
              <w:t>。</w:t>
            </w:r>
            <w:r>
              <w:rPr>
                <w:rFonts w:ascii="宋体" w:hAnsi="宋体" w:cs="宋体" w:eastAsia="宋体" w:hint="default"/>
                <w:sz w:val="18"/>
                <w:szCs w:val="18"/>
              </w:rPr>
              <w:t>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日归还至公司相应的募集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资金专项账户。根据公司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年第三次临时股东大会决议，公司继续使</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14,000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万元暂时补充流动资金，使用具体期限为自股东大会审议通过之日起不超过</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日，实际使用补充流动资金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13,320 </w:t>
            </w:r>
            <w:r>
              <w:rPr>
                <w:rFonts w:ascii="宋体" w:hAnsi="宋体" w:cs="宋体" w:eastAsia="宋体" w:hint="default"/>
                <w:sz w:val="18"/>
                <w:szCs w:val="18"/>
              </w:rPr>
              <w:t>万元。</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万吨高性能铜及铜合金杆材项目”实施出现结余金额约为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万元，主要原因系主体设 备生产线从德国引进，由于汇率的变化降低了设备购置款和项目建设实行精细化的管理减少了部分 </w:t>
            </w:r>
            <w:r>
              <w:rPr>
                <w:rFonts w:ascii="宋体" w:hAnsi="宋体" w:cs="宋体" w:eastAsia="宋体" w:hint="default"/>
                <w:spacing w:val="-20"/>
                <w:sz w:val="18"/>
                <w:szCs w:val="18"/>
              </w:rPr>
              <w:t>费用。“年产</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万吨节能环保型特种漆包线项目”已到货尚未支付设备款项约</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万元；因项目未全</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面投产，生产期预计的固定资产投入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万元和铺底流动资金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 </w:t>
            </w:r>
            <w:r>
              <w:rPr>
                <w:rFonts w:ascii="宋体" w:hAnsi="宋体" w:cs="宋体" w:eastAsia="宋体" w:hint="default"/>
                <w:sz w:val="18"/>
                <w:szCs w:val="18"/>
              </w:rPr>
              <w:t>万元均尚未投入。</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日，除用于暂时补充流动资金的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万元外，尚未使用的募集资金均存在 银行账户。</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募集资金变更项目情况" w:id="46"/>
      <w:bookmarkEnd w:id="46"/>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公司报告期不存在募集资金变更项目情况。</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4、主要子公司、参股公司分析" w:id="47"/>
      <w:bookmarkEnd w:id="47"/>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pict>
          <v:group style="position:absolute;margin-left:248.5pt;margin-top:76.001724pt;width:46.2pt;height:36.4pt;mso-position-horizontal-relative:page;mso-position-vertical-relative:paragraph;z-index:-855424" coordorigin="4970,1520" coordsize="924,728">
            <v:group style="position:absolute;left:4981;top:1531;width:2;height:705" coordorigin="4981,1531" coordsize="2,705">
              <v:shape style="position:absolute;left:4981;top:1531;width:2;height:705" coordorigin="4981,1531" coordsize="0,705" path="m4981,1531l4981,2236e" filled="false" stroked="true" strokeweight="1.140pt" strokecolor="#ffffff">
                <v:path arrowok="t"/>
              </v:shape>
            </v:group>
            <v:group style="position:absolute;left:4993;top:1531;width:902;height:353" coordorigin="4993,1531" coordsize="902,353">
              <v:shape style="position:absolute;left:4993;top:1531;width:902;height:353" coordorigin="4993,1531" coordsize="902,353" path="m4993,1884l5894,1884,5894,1531,4993,1531,4993,1884xe" filled="true" fillcolor="#ffffff" stroked="false">
                <v:path arrowok="t"/>
                <v:fill type="solid"/>
              </v:shape>
            </v:group>
            <v:group style="position:absolute;left:4993;top:1884;width:902;height:352" coordorigin="4993,1884" coordsize="902,352">
              <v:shape style="position:absolute;left:4993;top:1884;width:902;height:352" coordorigin="4993,1884" coordsize="902,352" path="m4993,2236l5894,2236,5894,1884,4993,1884,4993,2236xe" filled="true" fillcolor="#ffffff" stroked="false">
                <v:path arrowok="t"/>
                <v:fill type="solid"/>
              </v:shape>
            </v:group>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15" w:space="66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5"/>
              <w:jc w:val="left"/>
              <w:rPr>
                <w:rFonts w:ascii="宋体" w:hAnsi="宋体" w:cs="宋体" w:eastAsia="宋体" w:hint="default"/>
                <w:sz w:val="18"/>
                <w:szCs w:val="18"/>
              </w:rPr>
            </w:pPr>
            <w:r>
              <w:rPr>
                <w:rFonts w:ascii="宋体" w:hAnsi="宋体" w:cs="宋体" w:eastAsia="宋体" w:hint="default"/>
                <w:sz w:val="18"/>
                <w:szCs w:val="18"/>
              </w:rPr>
              <w:t>浙江宏天铜 业有限公司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生产、销售 高齿翅片铜 </w:t>
            </w:r>
            <w:r>
              <w:rPr>
                <w:rFonts w:ascii="宋体" w:hAnsi="宋体" w:cs="宋体" w:eastAsia="宋体" w:hint="default"/>
                <w:spacing w:val="-18"/>
                <w:sz w:val="18"/>
                <w:szCs w:val="18"/>
              </w:rPr>
              <w:t>管、铜管材</w:t>
            </w:r>
            <w:r>
              <w:rPr>
                <w:rFonts w:ascii="宋体" w:hAnsi="宋体" w:cs="宋体" w:eastAsia="宋体" w:hint="default"/>
                <w:sz w:val="18"/>
                <w:szCs w:val="18"/>
              </w:rPr>
              <w:t> 铜线、漆包 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162" w:lineRule="exact"/>
              <w:ind w:left="22" w:right="0"/>
              <w:jc w:val="left"/>
              <w:rPr>
                <w:rFonts w:ascii="Times New Roman" w:hAnsi="Times New Roman" w:cs="Times New Roman" w:eastAsia="Times New Roman" w:hint="default"/>
                <w:sz w:val="18"/>
                <w:szCs w:val="18"/>
              </w:rPr>
            </w:pPr>
            <w:r>
              <w:rPr>
                <w:rFonts w:ascii="Times New Roman"/>
                <w:sz w:val="18"/>
              </w:rPr>
              <w:t>USD</w:t>
            </w:r>
          </w:p>
          <w:p>
            <w:pPr>
              <w:pStyle w:val="TableParagraph"/>
              <w:spacing w:line="171"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2" w:right="0"/>
              <w:jc w:val="left"/>
              <w:rPr>
                <w:rFonts w:ascii="Times New Roman" w:hAnsi="Times New Roman" w:cs="Times New Roman" w:eastAsia="Times New Roman" w:hint="default"/>
                <w:sz w:val="18"/>
                <w:szCs w:val="18"/>
              </w:rPr>
            </w:pPr>
            <w:r>
              <w:rPr>
                <w:rFonts w:ascii="Times New Roman"/>
                <w:sz w:val="18"/>
              </w:rPr>
              <w:t>40,930,400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763,358,910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410,020,071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558,821,187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-45,855,808</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-35,838,085</w:t>
            </w:r>
            <w:r>
              <w:rPr>
                <w:rFonts w:ascii="Times New Roman"/>
                <w:sz w:val="18"/>
              </w:rPr>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.26</w:t>
            </w: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7"/>
              <w:jc w:val="left"/>
              <w:rPr>
                <w:rFonts w:ascii="宋体" w:hAnsi="宋体" w:cs="宋体" w:eastAsia="宋体" w:hint="default"/>
                <w:sz w:val="18"/>
                <w:szCs w:val="18"/>
              </w:rPr>
            </w:pPr>
            <w:r>
              <w:rPr>
                <w:rFonts w:ascii="宋体" w:hAnsi="宋体" w:cs="宋体" w:eastAsia="宋体" w:hint="default"/>
                <w:sz w:val="18"/>
                <w:szCs w:val="18"/>
              </w:rPr>
              <w:t>江西宏磊铜 业有限公司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生产、销售 漆包线、铜 线、铜棒、 铜配件、铜 工艺品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11"/>
              <w:jc w:val="right"/>
              <w:rPr>
                <w:rFonts w:ascii="Times New Roman" w:hAnsi="Times New Roman" w:cs="Times New Roman" w:eastAsia="Times New Roman" w:hint="default"/>
                <w:sz w:val="18"/>
                <w:szCs w:val="18"/>
              </w:rPr>
            </w:pPr>
            <w:r>
              <w:rPr>
                <w:rFonts w:ascii="Times New Roman"/>
                <w:sz w:val="18"/>
              </w:rPr>
              <w:t>51,180,000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121,949,862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25,591,144.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86,543,427.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-18,077,854</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-18,403,093</w:t>
            </w:r>
            <w:r>
              <w:rPr>
                <w:rFonts w:ascii="Times New Roman"/>
                <w:sz w:val="18"/>
              </w:rPr>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w:t>
      </w:r>
    </w:p>
    <w:p>
      <w:pPr>
        <w:spacing w:line="240" w:lineRule="auto" w:before="7"/>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240"/>
        <w:gridCol w:w="1241"/>
        <w:gridCol w:w="1860"/>
        <w:gridCol w:w="1920"/>
        <w:gridCol w:w="1080"/>
        <w:gridCol w:w="2140"/>
      </w:tblGrid>
      <w:tr>
        <w:trPr>
          <w:trHeight w:val="340" w:hRule="exact"/>
        </w:trPr>
        <w:tc>
          <w:tcPr>
            <w:tcW w:w="1240" w:type="dxa"/>
            <w:tcBorders>
              <w:top w:val="nil" w:sz="6" w:space="0" w:color="auto"/>
              <w:left w:val="single" w:sz="6" w:space="0" w:color="000000"/>
              <w:bottom w:val="single" w:sz="6" w:space="0" w:color="000000"/>
              <w:right w:val="single" w:sz="6" w:space="0" w:color="000000"/>
            </w:tcBorders>
          </w:tcPr>
          <w:p>
            <w:pPr/>
          </w:p>
        </w:tc>
        <w:tc>
          <w:tcPr>
            <w:tcW w:w="1241"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
              <w:ind w:left="6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p>
        </w:tc>
        <w:tc>
          <w:tcPr>
            <w:tcW w:w="192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
              <w:ind w:left="65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p>
        </w:tc>
        <w:tc>
          <w:tcPr>
            <w:tcW w:w="108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
              <w:ind w:left="132" w:right="0"/>
              <w:jc w:val="left"/>
              <w:rPr>
                <w:rFonts w:ascii="宋体" w:hAnsi="宋体" w:cs="宋体" w:eastAsia="宋体" w:hint="default"/>
                <w:sz w:val="20"/>
                <w:szCs w:val="20"/>
              </w:rPr>
            </w:pPr>
            <w:r>
              <w:rPr>
                <w:rFonts w:ascii="宋体" w:hAnsi="宋体" w:cs="宋体" w:eastAsia="宋体" w:hint="default"/>
                <w:sz w:val="20"/>
                <w:szCs w:val="20"/>
              </w:rPr>
              <w:t>同比增减</w:t>
            </w:r>
          </w:p>
        </w:tc>
        <w:tc>
          <w:tcPr>
            <w:tcW w:w="2140" w:type="dxa"/>
            <w:tcBorders>
              <w:top w:val="nil" w:sz="6" w:space="0" w:color="auto"/>
              <w:left w:val="single" w:sz="6" w:space="0" w:color="000000"/>
              <w:bottom w:val="single" w:sz="6" w:space="0" w:color="000000"/>
              <w:right w:val="single" w:sz="6" w:space="0" w:color="000000"/>
            </w:tcBorders>
          </w:tcPr>
          <w:p>
            <w:pPr/>
          </w:p>
        </w:tc>
      </w:tr>
      <w:tr>
        <w:trPr>
          <w:trHeight w:val="337" w:hRule="exact"/>
        </w:trPr>
        <w:tc>
          <w:tcPr>
            <w:tcW w:w="1240" w:type="dxa"/>
            <w:vMerge w:val="restart"/>
            <w:tcBorders>
              <w:top w:val="single" w:sz="6" w:space="0" w:color="000000"/>
              <w:left w:val="single" w:sz="6" w:space="0" w:color="000000"/>
              <w:right w:val="single" w:sz="6" w:space="0" w:color="000000"/>
            </w:tcBorders>
          </w:tcPr>
          <w:p>
            <w:pPr>
              <w:pStyle w:val="TableParagraph"/>
              <w:spacing w:line="285" w:lineRule="auto"/>
              <w:ind w:left="212" w:right="10" w:hanging="201"/>
              <w:jc w:val="left"/>
              <w:rPr>
                <w:rFonts w:ascii="宋体" w:hAnsi="宋体" w:cs="宋体" w:eastAsia="宋体" w:hint="default"/>
                <w:sz w:val="20"/>
                <w:szCs w:val="20"/>
              </w:rPr>
            </w:pPr>
            <w:r>
              <w:rPr>
                <w:rFonts w:ascii="宋体" w:hAnsi="宋体" w:cs="宋体" w:eastAsia="宋体" w:hint="default"/>
                <w:sz w:val="20"/>
                <w:szCs w:val="20"/>
              </w:rPr>
              <w:t>浙江宏天铜业</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营业利润</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625" w:right="0"/>
              <w:jc w:val="left"/>
              <w:rPr>
                <w:rFonts w:ascii="Times New Roman" w:hAnsi="Times New Roman" w:cs="Times New Roman" w:eastAsia="Times New Roman" w:hint="default"/>
                <w:sz w:val="20"/>
                <w:szCs w:val="20"/>
              </w:rPr>
            </w:pPr>
            <w:r>
              <w:rPr>
                <w:rFonts w:ascii="Times New Roman"/>
                <w:sz w:val="20"/>
              </w:rPr>
              <w:t>-45,855,808.10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685" w:right="0"/>
              <w:jc w:val="left"/>
              <w:rPr>
                <w:rFonts w:ascii="Times New Roman" w:hAnsi="Times New Roman" w:cs="Times New Roman" w:eastAsia="Times New Roman" w:hint="default"/>
                <w:sz w:val="20"/>
                <w:szCs w:val="20"/>
              </w:rPr>
            </w:pPr>
            <w:r>
              <w:rPr>
                <w:rFonts w:ascii="Times New Roman"/>
                <w:sz w:val="20"/>
              </w:rPr>
              <w:t>-91,663,483.97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z w:val="20"/>
              </w:rPr>
              <w:t>49.97%</w:t>
            </w:r>
          </w:p>
        </w:tc>
        <w:tc>
          <w:tcPr>
            <w:tcW w:w="2140" w:type="dxa"/>
            <w:vMerge w:val="restart"/>
            <w:tcBorders>
              <w:top w:val="single" w:sz="6" w:space="0" w:color="000000"/>
              <w:left w:val="single" w:sz="6" w:space="0" w:color="000000"/>
              <w:right w:val="single" w:sz="6" w:space="0" w:color="000000"/>
            </w:tcBorders>
          </w:tcPr>
          <w:p>
            <w:pPr>
              <w:pStyle w:val="TableParagraph"/>
              <w:spacing w:line="285" w:lineRule="auto"/>
              <w:ind w:left="2" w:right="119"/>
              <w:jc w:val="both"/>
              <w:rPr>
                <w:rFonts w:ascii="宋体" w:hAnsi="宋体" w:cs="宋体" w:eastAsia="宋体" w:hint="default"/>
                <w:sz w:val="20"/>
                <w:szCs w:val="20"/>
              </w:rPr>
            </w:pPr>
            <w:r>
              <w:rPr>
                <w:rFonts w:ascii="宋体" w:hAnsi="宋体" w:cs="宋体" w:eastAsia="宋体" w:hint="default"/>
                <w:sz w:val="20"/>
                <w:szCs w:val="20"/>
              </w:rPr>
              <w:t>主要系上期宏天铜业政</w:t>
            </w:r>
            <w:r>
              <w:rPr>
                <w:rFonts w:ascii="宋体" w:hAnsi="宋体" w:cs="宋体" w:eastAsia="宋体" w:hint="default"/>
                <w:w w:val="100"/>
                <w:sz w:val="20"/>
                <w:szCs w:val="20"/>
              </w:rPr>
              <w:t> </w:t>
            </w:r>
            <w:r>
              <w:rPr>
                <w:rFonts w:ascii="宋体" w:hAnsi="宋体" w:cs="宋体" w:eastAsia="宋体" w:hint="default"/>
                <w:sz w:val="20"/>
                <w:szCs w:val="20"/>
              </w:rPr>
              <w:t>府收储搬迁款确认营业</w:t>
            </w:r>
            <w:r>
              <w:rPr>
                <w:rFonts w:ascii="宋体" w:hAnsi="宋体" w:cs="宋体" w:eastAsia="宋体" w:hint="default"/>
                <w:w w:val="100"/>
                <w:sz w:val="20"/>
                <w:szCs w:val="20"/>
              </w:rPr>
              <w:t> </w:t>
            </w:r>
            <w:r>
              <w:rPr>
                <w:rFonts w:ascii="宋体" w:hAnsi="宋体" w:cs="宋体" w:eastAsia="宋体" w:hint="default"/>
                <w:sz w:val="20"/>
                <w:szCs w:val="20"/>
              </w:rPr>
              <w:t>外收入所致。</w:t>
            </w:r>
          </w:p>
        </w:tc>
      </w:tr>
      <w:tr>
        <w:trPr>
          <w:trHeight w:val="624" w:hRule="exact"/>
        </w:trPr>
        <w:tc>
          <w:tcPr>
            <w:tcW w:w="1240" w:type="dxa"/>
            <w:vMerge/>
            <w:tcBorders>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净利润</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625" w:right="0"/>
              <w:jc w:val="left"/>
              <w:rPr>
                <w:rFonts w:ascii="Times New Roman" w:hAnsi="Times New Roman" w:cs="Times New Roman" w:eastAsia="Times New Roman" w:hint="default"/>
                <w:sz w:val="20"/>
                <w:szCs w:val="20"/>
              </w:rPr>
            </w:pPr>
            <w:r>
              <w:rPr>
                <w:rFonts w:ascii="Times New Roman"/>
                <w:sz w:val="20"/>
              </w:rPr>
              <w:t>-35,838,085.26</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752" w:right="0"/>
              <w:jc w:val="left"/>
              <w:rPr>
                <w:rFonts w:ascii="Times New Roman" w:hAnsi="Times New Roman" w:cs="Times New Roman" w:eastAsia="Times New Roman" w:hint="default"/>
                <w:sz w:val="20"/>
                <w:szCs w:val="20"/>
              </w:rPr>
            </w:pPr>
            <w:r>
              <w:rPr>
                <w:rFonts w:ascii="Times New Roman"/>
                <w:sz w:val="20"/>
              </w:rPr>
              <w:t>95,753,831.63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-137.43%</w:t>
            </w:r>
          </w:p>
        </w:tc>
        <w:tc>
          <w:tcPr>
            <w:tcW w:w="2140" w:type="dxa"/>
            <w:vMerge/>
            <w:tcBorders>
              <w:left w:val="single" w:sz="6" w:space="0" w:color="000000"/>
              <w:bottom w:val="single" w:sz="6" w:space="0" w:color="000000"/>
              <w:right w:val="single" w:sz="6" w:space="0" w:color="000000"/>
            </w:tcBorders>
          </w:tcPr>
          <w:p>
            <w:pPr/>
          </w:p>
        </w:tc>
      </w:tr>
      <w:tr>
        <w:trPr>
          <w:trHeight w:val="649" w:hRule="exact"/>
        </w:trPr>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12" w:right="10" w:hanging="201"/>
              <w:jc w:val="left"/>
              <w:rPr>
                <w:rFonts w:ascii="宋体" w:hAnsi="宋体" w:cs="宋体" w:eastAsia="宋体" w:hint="default"/>
                <w:sz w:val="20"/>
                <w:szCs w:val="20"/>
              </w:rPr>
            </w:pPr>
            <w:r>
              <w:rPr>
                <w:rFonts w:ascii="宋体" w:hAnsi="宋体" w:cs="宋体" w:eastAsia="宋体" w:hint="default"/>
                <w:sz w:val="20"/>
                <w:szCs w:val="20"/>
              </w:rPr>
              <w:t>江西宏磊铜业</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营业利润</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625" w:right="0"/>
              <w:jc w:val="left"/>
              <w:rPr>
                <w:rFonts w:ascii="Times New Roman" w:hAnsi="Times New Roman" w:cs="Times New Roman" w:eastAsia="Times New Roman" w:hint="default"/>
                <w:sz w:val="20"/>
                <w:szCs w:val="20"/>
              </w:rPr>
            </w:pPr>
            <w:r>
              <w:rPr>
                <w:rFonts w:ascii="Times New Roman"/>
                <w:sz w:val="20"/>
              </w:rPr>
              <w:t>-18,077,854.84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685" w:right="0"/>
              <w:jc w:val="left"/>
              <w:rPr>
                <w:rFonts w:ascii="Times New Roman" w:hAnsi="Times New Roman" w:cs="Times New Roman" w:eastAsia="Times New Roman" w:hint="default"/>
                <w:sz w:val="20"/>
                <w:szCs w:val="20"/>
              </w:rPr>
            </w:pPr>
            <w:r>
              <w:rPr>
                <w:rFonts w:ascii="Times New Roman"/>
                <w:sz w:val="20"/>
              </w:rPr>
              <w:t>-12,213,093.44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-48.02%</w:t>
            </w:r>
          </w:p>
        </w:tc>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2" w:right="70"/>
              <w:jc w:val="left"/>
              <w:rPr>
                <w:rFonts w:ascii="宋体" w:hAnsi="宋体" w:cs="宋体" w:eastAsia="宋体" w:hint="default"/>
                <w:sz w:val="20"/>
                <w:szCs w:val="20"/>
              </w:rPr>
            </w:pPr>
            <w:r>
              <w:rPr>
                <w:rFonts w:ascii="宋体" w:hAnsi="宋体" w:cs="宋体" w:eastAsia="宋体" w:hint="default"/>
                <w:sz w:val="20"/>
                <w:szCs w:val="20"/>
              </w:rPr>
              <w:t>主要系销售业务量减少</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盈利能力下降所致。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非募集资金投资的重大项目情况" w:id="48"/>
      <w:bookmarkEnd w:id="48"/>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2"/>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项目收益情况</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宏天新厂区厂 房工程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312.81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1,803.83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90.20%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312.81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1,803.83</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left="153" w:right="0"/>
        <w:jc w:val="left"/>
        <w:rPr>
          <w:b w:val="0"/>
          <w:bCs w:val="0"/>
        </w:rPr>
      </w:pPr>
      <w:bookmarkStart w:name="七、公司控制的特殊目的主体情况" w:id="49"/>
      <w:bookmarkEnd w:id="49"/>
      <w:r>
        <w:rPr>
          <w:b w:val="0"/>
          <w:bCs w:val="0"/>
        </w:rPr>
      </w: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八、公司未来发展的展望" w:id="50"/>
      <w:bookmarkEnd w:id="50"/>
      <w:r>
        <w:rPr>
          <w:b w:val="0"/>
          <w:bCs w:val="0"/>
        </w:rPr>
      </w:r>
      <w:r>
        <w:rPr/>
        <w:t>八、公司未来发展的展望</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3" w:right="0"/>
        <w:jc w:val="left"/>
      </w:pPr>
      <w:r>
        <w:rPr/>
        <w:t>（一）公司所处行业的发展趋势</w:t>
      </w:r>
    </w:p>
    <w:p>
      <w:pPr>
        <w:pStyle w:val="BodyText"/>
        <w:spacing w:line="268" w:lineRule="auto" w:before="37"/>
        <w:ind w:right="0" w:firstLine="420"/>
        <w:jc w:val="left"/>
      </w:pPr>
      <w:r>
        <w:rPr>
          <w:rFonts w:ascii="Times New Roman" w:hAnsi="Times New Roman" w:cs="Times New Roman" w:eastAsia="Times New Roman" w:hint="default"/>
        </w:rPr>
        <w:t>1</w:t>
      </w:r>
      <w:r>
        <w:rPr/>
        <w:t>、漆包线行业：漆包线是广泛应用于电机、电子变压器、家电、通讯、电子信息、仪器仪表、电动 </w:t>
      </w:r>
      <w:r>
        <w:rPr>
          <w:spacing w:val="-1"/>
        </w:rPr>
        <w:t>工具、汽车等电子元器件行业和电子信息产品的配套基础原材料。电子器件的轻、小、薄化、高性能化和</w:t>
      </w:r>
      <w:r>
        <w:rPr>
          <w:spacing w:val="-83"/>
        </w:rPr>
        <w:t> </w:t>
      </w:r>
      <w:r>
        <w:rPr>
          <w:spacing w:val="-83"/>
        </w:rPr>
      </w:r>
      <w:r>
        <w:rPr>
          <w:spacing w:val="-1"/>
        </w:rPr>
        <w:t>高可靠性已成为今后电子元器件发展的必然趋势。新能源、新材料、电动汽车、节能设备、信息网络等一</w:t>
      </w:r>
      <w:r>
        <w:rPr>
          <w:spacing w:val="-83"/>
        </w:rPr>
        <w:t> </w:t>
      </w:r>
      <w:r>
        <w:rPr>
          <w:spacing w:val="-83"/>
        </w:rPr>
      </w:r>
      <w:r>
        <w:rPr>
          <w:spacing w:val="-1"/>
        </w:rPr>
        <w:t>批新兴产业群不断涌现，漆包线作为重要的配套元件，市场需求将进一步扩大，同时对产品性能提出了更</w:t>
      </w:r>
      <w:r>
        <w:rPr>
          <w:spacing w:val="-83"/>
        </w:rPr>
        <w:t> </w:t>
      </w:r>
      <w:r>
        <w:rPr>
          <w:spacing w:val="-83"/>
        </w:rPr>
      </w:r>
      <w:r>
        <w:rPr/>
        <w:t>高的要求，逐步向耐冷媒、耐电晕、耐高温、耐腐蚀、超细微、高张力、抗电磁干扰等高性能发展。</w:t>
      </w:r>
    </w:p>
    <w:p>
      <w:pPr>
        <w:pStyle w:val="BodyText"/>
        <w:spacing w:line="266" w:lineRule="auto" w:before="12"/>
        <w:ind w:right="0" w:firstLine="420"/>
        <w:jc w:val="left"/>
      </w:pPr>
      <w:r>
        <w:rPr>
          <w:rFonts w:ascii="Times New Roman" w:hAnsi="Times New Roman" w:cs="Times New Roman" w:eastAsia="Times New Roman" w:hint="default"/>
        </w:rPr>
        <w:t>2</w:t>
      </w:r>
      <w:r>
        <w:rPr/>
        <w:t>、铜管材行业：近年来，国内铜管材市场产能饱和，产品同质化、产能过剩等产业结构性矛盾开始 </w:t>
      </w:r>
      <w:r>
        <w:rPr>
          <w:spacing w:val="-1"/>
        </w:rPr>
        <w:t>显现出来，国际市场壁垒频出，产品出口受阻，国内市场竞争激烈。国家出台的《加快发展海水淡化产业</w:t>
      </w:r>
      <w:r>
        <w:rPr>
          <w:spacing w:val="-83"/>
        </w:rPr>
        <w:t> </w:t>
      </w:r>
      <w:r>
        <w:rPr>
          <w:spacing w:val="-83"/>
        </w:rPr>
      </w:r>
      <w:r>
        <w:rPr>
          <w:spacing w:val="-1"/>
        </w:rPr>
        <w:t>的意见》，将引导铜管材行业进一步加快转型升级，产品性能向高精度、耐腐蚀、高效节能方向发展，公</w:t>
      </w:r>
      <w:r>
        <w:rPr>
          <w:spacing w:val="-83"/>
        </w:rPr>
        <w:t> </w:t>
      </w:r>
      <w:r>
        <w:rPr>
          <w:spacing w:val="-83"/>
        </w:rPr>
      </w:r>
      <w:r>
        <w:rPr/>
        <w:t>司重点研发生产的热交换器用翅片铜管及铜合金管应用领域将逐步扩大。</w:t>
      </w:r>
    </w:p>
    <w:p>
      <w:pPr>
        <w:pStyle w:val="BodyText"/>
        <w:spacing w:line="273" w:lineRule="auto" w:before="14"/>
        <w:ind w:left="574" w:right="1092" w:hanging="105"/>
        <w:jc w:val="left"/>
      </w:pPr>
      <w:r>
        <w:rPr/>
        <w:t>（二）公司的发展战略 公司发展规划：全力推进募投项目建设，加快转型升级步伐，加大科技创新力度，增强核心竞争力，</w:t>
      </w:r>
    </w:p>
    <w:p>
      <w:pPr>
        <w:pStyle w:val="BodyText"/>
        <w:spacing w:line="240" w:lineRule="auto"/>
        <w:ind w:left="154" w:right="0"/>
        <w:jc w:val="left"/>
      </w:pPr>
      <w:r>
        <w:rPr/>
        <w:t>优化公司治理结构，提升内控管理水平，认真履行社会责任，着力提升企业价值和股东利益最大化。</w:t>
      </w:r>
    </w:p>
    <w:p>
      <w:pPr>
        <w:pStyle w:val="BodyText"/>
        <w:spacing w:line="240" w:lineRule="auto" w:before="37"/>
        <w:ind w:left="469" w:right="0"/>
        <w:jc w:val="left"/>
      </w:pPr>
      <w:r>
        <w:rPr/>
        <w:t>（三）</w:t>
      </w:r>
      <w:r>
        <w:rPr>
          <w:rFonts w:ascii="Times New Roman" w:hAnsi="Times New Roman" w:cs="Times New Roman" w:eastAsia="Times New Roman" w:hint="default"/>
        </w:rPr>
        <w:t>2015</w:t>
      </w:r>
      <w:r>
        <w:rPr/>
        <w:t>年度经营计划</w:t>
      </w:r>
    </w:p>
    <w:p>
      <w:pPr>
        <w:pStyle w:val="BodyText"/>
        <w:spacing w:line="256" w:lineRule="auto" w:before="21"/>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、推进项目建设，实现达产创效 以募投项目建设为载体，持续推动产业转型升级。认真做好《</w:t>
      </w:r>
      <w:r>
        <w:rPr>
          <w:rFonts w:ascii="Times New Roman" w:hAnsi="Times New Roman" w:cs="Times New Roman" w:eastAsia="Times New Roman" w:hint="default"/>
        </w:rPr>
        <w:t>15</w:t>
      </w:r>
      <w:r>
        <w:rPr/>
        <w:t>万吨连铸连轧铜杆项目》、《年产</w:t>
      </w:r>
      <w:r>
        <w:rPr>
          <w:rFonts w:ascii="Times New Roman" w:hAnsi="Times New Roman" w:cs="Times New Roman" w:eastAsia="Times New Roman" w:hint="default"/>
        </w:rPr>
        <w:t>3</w:t>
      </w:r>
    </w:p>
    <w:p>
      <w:pPr>
        <w:pStyle w:val="BodyText"/>
        <w:spacing w:line="273" w:lineRule="auto" w:before="5"/>
        <w:ind w:right="1133"/>
        <w:jc w:val="both"/>
      </w:pPr>
      <w:r>
        <w:rPr>
          <w:spacing w:val="-1"/>
        </w:rPr>
        <w:t>万吨节能环保型特种漆包线项目》的设备调试及技术工艺研究工作，提高生产产能，加强产品质量，努力</w:t>
      </w:r>
      <w:r>
        <w:rPr>
          <w:spacing w:val="-86"/>
        </w:rPr>
        <w:t> </w:t>
      </w:r>
      <w:r>
        <w:rPr>
          <w:spacing w:val="-86"/>
        </w:rPr>
      </w:r>
      <w:r>
        <w:rPr>
          <w:spacing w:val="-1"/>
        </w:rPr>
        <w:t>实现达产创效。按照公司的总体发展战略，着眼新业态、新技术，做好后备项目的培育工作，完成市场调</w:t>
      </w:r>
      <w:r>
        <w:rPr>
          <w:spacing w:val="-83"/>
        </w:rPr>
        <w:t> </w:t>
      </w:r>
      <w:r>
        <w:rPr>
          <w:spacing w:val="-83"/>
        </w:rPr>
      </w:r>
      <w:r>
        <w:rPr>
          <w:spacing w:val="-1"/>
        </w:rPr>
        <w:t>研、可行性研究工作，利用资本市场平台，积极配合推进筹划重大资产重组事项，实现多元化发展。根据</w:t>
      </w:r>
      <w:r>
        <w:rPr>
          <w:spacing w:val="-83"/>
        </w:rPr>
        <w:t> </w:t>
      </w:r>
      <w:r>
        <w:rPr>
          <w:spacing w:val="-83"/>
        </w:rPr>
      </w:r>
      <w:r>
        <w:rPr/>
        <w:t>市场行情，科学调整安排宏天铜业生产设备搬迁安装进度，适时恢复生产。</w:t>
      </w:r>
    </w:p>
    <w:p>
      <w:pPr>
        <w:pStyle w:val="BodyText"/>
        <w:spacing w:line="256" w:lineRule="auto"/>
        <w:ind w:left="573" w:right="0"/>
        <w:jc w:val="left"/>
      </w:pPr>
      <w:r>
        <w:rPr>
          <w:rFonts w:ascii="Times New Roman" w:hAnsi="Times New Roman" w:cs="Times New Roman" w:eastAsia="Times New Roman" w:hint="default"/>
        </w:rPr>
        <w:t>2</w:t>
      </w:r>
      <w:r>
        <w:rPr/>
        <w:t>、深化精细生产，提升内控水平 </w:t>
      </w:r>
      <w:r>
        <w:rPr>
          <w:spacing w:val="-1"/>
        </w:rPr>
        <w:t>深化开展精细化生产活动，健全目标考核机制，提升现场管理水平。加强质量体系实施的有效性和生</w:t>
      </w:r>
    </w:p>
    <w:p>
      <w:pPr>
        <w:pStyle w:val="BodyText"/>
        <w:spacing w:line="266" w:lineRule="auto" w:before="22"/>
        <w:ind w:right="1014"/>
        <w:jc w:val="left"/>
      </w:pPr>
      <w:r>
        <w:rPr/>
        <w:t>产过程管理，提高顾客满意度和产品实物质量。完善设备维护管理，提升装备性能，加快新设备安装调试 及投产的效率。通过开展节能降耗的技术改造项目，促进公司整体能耗水平继续下降，有效做好环境保护 </w:t>
      </w:r>
      <w:r>
        <w:rPr>
          <w:spacing w:val="-2"/>
        </w:rPr>
        <w:t>工作。进一步完善公司内控制度，充分发挥</w:t>
      </w:r>
      <w:r>
        <w:rPr>
          <w:rFonts w:ascii="Times New Roman" w:hAnsi="Times New Roman" w:cs="Times New Roman" w:eastAsia="Times New Roman" w:hint="default"/>
          <w:spacing w:val="-2"/>
        </w:rPr>
        <w:t>ERP</w:t>
      </w:r>
      <w:r>
        <w:rPr>
          <w:spacing w:val="-2"/>
        </w:rPr>
        <w:t>流程的开发能力，加快公司运营流程效率。强化对外担保、</w:t>
      </w:r>
      <w:r>
        <w:rPr>
          <w:spacing w:val="-101"/>
        </w:rPr>
        <w:t> </w:t>
      </w:r>
      <w:r>
        <w:rPr>
          <w:spacing w:val="-101"/>
        </w:rPr>
      </w:r>
      <w:r>
        <w:rPr/>
        <w:t>资金使用、关联交易等重要环节的管理，确保规范运作。</w:t>
      </w:r>
    </w:p>
    <w:p>
      <w:pPr>
        <w:pStyle w:val="BodyText"/>
        <w:spacing w:line="256" w:lineRule="auto" w:before="14"/>
        <w:ind w:left="574" w:right="0"/>
        <w:jc w:val="left"/>
      </w:pPr>
      <w:r>
        <w:rPr>
          <w:rFonts w:ascii="Times New Roman" w:hAnsi="Times New Roman" w:cs="Times New Roman" w:eastAsia="Times New Roman" w:hint="default"/>
        </w:rPr>
        <w:t>3</w:t>
      </w:r>
      <w:r>
        <w:rPr/>
        <w:t>、创新营销模式，拓展销售渠道 </w:t>
      </w:r>
      <w:r>
        <w:rPr>
          <w:spacing w:val="-1"/>
        </w:rPr>
        <w:t>根据公司实际情况，进一步创新营销模式，优化公司客户结构，着力培育一批具有行业地位、规模优</w:t>
      </w:r>
    </w:p>
    <w:p>
      <w:pPr>
        <w:pStyle w:val="BodyText"/>
        <w:spacing w:line="273" w:lineRule="auto" w:before="22"/>
        <w:ind w:left="154" w:right="1110"/>
        <w:jc w:val="both"/>
      </w:pPr>
      <w:r>
        <w:rPr/>
        <w:t>势和商誉知名度的优质客户，完善大市场营销网络。充分发挥全规格产品生产商的优势，加快资金周转， </w:t>
      </w:r>
      <w:r>
        <w:rPr>
          <w:spacing w:val="-1"/>
        </w:rPr>
        <w:t>精耕特种电机、高效电机、超大型变压器以及汽车电子及精密仪表等领域的市场销售，不断巩固中小型电</w:t>
      </w:r>
      <w:r>
        <w:rPr>
          <w:spacing w:val="-83"/>
        </w:rPr>
        <w:t> </w:t>
      </w:r>
      <w:r>
        <w:rPr>
          <w:spacing w:val="-83"/>
        </w:rPr>
      </w:r>
      <w:r>
        <w:rPr>
          <w:spacing w:val="-1"/>
        </w:rPr>
        <w:t>机、家用电器、变压器等传统领域客户群，配合募投项目的产能释放，加大对电线电缆市场开拓，进一步</w:t>
      </w:r>
      <w:r>
        <w:rPr>
          <w:spacing w:val="-83"/>
        </w:rPr>
        <w:t> </w:t>
      </w:r>
      <w:r>
        <w:rPr>
          <w:spacing w:val="-83"/>
        </w:rPr>
      </w:r>
      <w:r>
        <w:rPr/>
        <w:t>拓宽公司销售渠道。</w:t>
      </w:r>
    </w:p>
    <w:p>
      <w:pPr>
        <w:pStyle w:val="BodyText"/>
        <w:spacing w:line="273" w:lineRule="auto"/>
        <w:ind w:left="574" w:right="0"/>
        <w:jc w:val="left"/>
      </w:pPr>
      <w:r>
        <w:rPr/>
        <w:t>（四）资金需求与筹措 </w:t>
      </w:r>
      <w:r>
        <w:rPr>
          <w:spacing w:val="-1"/>
        </w:rPr>
        <w:t>随着募集资金项目陆续进入生产、试生产阶段，</w:t>
      </w:r>
      <w:r>
        <w:rPr>
          <w:rFonts w:ascii="Times New Roman" w:hAnsi="Times New Roman" w:cs="Times New Roman" w:eastAsia="Times New Roman" w:hint="default"/>
          <w:spacing w:val="-1"/>
        </w:rPr>
        <w:t>2015</w:t>
      </w:r>
      <w:r>
        <w:rPr>
          <w:spacing w:val="-1"/>
        </w:rPr>
        <w:t>年产品产能逐步释放，公司经营规模将进一步扩</w:t>
      </w:r>
    </w:p>
    <w:p>
      <w:pPr>
        <w:pStyle w:val="BodyText"/>
        <w:spacing w:line="266" w:lineRule="auto" w:before="0"/>
        <w:ind w:right="1024"/>
        <w:jc w:val="left"/>
      </w:pPr>
      <w:r>
        <w:rPr/>
        <w:t>张。为推动企业持续稳健经营，满足公司不断扩展的经营规模对流动资金需求，确保公司现金流充足，公 司及控股子公司</w:t>
      </w:r>
      <w:r>
        <w:rPr>
          <w:rFonts w:ascii="Times New Roman" w:hAnsi="Times New Roman" w:cs="Times New Roman" w:eastAsia="Times New Roman" w:hint="default"/>
        </w:rPr>
        <w:t>2015</w:t>
      </w:r>
      <w:r>
        <w:rPr/>
        <w:t>年度拟向银行等金融机构申请不超过</w:t>
      </w:r>
      <w:r>
        <w:rPr>
          <w:rFonts w:ascii="Times New Roman" w:hAnsi="Times New Roman" w:cs="Times New Roman" w:eastAsia="Times New Roman" w:hint="default"/>
        </w:rPr>
        <w:t>18</w:t>
      </w:r>
      <w:r>
        <w:rPr/>
        <w:t>亿元人民币的综合授信额度（按有效到位资金 </w:t>
      </w:r>
      <w:r>
        <w:rPr>
          <w:spacing w:val="-3"/>
        </w:rPr>
        <w:t>统计），授信种类包含但不限于各类贷款、保函、承兑汇票、信用证、进口押汇、进口代付、进出口保理、</w:t>
      </w:r>
      <w:r>
        <w:rPr>
          <w:spacing w:val="-94"/>
        </w:rPr>
        <w:t> </w:t>
      </w:r>
      <w:r>
        <w:rPr>
          <w:spacing w:val="-94"/>
        </w:rPr>
      </w:r>
      <w:r>
        <w:rPr/>
        <w:t>融资租赁等品种。在实际授信审批过程中，在上述申请授信的总额度内，各银行等金融机构之间的授信额</w:t>
      </w:r>
    </w:p>
    <w:p>
      <w:pPr>
        <w:spacing w:after="0" w:line="26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度可作适当调整。</w:t>
      </w:r>
    </w:p>
    <w:p>
      <w:pPr>
        <w:pStyle w:val="BodyText"/>
        <w:spacing w:line="240" w:lineRule="auto" w:before="37"/>
        <w:ind w:left="469" w:right="0"/>
        <w:jc w:val="left"/>
      </w:pPr>
      <w:r>
        <w:rPr/>
        <w:t>（五）主要风险因素及公司应对策略</w:t>
      </w:r>
    </w:p>
    <w:p>
      <w:pPr>
        <w:pStyle w:val="BodyText"/>
        <w:spacing w:line="256" w:lineRule="auto" w:before="37"/>
        <w:ind w:left="573" w:right="0"/>
        <w:jc w:val="left"/>
      </w:pPr>
      <w:r>
        <w:rPr>
          <w:rFonts w:ascii="Times New Roman" w:hAnsi="Times New Roman" w:cs="Times New Roman" w:eastAsia="Times New Roman" w:hint="default"/>
        </w:rPr>
        <w:t>1</w:t>
      </w:r>
      <w:r>
        <w:rPr/>
        <w:t>、原材料价格波动的风险 </w:t>
      </w:r>
      <w:r>
        <w:rPr>
          <w:spacing w:val="-1"/>
        </w:rPr>
        <w:t>本公司产品售价按照</w:t>
      </w:r>
      <w:r>
        <w:rPr>
          <w:rFonts w:ascii="Times New Roman" w:hAnsi="Times New Roman" w:cs="Times New Roman" w:eastAsia="Times New Roman" w:hint="default"/>
          <w:spacing w:val="-1"/>
        </w:rPr>
        <w:t>“</w:t>
      </w:r>
      <w:r>
        <w:rPr>
          <w:spacing w:val="-1"/>
        </w:rPr>
        <w:t>铜价</w:t>
      </w:r>
      <w:r>
        <w:rPr>
          <w:rFonts w:ascii="Times New Roman" w:hAnsi="Times New Roman" w:cs="Times New Roman" w:eastAsia="Times New Roman" w:hint="default"/>
          <w:spacing w:val="-1"/>
        </w:rPr>
        <w:t>+</w:t>
      </w:r>
      <w:r>
        <w:rPr>
          <w:spacing w:val="-1"/>
        </w:rPr>
        <w:t>加工费</w:t>
      </w:r>
      <w:r>
        <w:rPr>
          <w:rFonts w:ascii="Times New Roman" w:hAnsi="Times New Roman" w:cs="Times New Roman" w:eastAsia="Times New Roman" w:hint="default"/>
          <w:spacing w:val="-1"/>
        </w:rPr>
        <w:t>”</w:t>
      </w:r>
      <w:r>
        <w:rPr>
          <w:spacing w:val="-1"/>
        </w:rPr>
        <w:t>的原则确定，利润来源于相对稳定的加工费，从定价模式上来看，</w:t>
      </w:r>
    </w:p>
    <w:p>
      <w:pPr>
        <w:pStyle w:val="BodyText"/>
        <w:spacing w:line="273" w:lineRule="auto" w:before="5"/>
        <w:ind w:left="154" w:right="0"/>
        <w:jc w:val="left"/>
      </w:pPr>
      <w:r>
        <w:rPr>
          <w:spacing w:val="-1"/>
        </w:rPr>
        <w:t>公司可将铜价波动的风险转移给下游客户，但若铜材价格发生持续大幅波动，仍可能对公司经营业绩的稳</w:t>
      </w:r>
      <w:r>
        <w:rPr>
          <w:spacing w:val="-81"/>
        </w:rPr>
        <w:t> </w:t>
      </w:r>
      <w:r>
        <w:rPr>
          <w:spacing w:val="-81"/>
        </w:rPr>
      </w:r>
      <w:r>
        <w:rPr/>
        <w:t>定性带来一定程度的影响。</w:t>
      </w:r>
    </w:p>
    <w:p>
      <w:pPr>
        <w:pStyle w:val="BodyText"/>
        <w:spacing w:line="256" w:lineRule="auto"/>
        <w:ind w:right="1130" w:firstLine="420"/>
        <w:jc w:val="both"/>
      </w:pPr>
      <w:r>
        <w:rPr/>
        <w:t>应对策略：为防范铜价波动对公司存货带来的跌价风险，公司逐步建立和完善了</w:t>
      </w:r>
      <w:r>
        <w:rPr>
          <w:rFonts w:ascii="Times New Roman" w:hAnsi="Times New Roman" w:cs="Times New Roman" w:eastAsia="Times New Roman" w:hint="default"/>
        </w:rPr>
        <w:t>“</w:t>
      </w:r>
      <w:r>
        <w:rPr/>
        <w:t>以现货管理为主、 套期保值为辅</w:t>
      </w:r>
      <w:r>
        <w:rPr>
          <w:rFonts w:ascii="Times New Roman" w:hAnsi="Times New Roman" w:cs="Times New Roman" w:eastAsia="Times New Roman" w:hint="default"/>
        </w:rPr>
        <w:t>”</w:t>
      </w:r>
      <w:r>
        <w:rPr/>
        <w:t>的存货风险控制机制，制定并严格执行《存货风险控制管理办法》、《期货套期保值业务</w:t>
      </w:r>
      <w:r>
        <w:rPr>
          <w:spacing w:val="-23"/>
        </w:rPr>
        <w:t> </w:t>
      </w:r>
      <w:r>
        <w:rPr>
          <w:spacing w:val="-23"/>
        </w:rPr>
      </w:r>
      <w:r>
        <w:rPr>
          <w:spacing w:val="-1"/>
        </w:rPr>
        <w:t>管理办法》、《期货套期保值业务操作实施细则》等内控制度。根据公司生产经营需要，</w:t>
      </w:r>
      <w:r>
        <w:rPr>
          <w:rFonts w:ascii="Times New Roman" w:hAnsi="Times New Roman" w:cs="Times New Roman" w:eastAsia="Times New Roman" w:hint="default"/>
          <w:spacing w:val="-1"/>
        </w:rPr>
        <w:t>2015</w:t>
      </w:r>
      <w:r>
        <w:rPr>
          <w:spacing w:val="-1"/>
        </w:rPr>
        <w:t>年度将继续</w:t>
      </w:r>
      <w:r>
        <w:rPr>
          <w:spacing w:val="-80"/>
        </w:rPr>
        <w:t> </w:t>
      </w:r>
      <w:r>
        <w:rPr/>
        <w:t>开展电解铜期货套期保值业务。</w:t>
      </w:r>
    </w:p>
    <w:p>
      <w:pPr>
        <w:pStyle w:val="BodyText"/>
        <w:spacing w:line="256" w:lineRule="auto" w:before="22"/>
        <w:ind w:left="574" w:right="0"/>
        <w:jc w:val="left"/>
      </w:pPr>
      <w:r>
        <w:rPr>
          <w:rFonts w:ascii="Times New Roman" w:hAnsi="Times New Roman" w:cs="Times New Roman" w:eastAsia="Times New Roman" w:hint="default"/>
        </w:rPr>
        <w:t>2</w:t>
      </w:r>
      <w:r>
        <w:rPr/>
        <w:t>、控股子公司宏天铜业搬迁的风险 </w:t>
      </w:r>
      <w:r>
        <w:rPr>
          <w:spacing w:val="-1"/>
        </w:rPr>
        <w:t>为提升城市形象，完善城市功能，诸暨市人民政府对公司控股子公司宏天铜业位于诸暨市大唐镇路西</w:t>
      </w:r>
    </w:p>
    <w:p>
      <w:pPr>
        <w:pStyle w:val="BodyText"/>
        <w:spacing w:line="273" w:lineRule="auto" w:before="22"/>
        <w:ind w:left="154" w:right="1014"/>
        <w:jc w:val="left"/>
      </w:pPr>
      <w:r>
        <w:rPr>
          <w:spacing w:val="-1"/>
        </w:rPr>
        <w:t>新村（原大唐镇庙山头村）的土地及厂房建筑物进行征收。宏天铜业的搬迁将对公司生产经营造成一定的</w:t>
      </w:r>
      <w:r>
        <w:rPr>
          <w:spacing w:val="-82"/>
        </w:rPr>
        <w:t> </w:t>
      </w:r>
      <w:r>
        <w:rPr>
          <w:spacing w:val="-82"/>
        </w:rPr>
      </w:r>
      <w:r>
        <w:rPr/>
        <w:t>影响。</w:t>
      </w:r>
    </w:p>
    <w:p>
      <w:pPr>
        <w:pStyle w:val="BodyText"/>
        <w:spacing w:line="273" w:lineRule="auto"/>
        <w:ind w:left="154" w:right="0" w:firstLine="420"/>
        <w:jc w:val="left"/>
      </w:pPr>
      <w:r>
        <w:rPr>
          <w:spacing w:val="-1"/>
        </w:rPr>
        <w:t>应对策略：公司将加快新的生产基地的建设，结合当前铜加工产业发展趋势，进行整体搬迁式技术改</w:t>
      </w:r>
      <w:r>
        <w:rPr/>
        <w:t> 造，促进产业转型升级。</w:t>
      </w:r>
    </w:p>
    <w:p>
      <w:pPr>
        <w:spacing w:line="311" w:lineRule="exact" w:before="0"/>
        <w:ind w:left="523" w:right="0" w:firstLine="0"/>
        <w:jc w:val="left"/>
        <w:rPr>
          <w:rFonts w:ascii="宋体" w:hAnsi="宋体" w:cs="宋体" w:eastAsia="宋体" w:hint="default"/>
          <w:sz w:val="23"/>
          <w:szCs w:val="23"/>
        </w:rPr>
      </w:pPr>
      <w:r>
        <w:rPr>
          <w:rFonts w:ascii="Times New Roman" w:hAnsi="Times New Roman" w:cs="Times New Roman" w:eastAsia="Times New Roman" w:hint="default"/>
          <w:sz w:val="23"/>
          <w:szCs w:val="23"/>
        </w:rPr>
        <w:t>3</w:t>
      </w:r>
      <w:r>
        <w:rPr>
          <w:rFonts w:ascii="宋体" w:hAnsi="宋体" w:cs="宋体" w:eastAsia="宋体" w:hint="default"/>
          <w:sz w:val="23"/>
          <w:szCs w:val="23"/>
        </w:rPr>
        <w:t>、筹划重大资产重组事项的风险</w:t>
      </w:r>
    </w:p>
    <w:p>
      <w:pPr>
        <w:pStyle w:val="BodyText"/>
        <w:spacing w:line="264" w:lineRule="auto" w:before="8"/>
        <w:ind w:left="154" w:right="1023" w:firstLine="420"/>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日召开第二届董事会第三十次会议审议通过了《公司发行股份及支付现金购买资 </w:t>
      </w:r>
      <w:r>
        <w:rPr>
          <w:spacing w:val="-3"/>
        </w:rPr>
        <w:t>产并募集配套资金》预案等重组事项相关的议案。但鉴于该重组事项仍存在交易终止、交易无法获得批准、</w:t>
      </w:r>
      <w:r>
        <w:rPr>
          <w:spacing w:val="-90"/>
        </w:rPr>
        <w:t> </w:t>
      </w:r>
      <w:r>
        <w:rPr>
          <w:spacing w:val="-90"/>
        </w:rPr>
      </w:r>
      <w:r>
        <w:rPr/>
        <w:t>交易可能进行调整等方面的风险。</w:t>
      </w:r>
    </w:p>
    <w:p>
      <w:pPr>
        <w:pStyle w:val="BodyText"/>
        <w:spacing w:line="273" w:lineRule="auto" w:before="16"/>
        <w:ind w:left="154" w:right="0" w:firstLine="420"/>
        <w:jc w:val="left"/>
      </w:pPr>
      <w:r>
        <w:rPr>
          <w:spacing w:val="-1"/>
        </w:rPr>
        <w:t>应对策略：公司在确保公司和广大中小投资者利益的前提下，与交易对手积极配合中介机构稳步推进</w:t>
      </w:r>
      <w:r>
        <w:rPr/>
        <w:t> 本次重组各项工作。</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0"/>
        <w:jc w:val="both"/>
        <w:rPr>
          <w:b w:val="0"/>
          <w:bCs w:val="0"/>
        </w:rPr>
      </w:pPr>
      <w:bookmarkStart w:name="九、董事会、监事会对会计师事务所本报告期“非标准审计报告”的说明" w:id="51"/>
      <w:bookmarkEnd w:id="51"/>
      <w:r>
        <w:rPr>
          <w:b w:val="0"/>
          <w:bCs w:val="0"/>
        </w:rPr>
      </w:r>
      <w:r>
        <w:rPr/>
        <w:t>九、董事会、监事会对会计师事务所本报告期“非标准审计报告”的说明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pStyle w:val="Heading3"/>
        <w:spacing w:line="312" w:lineRule="exact" w:before="96"/>
        <w:ind w:left="633" w:right="0"/>
        <w:jc w:val="left"/>
      </w:pPr>
      <w:r>
        <w:rPr/>
        <w:t>一、董事会关于</w:t>
      </w:r>
      <w:r>
        <w:rPr>
          <w:rFonts w:ascii="Times New Roman" w:hAnsi="Times New Roman" w:cs="Times New Roman" w:eastAsia="Times New Roman" w:hint="default"/>
        </w:rPr>
        <w:t>2014</w:t>
      </w:r>
      <w:r>
        <w:rPr/>
        <w:t>年度非标准无保留审计意见所涉及事项的专项说明 对中汇会计师事务所（特殊普通合伙人）出具的非标准无保留审计意见的审计报告，公</w:t>
      </w:r>
    </w:p>
    <w:p>
      <w:pPr>
        <w:pStyle w:val="Heading3"/>
        <w:spacing w:line="282" w:lineRule="exact"/>
        <w:ind w:right="0"/>
        <w:jc w:val="both"/>
      </w:pPr>
      <w:r>
        <w:rPr/>
        <w:t>司董事会予以理解和认可。</w:t>
      </w:r>
    </w:p>
    <w:p>
      <w:pPr>
        <w:pStyle w:val="Heading3"/>
        <w:spacing w:line="312" w:lineRule="exact"/>
        <w:ind w:left="634" w:right="0"/>
        <w:jc w:val="left"/>
      </w:pPr>
      <w:r>
        <w:rPr/>
        <w:t>（一）保留意见涉及事项的基本情况</w:t>
      </w:r>
    </w:p>
    <w:p>
      <w:pPr>
        <w:pStyle w:val="Heading3"/>
        <w:spacing w:line="312" w:lineRule="exact" w:before="29"/>
        <w:ind w:left="636" w:right="0"/>
        <w:jc w:val="left"/>
      </w:pPr>
      <w:r>
        <w:rPr>
          <w:rFonts w:ascii="Times New Roman" w:hAnsi="Times New Roman" w:cs="Times New Roman" w:eastAsia="Times New Roman" w:hint="default"/>
        </w:rPr>
        <w:t>1</w:t>
      </w:r>
      <w:r>
        <w:rPr/>
        <w:t>、基本情况 鉴于天健会计师事务所（特殊普通合伙）审计团队已经连续多年为公司提供审计服务，</w:t>
      </w:r>
    </w:p>
    <w:p>
      <w:pPr>
        <w:pStyle w:val="Heading3"/>
        <w:spacing w:line="312" w:lineRule="exact"/>
        <w:ind w:right="1130"/>
        <w:jc w:val="both"/>
      </w:pPr>
      <w:r>
        <w:rPr/>
        <w:t>为确保上市公司审计工作的独立性与客观性，并满足年报审计与本次筹划重大资产重组收购</w:t>
      </w:r>
      <w:r>
        <w:rPr>
          <w:spacing w:val="-111"/>
        </w:rPr>
        <w:t> </w:t>
      </w:r>
      <w:r>
        <w:rPr>
          <w:spacing w:val="-111"/>
        </w:rPr>
      </w:r>
      <w:r>
        <w:rPr>
          <w:spacing w:val="-5"/>
        </w:rPr>
        <w:t>计划时间安排等方面的要求，经公司董事会审计委员会审慎研究，提议中汇会计师事务所（特</w:t>
      </w:r>
      <w:r>
        <w:rPr>
          <w:spacing w:val="-118"/>
        </w:rPr>
        <w:t> </w:t>
      </w:r>
      <w:r>
        <w:rPr>
          <w:spacing w:val="-118"/>
        </w:rPr>
      </w:r>
      <w:r>
        <w:rPr>
          <w:spacing w:val="-6"/>
        </w:rPr>
        <w:t>殊普通合伙）（以下简称“中汇会计师事务所”）为公司</w:t>
      </w:r>
      <w:r>
        <w:rPr>
          <w:rFonts w:ascii="宋体" w:hAnsi="宋体" w:cs="宋体" w:eastAsia="宋体" w:hint="default"/>
          <w:spacing w:val="-6"/>
        </w:rPr>
        <w:t>2014</w:t>
      </w:r>
      <w:r>
        <w:rPr>
          <w:spacing w:val="-6"/>
        </w:rPr>
        <w:t>年度审计机构。中汇会计师事务</w:t>
      </w:r>
      <w:r>
        <w:rPr>
          <w:spacing w:val="-95"/>
        </w:rPr>
        <w:t> </w:t>
      </w:r>
      <w:r>
        <w:rPr/>
        <w:t>所于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月中旬接受公司</w:t>
      </w:r>
      <w:r>
        <w:rPr>
          <w:rFonts w:ascii="Times New Roman" w:hAnsi="Times New Roman" w:cs="Times New Roman" w:eastAsia="Times New Roman" w:hint="default"/>
        </w:rPr>
        <w:t>2014</w:t>
      </w:r>
      <w:r>
        <w:rPr/>
        <w:t>年度报告审计委托，公司于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日召开第二届三十</w:t>
      </w:r>
      <w:r>
        <w:rPr>
          <w:spacing w:val="-106"/>
        </w:rPr>
        <w:t> </w:t>
      </w:r>
      <w:r>
        <w:rPr>
          <w:spacing w:val="-106"/>
        </w:rPr>
      </w:r>
      <w:r>
        <w:rPr>
          <w:spacing w:val="-2"/>
        </w:rPr>
        <w:t>次董事会、于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10</w:t>
      </w:r>
      <w:r>
        <w:rPr>
          <w:spacing w:val="-2"/>
        </w:rPr>
        <w:t>日召开</w:t>
      </w:r>
      <w:r>
        <w:rPr>
          <w:rFonts w:ascii="Times New Roman" w:hAnsi="Times New Roman" w:cs="Times New Roman" w:eastAsia="Times New Roman" w:hint="default"/>
          <w:spacing w:val="-2"/>
        </w:rPr>
        <w:t>2015</w:t>
      </w:r>
      <w:r>
        <w:rPr>
          <w:spacing w:val="-2"/>
        </w:rPr>
        <w:t>年第一次临时股东大会审议通过《关于更换会计师事务</w:t>
      </w:r>
    </w:p>
    <w:p>
      <w:pPr>
        <w:pStyle w:val="Heading3"/>
        <w:spacing w:line="312" w:lineRule="exact"/>
        <w:ind w:left="636" w:right="0" w:hanging="483"/>
        <w:jc w:val="left"/>
        <w:rPr>
          <w:rFonts w:ascii="宋体" w:hAnsi="宋体" w:cs="宋体" w:eastAsia="宋体" w:hint="default"/>
        </w:rPr>
      </w:pPr>
      <w:r>
        <w:rPr/>
        <w:t>所的议案》，同意聘任中汇会计师事务所为公司</w:t>
      </w:r>
      <w:r>
        <w:rPr>
          <w:rFonts w:ascii="宋体" w:hAnsi="宋体" w:cs="宋体" w:eastAsia="宋体" w:hint="default"/>
        </w:rPr>
        <w:t>2014</w:t>
      </w:r>
      <w:r>
        <w:rPr/>
        <w:t>年度审计机构。 由于在</w:t>
      </w:r>
      <w:r>
        <w:rPr>
          <w:rFonts w:ascii="Times New Roman" w:hAnsi="Times New Roman" w:cs="Times New Roman" w:eastAsia="Times New Roman" w:hint="default"/>
        </w:rPr>
        <w:t>2014</w:t>
      </w:r>
      <w:r>
        <w:rPr/>
        <w:t>年年报审计期间变更会计师事务所，造成中汇会计师事务所未能对截至</w:t>
      </w:r>
      <w:r>
        <w:rPr>
          <w:rFonts w:ascii="宋体" w:hAnsi="宋体" w:cs="宋体" w:eastAsia="宋体" w:hint="default"/>
        </w:rPr>
        <w:t>2014</w:t>
      </w:r>
    </w:p>
    <w:p>
      <w:pPr>
        <w:pStyle w:val="Heading3"/>
        <w:spacing w:line="312" w:lineRule="exact"/>
        <w:ind w:right="0"/>
        <w:jc w:val="left"/>
      </w:pPr>
      <w:r>
        <w:rPr>
          <w:spacing w:val="14"/>
        </w:rPr>
        <w:t>年</w:t>
      </w:r>
      <w:r>
        <w:rPr>
          <w:rFonts w:ascii="宋体" w:hAnsi="宋体" w:cs="宋体" w:eastAsia="宋体" w:hint="default"/>
          <w:spacing w:val="14"/>
        </w:rPr>
        <w:t>12</w:t>
      </w:r>
      <w:r>
        <w:rPr>
          <w:spacing w:val="14"/>
        </w:rPr>
        <w:t>月</w:t>
      </w:r>
      <w:r>
        <w:rPr>
          <w:rFonts w:ascii="宋体" w:hAnsi="宋体" w:cs="宋体" w:eastAsia="宋体" w:hint="default"/>
          <w:spacing w:val="14"/>
        </w:rPr>
        <w:t>31</w:t>
      </w:r>
      <w:r>
        <w:rPr>
          <w:spacing w:val="14"/>
        </w:rPr>
        <w:t>日宏磊股份应收票据余额</w:t>
      </w:r>
      <w:r>
        <w:rPr>
          <w:rFonts w:ascii="宋体" w:hAnsi="宋体" w:cs="宋体" w:eastAsia="宋体" w:hint="default"/>
          <w:spacing w:val="14"/>
        </w:rPr>
        <w:t>43,173.00</w:t>
      </w:r>
      <w:r>
        <w:rPr>
          <w:spacing w:val="14"/>
        </w:rPr>
        <w:t>万元，存放于供应商租赁仓库的存货</w:t>
      </w:r>
      <w:r>
        <w:rPr>
          <w:spacing w:val="-82"/>
        </w:rPr>
        <w:t> </w:t>
      </w:r>
      <w:r>
        <w:rPr>
          <w:spacing w:val="10"/>
        </w:rPr>
        <w:t>余额</w:t>
      </w:r>
      <w:r>
        <w:rPr>
          <w:spacing w:val="-103"/>
        </w:rPr>
        <w:t> </w:t>
      </w:r>
      <w:r>
        <w:rPr>
          <w:spacing w:val="-103"/>
        </w:rPr>
      </w:r>
      <w:r>
        <w:rPr>
          <w:rFonts w:ascii="宋体" w:hAnsi="宋体" w:cs="宋体" w:eastAsia="宋体" w:hint="default"/>
          <w:spacing w:val="3"/>
        </w:rPr>
        <w:t>29,179.75</w:t>
      </w:r>
      <w:r>
        <w:rPr>
          <w:spacing w:val="3"/>
        </w:rPr>
        <w:t>万元等期末存货的数量和状况以及应收票据的金额实施监盘程序。因没有获取充</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left="636" w:right="0" w:hanging="483"/>
        <w:jc w:val="left"/>
      </w:pPr>
      <w:r>
        <w:rPr/>
        <w:t>分、适当的审计证据，形成了保留意见。 由于宏磊股份</w:t>
      </w:r>
      <w:r>
        <w:rPr>
          <w:rFonts w:ascii="Times New Roman" w:hAnsi="Times New Roman" w:cs="Times New Roman" w:eastAsia="Times New Roman" w:hint="default"/>
        </w:rPr>
        <w:t>2014</w:t>
      </w:r>
      <w:r>
        <w:rPr/>
        <w:t>年末与铜材贸易相关的应收账款、预付款项、应收票据、存货等科目</w:t>
      </w:r>
    </w:p>
    <w:p>
      <w:pPr>
        <w:pStyle w:val="Heading3"/>
        <w:spacing w:line="225" w:lineRule="auto"/>
        <w:ind w:right="1132"/>
        <w:jc w:val="both"/>
      </w:pPr>
      <w:r>
        <w:rPr/>
        <w:t>的余额较大，为确保</w:t>
      </w:r>
      <w:r>
        <w:rPr>
          <w:rFonts w:ascii="Times New Roman" w:hAnsi="Times New Roman" w:cs="Times New Roman" w:eastAsia="Times New Roman" w:hint="default"/>
        </w:rPr>
        <w:t>2014</w:t>
      </w:r>
      <w:r>
        <w:rPr/>
        <w:t>年度审计报告的真实性、准确性、完整性，中汇会计师事务所对宏</w:t>
      </w:r>
      <w:r>
        <w:rPr>
          <w:spacing w:val="-116"/>
        </w:rPr>
        <w:t> </w:t>
      </w:r>
      <w:r>
        <w:rPr>
          <w:spacing w:val="-116"/>
        </w:rPr>
      </w:r>
      <w:r>
        <w:rPr/>
        <w:t>磊股份</w:t>
      </w:r>
      <w:r>
        <w:rPr>
          <w:rFonts w:ascii="Times New Roman" w:hAnsi="Times New Roman" w:cs="Times New Roman" w:eastAsia="Times New Roman" w:hint="default"/>
        </w:rPr>
        <w:t>2014</w:t>
      </w:r>
      <w:r>
        <w:rPr/>
        <w:t>年报表数据进行常规审计外，还比较关注公司期后的财务数据情况，并且于</w:t>
      </w:r>
      <w:r>
        <w:rPr>
          <w:rFonts w:ascii="Times New Roman" w:hAnsi="Times New Roman" w:cs="Times New Roman" w:eastAsia="Times New Roman" w:hint="default"/>
        </w:rPr>
        <w:t>2015</w:t>
      </w:r>
      <w:r>
        <w:rPr>
          <w:rFonts w:ascii="Times New Roman" w:hAnsi="Times New Roman" w:cs="Times New Roman" w:eastAsia="Times New Roman" w:hint="default"/>
          <w:spacing w:val="-50"/>
        </w:rPr>
        <w:t> </w:t>
      </w:r>
      <w:r>
        <w:rPr/>
        <w:t>年</w:t>
      </w:r>
      <w:r>
        <w:rPr>
          <w:rFonts w:ascii="Times New Roman" w:hAnsi="Times New Roman" w:cs="Times New Roman" w:eastAsia="Times New Roman" w:hint="default"/>
        </w:rPr>
        <w:t>4</w:t>
      </w:r>
      <w:r>
        <w:rPr/>
        <w:t>月中旬再次进场，对公司的期后情况实施了补充审计程序。</w:t>
      </w:r>
    </w:p>
    <w:p>
      <w:pPr>
        <w:pStyle w:val="Heading3"/>
        <w:spacing w:line="312" w:lineRule="exact" w:before="13"/>
        <w:ind w:left="633" w:right="1153" w:hanging="96"/>
        <w:jc w:val="left"/>
      </w:pPr>
      <w:r>
        <w:rPr>
          <w:rFonts w:ascii="Times New Roman" w:hAnsi="Times New Roman" w:cs="Times New Roman" w:eastAsia="Times New Roman" w:hint="default"/>
        </w:rPr>
        <w:t>2</w:t>
      </w:r>
      <w:r>
        <w:rPr/>
        <w:t>、该事项对上市公司的影响程度 上述强调事项段中涉及事项对宏磊股份</w:t>
      </w:r>
      <w:r>
        <w:rPr>
          <w:rFonts w:ascii="Times New Roman" w:hAnsi="Times New Roman" w:cs="Times New Roman" w:eastAsia="Times New Roman" w:hint="default"/>
        </w:rPr>
        <w:t>2014</w:t>
      </w:r>
      <w:r>
        <w:rPr/>
        <w:t>年度财务状况及经营成果无重大不利影响。</w:t>
      </w:r>
    </w:p>
    <w:p>
      <w:pPr>
        <w:pStyle w:val="Heading3"/>
        <w:spacing w:line="282" w:lineRule="exact"/>
        <w:ind w:left="513" w:right="0"/>
        <w:jc w:val="left"/>
      </w:pPr>
      <w:r>
        <w:rPr/>
        <w:t>（二）强调事项涉及事项的基本情况</w:t>
      </w:r>
    </w:p>
    <w:p>
      <w:pPr>
        <w:pStyle w:val="Heading3"/>
        <w:spacing w:line="312" w:lineRule="exact" w:before="29"/>
        <w:ind w:left="634" w:right="1117"/>
        <w:jc w:val="left"/>
      </w:pPr>
      <w:r>
        <w:rPr>
          <w:rFonts w:ascii="Times New Roman" w:hAnsi="Times New Roman" w:cs="Times New Roman" w:eastAsia="Times New Roman" w:hint="default"/>
        </w:rPr>
        <w:t>1</w:t>
      </w:r>
      <w:r>
        <w:rPr/>
        <w:t>、基本情况 </w:t>
      </w:r>
      <w:r>
        <w:rPr>
          <w:spacing w:val="-5"/>
        </w:rPr>
        <w:t>由于</w:t>
      </w:r>
      <w:r>
        <w:rPr>
          <w:rFonts w:ascii="Times New Roman" w:hAnsi="Times New Roman" w:cs="Times New Roman" w:eastAsia="Times New Roman" w:hint="default"/>
          <w:spacing w:val="-5"/>
        </w:rPr>
        <w:t>2014</w:t>
      </w:r>
      <w:r>
        <w:rPr>
          <w:spacing w:val="-5"/>
        </w:rPr>
        <w:t>年度国内经济不断下行，市场竞争激烈，铜材价格波动加大；公司募投项目《年</w:t>
      </w:r>
    </w:p>
    <w:p>
      <w:pPr>
        <w:pStyle w:val="Heading3"/>
        <w:spacing w:line="312" w:lineRule="exact"/>
        <w:ind w:left="154" w:right="994"/>
        <w:jc w:val="left"/>
      </w:pPr>
      <w:r>
        <w:rPr/>
        <w:t>产</w:t>
      </w:r>
      <w:r>
        <w:rPr>
          <w:rFonts w:ascii="Times New Roman" w:hAnsi="Times New Roman" w:cs="Times New Roman" w:eastAsia="Times New Roman" w:hint="default"/>
        </w:rPr>
        <w:t>15</w:t>
      </w:r>
      <w:r>
        <w:rPr/>
        <w:t>万吨铜杆项目》和《年产</w:t>
      </w:r>
      <w:r>
        <w:rPr>
          <w:rFonts w:ascii="Times New Roman" w:hAnsi="Times New Roman" w:cs="Times New Roman" w:eastAsia="Times New Roman" w:hint="default"/>
        </w:rPr>
        <w:t>3</w:t>
      </w:r>
      <w:r>
        <w:rPr/>
        <w:t>万吨节能环保特种漆包线项目》 因新产品试制、市场开发及</w:t>
      </w:r>
      <w:r>
        <w:rPr>
          <w:spacing w:val="-112"/>
        </w:rPr>
        <w:t> </w:t>
      </w:r>
      <w:r>
        <w:rPr>
          <w:spacing w:val="-112"/>
        </w:rPr>
      </w:r>
      <w:r>
        <w:rPr/>
        <w:t>部分配套设备交货期延长等因素的影响，仅进行了少量生产，未达到预期效益。为加快资金 周转、控制经营风险，公司将采购的铜材料对外销售，形成了大量的铜材贸易。同时，公司 相应减少和终止向供应商的采购，使得部分预付款大于实际贸易额。上述情形是公司面对国</w:t>
      </w:r>
      <w:r>
        <w:rPr>
          <w:spacing w:val="-117"/>
        </w:rPr>
        <w:t> </w:t>
      </w:r>
      <w:r>
        <w:rPr>
          <w:spacing w:val="-117"/>
        </w:rPr>
      </w:r>
      <w:r>
        <w:rPr>
          <w:spacing w:val="-2"/>
        </w:rPr>
        <w:t>内宏观经济新常态，为控制实施募投项目转型升级过程中的经营风险所采取的积极应对措施，</w:t>
      </w:r>
      <w:r>
        <w:rPr/>
        <w:t> 对公司不构成影响。</w:t>
      </w:r>
    </w:p>
    <w:p>
      <w:pPr>
        <w:pStyle w:val="Heading3"/>
        <w:spacing w:line="312" w:lineRule="exact"/>
        <w:ind w:left="633" w:right="1153"/>
        <w:jc w:val="left"/>
      </w:pPr>
      <w:r>
        <w:rPr>
          <w:rFonts w:ascii="Times New Roman" w:hAnsi="Times New Roman" w:cs="Times New Roman" w:eastAsia="Times New Roman" w:hint="default"/>
        </w:rPr>
        <w:t>2</w:t>
      </w:r>
      <w:r>
        <w:rPr/>
        <w:t>、该事项对上市公司的影响程度 上述强调事项段中涉及事项对宏磊股份</w:t>
      </w:r>
      <w:r>
        <w:rPr>
          <w:rFonts w:ascii="Times New Roman" w:hAnsi="Times New Roman" w:cs="Times New Roman" w:eastAsia="Times New Roman" w:hint="default"/>
        </w:rPr>
        <w:t>2014</w:t>
      </w:r>
      <w:r>
        <w:rPr/>
        <w:t>年度财务状况及经营成果无重大不利影响。</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3"/>
          <w:szCs w:val="23"/>
        </w:rPr>
      </w:pPr>
    </w:p>
    <w:p>
      <w:pPr>
        <w:pStyle w:val="Heading3"/>
        <w:spacing w:line="312" w:lineRule="exact"/>
        <w:ind w:left="633" w:right="0"/>
        <w:jc w:val="left"/>
      </w:pPr>
      <w:r>
        <w:rPr/>
        <w:t>二、监事会对非标准无保留审计意见中的所涉及事项的意见 </w:t>
      </w:r>
      <w:r>
        <w:rPr>
          <w:spacing w:val="-3"/>
        </w:rPr>
        <w:t>根据《深圳证券交易所股票上市规则》等有关规定，公司监事会对</w:t>
      </w:r>
      <w:r>
        <w:rPr>
          <w:rFonts w:ascii="Times New Roman" w:hAnsi="Times New Roman" w:cs="Times New Roman" w:eastAsia="Times New Roman" w:hint="default"/>
          <w:spacing w:val="-3"/>
        </w:rPr>
        <w:t>2014</w:t>
      </w:r>
      <w:r>
        <w:rPr>
          <w:spacing w:val="-3"/>
        </w:rPr>
        <w:t>年度的财务报告、</w:t>
      </w:r>
    </w:p>
    <w:p>
      <w:pPr>
        <w:pStyle w:val="Heading3"/>
        <w:spacing w:line="312" w:lineRule="exact"/>
        <w:ind w:right="995"/>
        <w:jc w:val="left"/>
      </w:pPr>
      <w:r>
        <w:rPr/>
        <w:t>中汇会计师事务所（特殊普通合伙）出具的非标准无保留意见审计报告、董事会编制的《关 </w:t>
      </w:r>
      <w:r>
        <w:rPr>
          <w:spacing w:val="-2"/>
        </w:rPr>
        <w:t>于对会计师事务所出具的非标准无保留审计意见涉及事项的专项说明》等进行了认真的审核，</w:t>
      </w:r>
      <w:r>
        <w:rPr/>
        <w:t> 并提出如下书面审核意见：</w:t>
      </w:r>
    </w:p>
    <w:p>
      <w:pPr>
        <w:pStyle w:val="Heading3"/>
        <w:spacing w:line="312" w:lineRule="exact"/>
        <w:ind w:left="154" w:right="1139" w:firstLine="480"/>
        <w:jc w:val="both"/>
      </w:pPr>
      <w:r>
        <w:rPr/>
        <w:t>我们认可审计报告的保留意见及强调事项内容，同时也同意公司董事会就上述事项所做 的专项说明，希望董事会和管理层尽快采取有效措施消除和改善保留意见及强调事项段提及 的内容，控制经营风险，切实维护广大中小投资者的利益。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十、与上年度财务报告相比，会计政策、会计估计和核算方法发生变化的情况说明" w:id="52"/>
      <w:bookmarkEnd w:id="52"/>
      <w:r>
        <w:rPr>
          <w:b w:val="0"/>
          <w:bCs w:val="0"/>
        </w:rPr>
      </w:r>
      <w:r>
        <w:rPr/>
        <w:t>十、与上年度财务报告相比，会计政策、会计估计和核算方法发生变化的情况说明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61" w:lineRule="auto" w:before="0"/>
        <w:ind w:right="1131" w:firstLine="420"/>
        <w:jc w:val="both"/>
      </w:pPr>
      <w:r>
        <w:rPr>
          <w:spacing w:val="-1"/>
        </w:rPr>
        <w:t>本公司</w:t>
      </w:r>
      <w:r>
        <w:rPr>
          <w:rFonts w:ascii="Times New Roman" w:hAnsi="Times New Roman" w:cs="Times New Roman" w:eastAsia="Times New Roman" w:hint="default"/>
          <w:spacing w:val="-1"/>
        </w:rPr>
        <w:t>2014</w:t>
      </w:r>
      <w:r>
        <w:rPr>
          <w:spacing w:val="-1"/>
        </w:rPr>
        <w:t>年实施财政部当年度最新修订的企业会计准则及相关具体规定，并对</w:t>
      </w:r>
      <w:r>
        <w:rPr>
          <w:rFonts w:ascii="Times New Roman" w:hAnsi="Times New Roman" w:cs="Times New Roman" w:eastAsia="Times New Roman" w:hint="default"/>
          <w:spacing w:val="-1"/>
        </w:rPr>
        <w:t>2013</w:t>
      </w:r>
      <w:r>
        <w:rPr>
          <w:spacing w:val="-1"/>
        </w:rPr>
        <w:t>年的比较财务报</w:t>
      </w:r>
      <w:r>
        <w:rPr/>
        <w:t> 表进行了重新表述。根据最新修订的《企业会计准则第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长期股权投资》，本公司将持有的不具有</w:t>
      </w:r>
      <w:r>
        <w:rPr>
          <w:spacing w:val="-29"/>
        </w:rPr>
        <w:t> </w:t>
      </w:r>
      <w:r>
        <w:rPr>
          <w:spacing w:val="-29"/>
        </w:rPr>
      </w:r>
      <w:r>
        <w:rPr>
          <w:spacing w:val="-1"/>
        </w:rPr>
        <w:t>控制、共同控制、重大影响且公允价值不能可靠计量的股权投资，作为按成本计量的可供出售金融资产核</w:t>
      </w:r>
      <w:r>
        <w:rPr>
          <w:spacing w:val="-83"/>
        </w:rPr>
        <w:t> </w:t>
      </w:r>
      <w:r>
        <w:rPr>
          <w:spacing w:val="-83"/>
        </w:rPr>
      </w:r>
      <w:r>
        <w:rPr>
          <w:spacing w:val="-1"/>
        </w:rPr>
        <w:t>算，不作为长期股权投资核算。本公司对该项会计政策变更采用追溯调整法，</w:t>
      </w:r>
      <w:r>
        <w:rPr>
          <w:rFonts w:ascii="Times New Roman" w:hAnsi="Times New Roman" w:cs="Times New Roman" w:eastAsia="Times New Roman" w:hint="default"/>
          <w:spacing w:val="-1"/>
        </w:rPr>
        <w:t>2013</w:t>
      </w:r>
      <w:r>
        <w:rPr>
          <w:spacing w:val="-1"/>
        </w:rPr>
        <w:t>年度的比较财务报表已</w:t>
      </w:r>
      <w:r>
        <w:rPr>
          <w:spacing w:val="-82"/>
        </w:rPr>
        <w:t> </w:t>
      </w:r>
      <w:r>
        <w:rPr>
          <w:spacing w:val="-82"/>
        </w:rPr>
      </w:r>
      <w:r>
        <w:rPr>
          <w:spacing w:val="15"/>
        </w:rPr>
        <w:t>重新表述，调整减少</w:t>
      </w:r>
      <w:r>
        <w:rPr>
          <w:spacing w:val="-8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2"/>
        </w:rPr>
        <w:t> </w:t>
      </w:r>
      <w:r>
        <w:rPr>
          <w:spacing w:val="15"/>
        </w:rPr>
        <w:t>年末长期股权投资</w:t>
      </w:r>
      <w:r>
        <w:rPr>
          <w:spacing w:val="-83"/>
        </w:rPr>
        <w:t> </w:t>
      </w:r>
      <w:r>
        <w:rPr>
          <w:rFonts w:ascii="Times New Roman" w:hAnsi="Times New Roman" w:cs="Times New Roman" w:eastAsia="Times New Roman" w:hint="default"/>
        </w:rPr>
        <w:t>95,760,000.00</w:t>
      </w:r>
      <w:r>
        <w:rPr>
          <w:rFonts w:ascii="Times New Roman" w:hAnsi="Times New Roman" w:cs="Times New Roman" w:eastAsia="Times New Roman" w:hint="default"/>
          <w:spacing w:val="-31"/>
        </w:rPr>
        <w:t> </w:t>
      </w:r>
      <w:r>
        <w:rPr>
          <w:spacing w:val="8"/>
        </w:rPr>
        <w:t>元，</w:t>
      </w:r>
      <w:r>
        <w:rPr>
          <w:spacing w:val="-85"/>
        </w:rPr>
        <w:t> </w:t>
      </w:r>
      <w:r>
        <w:rPr>
          <w:spacing w:val="13"/>
        </w:rPr>
        <w:t>调整增加</w:t>
      </w:r>
      <w:r>
        <w:rPr>
          <w:spacing w:val="-8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1"/>
        </w:rPr>
        <w:t> </w:t>
      </w:r>
      <w:r>
        <w:rPr>
          <w:spacing w:val="15"/>
        </w:rPr>
        <w:t>年末可供出售金融资产</w:t>
      </w:r>
      <w:r>
        <w:rPr>
          <w:spacing w:val="-100"/>
        </w:rPr>
        <w:t> </w:t>
      </w:r>
      <w:r>
        <w:rPr>
          <w:spacing w:val="-100"/>
        </w:rPr>
      </w:r>
      <w:r>
        <w:rPr>
          <w:rFonts w:ascii="Times New Roman" w:hAnsi="Times New Roman" w:cs="Times New Roman" w:eastAsia="Times New Roman" w:hint="default"/>
        </w:rPr>
        <w:t>95,760,000.00</w:t>
      </w:r>
      <w:r>
        <w:rPr/>
        <w:t>元。本会计政策变更业经公司第二届董事会第二十八次会议审议通过。</w:t>
      </w:r>
    </w:p>
    <w:p>
      <w:pPr>
        <w:spacing w:after="0" w:line="261"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left="153" w:right="0"/>
        <w:jc w:val="left"/>
        <w:rPr>
          <w:b w:val="0"/>
          <w:bCs w:val="0"/>
        </w:rPr>
      </w:pPr>
      <w:bookmarkStart w:name="十一、报告期内发生重大会计差错更正需追溯重述的情况说明" w:id="53"/>
      <w:bookmarkEnd w:id="53"/>
      <w:r>
        <w:rPr>
          <w:b w:val="0"/>
          <w:bCs w:val="0"/>
        </w:rPr>
      </w:r>
      <w:r>
        <w:rPr/>
        <w:t>十一、报告期内发生重大会计差错更正需追溯重述的情况说明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与上年度财务报告相比，合并报表范围发生变化的情况说明" w:id="54"/>
      <w:bookmarkEnd w:id="54"/>
      <w:r>
        <w:rPr>
          <w:b w:val="0"/>
          <w:bCs w:val="0"/>
        </w:rPr>
      </w:r>
      <w:r>
        <w:rPr/>
        <w:t>十二、与上年度财务报告相比，合并报表范围发生变化的情况说明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公司报告期无合并报表范围发生变化的情况。</w:t>
      </w:r>
    </w:p>
    <w:p>
      <w:pPr>
        <w:spacing w:line="240" w:lineRule="auto" w:before="3"/>
        <w:rPr>
          <w:rFonts w:ascii="宋体" w:hAnsi="宋体" w:cs="宋体" w:eastAsia="宋体" w:hint="default"/>
          <w:sz w:val="19"/>
          <w:szCs w:val="19"/>
        </w:rPr>
      </w:pPr>
    </w:p>
    <w:p>
      <w:pPr>
        <w:pStyle w:val="Heading2"/>
        <w:spacing w:line="240" w:lineRule="auto"/>
        <w:ind w:left="153" w:right="0"/>
        <w:jc w:val="left"/>
        <w:rPr>
          <w:b w:val="0"/>
          <w:bCs w:val="0"/>
        </w:rPr>
      </w:pPr>
      <w:bookmarkStart w:name="十三、公司利润分配及分红派息情况" w:id="55"/>
      <w:bookmarkEnd w:id="55"/>
      <w:r>
        <w:rPr>
          <w:b w:val="0"/>
          <w:bCs w:val="0"/>
        </w:rPr>
      </w:r>
      <w:r>
        <w:rPr/>
        <w:t>十三、公司利润分配及分红派息情况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line="319" w:lineRule="auto"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6"/>
          <w:sz w:val="18"/>
          <w:szCs w:val="18"/>
        </w:rPr>
        <w:t>2011</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8</w:t>
      </w:r>
      <w:r>
        <w:rPr>
          <w:rFonts w:ascii="宋体" w:hAnsi="宋体" w:cs="宋体" w:eastAsia="宋体" w:hint="default"/>
          <w:spacing w:val="-6"/>
          <w:sz w:val="18"/>
          <w:szCs w:val="18"/>
        </w:rPr>
        <w:t>日召开的公司</w:t>
      </w:r>
      <w:r>
        <w:rPr>
          <w:rFonts w:ascii="Times New Roman" w:hAnsi="Times New Roman" w:cs="Times New Roman" w:eastAsia="Times New Roman" w:hint="default"/>
          <w:spacing w:val="-6"/>
          <w:sz w:val="18"/>
          <w:szCs w:val="18"/>
        </w:rPr>
        <w:t>2011</w:t>
      </w:r>
      <w:r>
        <w:rPr>
          <w:rFonts w:ascii="宋体" w:hAnsi="宋体" w:cs="宋体" w:eastAsia="宋体" w:hint="default"/>
          <w:spacing w:val="-6"/>
          <w:sz w:val="18"/>
          <w:szCs w:val="18"/>
        </w:rPr>
        <w:t>年第三次临时股东大会审议通过了《关于</w:t>
      </w:r>
      <w:r>
        <w:rPr>
          <w:rFonts w:ascii="Times New Roman" w:hAnsi="Times New Roman" w:cs="Times New Roman" w:eastAsia="Times New Roman" w:hint="default"/>
          <w:spacing w:val="-6"/>
          <w:sz w:val="18"/>
          <w:szCs w:val="18"/>
        </w:rPr>
        <w:t>&lt;</w:t>
      </w:r>
      <w:r>
        <w:rPr>
          <w:rFonts w:ascii="宋体" w:hAnsi="宋体" w:cs="宋体" w:eastAsia="宋体" w:hint="default"/>
          <w:spacing w:val="-6"/>
          <w:sz w:val="18"/>
          <w:szCs w:val="18"/>
        </w:rPr>
        <w:t>浙江宏磊铜业股份有限公司章程（草案）</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的议案》，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对分红政策进行了补充完善。报告期内，公司严格按照中国证监会《关于修改上市公司现金分红若干规定的决定》、《关于</w:t>
      </w:r>
    </w:p>
    <w:p>
      <w:pPr>
        <w:tabs>
          <w:tab w:pos="1307" w:val="left" w:leader="none"/>
        </w:tabs>
        <w:spacing w:line="304" w:lineRule="auto" w:before="17"/>
        <w:ind w:left="153" w:right="1042" w:firstLine="0"/>
        <w:jc w:val="left"/>
        <w:rPr>
          <w:rFonts w:ascii="宋体" w:hAnsi="宋体" w:cs="宋体" w:eastAsia="宋体" w:hint="default"/>
          <w:sz w:val="18"/>
          <w:szCs w:val="18"/>
        </w:rPr>
      </w:pPr>
      <w:r>
        <w:rPr>
          <w:rFonts w:ascii="宋体" w:hAnsi="宋体" w:cs="宋体" w:eastAsia="宋体" w:hint="default"/>
          <w:spacing w:val="-2"/>
          <w:sz w:val="18"/>
          <w:szCs w:val="18"/>
        </w:rPr>
        <w:t>进一步落实上市公司现金分红有关事项的通知》、深交所《中小企业板信息披露业务备忘录第</w:t>
      </w:r>
      <w:r>
        <w:rPr>
          <w:rFonts w:ascii="Times New Roman" w:hAnsi="Times New Roman" w:cs="Times New Roman" w:eastAsia="Times New Roman" w:hint="default"/>
          <w:spacing w:val="-2"/>
          <w:sz w:val="18"/>
          <w:szCs w:val="18"/>
        </w:rPr>
        <w:t>33</w:t>
      </w:r>
      <w:r>
        <w:rPr>
          <w:rFonts w:ascii="宋体" w:hAnsi="宋体" w:cs="宋体" w:eastAsia="宋体" w:hint="default"/>
          <w:spacing w:val="-2"/>
          <w:sz w:val="18"/>
          <w:szCs w:val="18"/>
        </w:rPr>
        <w:t>号：利润分配和资本公积转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增股本》以及《公司章程》等有关制度的规定和要求，积极做好公司利润分配方案实施工作。公司董事会在详细咨询、听取</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独立董事及公司股东的意见，并结合公司</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年度盈利情况和</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年度投资、支出计划等制定了公司</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年度利润分配预案，</w:t>
      </w:r>
      <w:r>
        <w:rPr>
          <w:rFonts w:ascii="宋体" w:hAnsi="宋体" w:cs="宋体" w:eastAsia="宋体" w:hint="default"/>
          <w:spacing w:val="-81"/>
          <w:sz w:val="18"/>
          <w:szCs w:val="18"/>
        </w:rPr>
        <w:t> </w:t>
      </w:r>
      <w:r>
        <w:rPr>
          <w:rFonts w:ascii="宋体" w:hAnsi="宋体" w:cs="宋体" w:eastAsia="宋体" w:hint="default"/>
          <w:spacing w:val="-2"/>
          <w:sz w:val="18"/>
          <w:szCs w:val="18"/>
        </w:rPr>
        <w:t>在</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日召开的第二届董事会第二十一次会议上审议通过，并提交公司在</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日召开的</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年度股东大会审</w:t>
      </w:r>
      <w:r>
        <w:rPr>
          <w:rFonts w:ascii="宋体" w:hAnsi="宋体" w:cs="宋体" w:eastAsia="宋体" w:hint="default"/>
          <w:spacing w:val="-46"/>
          <w:sz w:val="18"/>
          <w:szCs w:val="18"/>
        </w:rPr>
        <w:t> </w:t>
      </w:r>
      <w:r>
        <w:rPr>
          <w:rFonts w:ascii="宋体" w:hAnsi="宋体" w:cs="宋体" w:eastAsia="宋体" w:hint="default"/>
          <w:sz w:val="18"/>
          <w:szCs w:val="18"/>
        </w:rPr>
        <w:t>议通过。</w:t>
        <w:tab/>
        <w:t>根据公司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年度股东大会决议，以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日的总股本</w:t>
      </w:r>
      <w:r>
        <w:rPr>
          <w:rFonts w:ascii="Times New Roman" w:hAnsi="Times New Roman" w:cs="Times New Roman" w:eastAsia="Times New Roman" w:hint="default"/>
          <w:sz w:val="18"/>
          <w:szCs w:val="18"/>
        </w:rPr>
        <w:t>168,910,000</w:t>
      </w:r>
      <w:r>
        <w:rPr>
          <w:rFonts w:ascii="宋体" w:hAnsi="宋体" w:cs="宋体" w:eastAsia="宋体" w:hint="default"/>
          <w:sz w:val="18"/>
          <w:szCs w:val="18"/>
        </w:rPr>
        <w:t>股为基数，每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股派发现金股利人 民币</w:t>
      </w:r>
      <w:r>
        <w:rPr>
          <w:rFonts w:ascii="Times New Roman" w:hAnsi="Times New Roman" w:cs="Times New Roman" w:eastAsia="Times New Roman" w:hint="default"/>
          <w:sz w:val="18"/>
          <w:szCs w:val="18"/>
        </w:rPr>
        <w:t>0.90</w:t>
      </w:r>
      <w:r>
        <w:rPr>
          <w:rFonts w:ascii="宋体" w:hAnsi="宋体" w:cs="宋体" w:eastAsia="宋体" w:hint="default"/>
          <w:sz w:val="18"/>
          <w:szCs w:val="18"/>
        </w:rPr>
        <w:t>元（含税）；以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日总股本</w:t>
      </w:r>
      <w:r>
        <w:rPr>
          <w:rFonts w:ascii="Times New Roman" w:hAnsi="Times New Roman" w:cs="Times New Roman" w:eastAsia="Times New Roman" w:hint="default"/>
          <w:sz w:val="18"/>
          <w:szCs w:val="18"/>
        </w:rPr>
        <w:t>168,910,000</w:t>
      </w:r>
      <w:r>
        <w:rPr>
          <w:rFonts w:ascii="宋体" w:hAnsi="宋体" w:cs="宋体" w:eastAsia="宋体" w:hint="default"/>
          <w:sz w:val="18"/>
          <w:szCs w:val="18"/>
        </w:rPr>
        <w:t>股为基数，以资本公积金转增股本，向公司全体股东每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3</w:t>
      </w:r>
      <w:r>
        <w:rPr>
          <w:rFonts w:ascii="宋体" w:hAnsi="宋体" w:cs="宋体" w:eastAsia="宋体" w:hint="default"/>
          <w:sz w:val="18"/>
          <w:szCs w:val="18"/>
        </w:rPr>
        <w:t>股。此利润分配方案于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日实施完毕。</w:t>
      </w:r>
    </w:p>
    <w:p>
      <w:pPr>
        <w:spacing w:line="240" w:lineRule="auto" w:before="9"/>
        <w:rPr>
          <w:rFonts w:ascii="宋体" w:hAnsi="宋体" w:cs="宋体" w:eastAsia="宋体"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166" w:hRule="exact"/>
        </w:trPr>
        <w:tc>
          <w:tcPr>
            <w:tcW w:w="4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4796" w:type="dxa"/>
            <w:vMerge w:val="restart"/>
            <w:tcBorders>
              <w:top w:val="single" w:sz="4" w:space="0" w:color="000000"/>
              <w:left w:val="single" w:sz="9" w:space="0" w:color="D2D2D2"/>
              <w:right w:val="single" w:sz="4" w:space="0" w:color="000000"/>
            </w:tcBorders>
          </w:tcPr>
          <w:p>
            <w:pPr>
              <w:pStyle w:val="TableParagraph"/>
              <w:spacing w:line="302" w:lineRule="auto" w:before="56"/>
              <w:ind w:left="28" w:right="22"/>
              <w:jc w:val="left"/>
              <w:rPr>
                <w:rFonts w:ascii="宋体" w:hAnsi="宋体" w:cs="宋体" w:eastAsia="宋体" w:hint="default"/>
                <w:sz w:val="18"/>
                <w:szCs w:val="18"/>
              </w:rPr>
            </w:pPr>
            <w:r>
              <w:rPr>
                <w:rFonts w:ascii="宋体" w:hAnsi="宋体" w:cs="宋体" w:eastAsia="宋体" w:hint="default"/>
                <w:sz w:val="18"/>
                <w:szCs w:val="18"/>
              </w:rPr>
              <w:t>公司实施的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年度利润分配方案符合《公司章程》的规定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及股东大会决议的要求</w:t>
            </w:r>
          </w:p>
        </w:tc>
      </w:tr>
      <w:tr>
        <w:trPr>
          <w:trHeight w:val="392" w:hRule="exact"/>
        </w:trPr>
        <w:tc>
          <w:tcPr>
            <w:tcW w:w="4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vMerge/>
            <w:tcBorders>
              <w:left w:val="single" w:sz="9" w:space="0" w:color="D2D2D2"/>
              <w:right w:val="single" w:sz="4" w:space="0" w:color="000000"/>
            </w:tcBorders>
          </w:tcPr>
          <w:p>
            <w:pPr/>
          </w:p>
        </w:tc>
      </w:tr>
      <w:tr>
        <w:trPr>
          <w:trHeight w:val="161" w:hRule="exact"/>
        </w:trPr>
        <w:tc>
          <w:tcPr>
            <w:tcW w:w="4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4796" w:type="dxa"/>
            <w:vMerge/>
            <w:tcBorders>
              <w:left w:val="single" w:sz="9" w:space="0" w:color="D2D2D2"/>
              <w:bottom w:val="single" w:sz="4" w:space="0" w:color="000000"/>
              <w:right w:val="single" w:sz="4" w:space="0" w:color="000000"/>
            </w:tcBorders>
          </w:tcPr>
          <w:p>
            <w:pP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分红标准和比例明确清晰</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相关决策程序和机制完备</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独立董事尽职履行责任并发挥了应有的作用</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中小股东具有充分表达意见和诉求的机会，充分维护了中小 股东的合法权益。</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报告期内，公司未对现金分红政策进行调整或变更。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pStyle w:val="BodyText"/>
        <w:spacing w:line="240" w:lineRule="auto" w:before="77"/>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年度，公司以总股本</w:t>
      </w:r>
      <w:r>
        <w:rPr>
          <w:rFonts w:ascii="Times New Roman" w:hAnsi="Times New Roman" w:cs="Times New Roman" w:eastAsia="Times New Roman" w:hint="default"/>
        </w:rPr>
        <w:t>16891</w:t>
      </w:r>
      <w:r>
        <w:rPr/>
        <w:t>万股为基数，每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0.50</w:t>
      </w:r>
      <w:r>
        <w:rPr/>
        <w:t>元现金（含税），该分配方案于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p>
    <w:p>
      <w:pPr>
        <w:pStyle w:val="BodyText"/>
        <w:spacing w:line="240" w:lineRule="auto" w:before="21"/>
        <w:ind w:right="0"/>
        <w:jc w:val="left"/>
      </w:pPr>
      <w:r>
        <w:rPr/>
        <w:t>月</w:t>
      </w:r>
      <w:r>
        <w:rPr>
          <w:rFonts w:ascii="Times New Roman" w:hAnsi="Times New Roman" w:cs="Times New Roman" w:eastAsia="Times New Roman" w:hint="default"/>
        </w:rPr>
        <w:t>12</w:t>
      </w:r>
      <w:r>
        <w:rPr/>
        <w:t>日实施完毕；</w:t>
      </w:r>
    </w:p>
    <w:p>
      <w:pPr>
        <w:pStyle w:val="BodyText"/>
        <w:spacing w:line="256" w:lineRule="auto" w:before="21"/>
        <w:ind w:right="0" w:firstLine="360"/>
        <w:jc w:val="left"/>
      </w:pPr>
      <w:r>
        <w:rPr>
          <w:rFonts w:ascii="Times New Roman" w:hAnsi="Times New Roman" w:cs="Times New Roman" w:eastAsia="Times New Roman" w:hint="default"/>
          <w:spacing w:val="-8"/>
        </w:rPr>
        <w:t>2</w:t>
      </w:r>
      <w:r>
        <w:rPr>
          <w:spacing w:val="-8"/>
        </w:rPr>
        <w:t>、</w:t>
      </w:r>
      <w:r>
        <w:rPr>
          <w:rFonts w:ascii="Times New Roman" w:hAnsi="Times New Roman" w:cs="Times New Roman" w:eastAsia="Times New Roman" w:hint="default"/>
          <w:spacing w:val="-8"/>
        </w:rPr>
        <w:t>2013</w:t>
      </w:r>
      <w:r>
        <w:rPr>
          <w:spacing w:val="-8"/>
        </w:rPr>
        <w:t>年度，公司以总股本</w:t>
      </w:r>
      <w:r>
        <w:rPr>
          <w:rFonts w:ascii="Times New Roman" w:hAnsi="Times New Roman" w:cs="Times New Roman" w:eastAsia="Times New Roman" w:hint="default"/>
          <w:spacing w:val="-8"/>
        </w:rPr>
        <w:t>168,910,000</w:t>
      </w:r>
      <w:r>
        <w:rPr>
          <w:spacing w:val="-8"/>
        </w:rPr>
        <w:t>股为基数，每</w:t>
      </w:r>
      <w:r>
        <w:rPr>
          <w:rFonts w:ascii="Times New Roman" w:hAnsi="Times New Roman" w:cs="Times New Roman" w:eastAsia="Times New Roman" w:hint="default"/>
          <w:spacing w:val="-8"/>
        </w:rPr>
        <w:t>10</w:t>
      </w:r>
      <w:r>
        <w:rPr>
          <w:spacing w:val="-8"/>
        </w:rPr>
        <w:t>股派</w:t>
      </w:r>
      <w:r>
        <w:rPr>
          <w:rFonts w:ascii="Times New Roman" w:hAnsi="Times New Roman" w:cs="Times New Roman" w:eastAsia="Times New Roman" w:hint="default"/>
          <w:spacing w:val="-8"/>
        </w:rPr>
        <w:t>0.9</w:t>
      </w:r>
      <w:r>
        <w:rPr>
          <w:spacing w:val="-8"/>
        </w:rPr>
        <w:t>元现金（含税），共计现金分红</w:t>
      </w:r>
      <w:r>
        <w:rPr>
          <w:rFonts w:ascii="Times New Roman" w:hAnsi="Times New Roman" w:cs="Times New Roman" w:eastAsia="Times New Roman" w:hint="default"/>
          <w:spacing w:val="-8"/>
        </w:rPr>
        <w:t>15,201,900</w:t>
      </w:r>
      <w:r>
        <w:rPr>
          <w:rFonts w:ascii="Times New Roman" w:hAnsi="Times New Roman" w:cs="Times New Roman" w:eastAsia="Times New Roman" w:hint="default"/>
        </w:rPr>
        <w:t> </w:t>
      </w:r>
      <w:r>
        <w:rPr/>
        <w:t>元；以公司总股本</w:t>
      </w:r>
      <w:r>
        <w:rPr>
          <w:rFonts w:ascii="Times New Roman" w:hAnsi="Times New Roman" w:cs="Times New Roman" w:eastAsia="Times New Roman" w:hint="default"/>
        </w:rPr>
        <w:t>168,910,000</w:t>
      </w:r>
      <w:r>
        <w:rPr/>
        <w:t>股为基数，以资本公积金转增股本，向公司全体股东每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股，共转 增股本</w:t>
      </w:r>
      <w:r>
        <w:rPr>
          <w:rFonts w:ascii="Times New Roman" w:hAnsi="Times New Roman" w:cs="Times New Roman" w:eastAsia="Times New Roman" w:hint="default"/>
        </w:rPr>
        <w:t>50,673,000</w:t>
      </w:r>
      <w:r>
        <w:rPr/>
        <w:t>股。该分配方案于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日实施完毕；</w:t>
      </w:r>
    </w:p>
    <w:p>
      <w:pPr>
        <w:pStyle w:val="BodyText"/>
        <w:spacing w:line="240" w:lineRule="auto" w:before="5"/>
        <w:ind w:left="51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年度，公司计划不派发现金红利，不送红股，不以公积金转增股本。</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1"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-47,749,752.94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15,201,900.00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75,083,156.38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8,445,500.00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31,616,376.29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四、本报告期利润分配及资本公积金转增股本预案" w:id="56"/>
      <w:bookmarkEnd w:id="56"/>
      <w:r>
        <w:rPr>
          <w:b w:val="0"/>
          <w:bCs w:val="0"/>
        </w:rPr>
      </w:r>
      <w:r>
        <w:rPr/>
        <w:t>十四、本报告期利润分配及资本公积金转增股本预案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5532" w:firstLine="0"/>
        <w:jc w:val="left"/>
        <w:rPr>
          <w:rFonts w:ascii="宋体" w:hAnsi="宋体" w:cs="宋体" w:eastAsia="宋体" w:hint="default"/>
          <w:sz w:val="18"/>
          <w:szCs w:val="18"/>
        </w:rPr>
      </w:pPr>
      <w:r>
        <w:rPr>
          <w:rFonts w:ascii="宋体" w:hAnsi="宋体" w:cs="宋体" w:eastAsia="宋体" w:hint="default"/>
          <w:sz w:val="18"/>
          <w:szCs w:val="18"/>
        </w:rPr>
        <w:t>□ 适用 √ 不适用 公司计划年度不派发现金红利，不送红股，不以公积金转增股本。</w:t>
      </w:r>
    </w:p>
    <w:p>
      <w:pPr>
        <w:spacing w:line="240" w:lineRule="auto" w:before="3"/>
        <w:rPr>
          <w:rFonts w:ascii="宋体" w:hAnsi="宋体" w:cs="宋体" w:eastAsia="宋体" w:hint="default"/>
          <w:sz w:val="18"/>
          <w:szCs w:val="18"/>
        </w:rPr>
      </w:pPr>
    </w:p>
    <w:p>
      <w:pPr>
        <w:pStyle w:val="Heading2"/>
        <w:spacing w:line="240" w:lineRule="auto"/>
        <w:ind w:left="153" w:right="0"/>
        <w:jc w:val="left"/>
        <w:rPr>
          <w:b w:val="0"/>
          <w:bCs w:val="0"/>
        </w:rPr>
      </w:pPr>
      <w:bookmarkStart w:name="十五、社会责任情况" w:id="57"/>
      <w:bookmarkEnd w:id="57"/>
      <w:r>
        <w:rPr>
          <w:b w:val="0"/>
          <w:bCs w:val="0"/>
        </w:rPr>
      </w:r>
      <w:r>
        <w:rPr/>
        <w:t>十五、社会责任情况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89"/>
        <w:ind w:right="1024" w:firstLine="420"/>
        <w:jc w:val="left"/>
      </w:pPr>
      <w:r>
        <w:rPr/>
        <w:t>报告期内，公司积极承担社会责任，履行企业公民应尽的义务，坚持做到经济效益、社会效益与环境 </w:t>
      </w:r>
      <w:r>
        <w:rPr>
          <w:spacing w:val="-3"/>
        </w:rPr>
        <w:t>效益并重。公司在不断为股东创造价值的同时，充分尊重和维护相关利益者的合法权益，实现股东、员工、</w:t>
      </w:r>
      <w:r>
        <w:rPr>
          <w:spacing w:val="-96"/>
        </w:rPr>
        <w:t> </w:t>
      </w:r>
      <w:r>
        <w:rPr>
          <w:spacing w:val="-96"/>
        </w:rPr>
      </w:r>
      <w:r>
        <w:rPr/>
        <w:t>社会等各方利益的协调平衡，共同推动公司持续、稳定、健康的发展。公司把建设资源节约型和环境友好</w:t>
      </w:r>
      <w:r>
        <w:rPr/>
        <w:t> 型企业作为可持续发展战略的重要内容，坚持产品创新，在节能环保方面不断探索，努力为社会提供环保 安全、高效节能的产品，致力成为有强烈社会责任意识的杰出企业，为和谐社会的发展助力。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4"/>
        <w:ind w:left="153"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38" w:lineRule="auto" w:before="117"/>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338" w:lineRule="auto" w:before="43"/>
        <w:ind w:left="15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line="340" w:lineRule="auto" w:before="42"/>
        <w:ind w:left="154" w:right="82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处罚事项、处罚措施及整改情况</w:t>
      </w:r>
    </w:p>
    <w:p>
      <w:pPr>
        <w:pStyle w:val="Heading3"/>
        <w:spacing w:line="228" w:lineRule="auto" w:before="3"/>
        <w:ind w:right="1129" w:firstLine="48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日，公司收到中国证券监督管理委员会（以下简称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）行政处罚</w:t>
      </w:r>
      <w:r>
        <w:rPr/>
        <w:t> 决定书（【</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89</w:t>
      </w:r>
      <w:r>
        <w:rPr/>
        <w:t>号）。经查明，宏磊股份存在以下违法事实：一、宏磊股份《</w:t>
      </w:r>
      <w:r>
        <w:rPr>
          <w:rFonts w:ascii="Times New Roman" w:hAnsi="Times New Roman" w:cs="Times New Roman" w:eastAsia="Times New Roman" w:hint="default"/>
        </w:rPr>
        <w:t>2012</w:t>
      </w:r>
      <w:r>
        <w:rPr/>
        <w:t>年半 年度报告》未披露关联方浙江宏磊控股集团有限公司（以下简称</w:t>
      </w:r>
      <w:r>
        <w:rPr>
          <w:rFonts w:ascii="Times New Roman" w:hAnsi="Times New Roman" w:cs="Times New Roman" w:eastAsia="Times New Roman" w:hint="default"/>
        </w:rPr>
        <w:t>“</w:t>
      </w:r>
      <w:r>
        <w:rPr/>
        <w:t>宏磊集团</w:t>
      </w:r>
      <w:r>
        <w:rPr>
          <w:rFonts w:ascii="Times New Roman" w:hAnsi="Times New Roman" w:cs="Times New Roman" w:eastAsia="Times New Roman" w:hint="default"/>
        </w:rPr>
        <w:t>”</w:t>
      </w:r>
      <w:r>
        <w:rPr/>
        <w:t>）占用宏磊股份 资金的关联交易情况；</w:t>
      </w:r>
      <w:r>
        <w:rPr>
          <w:spacing w:val="-78"/>
        </w:rPr>
        <w:t> </w:t>
      </w:r>
      <w:r>
        <w:rPr/>
        <w:t>二、宏磊股份《</w:t>
      </w:r>
      <w:r>
        <w:rPr>
          <w:rFonts w:ascii="Times New Roman" w:hAnsi="Times New Roman" w:cs="Times New Roman" w:eastAsia="Times New Roman" w:hint="default"/>
        </w:rPr>
        <w:t>2012</w:t>
      </w:r>
      <w:r>
        <w:rPr/>
        <w:t>年年度报告》未完整披露宏磊集团占用宏磊股份 资金的关联情况。公司的上述行为违反了《证券法》第六十三条的规定，构成了《证券法》 第一百九十三条所述情形。</w:t>
      </w:r>
    </w:p>
    <w:p>
      <w:pPr>
        <w:pStyle w:val="Heading3"/>
        <w:spacing w:line="312" w:lineRule="exact" w:before="30"/>
        <w:ind w:left="154" w:right="0" w:firstLine="480"/>
        <w:jc w:val="left"/>
      </w:pPr>
      <w:r>
        <w:rPr/>
        <w:t>对上述违法行为直接负责的主管人员为宏磊股份时任董事长、总经理戚建萍；其他直接 责任人员为时任董事戚建华、戚建生、金磊，董事、副总经理魏浙强，独立董事杨学桐、尚</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left="633" w:right="0" w:hanging="480"/>
        <w:jc w:val="left"/>
      </w:pPr>
      <w:r>
        <w:rPr/>
        <w:t>福山、何力民、吴旭仕，副总经理、董事会秘书方中厚，财务总监俞晓光。 根据当事人违法行为的事实、性质、情节与社会危害程度，以及宏磊股份</w:t>
      </w:r>
      <w:r>
        <w:rPr>
          <w:rFonts w:ascii="Times New Roman" w:hAnsi="Times New Roman" w:cs="Times New Roman" w:eastAsia="Times New Roman" w:hint="default"/>
        </w:rPr>
        <w:t>2013</w:t>
      </w:r>
      <w:r>
        <w:rPr/>
        <w:t>年上半年</w:t>
      </w:r>
    </w:p>
    <w:p>
      <w:pPr>
        <w:pStyle w:val="Heading3"/>
        <w:spacing w:line="225" w:lineRule="auto"/>
        <w:ind w:right="1130"/>
        <w:jc w:val="both"/>
      </w:pPr>
      <w:r>
        <w:rPr>
          <w:spacing w:val="28"/>
        </w:rPr>
        <w:t>收回了宏磊集团占用的全部资金</w:t>
      </w:r>
      <w:r>
        <w:rPr>
          <w:spacing w:val="-81"/>
        </w:rPr>
        <w:t> </w:t>
      </w:r>
      <w:r>
        <w:rPr>
          <w:rFonts w:ascii="Times New Roman" w:hAnsi="Times New Roman" w:cs="Times New Roman" w:eastAsia="Times New Roman" w:hint="default"/>
        </w:rPr>
        <w:t>508,715,650.54</w:t>
      </w:r>
      <w:r>
        <w:rPr>
          <w:rFonts w:ascii="Times New Roman" w:hAnsi="Times New Roman" w:cs="Times New Roman" w:eastAsia="Times New Roman" w:hint="default"/>
          <w:spacing w:val="-22"/>
        </w:rPr>
        <w:t> </w:t>
      </w:r>
      <w:r>
        <w:rPr>
          <w:spacing w:val="28"/>
        </w:rPr>
        <w:t>元，并向宏磊集团收取了资金占用</w:t>
      </w:r>
      <w:r>
        <w:rPr>
          <w:spacing w:val="-81"/>
        </w:rPr>
        <w:t> </w:t>
      </w:r>
      <w:r>
        <w:rPr/>
        <w:t>费</w:t>
      </w:r>
      <w:r>
        <w:rPr>
          <w:spacing w:val="-117"/>
        </w:rPr>
        <w:t> </w:t>
      </w:r>
      <w:r>
        <w:rPr>
          <w:spacing w:val="-117"/>
        </w:rPr>
      </w:r>
      <w:r>
        <w:rPr>
          <w:rFonts w:ascii="Times New Roman" w:hAnsi="Times New Roman" w:cs="Times New Roman" w:eastAsia="Times New Roman" w:hint="default"/>
        </w:rPr>
        <w:t>25,414,971.69</w:t>
      </w:r>
      <w:r>
        <w:rPr/>
        <w:t>元的情况，依据《证券法》第一百九十三条和《中华人民共和国行政处罚法》</w:t>
      </w:r>
      <w:r>
        <w:rPr>
          <w:spacing w:val="-40"/>
        </w:rPr>
        <w:t> </w:t>
      </w:r>
      <w:r>
        <w:rPr>
          <w:spacing w:val="-40"/>
        </w:rPr>
      </w:r>
      <w:r>
        <w:rPr>
          <w:spacing w:val="-2"/>
        </w:rPr>
        <w:t>第二十七条从轻和减轻行政处罚的相关规定，决定：</w:t>
      </w:r>
      <w:r>
        <w:rPr>
          <w:rFonts w:ascii="Times New Roman" w:hAnsi="Times New Roman" w:cs="Times New Roman" w:eastAsia="Times New Roman" w:hint="default"/>
          <w:spacing w:val="-2"/>
        </w:rPr>
        <w:t>1</w:t>
      </w:r>
      <w:r>
        <w:rPr>
          <w:spacing w:val="-2"/>
        </w:rPr>
        <w:t>、对宏磊股份给予警告，并处以</w:t>
      </w:r>
      <w:r>
        <w:rPr>
          <w:rFonts w:ascii="Times New Roman" w:hAnsi="Times New Roman" w:cs="Times New Roman" w:eastAsia="Times New Roman" w:hint="default"/>
          <w:spacing w:val="-2"/>
        </w:rPr>
        <w:t>30</w:t>
      </w:r>
      <w:r>
        <w:rPr>
          <w:spacing w:val="-2"/>
        </w:rPr>
        <w:t>万元</w:t>
      </w:r>
      <w:r>
        <w:rPr/>
        <w:t> 罚款；</w:t>
      </w:r>
      <w:r>
        <w:rPr>
          <w:rFonts w:ascii="Times New Roman" w:hAnsi="Times New Roman" w:cs="Times New Roman" w:eastAsia="Times New Roman" w:hint="default"/>
        </w:rPr>
        <w:t>2</w:t>
      </w:r>
      <w:r>
        <w:rPr/>
        <w:t>、对戚建萍给予警告，并处以</w:t>
      </w:r>
      <w:r>
        <w:rPr>
          <w:rFonts w:ascii="Times New Roman" w:hAnsi="Times New Roman" w:cs="Times New Roman" w:eastAsia="Times New Roman" w:hint="default"/>
        </w:rPr>
        <w:t>20</w:t>
      </w:r>
      <w:r>
        <w:rPr/>
        <w:t>万元罚款；</w:t>
      </w:r>
      <w:r>
        <w:rPr>
          <w:rFonts w:ascii="Times New Roman" w:hAnsi="Times New Roman" w:cs="Times New Roman" w:eastAsia="Times New Roman" w:hint="default"/>
        </w:rPr>
        <w:t>3</w:t>
      </w:r>
      <w:r>
        <w:rPr/>
        <w:t>、对戚建华、戚建生、金磊、魏浙强给</w:t>
      </w:r>
      <w:r>
        <w:rPr>
          <w:spacing w:val="-111"/>
        </w:rPr>
        <w:t> </w:t>
      </w:r>
      <w:r>
        <w:rPr/>
        <w:t>予警告，并分别处以</w:t>
      </w:r>
      <w:r>
        <w:rPr>
          <w:rFonts w:ascii="Times New Roman" w:hAnsi="Times New Roman" w:cs="Times New Roman" w:eastAsia="Times New Roman" w:hint="default"/>
        </w:rPr>
        <w:t>3</w:t>
      </w:r>
      <w:r>
        <w:rPr/>
        <w:t>万元罚款；</w:t>
      </w:r>
      <w:r>
        <w:rPr>
          <w:rFonts w:ascii="Times New Roman" w:hAnsi="Times New Roman" w:cs="Times New Roman" w:eastAsia="Times New Roman" w:hint="default"/>
        </w:rPr>
        <w:t>4</w:t>
      </w:r>
      <w:r>
        <w:rPr/>
        <w:t>、对俞晓光予以警告，并处以</w:t>
      </w:r>
      <w:r>
        <w:rPr>
          <w:rFonts w:ascii="Times New Roman" w:hAnsi="Times New Roman" w:cs="Times New Roman" w:eastAsia="Times New Roman" w:hint="default"/>
        </w:rPr>
        <w:t>5</w:t>
      </w:r>
      <w:r>
        <w:rPr/>
        <w:t>万元罚款；</w:t>
      </w:r>
      <w:r>
        <w:rPr>
          <w:rFonts w:ascii="Times New Roman" w:hAnsi="Times New Roman" w:cs="Times New Roman" w:eastAsia="Times New Roman" w:hint="default"/>
        </w:rPr>
        <w:t>5</w:t>
      </w:r>
      <w:r>
        <w:rPr/>
        <w:t>、对杨学桐、</w:t>
      </w:r>
      <w:r>
        <w:rPr>
          <w:spacing w:val="-104"/>
        </w:rPr>
        <w:t> </w:t>
      </w:r>
      <w:r>
        <w:rPr/>
        <w:t>尚福山、何力民、吴旭仕、方中厚给予警告。（具体内容详见公司</w:t>
      </w:r>
      <w:r>
        <w:rPr>
          <w:rFonts w:ascii="Times New Roman" w:hAnsi="Times New Roman" w:cs="Times New Roman" w:eastAsia="Times New Roman" w:hint="default"/>
        </w:rPr>
        <w:t>2014-087</w:t>
      </w:r>
      <w:r>
        <w:rPr/>
        <w:t>号公告）</w:t>
      </w:r>
    </w:p>
    <w:p>
      <w:pPr>
        <w:pStyle w:val="Heading3"/>
        <w:spacing w:line="312" w:lineRule="exact" w:before="13"/>
        <w:ind w:right="1133" w:firstLine="480"/>
        <w:jc w:val="both"/>
      </w:pPr>
      <w:r>
        <w:rPr/>
        <w:t>发生控股股东关联方违规占用资金的事项后，公司认真组织整改，按照现代企业制度要 求，进一步优化公司治理结构，健全内部控制体系，规范三会运作，调整了董事会、监事会 的成员组成，充分发挥独立董事的职能和监事会的监督作用，约束实际控制人的决策和经营 行为。同时，公司董事会将相关证券法律法规及违规案例分析编制成册，组织董事、监事、</w:t>
      </w:r>
      <w:r>
        <w:rPr>
          <w:spacing w:val="-114"/>
        </w:rPr>
        <w:t> </w:t>
      </w:r>
      <w:r>
        <w:rPr>
          <w:spacing w:val="-114"/>
        </w:rPr>
      </w:r>
      <w:r>
        <w:rPr/>
        <w:t>高级管理人员以及其他相关人员学习讨论，提高对上市公司独立性、关联交易、资金占用、 对外担保、对外投资等重要事项的认识，提升遵章守法的意识，建立和完善重大信息内部报 告机制，确保公司经营管理规范运作。</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十六、报告期内接待调研、沟通、采访等活动登记表" w:id="58"/>
      <w:bookmarkEnd w:id="58"/>
      <w:r>
        <w:rPr>
          <w:b w:val="0"/>
          <w:bCs w:val="0"/>
        </w:rPr>
      </w:r>
      <w:r>
        <w:rPr/>
        <w:t>十六、报告期内接待调研、沟通、采访等活动登记表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公司报告期内未发生接待调研、沟通、采访等活动。</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_TOC_250007" w:id="59"/>
      <w:bookmarkStart w:name="第五节 重要事项" w:id="60"/>
      <w:r>
        <w:rPr>
          <w:b w:val="0"/>
          <w:bCs w:val="0"/>
        </w:rPr>
      </w:r>
      <w:r>
        <w:rPr/>
        <w:t>第五节</w:t>
      </w:r>
      <w:r>
        <w:rPr>
          <w:spacing w:val="-5"/>
        </w:rPr>
        <w:t> </w:t>
      </w:r>
      <w:r>
        <w:rPr/>
        <w:t>重要事项</w:t>
      </w:r>
      <w:bookmarkEnd w:id="5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left"/>
        <w:rPr>
          <w:b w:val="0"/>
          <w:bCs w:val="0"/>
        </w:rPr>
      </w:pPr>
      <w:bookmarkStart w:name="一、重大诉讼仲裁事项" w:id="61"/>
      <w:bookmarkEnd w:id="61"/>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本报告期公司无重大诉讼、仲裁事项。</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二、媒体质疑情况" w:id="62"/>
      <w:bookmarkEnd w:id="62"/>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872"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本报告期公司无媒体普遍质疑事项。</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三、控股股东及其关联方对上市公司的非经营性占用资金情况" w:id="63"/>
      <w:bookmarkEnd w:id="63"/>
      <w:r>
        <w:rPr>
          <w:b w:val="0"/>
          <w:bCs w:val="0"/>
        </w:rPr>
      </w:r>
      <w:r>
        <w:rPr/>
        <w:t>三、控股股东及其关联方对上市公司的非经营性占用资金情况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2"/>
        <w:gridCol w:w="955"/>
        <w:gridCol w:w="956"/>
        <w:gridCol w:w="958"/>
        <w:gridCol w:w="959"/>
        <w:gridCol w:w="958"/>
        <w:gridCol w:w="958"/>
        <w:gridCol w:w="959"/>
        <w:gridCol w:w="958"/>
        <w:gridCol w:w="959"/>
      </w:tblGrid>
      <w:tr>
        <w:trPr>
          <w:trHeight w:val="714" w:hRule="exact"/>
        </w:trPr>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11"/>
              <w:jc w:val="left"/>
              <w:rPr>
                <w:rFonts w:ascii="宋体" w:hAnsi="宋体" w:cs="宋体" w:eastAsia="宋体" w:hint="default"/>
                <w:sz w:val="18"/>
                <w:szCs w:val="18"/>
              </w:rPr>
            </w:pPr>
            <w:r>
              <w:rPr>
                <w:rFonts w:ascii="宋体" w:hAnsi="宋体" w:cs="宋体" w:eastAsia="宋体" w:hint="default"/>
                <w:sz w:val="18"/>
                <w:szCs w:val="18"/>
              </w:rPr>
              <w:t>股东或关 联人名称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4" w:right="23" w:hanging="90"/>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4" w:right="23" w:hanging="361"/>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3" w:right="23" w:hanging="360"/>
              <w:jc w:val="left"/>
              <w:rPr>
                <w:rFonts w:ascii="宋体" w:hAnsi="宋体" w:cs="宋体" w:eastAsia="宋体" w:hint="default"/>
                <w:sz w:val="18"/>
                <w:szCs w:val="18"/>
              </w:rPr>
            </w:pPr>
            <w:r>
              <w:rPr>
                <w:rFonts w:ascii="宋体" w:hAnsi="宋体" w:cs="宋体" w:eastAsia="宋体" w:hint="default"/>
                <w:sz w:val="18"/>
                <w:szCs w:val="18"/>
              </w:rPr>
              <w:t>预计偿还金 额</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1026"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浙江宏磊 控股集团 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10,917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10,917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期末合计值占最近一期经审计净资 产的比例</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2274"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经公司第二届二十一次董事会、第二届十六次监事会审议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 通过《关于对会计师事务所出具的带强调事项的无保留审计意见涉及事项的专项说 明》的议案（详见公司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2014-029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公告），对非标准无保留审计意见涉及事项的基本情</w:t>
            </w:r>
            <w:r>
              <w:rPr>
                <w:rFonts w:ascii="宋体" w:hAnsi="宋体" w:cs="宋体" w:eastAsia="宋体" w:hint="default"/>
                <w:sz w:val="18"/>
                <w:szCs w:val="18"/>
              </w:rPr>
              <w:t> </w:t>
            </w:r>
            <w:r>
              <w:rPr>
                <w:rFonts w:ascii="宋体" w:hAnsi="宋体" w:cs="宋体" w:eastAsia="宋体" w:hint="default"/>
                <w:spacing w:val="-1"/>
                <w:sz w:val="18"/>
                <w:szCs w:val="18"/>
              </w:rPr>
              <w:t>况、影响程度、解决方案、董事会意见、独董意见进行了详细的说明。公司积极督促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公司关联方宏磊控股按照出具的承诺函，积极筹资在一个月内还清资金占用款，并对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关联方归还占用资金的情况进行及时披露。截止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日，公司以现金方式 收回被占用资金及资金使用期间的占用利息。</w:t>
            </w:r>
          </w:p>
        </w:tc>
      </w:tr>
      <w:tr>
        <w:trPr>
          <w:trHeight w:val="1338"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究及董事会拟定采取措施的情况说 明</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采取的措施说明</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64"/>
        <w:gridCol w:w="6708"/>
      </w:tblGrid>
      <w:tr>
        <w:trPr>
          <w:trHeight w:val="362" w:hRule="exact"/>
        </w:trPr>
        <w:tc>
          <w:tcPr>
            <w:tcW w:w="2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意见的披露日期</w:t>
            </w:r>
          </w:p>
        </w:tc>
        <w:tc>
          <w:tcPr>
            <w:tcW w:w="67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破产重整相关事项" w:id="64"/>
      <w:bookmarkEnd w:id="64"/>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五、资产交易事项" w:id="65"/>
      <w:bookmarkEnd w:id="65"/>
      <w:r>
        <w:rPr>
          <w:b w:val="0"/>
          <w:bCs w:val="0"/>
        </w:rPr>
      </w:r>
      <w:r>
        <w:rPr/>
        <w:t>五、资产交易事项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收购资产情况" w:id="66"/>
      <w:bookmarkEnd w:id="66"/>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7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公司报告期未收购资产。</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2、出售资产情况" w:id="67"/>
      <w:bookmarkEnd w:id="67"/>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7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公司报告期未出售资产。</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企业合并情况" w:id="68"/>
      <w:bookmarkEnd w:id="68"/>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公司报告期未发生企业合并情况。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六、公司股权激励的实施情况及其影响" w:id="69"/>
      <w:bookmarkEnd w:id="69"/>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3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公司报告期无股权激励计划及其实施情况。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七、重大关联交易" w:id="70"/>
      <w:bookmarkEnd w:id="70"/>
      <w:r>
        <w:rPr>
          <w:b w:val="0"/>
          <w:bCs w:val="0"/>
        </w:rPr>
      </w:r>
      <w:r>
        <w:rPr/>
        <w:t>七、重大关联交易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1"/>
      <w:bookmarkEnd w:id="7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69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资产收购、出售发生的关联交易" w:id="72"/>
      <w:bookmarkEnd w:id="72"/>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69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公司报告期未发生资产收购、出售的关联交易。</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3、共同对外投资的关联交易" w:id="73"/>
      <w:bookmarkEnd w:id="7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1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4、关联债权债务往来" w:id="74"/>
      <w:bookmarkEnd w:id="7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5、其他关联交易" w:id="75"/>
      <w:bookmarkEnd w:id="75"/>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公司报告期无其他关联交易。</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八、重大合同及其履行情况" w:id="76"/>
      <w:bookmarkEnd w:id="76"/>
      <w:r>
        <w:rPr>
          <w:b w:val="0"/>
          <w:bCs w:val="0"/>
        </w:rPr>
      </w:r>
      <w:r>
        <w:rPr/>
        <w:t>八、重大合同及其履行情况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托管、承包、租赁事项情况" w:id="77"/>
      <w:bookmarkEnd w:id="7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托管情况" w:id="78"/>
      <w:bookmarkEnd w:id="7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承包情况" w:id="79"/>
      <w:bookmarkEnd w:id="7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租赁情况" w:id="80"/>
      <w:bookmarkEnd w:id="8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公司报告期不存在租赁情况。</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担保情况" w:id="81"/>
      <w:bookmarkEnd w:id="81"/>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4"/>
        <w:gridCol w:w="942"/>
        <w:gridCol w:w="932"/>
        <w:gridCol w:w="1212"/>
        <w:gridCol w:w="1176"/>
        <w:gridCol w:w="1093"/>
        <w:gridCol w:w="1017"/>
        <w:gridCol w:w="806"/>
        <w:gridCol w:w="786"/>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6"/>
              <w:jc w:val="center"/>
              <w:rPr>
                <w:rFonts w:ascii="宋体" w:hAnsi="宋体" w:cs="宋体" w:eastAsia="宋体" w:hint="default"/>
                <w:sz w:val="18"/>
                <w:szCs w:val="18"/>
              </w:rPr>
            </w:pPr>
            <w:r>
              <w:rPr>
                <w:rFonts w:ascii="宋体" w:hAnsi="宋体" w:cs="宋体" w:eastAsia="宋体" w:hint="default"/>
                <w:sz w:val="18"/>
                <w:szCs w:val="18"/>
              </w:rPr>
              <w:t>浙江大东南集团有</w:t>
            </w:r>
          </w:p>
        </w:tc>
        <w:tc>
          <w:tcPr>
            <w:tcW w:w="94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5" w:right="0"/>
              <w:jc w:val="left"/>
              <w:rPr>
                <w:rFonts w:ascii="Times New Roman" w:hAnsi="Times New Roman" w:cs="Times New Roman" w:eastAsia="Times New Roman" w:hint="default"/>
                <w:sz w:val="18"/>
                <w:szCs w:val="18"/>
              </w:rPr>
            </w:pPr>
            <w:r>
              <w:rPr>
                <w:rFonts w:ascii="Times New Roman"/>
                <w:sz w:val="18"/>
              </w:rPr>
              <w:t>25,000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4"/>
        <w:gridCol w:w="934"/>
        <w:gridCol w:w="940"/>
        <w:gridCol w:w="1216"/>
        <w:gridCol w:w="1173"/>
        <w:gridCol w:w="1086"/>
        <w:gridCol w:w="1024"/>
        <w:gridCol w:w="806"/>
        <w:gridCol w:w="786"/>
      </w:tblGrid>
      <w:tr>
        <w:trPr>
          <w:trHeight w:val="362"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34"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3"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56"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25,000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 w:right="67"/>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1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r>
      <w:tr>
        <w:trPr>
          <w:trHeight w:val="719" w:hRule="exact"/>
        </w:trPr>
        <w:tc>
          <w:tcPr>
            <w:tcW w:w="2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3"/>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56"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25,000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67"/>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604" w:type="dxa"/>
            <w:vMerge w:val="restart"/>
            <w:tcBorders>
              <w:top w:val="single" w:sz="4" w:space="0" w:color="000000"/>
              <w:left w:val="single" w:sz="4" w:space="0" w:color="000000"/>
              <w:right w:val="single" w:sz="4" w:space="0" w:color="000000"/>
            </w:tcBorders>
            <w:shd w:val="clear" w:color="auto" w:fill="D2D2D2"/>
          </w:tcPr>
          <w:p>
            <w:pP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5"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vMerge w:val="restart"/>
            <w:tcBorders>
              <w:top w:val="single" w:sz="4" w:space="0" w:color="000000"/>
              <w:left w:val="single" w:sz="4" w:space="0" w:color="000000"/>
              <w:right w:val="single" w:sz="4" w:space="0" w:color="000000"/>
            </w:tcBorders>
            <w:shd w:val="clear" w:color="auto" w:fill="D2D2D2"/>
          </w:tcPr>
          <w:p>
            <w:pPr/>
          </w:p>
        </w:tc>
        <w:tc>
          <w:tcPr>
            <w:tcW w:w="12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52"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3" w:type="dxa"/>
            <w:vMerge w:val="restart"/>
            <w:tcBorders>
              <w:top w:val="single" w:sz="4" w:space="0" w:color="000000"/>
              <w:left w:val="single" w:sz="4" w:space="0" w:color="000000"/>
              <w:right w:val="single" w:sz="4" w:space="0" w:color="000000"/>
            </w:tcBorders>
            <w:shd w:val="clear" w:color="auto" w:fill="D2D2D2"/>
          </w:tcPr>
          <w:p>
            <w:pPr/>
          </w:p>
        </w:tc>
        <w:tc>
          <w:tcPr>
            <w:tcW w:w="1086" w:type="dxa"/>
            <w:vMerge w:val="restart"/>
            <w:tcBorders>
              <w:top w:val="single" w:sz="4" w:space="0" w:color="000000"/>
              <w:left w:val="single" w:sz="4" w:space="0" w:color="000000"/>
              <w:right w:val="single" w:sz="4" w:space="0" w:color="000000"/>
            </w:tcBorders>
            <w:shd w:val="clear" w:color="auto" w:fill="D2D2D2"/>
          </w:tcPr>
          <w:p>
            <w:pPr/>
          </w:p>
        </w:tc>
        <w:tc>
          <w:tcPr>
            <w:tcW w:w="1024" w:type="dxa"/>
            <w:vMerge w:val="restart"/>
            <w:tcBorders>
              <w:top w:val="single" w:sz="4" w:space="0" w:color="000000"/>
              <w:left w:val="single" w:sz="4" w:space="0" w:color="000000"/>
              <w:right w:val="single" w:sz="4" w:space="0" w:color="000000"/>
            </w:tcBorders>
            <w:shd w:val="clear" w:color="auto" w:fill="D2D2D2"/>
          </w:tcPr>
          <w:p>
            <w:pPr/>
          </w:p>
        </w:tc>
        <w:tc>
          <w:tcPr>
            <w:tcW w:w="80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0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40" w:type="dxa"/>
            <w:vMerge/>
            <w:tcBorders>
              <w:left w:val="single" w:sz="4" w:space="0" w:color="000000"/>
              <w:bottom w:val="nil" w:sz="6" w:space="0" w:color="auto"/>
              <w:right w:val="single" w:sz="4" w:space="0" w:color="000000"/>
            </w:tcBorders>
            <w:shd w:val="clear" w:color="auto" w:fill="D2D2D2"/>
          </w:tcPr>
          <w:p>
            <w:pPr/>
          </w:p>
        </w:tc>
        <w:tc>
          <w:tcPr>
            <w:tcW w:w="1216" w:type="dxa"/>
            <w:vMerge/>
            <w:tcBorders>
              <w:left w:val="single" w:sz="4" w:space="0" w:color="000000"/>
              <w:right w:val="single" w:sz="4" w:space="0" w:color="000000"/>
            </w:tcBorders>
            <w:shd w:val="clear" w:color="auto" w:fill="D2D2D2"/>
          </w:tcPr>
          <w:p>
            <w:pPr/>
          </w:p>
        </w:tc>
        <w:tc>
          <w:tcPr>
            <w:tcW w:w="1173" w:type="dxa"/>
            <w:vMerge/>
            <w:tcBorders>
              <w:left w:val="single" w:sz="4" w:space="0" w:color="000000"/>
              <w:bottom w:val="nil" w:sz="6" w:space="0" w:color="auto"/>
              <w:right w:val="single" w:sz="4" w:space="0" w:color="000000"/>
            </w:tcBorders>
            <w:shd w:val="clear" w:color="auto" w:fill="D2D2D2"/>
          </w:tcPr>
          <w:p>
            <w:pPr/>
          </w:p>
        </w:tc>
        <w:tc>
          <w:tcPr>
            <w:tcW w:w="1086" w:type="dxa"/>
            <w:vMerge/>
            <w:tcBorders>
              <w:left w:val="single" w:sz="4" w:space="0" w:color="000000"/>
              <w:bottom w:val="nil" w:sz="6" w:space="0" w:color="auto"/>
              <w:right w:val="single" w:sz="4" w:space="0" w:color="000000"/>
            </w:tcBorders>
            <w:shd w:val="clear" w:color="auto" w:fill="D2D2D2"/>
          </w:tcPr>
          <w:p>
            <w:pPr/>
          </w:p>
        </w:tc>
        <w:tc>
          <w:tcPr>
            <w:tcW w:w="1024" w:type="dxa"/>
            <w:vMerge/>
            <w:tcBorders>
              <w:left w:val="single" w:sz="4" w:space="0" w:color="000000"/>
              <w:bottom w:val="nil" w:sz="6" w:space="0" w:color="auto"/>
              <w:right w:val="single" w:sz="4" w:space="0" w:color="000000"/>
            </w:tcBorders>
            <w:shd w:val="clear" w:color="auto" w:fill="D2D2D2"/>
          </w:tcPr>
          <w:p>
            <w:pPr/>
          </w:p>
        </w:tc>
        <w:tc>
          <w:tcPr>
            <w:tcW w:w="80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6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4" w:type="dxa"/>
            <w:vMerge/>
            <w:tcBorders>
              <w:left w:val="single" w:sz="4" w:space="0" w:color="000000"/>
              <w:right w:val="single" w:sz="4" w:space="0" w:color="000000"/>
            </w:tcBorders>
            <w:shd w:val="clear" w:color="auto" w:fill="D2D2D2"/>
          </w:tcPr>
          <w:p>
            <w:pPr/>
          </w:p>
        </w:tc>
        <w:tc>
          <w:tcPr>
            <w:tcW w:w="9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6" w:type="dxa"/>
            <w:vMerge/>
            <w:tcBorders>
              <w:left w:val="single" w:sz="4" w:space="0" w:color="000000"/>
              <w:right w:val="single" w:sz="4" w:space="0" w:color="000000"/>
            </w:tcBorders>
            <w:shd w:val="clear" w:color="auto" w:fill="D2D2D2"/>
          </w:tcPr>
          <w:p>
            <w:pPr/>
          </w:p>
        </w:tc>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r>
      <w:tr>
        <w:trPr>
          <w:trHeight w:val="156" w:hRule="exact"/>
        </w:trPr>
        <w:tc>
          <w:tcPr>
            <w:tcW w:w="1604" w:type="dxa"/>
            <w:vMerge w:val="restart"/>
            <w:tcBorders>
              <w:top w:val="nil" w:sz="6" w:space="0" w:color="auto"/>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40" w:type="dxa"/>
            <w:vMerge w:val="restart"/>
            <w:tcBorders>
              <w:top w:val="nil" w:sz="6" w:space="0" w:color="auto"/>
              <w:left w:val="single" w:sz="4" w:space="0" w:color="000000"/>
              <w:right w:val="single" w:sz="4" w:space="0" w:color="000000"/>
            </w:tcBorders>
            <w:shd w:val="clear" w:color="auto" w:fill="D2D2D2"/>
          </w:tcPr>
          <w:p>
            <w:pPr/>
          </w:p>
        </w:tc>
        <w:tc>
          <w:tcPr>
            <w:tcW w:w="1216" w:type="dxa"/>
            <w:vMerge/>
            <w:tcBorders>
              <w:left w:val="single" w:sz="4" w:space="0" w:color="000000"/>
              <w:right w:val="single" w:sz="4" w:space="0" w:color="000000"/>
            </w:tcBorders>
            <w:shd w:val="clear" w:color="auto" w:fill="D2D2D2"/>
          </w:tcPr>
          <w:p>
            <w:pPr/>
          </w:p>
        </w:tc>
        <w:tc>
          <w:tcPr>
            <w:tcW w:w="1173" w:type="dxa"/>
            <w:vMerge w:val="restart"/>
            <w:tcBorders>
              <w:top w:val="nil" w:sz="6" w:space="0" w:color="auto"/>
              <w:left w:val="single" w:sz="4" w:space="0" w:color="000000"/>
              <w:right w:val="single" w:sz="4" w:space="0" w:color="000000"/>
            </w:tcBorders>
            <w:shd w:val="clear" w:color="auto" w:fill="D2D2D2"/>
          </w:tcPr>
          <w:p>
            <w:pPr/>
          </w:p>
        </w:tc>
        <w:tc>
          <w:tcPr>
            <w:tcW w:w="1086" w:type="dxa"/>
            <w:vMerge w:val="restart"/>
            <w:tcBorders>
              <w:top w:val="nil" w:sz="6" w:space="0" w:color="auto"/>
              <w:left w:val="single" w:sz="4" w:space="0" w:color="000000"/>
              <w:right w:val="single" w:sz="4" w:space="0" w:color="000000"/>
            </w:tcBorders>
            <w:shd w:val="clear" w:color="auto" w:fill="D2D2D2"/>
          </w:tcPr>
          <w:p>
            <w:pPr/>
          </w:p>
        </w:tc>
        <w:tc>
          <w:tcPr>
            <w:tcW w:w="1024" w:type="dxa"/>
            <w:vMerge w:val="restart"/>
            <w:tcBorders>
              <w:top w:val="nil" w:sz="6" w:space="0" w:color="auto"/>
              <w:left w:val="single" w:sz="4" w:space="0" w:color="000000"/>
              <w:right w:val="single" w:sz="4" w:space="0" w:color="000000"/>
            </w:tcBorders>
            <w:shd w:val="clear" w:color="auto" w:fill="D2D2D2"/>
          </w:tcPr>
          <w:p>
            <w:pPr/>
          </w:p>
        </w:tc>
        <w:tc>
          <w:tcPr>
            <w:tcW w:w="806" w:type="dxa"/>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04"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40" w:type="dxa"/>
            <w:vMerge/>
            <w:tcBorders>
              <w:left w:val="single" w:sz="4" w:space="0" w:color="000000"/>
              <w:bottom w:val="single" w:sz="4" w:space="0" w:color="000000"/>
              <w:right w:val="single" w:sz="4" w:space="0" w:color="000000"/>
            </w:tcBorders>
            <w:shd w:val="clear" w:color="auto" w:fill="D2D2D2"/>
          </w:tcPr>
          <w:p>
            <w:pPr/>
          </w:p>
        </w:tc>
        <w:tc>
          <w:tcPr>
            <w:tcW w:w="1216" w:type="dxa"/>
            <w:vMerge/>
            <w:tcBorders>
              <w:left w:val="single" w:sz="4" w:space="0" w:color="000000"/>
              <w:bottom w:val="single" w:sz="4" w:space="0" w:color="000000"/>
              <w:right w:val="single" w:sz="4" w:space="0" w:color="000000"/>
            </w:tcBorders>
            <w:shd w:val="clear" w:color="auto" w:fill="D2D2D2"/>
          </w:tcPr>
          <w:p>
            <w:pPr/>
          </w:p>
        </w:tc>
        <w:tc>
          <w:tcPr>
            <w:tcW w:w="1173" w:type="dxa"/>
            <w:vMerge/>
            <w:tcBorders>
              <w:left w:val="single" w:sz="4" w:space="0" w:color="000000"/>
              <w:bottom w:val="single" w:sz="4" w:space="0" w:color="000000"/>
              <w:right w:val="single" w:sz="4" w:space="0" w:color="000000"/>
            </w:tcBorders>
            <w:shd w:val="clear" w:color="auto" w:fill="D2D2D2"/>
          </w:tcPr>
          <w:p>
            <w:pPr/>
          </w:p>
        </w:tc>
        <w:tc>
          <w:tcPr>
            <w:tcW w:w="1086" w:type="dxa"/>
            <w:vMerge/>
            <w:tcBorders>
              <w:left w:val="single" w:sz="4" w:space="0" w:color="000000"/>
              <w:bottom w:val="single" w:sz="4" w:space="0" w:color="000000"/>
              <w:right w:val="single" w:sz="4" w:space="0" w:color="000000"/>
            </w:tcBorders>
            <w:shd w:val="clear" w:color="auto" w:fill="D2D2D2"/>
          </w:tcPr>
          <w:p>
            <w:pPr/>
          </w:p>
        </w:tc>
        <w:tc>
          <w:tcPr>
            <w:tcW w:w="1024" w:type="dxa"/>
            <w:vMerge/>
            <w:tcBorders>
              <w:left w:val="single" w:sz="4" w:space="0" w:color="000000"/>
              <w:bottom w:val="single" w:sz="4" w:space="0" w:color="000000"/>
              <w:right w:val="single" w:sz="4" w:space="0" w:color="000000"/>
            </w:tcBorders>
            <w:shd w:val="clear" w:color="auto" w:fill="D2D2D2"/>
          </w:tcPr>
          <w:p>
            <w:pPr/>
          </w:p>
        </w:tc>
        <w:tc>
          <w:tcPr>
            <w:tcW w:w="80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浙江宏天铜业有限 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浙江宏天铜业有限 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浙江宏天铜业有限 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浙江宏天铜业有限 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浙江宏天铜业有限 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江西宏磊铜业有限 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6"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45,000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 w:right="67"/>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12,100</w:t>
            </w:r>
          </w:p>
        </w:tc>
      </w:tr>
      <w:tr>
        <w:trPr>
          <w:trHeight w:val="719" w:hRule="exact"/>
        </w:trPr>
        <w:tc>
          <w:tcPr>
            <w:tcW w:w="2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3"/>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6"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45,000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 w:right="67"/>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12,100</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6"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70,000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0" w:right="67"/>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24,100</w:t>
            </w:r>
          </w:p>
        </w:tc>
      </w:tr>
      <w:tr>
        <w:trPr>
          <w:trHeight w:val="714" w:hRule="exact"/>
        </w:trPr>
        <w:tc>
          <w:tcPr>
            <w:tcW w:w="2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3"/>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6"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70,000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24,100</w:t>
            </w:r>
          </w:p>
        </w:tc>
      </w:tr>
      <w:tr>
        <w:trPr>
          <w:trHeight w:val="407"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24.35%</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22" w:right="14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违规对外担保情况" w:id="82"/>
      <w:bookmarkEnd w:id="82"/>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公司报告期无违规对外担保情况。</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3、其他重大合同" w:id="83"/>
      <w:bookmarkEnd w:id="83"/>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公司报告期不存在其他重大合同。</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4、其他重大交易" w:id="84"/>
      <w:bookmarkEnd w:id="84"/>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公司报告期不存在其他重大交易。</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九、承诺事项履行情况" w:id="85"/>
      <w:bookmarkEnd w:id="85"/>
      <w:r>
        <w:rPr>
          <w:b w:val="0"/>
          <w:bCs w:val="0"/>
        </w:rPr>
      </w: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或持股5%以上股东在报告期内发生或以前期间发生但持续到报告期内的承诺事项" w:id="86"/>
      <w:bookmarkEnd w:id="86"/>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93"/>
        <w:gridCol w:w="1276"/>
        <w:gridCol w:w="1276"/>
        <w:gridCol w:w="1276"/>
        <w:gridCol w:w="1277"/>
        <w:gridCol w:w="1260"/>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994" w:hRule="exact"/>
        </w:trPr>
        <w:tc>
          <w:tcPr>
            <w:tcW w:w="3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 w:right="-24"/>
              <w:jc w:val="left"/>
              <w:rPr>
                <w:rFonts w:ascii="宋体" w:hAnsi="宋体" w:cs="宋体" w:eastAsia="宋体" w:hint="default"/>
                <w:sz w:val="18"/>
                <w:szCs w:val="18"/>
              </w:rPr>
            </w:pPr>
            <w:r>
              <w:rPr>
                <w:rFonts w:ascii="宋体" w:hAnsi="宋体" w:cs="宋体" w:eastAsia="宋体" w:hint="default"/>
                <w:sz w:val="18"/>
                <w:szCs w:val="18"/>
              </w:rPr>
              <w:t>戚建萍、戚建 </w:t>
            </w:r>
            <w:r>
              <w:rPr>
                <w:rFonts w:ascii="宋体" w:hAnsi="宋体" w:cs="宋体" w:eastAsia="宋体" w:hint="default"/>
                <w:spacing w:val="-6"/>
                <w:sz w:val="18"/>
                <w:szCs w:val="18"/>
              </w:rPr>
              <w:t>生、戚建华、金</w:t>
            </w:r>
            <w:r>
              <w:rPr>
                <w:rFonts w:ascii="宋体" w:hAnsi="宋体" w:cs="宋体" w:eastAsia="宋体" w:hint="default"/>
                <w:sz w:val="18"/>
                <w:szCs w:val="18"/>
              </w:rPr>
              <w:t> </w:t>
            </w:r>
            <w:r>
              <w:rPr>
                <w:rFonts w:ascii="宋体" w:hAnsi="宋体" w:cs="宋体" w:eastAsia="宋体" w:hint="default"/>
                <w:spacing w:val="-6"/>
                <w:sz w:val="18"/>
                <w:szCs w:val="18"/>
              </w:rPr>
              <w:t>磊、金敏燕魏浙</w:t>
            </w:r>
            <w:r>
              <w:rPr>
                <w:rFonts w:ascii="宋体" w:hAnsi="宋体" w:cs="宋体" w:eastAsia="宋体" w:hint="default"/>
                <w:sz w:val="18"/>
                <w:szCs w:val="18"/>
              </w:rPr>
              <w:t> </w:t>
            </w:r>
            <w:r>
              <w:rPr>
                <w:rFonts w:ascii="宋体" w:hAnsi="宋体" w:cs="宋体" w:eastAsia="宋体" w:hint="default"/>
                <w:spacing w:val="-6"/>
                <w:sz w:val="18"/>
                <w:szCs w:val="18"/>
              </w:rPr>
              <w:t>强、方中厚、赵</w:t>
            </w:r>
            <w:r>
              <w:rPr>
                <w:rFonts w:ascii="宋体" w:hAnsi="宋体" w:cs="宋体" w:eastAsia="宋体" w:hint="default"/>
                <w:sz w:val="18"/>
                <w:szCs w:val="18"/>
              </w:rPr>
              <w:t> 忠良、俞晓光、 傅龙兴</w:t>
            </w:r>
          </w:p>
        </w:tc>
        <w:tc>
          <w:tcPr>
            <w:tcW w:w="1276" w:type="dxa"/>
            <w:vMerge w:val="restart"/>
            <w:tcBorders>
              <w:top w:val="single" w:sz="4" w:space="0" w:color="000000"/>
              <w:left w:val="single" w:sz="9" w:space="0" w:color="FFFFFF"/>
              <w:right w:val="single" w:sz="4" w:space="0" w:color="000000"/>
            </w:tcBorders>
          </w:tcPr>
          <w:p>
            <w:pPr>
              <w:pStyle w:val="TableParagraph"/>
              <w:spacing w:line="316" w:lineRule="auto" w:before="52"/>
              <w:ind w:left="16" w:right="20"/>
              <w:jc w:val="left"/>
              <w:rPr>
                <w:rFonts w:ascii="宋体" w:hAnsi="宋体" w:cs="宋体" w:eastAsia="宋体" w:hint="default"/>
                <w:sz w:val="18"/>
                <w:szCs w:val="18"/>
              </w:rPr>
            </w:pPr>
            <w:r>
              <w:rPr>
                <w:rFonts w:ascii="宋体" w:hAnsi="宋体" w:cs="宋体" w:eastAsia="宋体" w:hint="default"/>
                <w:sz w:val="18"/>
                <w:szCs w:val="18"/>
              </w:rPr>
              <w:t>关于股份限制 </w:t>
            </w:r>
            <w:r>
              <w:rPr>
                <w:rFonts w:ascii="宋体" w:hAnsi="宋体" w:cs="宋体" w:eastAsia="宋体" w:hint="default"/>
                <w:spacing w:val="-6"/>
                <w:sz w:val="18"/>
                <w:szCs w:val="18"/>
              </w:rPr>
              <w:t>流通的承诺：自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公司股票上市 之日起三十六 </w:t>
            </w:r>
            <w:r>
              <w:rPr>
                <w:rFonts w:ascii="宋体" w:hAnsi="宋体" w:cs="宋体" w:eastAsia="宋体" w:hint="default"/>
                <w:spacing w:val="-6"/>
                <w:sz w:val="18"/>
                <w:szCs w:val="18"/>
              </w:rPr>
              <w:t>个月内，不转让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或委托他人管 理其在本次发 行前持有的公 </w:t>
            </w:r>
            <w:r>
              <w:rPr>
                <w:rFonts w:ascii="宋体" w:hAnsi="宋体" w:cs="宋体" w:eastAsia="宋体" w:hint="default"/>
                <w:spacing w:val="-6"/>
                <w:sz w:val="18"/>
                <w:szCs w:val="18"/>
              </w:rPr>
              <w:t>司股份，也不由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公司收购该部 分股份。</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92" w:hRule="exact"/>
        </w:trPr>
        <w:tc>
          <w:tcPr>
            <w:tcW w:w="3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vMerge/>
            <w:tcBorders>
              <w:left w:val="single" w:sz="9" w:space="0" w:color="D2D2D2"/>
              <w:right w:val="single" w:sz="9" w:space="0" w:color="FFFFFF"/>
            </w:tcBorders>
          </w:tcPr>
          <w:p>
            <w:pPr/>
          </w:p>
        </w:tc>
        <w:tc>
          <w:tcPr>
            <w:tcW w:w="1276" w:type="dxa"/>
            <w:vMerge/>
            <w:tcBorders>
              <w:left w:val="single" w:sz="9" w:space="0" w:color="FFFFFF"/>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136" w:hRule="exact"/>
        </w:trPr>
        <w:tc>
          <w:tcPr>
            <w:tcW w:w="3193"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9" w:space="0" w:color="FFFFFF"/>
            </w:tcBorders>
          </w:tcPr>
          <w:p>
            <w:pPr/>
          </w:p>
        </w:tc>
        <w:tc>
          <w:tcPr>
            <w:tcW w:w="1276" w:type="dxa"/>
            <w:vMerge/>
            <w:tcBorders>
              <w:left w:val="single" w:sz="9" w:space="0" w:color="FFFFFF"/>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2859" w:hRule="exact"/>
        </w:trPr>
        <w:tc>
          <w:tcPr>
            <w:tcW w:w="3193"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戚建萍、戚建 </w:t>
            </w:r>
            <w:r>
              <w:rPr>
                <w:rFonts w:ascii="宋体" w:hAnsi="宋体" w:cs="宋体" w:eastAsia="宋体" w:hint="default"/>
                <w:spacing w:val="-6"/>
                <w:sz w:val="18"/>
                <w:szCs w:val="18"/>
              </w:rPr>
              <w:t>生、戚建华、金</w:t>
            </w:r>
            <w:r>
              <w:rPr>
                <w:rFonts w:ascii="宋体" w:hAnsi="宋体" w:cs="宋体" w:eastAsia="宋体" w:hint="default"/>
                <w:sz w:val="18"/>
                <w:szCs w:val="18"/>
              </w:rPr>
              <w:t> </w:t>
            </w:r>
            <w:r>
              <w:rPr>
                <w:rFonts w:ascii="宋体" w:hAnsi="宋体" w:cs="宋体" w:eastAsia="宋体" w:hint="default"/>
                <w:spacing w:val="-6"/>
                <w:sz w:val="18"/>
                <w:szCs w:val="18"/>
              </w:rPr>
              <w:t>磊、金敏燕魏浙</w:t>
            </w:r>
            <w:r>
              <w:rPr>
                <w:rFonts w:ascii="宋体" w:hAnsi="宋体" w:cs="宋体" w:eastAsia="宋体" w:hint="default"/>
                <w:sz w:val="18"/>
                <w:szCs w:val="18"/>
              </w:rPr>
              <w:t> </w:t>
            </w:r>
            <w:r>
              <w:rPr>
                <w:rFonts w:ascii="宋体" w:hAnsi="宋体" w:cs="宋体" w:eastAsia="宋体" w:hint="default"/>
                <w:spacing w:val="-6"/>
                <w:sz w:val="18"/>
                <w:szCs w:val="18"/>
              </w:rPr>
              <w:t>强、方中厚、赵</w:t>
            </w:r>
            <w:r>
              <w:rPr>
                <w:rFonts w:ascii="宋体" w:hAnsi="宋体" w:cs="宋体" w:eastAsia="宋体" w:hint="default"/>
                <w:sz w:val="18"/>
                <w:szCs w:val="18"/>
              </w:rPr>
              <w:t> 忠良、俞晓光、 傅龙兴</w:t>
            </w:r>
          </w:p>
        </w:tc>
        <w:tc>
          <w:tcPr>
            <w:tcW w:w="1276"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2"/>
              <w:ind w:left="16" w:right="20"/>
              <w:jc w:val="left"/>
              <w:rPr>
                <w:rFonts w:ascii="宋体" w:hAnsi="宋体" w:cs="宋体" w:eastAsia="宋体" w:hint="default"/>
                <w:sz w:val="18"/>
                <w:szCs w:val="18"/>
              </w:rPr>
            </w:pPr>
            <w:r>
              <w:rPr>
                <w:rFonts w:ascii="宋体" w:hAnsi="宋体" w:cs="宋体" w:eastAsia="宋体" w:hint="default"/>
                <w:sz w:val="18"/>
                <w:szCs w:val="18"/>
              </w:rPr>
              <w:t>关于股份锁定 </w:t>
            </w:r>
            <w:r>
              <w:rPr>
                <w:rFonts w:ascii="宋体" w:hAnsi="宋体" w:cs="宋体" w:eastAsia="宋体" w:hint="default"/>
                <w:spacing w:val="-6"/>
                <w:sz w:val="18"/>
                <w:szCs w:val="18"/>
              </w:rPr>
              <w:t>的承诺：在任职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期间每年所转 让的股份不超 过本人所持有 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 </w:t>
            </w:r>
            <w:r>
              <w:rPr>
                <w:rFonts w:ascii="宋体" w:hAnsi="宋体" w:cs="宋体" w:eastAsia="宋体" w:hint="default"/>
                <w:spacing w:val="-6"/>
                <w:sz w:val="18"/>
                <w:szCs w:val="18"/>
              </w:rPr>
              <w:t>年内，不转让本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人所持有的股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2547"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2"/>
              <w:jc w:val="left"/>
              <w:rPr>
                <w:rFonts w:ascii="宋体" w:hAnsi="宋体" w:cs="宋体" w:eastAsia="宋体" w:hint="default"/>
                <w:sz w:val="18"/>
                <w:szCs w:val="18"/>
              </w:rPr>
            </w:pPr>
            <w:r>
              <w:rPr>
                <w:rFonts w:ascii="宋体" w:hAnsi="宋体" w:cs="宋体" w:eastAsia="宋体" w:hint="default"/>
                <w:spacing w:val="-6"/>
                <w:sz w:val="18"/>
                <w:szCs w:val="18"/>
              </w:rPr>
              <w:t>份，离职六个月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后的十二个月 内通过证券交 易所挂牌交易 出售股票数量 占本人所持有 股份总数的比 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3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63.35pt;height:126.9pt;mso-position-horizontal-relative:char;mso-position-vertical-relative:line" coordorigin="0,0" coordsize="1267,2538">
                  <v:group style="position:absolute;left:0;top:0;width:1267;height:2538" coordorigin="0,0" coordsize="1267,2538">
                    <v:shape style="position:absolute;left:0;top:0;width:1267;height:2538" coordorigin="0,0" coordsize="1267,2538" path="m0,2537l1266,2537,1266,0,0,0,0,2537xe" filled="true" fillcolor="#ffffff" stroked="false">
                      <v:path arrowok="t"/>
                      <v:fill type="solid"/>
                    </v:shape>
                  </v:group>
                </v:group>
              </w:pict>
            </w:r>
            <w:r>
              <w:rPr>
                <w:rFonts w:ascii="Times New Roman" w:hAnsi="Times New Roman" w:cs="Times New Roman" w:eastAsia="Times New Roman" w:hint="default"/>
                <w:position w:val="-50"/>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11283"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关于避免同业 </w:t>
            </w:r>
            <w:r>
              <w:rPr>
                <w:rFonts w:ascii="宋体" w:hAnsi="宋体" w:cs="宋体" w:eastAsia="宋体" w:hint="default"/>
                <w:spacing w:val="-6"/>
                <w:sz w:val="18"/>
                <w:szCs w:val="18"/>
              </w:rPr>
              <w:t>竞争的承诺：本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人及本人控制 的企业不从事 与宏磊股份构 成同业竞争的 </w:t>
            </w:r>
            <w:r>
              <w:rPr>
                <w:rFonts w:ascii="宋体" w:hAnsi="宋体" w:cs="宋体" w:eastAsia="宋体" w:hint="default"/>
                <w:spacing w:val="-6"/>
                <w:sz w:val="18"/>
                <w:szCs w:val="18"/>
              </w:rPr>
              <w:t>业务，并将保障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宏磊股份资产、 </w:t>
            </w:r>
            <w:r>
              <w:rPr>
                <w:rFonts w:ascii="宋体" w:hAnsi="宋体" w:cs="宋体" w:eastAsia="宋体" w:hint="default"/>
                <w:spacing w:val="-6"/>
                <w:sz w:val="18"/>
                <w:szCs w:val="18"/>
              </w:rPr>
              <w:t>业务、人员、财</w:t>
            </w:r>
            <w:r>
              <w:rPr>
                <w:rFonts w:ascii="宋体" w:hAnsi="宋体" w:cs="宋体" w:eastAsia="宋体" w:hint="default"/>
                <w:sz w:val="18"/>
                <w:szCs w:val="18"/>
              </w:rPr>
              <w:t> </w:t>
            </w:r>
            <w:r>
              <w:rPr>
                <w:rFonts w:ascii="宋体" w:hAnsi="宋体" w:cs="宋体" w:eastAsia="宋体" w:hint="default"/>
                <w:spacing w:val="-6"/>
                <w:sz w:val="18"/>
                <w:szCs w:val="18"/>
              </w:rPr>
              <w:t>务、机构方面的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独立性。无论是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否获得宏磊股 </w:t>
            </w:r>
            <w:r>
              <w:rPr>
                <w:rFonts w:ascii="宋体" w:hAnsi="宋体" w:cs="宋体" w:eastAsia="宋体" w:hint="default"/>
                <w:spacing w:val="-6"/>
                <w:sz w:val="18"/>
                <w:szCs w:val="18"/>
              </w:rPr>
              <w:t>份许可，不直接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或间接从事与 宏磊股份相同 或相似的业务， 保证将采取合 法、有效的措 </w:t>
            </w:r>
            <w:r>
              <w:rPr>
                <w:rFonts w:ascii="宋体" w:hAnsi="宋体" w:cs="宋体" w:eastAsia="宋体" w:hint="default"/>
                <w:spacing w:val="-6"/>
                <w:sz w:val="18"/>
                <w:szCs w:val="18"/>
              </w:rPr>
              <w:t>施，促使本人拥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有控制权的公 </w:t>
            </w:r>
            <w:r>
              <w:rPr>
                <w:rFonts w:ascii="宋体" w:hAnsi="宋体" w:cs="宋体" w:eastAsia="宋体" w:hint="default"/>
                <w:spacing w:val="-6"/>
                <w:sz w:val="18"/>
                <w:szCs w:val="18"/>
              </w:rPr>
              <w:t>司、企业与其他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经济组织不直 接或间接从事 与宏磊股份相 同或相似的业 </w:t>
            </w:r>
            <w:r>
              <w:rPr>
                <w:rFonts w:ascii="宋体" w:hAnsi="宋体" w:cs="宋体" w:eastAsia="宋体" w:hint="default"/>
                <w:spacing w:val="-6"/>
                <w:sz w:val="18"/>
                <w:szCs w:val="18"/>
              </w:rPr>
              <w:t>务；保证不利用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宏磊股份实际 控制人等身份， 进行其他任何 损害宏磊股份 及其他股东权 </w:t>
            </w:r>
            <w:r>
              <w:rPr>
                <w:rFonts w:ascii="宋体" w:hAnsi="宋体" w:cs="宋体" w:eastAsia="宋体" w:hint="default"/>
                <w:spacing w:val="-6"/>
                <w:sz w:val="18"/>
                <w:szCs w:val="18"/>
              </w:rPr>
              <w:t>益的活动。本人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愿意对违反上 述承诺而给宏 磊股份造成的 经济损失承担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362"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赔偿责任。</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戚建生、戚建 </w:t>
            </w:r>
            <w:r>
              <w:rPr>
                <w:rFonts w:ascii="宋体" w:hAnsi="宋体" w:cs="宋体" w:eastAsia="宋体" w:hint="default"/>
                <w:spacing w:val="-6"/>
                <w:sz w:val="18"/>
                <w:szCs w:val="18"/>
              </w:rPr>
              <w:t>华、金磊、金敏</w:t>
            </w:r>
            <w:r>
              <w:rPr>
                <w:rFonts w:ascii="宋体" w:hAnsi="宋体" w:cs="宋体" w:eastAsia="宋体" w:hint="default"/>
                <w:sz w:val="18"/>
                <w:szCs w:val="18"/>
              </w:rPr>
              <w:t> 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关于避免同业 </w:t>
            </w:r>
            <w:r>
              <w:rPr>
                <w:rFonts w:ascii="宋体" w:hAnsi="宋体" w:cs="宋体" w:eastAsia="宋体" w:hint="default"/>
                <w:spacing w:val="-6"/>
                <w:sz w:val="18"/>
                <w:szCs w:val="18"/>
              </w:rPr>
              <w:t>竞争的承诺：本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人不从事与宏 磊股份构成同 业竞争的业务， 与宏磊股份不 进行直接或间 接的同业竞争。 本人所控股的 企业也不从事 与宏磊股份构 成同业竞争的 </w:t>
            </w:r>
            <w:r>
              <w:rPr>
                <w:rFonts w:ascii="宋体" w:hAnsi="宋体" w:cs="宋体" w:eastAsia="宋体" w:hint="default"/>
                <w:spacing w:val="-6"/>
                <w:sz w:val="18"/>
                <w:szCs w:val="18"/>
              </w:rPr>
              <w:t>业务，与宏磊股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份不进行直接 或间接的同业 </w:t>
            </w:r>
            <w:r>
              <w:rPr>
                <w:rFonts w:ascii="宋体" w:hAnsi="宋体" w:cs="宋体" w:eastAsia="宋体" w:hint="default"/>
                <w:spacing w:val="-6"/>
                <w:sz w:val="18"/>
                <w:szCs w:val="18"/>
              </w:rPr>
              <w:t>竞争；如本人所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控制的企业拟 进行与宏磊股 份经营相同或 </w:t>
            </w:r>
            <w:r>
              <w:rPr>
                <w:rFonts w:ascii="宋体" w:hAnsi="宋体" w:cs="宋体" w:eastAsia="宋体" w:hint="default"/>
                <w:spacing w:val="-6"/>
                <w:sz w:val="18"/>
                <w:szCs w:val="18"/>
              </w:rPr>
              <w:t>相似业务的，本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人将行使否决 </w:t>
            </w:r>
            <w:r>
              <w:rPr>
                <w:rFonts w:ascii="宋体" w:hAnsi="宋体" w:cs="宋体" w:eastAsia="宋体" w:hint="default"/>
                <w:spacing w:val="-6"/>
                <w:sz w:val="18"/>
                <w:szCs w:val="18"/>
              </w:rPr>
              <w:t>权，以确保与宏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磊股份不进行 直接或间接的 </w:t>
            </w:r>
            <w:r>
              <w:rPr>
                <w:rFonts w:ascii="宋体" w:hAnsi="宋体" w:cs="宋体" w:eastAsia="宋体" w:hint="default"/>
                <w:spacing w:val="-6"/>
                <w:sz w:val="18"/>
                <w:szCs w:val="18"/>
              </w:rPr>
              <w:t>同业竞争。如有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在宏磊股份经 营范围内相关 业务的商业机 </w:t>
            </w:r>
            <w:r>
              <w:rPr>
                <w:rFonts w:ascii="宋体" w:hAnsi="宋体" w:cs="宋体" w:eastAsia="宋体" w:hint="default"/>
                <w:spacing w:val="-6"/>
                <w:sz w:val="18"/>
                <w:szCs w:val="18"/>
              </w:rPr>
              <w:t>会，本人将优先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让与或介绍给 </w:t>
            </w:r>
            <w:r>
              <w:rPr>
                <w:rFonts w:ascii="宋体" w:hAnsi="宋体" w:cs="宋体" w:eastAsia="宋体" w:hint="default"/>
                <w:spacing w:val="-6"/>
                <w:sz w:val="18"/>
                <w:szCs w:val="18"/>
              </w:rPr>
              <w:t>宏磊股份。对宏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磊股份已进行 建设或拟投资 </w:t>
            </w:r>
            <w:r>
              <w:rPr>
                <w:rFonts w:ascii="宋体" w:hAnsi="宋体" w:cs="宋体" w:eastAsia="宋体" w:hint="default"/>
                <w:spacing w:val="-6"/>
                <w:sz w:val="18"/>
                <w:szCs w:val="18"/>
              </w:rPr>
              <w:t>兴建的项目，本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人将在投资方 向与项目选择 </w:t>
            </w:r>
            <w:r>
              <w:rPr>
                <w:rFonts w:ascii="宋体" w:hAnsi="宋体" w:cs="宋体" w:eastAsia="宋体" w:hint="default"/>
                <w:spacing w:val="-6"/>
                <w:sz w:val="18"/>
                <w:szCs w:val="18"/>
              </w:rPr>
              <w:t>上，避免与宏磊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股份相同或相 </w:t>
            </w:r>
            <w:r>
              <w:rPr>
                <w:rFonts w:ascii="宋体" w:hAnsi="宋体" w:cs="宋体" w:eastAsia="宋体" w:hint="default"/>
                <w:spacing w:val="-6"/>
                <w:sz w:val="18"/>
                <w:szCs w:val="18"/>
              </w:rPr>
              <w:t>似，不与宏磊股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份发生同业竞 </w:t>
            </w:r>
            <w:r>
              <w:rPr>
                <w:rFonts w:ascii="宋体" w:hAnsi="宋体" w:cs="宋体" w:eastAsia="宋体" w:hint="default"/>
                <w:spacing w:val="-6"/>
                <w:sz w:val="18"/>
                <w:szCs w:val="18"/>
              </w:rPr>
              <w:t>争。如可能与宏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磊股份的产品 或业务产生竞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44.73999pt;margin-top:137.399979pt;width:63.35pt;height:243.8pt;mso-position-horizontal-relative:page;mso-position-vertical-relative:page;z-index:-855376" coordorigin="6895,2748" coordsize="1267,4876">
            <v:group style="position:absolute;left:6895;top:2748;width:1267;height:4525" coordorigin="6895,2748" coordsize="1267,4525">
              <v:shape style="position:absolute;left:6895;top:2748;width:1267;height:4525" coordorigin="6895,2748" coordsize="1267,4525" path="m6895,7272l8161,7272,8161,2748,6895,2748,6895,7272xe" filled="true" fillcolor="#ffffff" stroked="false">
                <v:path arrowok="t"/>
                <v:fill type="solid"/>
              </v:shape>
            </v:group>
            <v:group style="position:absolute;left:6918;top:7272;width:1221;height:352" coordorigin="6918,7272" coordsize="1221,352">
              <v:shape style="position:absolute;left:6918;top:7272;width:1221;height:352" coordorigin="6918,7272" coordsize="1221,352" path="m6918,7624l8138,7624,8138,7272,6918,7272,6918,762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317"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争的，本人及本</w:t>
            </w:r>
          </w:p>
        </w:tc>
        <w:tc>
          <w:tcPr>
            <w:tcW w:w="127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人控制的企业</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3"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将退出与宏磊</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5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股份的竞争。</w:t>
            </w: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358" w:hRule="exact"/>
        </w:trPr>
        <w:tc>
          <w:tcPr>
            <w:tcW w:w="320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关于关联交易</w:t>
            </w:r>
          </w:p>
        </w:tc>
        <w:tc>
          <w:tcPr>
            <w:tcW w:w="127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的承诺：减少和</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规范与宏磊股</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份发生的关联</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交易。如其本人</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及其控制的其</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他企业今后与</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宏磊股份不可</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避免地出现关</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联交易时，将依</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照市场规则，本</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着一般商业原</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则，通过签订书</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面协议，并严格</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戚建萍、戚建 </w:t>
            </w:r>
            <w:r>
              <w:rPr>
                <w:rFonts w:ascii="宋体" w:hAnsi="宋体" w:cs="宋体" w:eastAsia="宋体" w:hint="default"/>
                <w:spacing w:val="-6"/>
                <w:sz w:val="18"/>
                <w:szCs w:val="18"/>
              </w:rPr>
              <w:t>生、戚建华、金</w:t>
            </w:r>
            <w:r>
              <w:rPr>
                <w:rFonts w:ascii="宋体" w:hAnsi="宋体" w:cs="宋体" w:eastAsia="宋体" w:hint="default"/>
                <w:sz w:val="18"/>
                <w:szCs w:val="18"/>
              </w:rPr>
              <w:t> 磊、金敏燕</w:t>
            </w:r>
          </w:p>
        </w:tc>
        <w:tc>
          <w:tcPr>
            <w:tcW w:w="1276"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0"/>
                <w:sz w:val="18"/>
                <w:szCs w:val="18"/>
              </w:rPr>
              <w:t>照</w:t>
            </w: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《关联交易管</w:t>
            </w:r>
          </w:p>
        </w:tc>
        <w:tc>
          <w:tcPr>
            <w:tcW w:w="1276" w:type="dxa"/>
            <w:tcBorders>
              <w:top w:val="nil" w:sz="6" w:space="0" w:color="auto"/>
              <w:left w:val="single" w:sz="13" w:space="0" w:color="FFFFFF"/>
              <w:bottom w:val="nil" w:sz="6" w:space="0" w:color="auto"/>
              <w:right w:val="single" w:sz="4" w:space="0" w:color="000000"/>
            </w:tcBorders>
          </w:tcPr>
          <w:p>
            <w:pPr>
              <w:pStyle w:val="TableParagraph"/>
              <w:spacing w:line="196" w:lineRule="exact" w:before="10"/>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理制度》等制度</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规定的程序和</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方式履行关联</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交易审批程序，</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保证不通过关</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联交易损害宏</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磊股份及宏磊</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股份其他股东</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的合法权益。涉</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及到其本人的</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关联交易，其将</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在相关董事会</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和股东大会中</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回避表决。</w:t>
            </w:r>
          </w:p>
        </w:tc>
        <w:tc>
          <w:tcPr>
            <w:tcW w:w="127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320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关于社会保障</w:t>
            </w:r>
          </w:p>
        </w:tc>
        <w:tc>
          <w:tcPr>
            <w:tcW w:w="127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情况的承诺：宏</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磊股份、浙江宏</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天铜业有限公 </w:t>
            </w:r>
            <w:r>
              <w:rPr>
                <w:rFonts w:ascii="宋体" w:hAnsi="宋体" w:cs="宋体" w:eastAsia="宋体" w:hint="default"/>
                <w:spacing w:val="-6"/>
                <w:sz w:val="18"/>
                <w:szCs w:val="18"/>
              </w:rPr>
              <w:t>司、江西宏磊铜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业有限公司已</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经按照国家和</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地方的政策按</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时足额缴纳了</w:t>
            </w:r>
          </w:p>
        </w:tc>
        <w:tc>
          <w:tcPr>
            <w:tcW w:w="127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0.619995pt;margin-top:72.47998pt;width:87.45pt;height:532.5pt;mso-position-horizontal-relative:page;mso-position-vertical-relative:page;z-index:-8553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工伤、</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工伤、</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10659"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
              <w:jc w:val="left"/>
              <w:rPr>
                <w:rFonts w:ascii="宋体" w:hAnsi="宋体" w:cs="宋体" w:eastAsia="宋体" w:hint="default"/>
                <w:sz w:val="18"/>
                <w:szCs w:val="18"/>
              </w:rPr>
            </w:pPr>
            <w:r>
              <w:rPr>
                <w:rFonts w:ascii="宋体" w:hAnsi="宋体" w:cs="宋体" w:eastAsia="宋体" w:hint="default"/>
                <w:spacing w:val="-6"/>
                <w:sz w:val="18"/>
                <w:szCs w:val="18"/>
              </w:rPr>
              <w:t>养老、医疗、工</w:t>
            </w:r>
            <w:r>
              <w:rPr>
                <w:rFonts w:ascii="宋体" w:hAnsi="宋体" w:cs="宋体" w:eastAsia="宋体" w:hint="default"/>
                <w:sz w:val="18"/>
                <w:szCs w:val="18"/>
              </w:rPr>
              <w:t> </w:t>
            </w:r>
            <w:r>
              <w:rPr>
                <w:rFonts w:ascii="宋体" w:hAnsi="宋体" w:cs="宋体" w:eastAsia="宋体" w:hint="default"/>
                <w:spacing w:val="-6"/>
                <w:sz w:val="18"/>
                <w:szCs w:val="18"/>
              </w:rPr>
              <w:t>伤、生育、失业</w:t>
            </w:r>
            <w:r>
              <w:rPr>
                <w:rFonts w:ascii="宋体" w:hAnsi="宋体" w:cs="宋体" w:eastAsia="宋体" w:hint="default"/>
                <w:sz w:val="18"/>
                <w:szCs w:val="18"/>
              </w:rPr>
              <w:t> </w:t>
            </w:r>
            <w:r>
              <w:rPr>
                <w:rFonts w:ascii="宋体" w:hAnsi="宋体" w:cs="宋体" w:eastAsia="宋体" w:hint="default"/>
                <w:spacing w:val="-6"/>
                <w:sz w:val="18"/>
                <w:szCs w:val="18"/>
              </w:rPr>
              <w:t>保险、住房公积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金。如宏磊股 </w:t>
            </w:r>
            <w:r>
              <w:rPr>
                <w:rFonts w:ascii="宋体" w:hAnsi="宋体" w:cs="宋体" w:eastAsia="宋体" w:hint="default"/>
                <w:spacing w:val="-6"/>
                <w:sz w:val="18"/>
                <w:szCs w:val="18"/>
              </w:rPr>
              <w:t>份、浙江宏天铜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业有限公司、江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西宏磊铜业有 限公司被要求 为其员工补缴 或者被追缴养 </w:t>
            </w:r>
            <w:r>
              <w:rPr>
                <w:rFonts w:ascii="宋体" w:hAnsi="宋体" w:cs="宋体" w:eastAsia="宋体" w:hint="default"/>
                <w:spacing w:val="-13"/>
                <w:sz w:val="18"/>
                <w:szCs w:val="18"/>
              </w:rPr>
              <w:t>老、医疗、</w:t>
            </w:r>
            <w:r>
              <w:rPr>
                <w:rFonts w:ascii="宋体" w:hAnsi="宋体" w:cs="宋体" w:eastAsia="宋体" w:hint="default"/>
                <w:sz w:val="18"/>
                <w:szCs w:val="18"/>
              </w:rPr>
              <w:t> 生育、失业保 险、住房公积 </w:t>
            </w:r>
            <w:r>
              <w:rPr>
                <w:rFonts w:ascii="宋体" w:hAnsi="宋体" w:cs="宋体" w:eastAsia="宋体" w:hint="default"/>
                <w:spacing w:val="-6"/>
                <w:sz w:val="18"/>
                <w:szCs w:val="18"/>
              </w:rPr>
              <w:t>金，本人将无条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件代为承担；如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宏磊股份、浙江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宏天铜业有限 </w:t>
            </w:r>
            <w:r>
              <w:rPr>
                <w:rFonts w:ascii="宋体" w:hAnsi="宋体" w:cs="宋体" w:eastAsia="宋体" w:hint="default"/>
                <w:spacing w:val="-6"/>
                <w:sz w:val="18"/>
                <w:szCs w:val="18"/>
              </w:rPr>
              <w:t>公司、江西宏磊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铜业有限公司 因养老、医疗、 </w:t>
            </w:r>
            <w:r>
              <w:rPr>
                <w:rFonts w:ascii="宋体" w:hAnsi="宋体" w:cs="宋体" w:eastAsia="宋体" w:hint="default"/>
                <w:spacing w:val="-6"/>
                <w:sz w:val="18"/>
                <w:szCs w:val="18"/>
              </w:rPr>
              <w:t>工伤、生育、失</w:t>
            </w:r>
            <w:r>
              <w:rPr>
                <w:rFonts w:ascii="宋体" w:hAnsi="宋体" w:cs="宋体" w:eastAsia="宋体" w:hint="default"/>
                <w:sz w:val="18"/>
                <w:szCs w:val="18"/>
              </w:rPr>
              <w:t> </w:t>
            </w:r>
            <w:r>
              <w:rPr>
                <w:rFonts w:ascii="宋体" w:hAnsi="宋体" w:cs="宋体" w:eastAsia="宋体" w:hint="default"/>
                <w:spacing w:val="-6"/>
                <w:sz w:val="18"/>
                <w:szCs w:val="18"/>
              </w:rPr>
              <w:t>业保险、住房公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积金而被主管 机关处以罚款， 本人将无条件 代为承担该罚 款；对于因养 </w:t>
            </w:r>
            <w:r>
              <w:rPr>
                <w:rFonts w:ascii="宋体" w:hAnsi="宋体" w:cs="宋体" w:eastAsia="宋体" w:hint="default"/>
                <w:spacing w:val="-13"/>
                <w:sz w:val="18"/>
                <w:szCs w:val="18"/>
              </w:rPr>
              <w:t>老、医疗、</w:t>
            </w:r>
            <w:r>
              <w:rPr>
                <w:rFonts w:ascii="宋体" w:hAnsi="宋体" w:cs="宋体" w:eastAsia="宋体" w:hint="default"/>
                <w:sz w:val="18"/>
                <w:szCs w:val="18"/>
              </w:rPr>
              <w:t> 生育、失业保 </w:t>
            </w:r>
            <w:r>
              <w:rPr>
                <w:rFonts w:ascii="宋体" w:hAnsi="宋体" w:cs="宋体" w:eastAsia="宋体" w:hint="default"/>
                <w:spacing w:val="-6"/>
                <w:sz w:val="18"/>
                <w:szCs w:val="18"/>
              </w:rPr>
              <w:t>险、住房公积金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而发生的其他 </w:t>
            </w:r>
            <w:r>
              <w:rPr>
                <w:rFonts w:ascii="宋体" w:hAnsi="宋体" w:cs="宋体" w:eastAsia="宋体" w:hint="default"/>
                <w:spacing w:val="-6"/>
                <w:sz w:val="18"/>
                <w:szCs w:val="18"/>
              </w:rPr>
              <w:t>损失或风险，本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人也将无条件 代为承担。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064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2"/>
                <w:sz w:val="20"/>
                <w:szCs w:val="20"/>
              </w:rPr>
              <w:pict>
                <v:group style="width:63.35pt;height:532.5pt;mso-position-horizontal-relative:char;mso-position-vertical-relative:line" coordorigin="0,0" coordsize="1267,10650">
                  <v:group style="position:absolute;left:0;top:0;width:1267;height:10650" coordorigin="0,0" coordsize="1267,10650">
                    <v:shape style="position:absolute;left:0;top:0;width:1267;height:10650" coordorigin="0,0" coordsize="1267,10650" path="m0,10650l1266,10650,1266,0,0,0,0,10650xe" filled="true" fillcolor="#ffffff" stroked="false">
                      <v:path arrowok="t"/>
                      <v:fill type="solid"/>
                    </v:shape>
                  </v:group>
                </v:group>
              </w:pict>
            </w:r>
            <w:r>
              <w:rPr>
                <w:rFonts w:ascii="Times New Roman" w:hAnsi="Times New Roman" w:cs="Times New Roman" w:eastAsia="Times New Roman" w:hint="default"/>
                <w:position w:val="-212"/>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关于避免关联 方资金占用的 </w:t>
            </w:r>
            <w:r>
              <w:rPr>
                <w:rFonts w:ascii="宋体" w:hAnsi="宋体" w:cs="宋体" w:eastAsia="宋体" w:hint="default"/>
                <w:spacing w:val="-6"/>
                <w:sz w:val="18"/>
                <w:szCs w:val="18"/>
              </w:rPr>
              <w:t>承诺：未来不以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任何方式直接 或通过其关联 方间接占用宏 </w:t>
            </w:r>
            <w:r>
              <w:rPr>
                <w:rFonts w:ascii="宋体" w:hAnsi="宋体" w:cs="宋体" w:eastAsia="宋体" w:hint="default"/>
                <w:spacing w:val="-6"/>
                <w:sz w:val="18"/>
                <w:szCs w:val="18"/>
              </w:rPr>
              <w:t>磊股份资金。若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因其本人或其 所控制的关联 企业曾占用宏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1923"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6"/>
                <w:sz w:val="18"/>
                <w:szCs w:val="18"/>
              </w:rPr>
              <w:t>磊股份资金，导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致宏磊股份被 相关主管部门 处罚造成损失 </w:t>
            </w:r>
            <w:r>
              <w:rPr>
                <w:rFonts w:ascii="宋体" w:hAnsi="宋体" w:cs="宋体" w:eastAsia="宋体" w:hint="default"/>
                <w:spacing w:val="-6"/>
                <w:sz w:val="18"/>
                <w:szCs w:val="18"/>
              </w:rPr>
              <w:t>的，由其本人承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担连带责任。</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320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戚建生、戚建 </w:t>
            </w:r>
            <w:r>
              <w:rPr>
                <w:rFonts w:ascii="宋体" w:hAnsi="宋体" w:cs="宋体" w:eastAsia="宋体" w:hint="default"/>
                <w:spacing w:val="-6"/>
                <w:sz w:val="18"/>
                <w:szCs w:val="18"/>
              </w:rPr>
              <w:t>华、金磊、金敏</w:t>
            </w:r>
            <w:r>
              <w:rPr>
                <w:rFonts w:ascii="宋体" w:hAnsi="宋体" w:cs="宋体" w:eastAsia="宋体" w:hint="default"/>
                <w:sz w:val="18"/>
                <w:szCs w:val="18"/>
              </w:rPr>
              <w:t> 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关于避免关联 方资金占用的 </w:t>
            </w:r>
            <w:r>
              <w:rPr>
                <w:rFonts w:ascii="宋体" w:hAnsi="宋体" w:cs="宋体" w:eastAsia="宋体" w:hint="default"/>
                <w:spacing w:val="-6"/>
                <w:sz w:val="18"/>
                <w:szCs w:val="18"/>
              </w:rPr>
              <w:t>承诺：未来不以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任何方式直接 或通过其本人 的关联方间接 占用宏磊股份 资金。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9411"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关于股利分配 </w:t>
            </w:r>
            <w:r>
              <w:rPr>
                <w:rFonts w:ascii="宋体" w:hAnsi="宋体" w:cs="宋体" w:eastAsia="宋体" w:hint="default"/>
                <w:spacing w:val="-6"/>
                <w:sz w:val="18"/>
                <w:szCs w:val="18"/>
              </w:rPr>
              <w:t>政策、现金分红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比例作出了承 诺：</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、公司利 润分配的原则 </w:t>
            </w:r>
            <w:r>
              <w:rPr>
                <w:rFonts w:ascii="宋体" w:hAnsi="宋体" w:cs="宋体" w:eastAsia="宋体" w:hint="default"/>
                <w:spacing w:val="-6"/>
                <w:sz w:val="18"/>
                <w:szCs w:val="18"/>
              </w:rPr>
              <w:t>为：公司实行持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续稳定的利润 </w:t>
            </w:r>
            <w:r>
              <w:rPr>
                <w:rFonts w:ascii="宋体" w:hAnsi="宋体" w:cs="宋体" w:eastAsia="宋体" w:hint="default"/>
                <w:spacing w:val="-6"/>
                <w:sz w:val="18"/>
                <w:szCs w:val="18"/>
              </w:rPr>
              <w:t>分配政策，公司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利润分配应重 视对投资者的 合理投资回报 并兼顾公司的 </w:t>
            </w:r>
            <w:r>
              <w:rPr>
                <w:rFonts w:ascii="宋体" w:hAnsi="宋体" w:cs="宋体" w:eastAsia="宋体" w:hint="default"/>
                <w:spacing w:val="-6"/>
                <w:sz w:val="18"/>
                <w:szCs w:val="18"/>
              </w:rPr>
              <w:t>可持续发展。公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司实行同股同 利的股利政策， 股东依照其所 持有的股份份 额获得股利和 其他形式的利 益分配。</w:t>
            </w:r>
            <w:r>
              <w:rPr>
                <w:rFonts w:ascii="Times New Roman" w:hAnsi="Times New Roman" w:cs="Times New Roman" w:eastAsia="Times New Roman" w:hint="default"/>
                <w:sz w:val="18"/>
                <w:szCs w:val="18"/>
              </w:rPr>
              <w:t>2</w:t>
            </w:r>
            <w:r>
              <w:rPr>
                <w:rFonts w:ascii="宋体" w:hAnsi="宋体" w:cs="宋体" w:eastAsia="宋体" w:hint="default"/>
                <w:sz w:val="18"/>
                <w:szCs w:val="18"/>
              </w:rPr>
              <w:t>、公 司可以采取现 金或者股票方 </w:t>
            </w:r>
            <w:r>
              <w:rPr>
                <w:rFonts w:ascii="宋体" w:hAnsi="宋体" w:cs="宋体" w:eastAsia="宋体" w:hint="default"/>
                <w:spacing w:val="-6"/>
                <w:sz w:val="18"/>
                <w:szCs w:val="18"/>
              </w:rPr>
              <w:t>式分配股利，可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以进行中期现 </w:t>
            </w:r>
            <w:r>
              <w:rPr>
                <w:rFonts w:ascii="宋体" w:hAnsi="宋体" w:cs="宋体" w:eastAsia="宋体" w:hint="default"/>
                <w:spacing w:val="-6"/>
                <w:sz w:val="18"/>
                <w:szCs w:val="18"/>
              </w:rPr>
              <w:t>金分红。现金分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红的条件为：公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司当年度实现 </w:t>
            </w:r>
            <w:r>
              <w:rPr>
                <w:rFonts w:ascii="宋体" w:hAnsi="宋体" w:cs="宋体" w:eastAsia="宋体" w:hint="default"/>
                <w:spacing w:val="-6"/>
                <w:sz w:val="18"/>
                <w:szCs w:val="18"/>
              </w:rPr>
              <w:t>盈利，可向股东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进行现金分红； 分配股票股利</w:t>
            </w:r>
          </w:p>
        </w:tc>
        <w:tc>
          <w:tcPr>
            <w:tcW w:w="127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317"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的条件为：董</w:t>
            </w:r>
          </w:p>
        </w:tc>
        <w:tc>
          <w:tcPr>
            <w:tcW w:w="127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事、监事、单独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或合并持有公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股份的股</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东向董事会提</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出分配股票股</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利的提案，董事</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会在收到该提</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17"/>
              <w:jc w:val="left"/>
              <w:rPr>
                <w:rFonts w:ascii="宋体" w:hAnsi="宋体" w:cs="宋体" w:eastAsia="宋体" w:hint="default"/>
                <w:sz w:val="18"/>
                <w:szCs w:val="18"/>
              </w:rPr>
            </w:pPr>
            <w:r>
              <w:rPr>
                <w:rFonts w:ascii="宋体" w:hAnsi="宋体" w:cs="宋体" w:eastAsia="宋体" w:hint="default"/>
                <w:sz w:val="18"/>
                <w:szCs w:val="18"/>
              </w:rPr>
              <w:t>内召开董事会，</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经半数以上董</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上独立董事审</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议通过，董事会</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可以作出向股</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东分配股票股</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利的预案，并提</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交股东大会审</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、公司每</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年以现金方式</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分配的利润不</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少于当年实现</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的可供分配利</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公司根据生产</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经营情况、投资</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规划和长期发</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展的需要，确需</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调整利润分配</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政策的，调整后</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的利润分配政</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策不得违反中</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国证监会和证</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劵交易所的有</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关规定。对本条</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利润分配政策</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进行调整的议</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案，经公司董事</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会半数以上董</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上独立董事审</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议通过后，须提</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交股东大会批</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8"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准。对于当年盈</w:t>
            </w: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2859"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利但公司董事 会根据本款的 规定未作出现 金利润分配预 </w:t>
            </w:r>
            <w:r>
              <w:rPr>
                <w:rFonts w:ascii="宋体" w:hAnsi="宋体" w:cs="宋体" w:eastAsia="宋体" w:hint="default"/>
                <w:spacing w:val="-6"/>
                <w:sz w:val="18"/>
                <w:szCs w:val="18"/>
              </w:rPr>
              <w:t>案的，应当同时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在定期报告中 </w:t>
            </w:r>
            <w:r>
              <w:rPr>
                <w:rFonts w:ascii="宋体" w:hAnsi="宋体" w:cs="宋体" w:eastAsia="宋体" w:hint="default"/>
                <w:spacing w:val="-6"/>
                <w:sz w:val="18"/>
                <w:szCs w:val="18"/>
              </w:rPr>
              <w:t>披露原因，独立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董事应当对此 发表独立意见。</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0971"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p>
          <w:p>
            <w:pPr>
              <w:pStyle w:val="TableParagraph"/>
              <w:spacing w:line="314"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 </w:t>
            </w:r>
            <w:r>
              <w:rPr>
                <w:rFonts w:ascii="宋体" w:hAnsi="宋体" w:cs="宋体" w:eastAsia="宋体" w:hint="default"/>
                <w:spacing w:val="-6"/>
                <w:sz w:val="18"/>
                <w:szCs w:val="18"/>
              </w:rPr>
              <w:t>审议通过了《关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于继续以部分 闲置募集资金 临时性补充公 司流动资金的 </w:t>
            </w:r>
            <w:r>
              <w:rPr>
                <w:rFonts w:ascii="宋体" w:hAnsi="宋体" w:cs="宋体" w:eastAsia="宋体" w:hint="default"/>
                <w:spacing w:val="-13"/>
                <w:sz w:val="18"/>
                <w:szCs w:val="18"/>
              </w:rPr>
              <w:t>议案》，并对该</w:t>
            </w:r>
            <w:r>
              <w:rPr>
                <w:rFonts w:ascii="宋体" w:hAnsi="宋体" w:cs="宋体" w:eastAsia="宋体" w:hint="default"/>
                <w:sz w:val="18"/>
                <w:szCs w:val="18"/>
              </w:rPr>
              <w:t> 事宜作出了承 诺：</w:t>
            </w:r>
            <w:r>
              <w:rPr>
                <w:rFonts w:ascii="Times New Roman" w:hAnsi="Times New Roman" w:cs="Times New Roman" w:eastAsia="Times New Roman" w:hint="default"/>
                <w:sz w:val="18"/>
                <w:szCs w:val="18"/>
              </w:rPr>
              <w:t>1</w:t>
            </w:r>
            <w:r>
              <w:rPr>
                <w:rFonts w:ascii="宋体" w:hAnsi="宋体" w:cs="宋体" w:eastAsia="宋体" w:hint="default"/>
                <w:sz w:val="18"/>
                <w:szCs w:val="18"/>
              </w:rPr>
              <w:t>、本次使 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4" w:lineRule="auto" w:before="1"/>
              <w:ind w:left="22" w:right="-16"/>
              <w:jc w:val="left"/>
              <w:rPr>
                <w:rFonts w:ascii="宋体" w:hAnsi="宋体" w:cs="宋体" w:eastAsia="宋体" w:hint="default"/>
                <w:sz w:val="18"/>
                <w:szCs w:val="18"/>
              </w:rPr>
            </w:pPr>
            <w:r>
              <w:rPr>
                <w:rFonts w:ascii="宋体" w:hAnsi="宋体" w:cs="宋体" w:eastAsia="宋体" w:hint="default"/>
                <w:spacing w:val="-6"/>
                <w:sz w:val="18"/>
                <w:szCs w:val="18"/>
              </w:rPr>
              <w:t>元（其中包含浙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江宏天铜业有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6"/>
                <w:sz w:val="18"/>
                <w:szCs w:val="18"/>
              </w:rPr>
              <w:t>元）闲置募集资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金临时性补充 流动资金的使 用期限为自股 东大会审议通 过之日起不超 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w:t>
            </w:r>
            <w:r>
              <w:rPr>
                <w:rFonts w:ascii="宋体" w:hAnsi="宋体" w:cs="宋体" w:eastAsia="宋体" w:hint="default"/>
                <w:sz w:val="18"/>
                <w:szCs w:val="18"/>
              </w:rPr>
              <w:t>、 该款项到期后 将及时足额归 还到募集资金 </w:t>
            </w:r>
            <w:r>
              <w:rPr>
                <w:rFonts w:ascii="宋体" w:hAnsi="宋体" w:cs="宋体" w:eastAsia="宋体" w:hint="default"/>
                <w:spacing w:val="-6"/>
                <w:sz w:val="18"/>
                <w:szCs w:val="18"/>
              </w:rPr>
              <w:t>专户，或公司根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据募集资金项 目建设需要随 </w:t>
            </w:r>
            <w:r>
              <w:rPr>
                <w:rFonts w:ascii="宋体" w:hAnsi="宋体" w:cs="宋体" w:eastAsia="宋体" w:hint="default"/>
                <w:spacing w:val="-6"/>
                <w:sz w:val="18"/>
                <w:szCs w:val="18"/>
              </w:rPr>
              <w:t>时归还，不影响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募集资金项目 投资计划的正 常进行；</w:t>
            </w:r>
            <w:r>
              <w:rPr>
                <w:rFonts w:ascii="Times New Roman" w:hAnsi="Times New Roman" w:cs="Times New Roman" w:eastAsia="Times New Roman" w:hint="default"/>
                <w:sz w:val="18"/>
                <w:szCs w:val="18"/>
              </w:rPr>
              <w:t>3</w:t>
            </w:r>
            <w:r>
              <w:rPr>
                <w:rFonts w:ascii="宋体" w:hAnsi="宋体" w:cs="宋体" w:eastAsia="宋体" w:hint="default"/>
                <w:sz w:val="18"/>
                <w:szCs w:val="18"/>
              </w:rPr>
              <w:t>、公 司在过去十二 个月内未进行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2859"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证券投资等风 </w:t>
            </w:r>
            <w:r>
              <w:rPr>
                <w:rFonts w:ascii="宋体" w:hAnsi="宋体" w:cs="宋体" w:eastAsia="宋体" w:hint="default"/>
                <w:spacing w:val="-6"/>
                <w:sz w:val="18"/>
                <w:szCs w:val="18"/>
              </w:rPr>
              <w:t>险投资，并承诺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本次继续使用 部分闲置募集 资金临时性补 充流动资金期 </w:t>
            </w:r>
            <w:r>
              <w:rPr>
                <w:rFonts w:ascii="宋体" w:hAnsi="宋体" w:cs="宋体" w:eastAsia="宋体" w:hint="default"/>
                <w:spacing w:val="-6"/>
                <w:sz w:val="18"/>
                <w:szCs w:val="18"/>
              </w:rPr>
              <w:t>间，不进行证券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投资等风险投 资。</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bookmarkStart w:name="2、公司资产或项目存在盈利预测，且报告期仍处在盈利预测期间，公司就资产或项目达到" w:id="87"/>
      <w:bookmarkEnd w:id="8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聘任、解聘会计师事务所情况" w:id="88"/>
      <w:bookmarkEnd w:id="88"/>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吴成航、包平荣</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57" w:lineRule="auto" w:before="117"/>
        <w:ind w:left="153" w:right="8053" w:firstLine="0"/>
        <w:jc w:val="left"/>
        <w:rPr>
          <w:rFonts w:ascii="宋体" w:hAnsi="宋体" w:cs="宋体" w:eastAsia="宋体" w:hint="default"/>
          <w:sz w:val="18"/>
          <w:szCs w:val="18"/>
        </w:rPr>
      </w:pPr>
      <w:r>
        <w:rPr>
          <w:rFonts w:ascii="宋体" w:hAnsi="宋体" w:cs="宋体" w:eastAsia="宋体" w:hint="default"/>
          <w:sz w:val="18"/>
          <w:szCs w:val="18"/>
        </w:rPr>
        <w:t>√ 是 □ 否 是否在审计期间改聘会计师事务所</w:t>
      </w:r>
    </w:p>
    <w:p>
      <w:pPr>
        <w:spacing w:line="360" w:lineRule="auto" w:before="28"/>
        <w:ind w:left="153" w:right="7873" w:firstLine="0"/>
        <w:jc w:val="left"/>
        <w:rPr>
          <w:rFonts w:ascii="宋体" w:hAnsi="宋体" w:cs="宋体" w:eastAsia="宋体" w:hint="default"/>
          <w:sz w:val="18"/>
          <w:szCs w:val="18"/>
        </w:rPr>
      </w:pPr>
      <w:r>
        <w:rPr>
          <w:rFonts w:ascii="宋体" w:hAnsi="宋体" w:cs="宋体" w:eastAsia="宋体" w:hint="default"/>
          <w:sz w:val="18"/>
          <w:szCs w:val="18"/>
        </w:rPr>
        <w:t>√ 是 □ 否 更换会计师事务所是否履行审批程序</w:t>
      </w:r>
    </w:p>
    <w:p>
      <w:pPr>
        <w:spacing w:line="357" w:lineRule="auto" w:before="26"/>
        <w:ind w:left="153" w:right="7333" w:firstLine="0"/>
        <w:jc w:val="left"/>
        <w:rPr>
          <w:rFonts w:ascii="宋体" w:hAnsi="宋体" w:cs="宋体" w:eastAsia="宋体" w:hint="default"/>
          <w:sz w:val="18"/>
          <w:szCs w:val="18"/>
        </w:rPr>
      </w:pPr>
      <w:r>
        <w:rPr>
          <w:rFonts w:ascii="宋体" w:hAnsi="宋体" w:cs="宋体" w:eastAsia="宋体" w:hint="default"/>
          <w:sz w:val="18"/>
          <w:szCs w:val="18"/>
        </w:rPr>
        <w:t>√ 是 □ 否 对改聘、变更会计师事务所情况的详细说明</w:t>
      </w:r>
    </w:p>
    <w:p>
      <w:pPr>
        <w:pStyle w:val="Heading3"/>
        <w:spacing w:line="232" w:lineRule="auto"/>
        <w:ind w:right="1130" w:firstLine="480"/>
        <w:jc w:val="both"/>
      </w:pPr>
      <w:r>
        <w:rPr>
          <w:rFonts w:ascii="Times New Roman" w:hAnsi="Times New Roman" w:cs="Times New Roman" w:eastAsia="Times New Roman" w:hint="default"/>
          <w:spacing w:val="-3"/>
        </w:rPr>
        <w:t>1</w:t>
      </w:r>
      <w:r>
        <w:rPr>
          <w:spacing w:val="-3"/>
        </w:rPr>
        <w:t>、鉴于天健会计师事务所（特殊普通合伙）已经连续多年为公司提供审计服务，为确保</w:t>
      </w:r>
      <w:r>
        <w:rPr/>
        <w:t> 上市公司审计工作的独立性与客观性，并满足年报审计与本次重大资产重组收购计划时间安</w:t>
      </w:r>
      <w:r>
        <w:rPr>
          <w:spacing w:val="-116"/>
        </w:rPr>
        <w:t> </w:t>
      </w:r>
      <w:r>
        <w:rPr>
          <w:spacing w:val="-116"/>
        </w:rPr>
      </w:r>
      <w:r>
        <w:rPr/>
        <w:t>排等方面的要求，经公司董事会审计委员会审慎研究，并进行了充分了解、调查，同意变更 会计师事务所，提议中汇会计师事务所（特殊普通合伙）（以下简称</w:t>
      </w:r>
      <w:r>
        <w:rPr>
          <w:rFonts w:ascii="Times New Roman" w:hAnsi="Times New Roman" w:cs="Times New Roman" w:eastAsia="Times New Roman" w:hint="default"/>
        </w:rPr>
        <w:t>“</w:t>
      </w:r>
      <w:r>
        <w:rPr/>
        <w:t>中汇会计师事务所</w:t>
      </w:r>
      <w:r>
        <w:rPr>
          <w:rFonts w:ascii="Times New Roman" w:hAnsi="Times New Roman" w:cs="Times New Roman" w:eastAsia="Times New Roman" w:hint="default"/>
        </w:rPr>
        <w:t>”</w:t>
      </w:r>
      <w:r>
        <w:rPr/>
        <w:t>）</w:t>
      </w:r>
    </w:p>
    <w:p>
      <w:pPr>
        <w:spacing w:after="0" w:line="232"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22" w:lineRule="exact" w:before="26"/>
        <w:ind w:right="0"/>
        <w:jc w:val="left"/>
      </w:pPr>
      <w:r>
        <w:rPr/>
        <w:t>为公司</w:t>
      </w:r>
      <w:r>
        <w:rPr>
          <w:rFonts w:ascii="Times New Roman" w:hAnsi="Times New Roman" w:cs="Times New Roman" w:eastAsia="Times New Roman" w:hint="default"/>
        </w:rPr>
        <w:t>2014</w:t>
      </w:r>
      <w:r>
        <w:rPr/>
        <w:t>年度审计机构。</w:t>
      </w:r>
    </w:p>
    <w:p>
      <w:pPr>
        <w:pStyle w:val="Heading3"/>
        <w:spacing w:line="235" w:lineRule="auto"/>
        <w:ind w:right="1136" w:firstLine="384"/>
        <w:jc w:val="both"/>
      </w:pPr>
      <w:r>
        <w:rPr>
          <w:rFonts w:ascii="Times New Roman" w:hAnsi="Times New Roman" w:cs="Times New Roman" w:eastAsia="Times New Roman" w:hint="default"/>
        </w:rPr>
        <w:t>2</w:t>
      </w:r>
      <w:r>
        <w:rPr/>
        <w:t>、经公司独立董事事前认可，并对此事项发表了同意的独立意见，认为：中汇会计师事 务所具备证券相关业务审计资格，具有多年为上市公司提供审计服务的经验和能力，能够满 足公司财务审计和相关专项审计工作的要求，能够独立对公司财务状况进行审计。因此同意 聘任中汇会计师事务所为公司</w:t>
      </w:r>
      <w:r>
        <w:rPr>
          <w:rFonts w:ascii="Times New Roman" w:hAnsi="Times New Roman" w:cs="Times New Roman" w:eastAsia="Times New Roman" w:hint="default"/>
        </w:rPr>
        <w:t>2014</w:t>
      </w:r>
      <w:r>
        <w:rPr/>
        <w:t>年度审计机构，同意将该议案提交公司股东大会审议。</w:t>
      </w:r>
    </w:p>
    <w:p>
      <w:pPr>
        <w:pStyle w:val="Heading3"/>
        <w:spacing w:line="312" w:lineRule="exact" w:before="11"/>
        <w:ind w:left="154" w:right="1132" w:firstLine="384"/>
        <w:jc w:val="both"/>
      </w:pPr>
      <w:r>
        <w:rPr>
          <w:rFonts w:ascii="Times New Roman" w:hAnsi="Times New Roman" w:cs="Times New Roman" w:eastAsia="Times New Roman" w:hint="default"/>
          <w:spacing w:val="-3"/>
        </w:rPr>
        <w:t>3</w:t>
      </w:r>
      <w:r>
        <w:rPr>
          <w:spacing w:val="-3"/>
        </w:rPr>
        <w:t>、公司于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21</w:t>
      </w:r>
      <w:r>
        <w:rPr>
          <w:spacing w:val="-3"/>
        </w:rPr>
        <w:t>日召开了董事会第二届三十次会议，审议并通过了《关于更换会计</w:t>
      </w:r>
      <w:r>
        <w:rPr/>
        <w:t> 师事务所的议案》，并经过公司</w:t>
      </w:r>
      <w:r>
        <w:rPr>
          <w:rFonts w:ascii="Times New Roman" w:hAnsi="Times New Roman" w:cs="Times New Roman" w:eastAsia="Times New Roman" w:hint="default"/>
        </w:rPr>
        <w:t>2015</w:t>
      </w:r>
      <w:r>
        <w:rPr/>
        <w:t>年第一次临时股东大会审议通过，同意聘任中汇会计师</w:t>
      </w:r>
      <w:r>
        <w:rPr>
          <w:spacing w:val="-115"/>
        </w:rPr>
        <w:t> </w:t>
      </w:r>
      <w:r>
        <w:rPr>
          <w:spacing w:val="-115"/>
        </w:rPr>
      </w:r>
      <w:r>
        <w:rPr/>
        <w:t>事务所为公司</w:t>
      </w:r>
      <w:r>
        <w:rPr>
          <w:rFonts w:ascii="Times New Roman" w:hAnsi="Times New Roman" w:cs="Times New Roman" w:eastAsia="Times New Roman" w:hint="default"/>
        </w:rPr>
        <w:t>2014</w:t>
      </w:r>
      <w:r>
        <w:rPr/>
        <w:t>年度审计机构。聘期一年，具体审计费用由公司董事会授权公司管理层根</w:t>
      </w:r>
      <w:r>
        <w:rPr>
          <w:spacing w:val="-115"/>
        </w:rPr>
        <w:t> </w:t>
      </w:r>
      <w:r>
        <w:rPr>
          <w:spacing w:val="-115"/>
        </w:rPr>
      </w:r>
      <w:r>
        <w:rPr/>
        <w:t>据行业标准及公司审计的实际工作情况确定其年度审计报酬事宜。</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8"/>
          <w:szCs w:val="28"/>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line="328" w:lineRule="auto" w:before="117"/>
        <w:ind w:left="153" w:right="1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本年度，公司因重大资产重组事项，聘请新时代证券有限责任公司、东北证券股份有限公司为财务顾问，期间暂未支付财务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顾问费。</w:t>
      </w:r>
    </w:p>
    <w:p>
      <w:pPr>
        <w:spacing w:line="240" w:lineRule="auto" w:before="1"/>
        <w:rPr>
          <w:rFonts w:ascii="宋体" w:hAnsi="宋体" w:cs="宋体" w:eastAsia="宋体" w:hint="default"/>
          <w:sz w:val="20"/>
          <w:szCs w:val="20"/>
        </w:rPr>
      </w:pPr>
    </w:p>
    <w:p>
      <w:pPr>
        <w:pStyle w:val="Heading2"/>
        <w:spacing w:line="240" w:lineRule="auto"/>
        <w:ind w:left="153" w:right="0"/>
        <w:jc w:val="left"/>
        <w:rPr>
          <w:b w:val="0"/>
          <w:bCs w:val="0"/>
        </w:rPr>
      </w:pPr>
      <w:bookmarkStart w:name="十一、监事会、独立董事（如适用）对会计师事务所本报告期“非标准审计报告”的说明" w:id="89"/>
      <w:bookmarkEnd w:id="89"/>
      <w:r>
        <w:rPr>
          <w:b w:val="0"/>
          <w:bCs w:val="0"/>
        </w:rPr>
      </w:r>
      <w:r>
        <w:rPr/>
        <w:t>十一、监事会、独立董事（如适用）对会计师事务所本报告期“非标准审计报告”的说明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12" w:lineRule="exact" w:before="96"/>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一、监事会对非标准无保留审计意见中的所涉及事项的意见</w:t>
      </w:r>
      <w:r>
        <w:rPr>
          <w:rFonts w:ascii="宋体" w:hAnsi="宋体" w:cs="宋体" w:eastAsia="宋体" w:hint="default"/>
          <w:b/>
          <w:bCs/>
          <w:w w:val="99"/>
          <w:sz w:val="24"/>
          <w:szCs w:val="24"/>
        </w:rPr>
        <w:t> </w:t>
      </w:r>
      <w:r>
        <w:rPr>
          <w:rFonts w:ascii="宋体" w:hAnsi="宋体" w:cs="宋体" w:eastAsia="宋体" w:hint="default"/>
          <w:spacing w:val="-3"/>
          <w:sz w:val="24"/>
          <w:szCs w:val="24"/>
        </w:rPr>
        <w:t>根据《深圳证券交易所股票上市规则》等有关规定，公司监事会对</w:t>
      </w:r>
      <w:r>
        <w:rPr>
          <w:rFonts w:ascii="Times New Roman" w:hAnsi="Times New Roman" w:cs="Times New Roman" w:eastAsia="Times New Roman" w:hint="default"/>
          <w:spacing w:val="-3"/>
          <w:sz w:val="24"/>
          <w:szCs w:val="24"/>
        </w:rPr>
        <w:t>2014</w:t>
      </w:r>
      <w:r>
        <w:rPr>
          <w:rFonts w:ascii="宋体" w:hAnsi="宋体" w:cs="宋体" w:eastAsia="宋体" w:hint="default"/>
          <w:spacing w:val="-3"/>
          <w:sz w:val="24"/>
          <w:szCs w:val="24"/>
        </w:rPr>
        <w:t>年度的财务报告、</w:t>
      </w:r>
    </w:p>
    <w:p>
      <w:pPr>
        <w:pStyle w:val="Heading3"/>
        <w:spacing w:line="312" w:lineRule="exact"/>
        <w:ind w:right="995"/>
        <w:jc w:val="left"/>
      </w:pPr>
      <w:r>
        <w:rPr/>
        <w:t>中汇会计师事务所（特殊普通合伙）出具的非标准无保留意见审计报告、董事会编制的《关 </w:t>
      </w:r>
      <w:r>
        <w:rPr>
          <w:spacing w:val="-2"/>
        </w:rPr>
        <w:t>于对会计师事务所出具的非标准无保留审计意见涉及事项的专项说明》等进行了认真的审核，</w:t>
      </w:r>
      <w:r>
        <w:rPr/>
        <w:t> 并提出如下书面审核意见：</w:t>
      </w:r>
    </w:p>
    <w:p>
      <w:pPr>
        <w:pStyle w:val="Heading3"/>
        <w:spacing w:line="312" w:lineRule="exact"/>
        <w:ind w:left="154" w:right="1139" w:firstLine="480"/>
        <w:jc w:val="both"/>
      </w:pPr>
      <w:r>
        <w:rPr/>
        <w:t>我们认可审计报告的保留意见及强调事项内容，同时也同意公司董事会就上述事项所做 的专项说明，希望董事会和管理层尽快采取有效措施消除和改善保留意见及强调事项段提及 的内容，控制经营风险，切实维护广大中小投资者的利益。</w:t>
      </w:r>
    </w:p>
    <w:p>
      <w:pPr>
        <w:spacing w:line="240" w:lineRule="auto" w:before="11"/>
        <w:rPr>
          <w:rFonts w:ascii="宋体" w:hAnsi="宋体" w:cs="宋体" w:eastAsia="宋体" w:hint="default"/>
          <w:sz w:val="23"/>
          <w:szCs w:val="23"/>
        </w:rPr>
      </w:pPr>
    </w:p>
    <w:p>
      <w:pPr>
        <w:spacing w:line="312" w:lineRule="exact" w:before="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二、独立董事对会计师事务所出具非标准无保留意见审计报告的独立意见</w:t>
      </w:r>
      <w:r>
        <w:rPr>
          <w:rFonts w:ascii="宋体" w:hAnsi="宋体" w:cs="宋体" w:eastAsia="宋体" w:hint="default"/>
          <w:b/>
          <w:bCs/>
          <w:w w:val="99"/>
          <w:sz w:val="24"/>
          <w:szCs w:val="24"/>
        </w:rPr>
        <w:t> </w:t>
      </w:r>
      <w:r>
        <w:rPr>
          <w:rFonts w:ascii="宋体" w:hAnsi="宋体" w:cs="宋体" w:eastAsia="宋体" w:hint="default"/>
          <w:sz w:val="24"/>
          <w:szCs w:val="24"/>
        </w:rPr>
        <w:t>独立董事对公司</w:t>
      </w:r>
      <w:r>
        <w:rPr>
          <w:rFonts w:ascii="Times New Roman" w:hAnsi="Times New Roman" w:cs="Times New Roman" w:eastAsia="Times New Roman" w:hint="default"/>
          <w:sz w:val="24"/>
          <w:szCs w:val="24"/>
        </w:rPr>
        <w:t>2014</w:t>
      </w:r>
      <w:r>
        <w:rPr>
          <w:rFonts w:ascii="宋体" w:hAnsi="宋体" w:cs="宋体" w:eastAsia="宋体" w:hint="default"/>
          <w:sz w:val="24"/>
          <w:szCs w:val="24"/>
        </w:rPr>
        <w:t>年度的财务报告及中汇会计师事务所（特殊普通合伙）出具的非标</w:t>
      </w:r>
    </w:p>
    <w:p>
      <w:pPr>
        <w:pStyle w:val="Heading3"/>
        <w:spacing w:line="312" w:lineRule="exact"/>
        <w:ind w:right="995"/>
        <w:jc w:val="left"/>
      </w:pPr>
      <w:r>
        <w:rPr>
          <w:spacing w:val="-2"/>
        </w:rPr>
        <w:t>准无保留意见审计报告进行了认真审阅，并对财务报告和审计报告的有关内容与注册会计师、</w:t>
      </w:r>
      <w:r>
        <w:rPr/>
        <w:t> 公司管理层等进行了专门交谈沟通，我们认可审计报告的保留意见及强调事项内容，也同意 公司董事会对该事项的相关说明及处理意见。希望董事会和管理层积极采取有效措施消除和 </w:t>
      </w:r>
      <w:r>
        <w:rPr>
          <w:spacing w:val="-3"/>
        </w:rPr>
        <w:t>改善保留意见、强调事项段涉及事项，妥善处理好相关问题，使公司持续、稳定、健康发展，</w:t>
      </w:r>
      <w:r>
        <w:rPr>
          <w:spacing w:val="-82"/>
        </w:rPr>
        <w:t> </w:t>
      </w:r>
      <w:r>
        <w:rPr>
          <w:spacing w:val="-82"/>
        </w:rPr>
      </w:r>
      <w:r>
        <w:rPr/>
        <w:t>维护公司和中小股东利益。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十二、处罚及整改情况" w:id="90"/>
      <w:bookmarkEnd w:id="90"/>
      <w:r>
        <w:rPr>
          <w:b w:val="0"/>
          <w:bCs w:val="0"/>
        </w:rPr>
      </w:r>
      <w:r>
        <w:rPr/>
        <w:t>十二、处罚及整改情况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年度控股股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center"/>
              <w:rPr>
                <w:rFonts w:ascii="宋体" w:hAnsi="宋体" w:cs="宋体" w:eastAsia="宋体" w:hint="default"/>
                <w:sz w:val="18"/>
                <w:szCs w:val="18"/>
              </w:rPr>
            </w:pPr>
            <w:r>
              <w:rPr>
                <w:rFonts w:ascii="宋体" w:hAnsi="宋体" w:cs="宋体" w:eastAsia="宋体" w:hint="default"/>
                <w:sz w:val="18"/>
                <w:szCs w:val="18"/>
              </w:rPr>
              <w:t>浙江证监局采取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9"/>
              <w:jc w:val="center"/>
              <w:rPr>
                <w:rFonts w:ascii="宋体" w:hAnsi="宋体" w:cs="宋体" w:eastAsia="宋体" w:hint="default"/>
                <w:sz w:val="18"/>
                <w:szCs w:val="18"/>
              </w:rPr>
            </w:pPr>
            <w:r>
              <w:rPr>
                <w:rFonts w:ascii="宋体" w:hAnsi="宋体" w:cs="宋体" w:eastAsia="宋体" w:hint="default"/>
                <w:sz w:val="18"/>
                <w:szCs w:val="18"/>
              </w:rPr>
              <w:t>具体内容详见刊</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98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东关联方违规资 金占用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责令改正措施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0"/>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登在巨潮资讯网 </w:t>
            </w:r>
            <w:r>
              <w:rPr>
                <w:rFonts w:ascii="Times New Roman" w:hAnsi="Times New Roman" w:cs="Times New Roman" w:eastAsia="Times New Roman" w:hint="default"/>
                <w:sz w:val="18"/>
                <w:szCs w:val="18"/>
              </w:rPr>
              <w:t>http://www.cninf o.com.cn</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对公司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半年 度报告、</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三季度报告未履 行信息披露义务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72"/>
              <w:jc w:val="left"/>
              <w:rPr>
                <w:rFonts w:ascii="宋体" w:hAnsi="宋体" w:cs="宋体" w:eastAsia="宋体" w:hint="default"/>
                <w:sz w:val="18"/>
                <w:szCs w:val="18"/>
              </w:rPr>
            </w:pPr>
            <w:r>
              <w:rPr>
                <w:rFonts w:ascii="宋体" w:hAnsi="宋体" w:cs="宋体" w:eastAsia="宋体" w:hint="default"/>
                <w:sz w:val="18"/>
                <w:szCs w:val="18"/>
              </w:rPr>
              <w:t>浙江证监局采取 出具警示函措施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具体内容详见刊 登在巨潮资讯网 </w:t>
            </w:r>
            <w:r>
              <w:rPr>
                <w:rFonts w:ascii="Times New Roman" w:hAnsi="Times New Roman" w:cs="Times New Roman" w:eastAsia="Times New Roman" w:hint="default"/>
                <w:sz w:val="18"/>
                <w:szCs w:val="18"/>
              </w:rPr>
              <w:t>http://www.cninf</w:t>
            </w:r>
          </w:p>
          <w:p>
            <w:pPr>
              <w:pStyle w:val="TableParagraph"/>
              <w:spacing w:line="240" w:lineRule="auto" w:before="24"/>
              <w:ind w:left="22" w:right="0"/>
              <w:jc w:val="both"/>
              <w:rPr>
                <w:rFonts w:ascii="Times New Roman" w:hAnsi="Times New Roman" w:cs="Times New Roman" w:eastAsia="Times New Roman" w:hint="default"/>
                <w:sz w:val="18"/>
                <w:szCs w:val="18"/>
              </w:rPr>
            </w:pPr>
            <w:r>
              <w:rPr>
                <w:rFonts w:ascii="Times New Roman"/>
                <w:sz w:val="18"/>
              </w:rPr>
              <w:t>o.com.cn</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对公司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半年 度报告、</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三季度报告未履 行信息披露义务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被认定为不适当 人选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2"/>
              <w:jc w:val="both"/>
              <w:rPr>
                <w:rFonts w:ascii="宋体" w:hAnsi="宋体" w:cs="宋体" w:eastAsia="宋体" w:hint="default"/>
                <w:sz w:val="18"/>
                <w:szCs w:val="18"/>
              </w:rPr>
            </w:pPr>
            <w:r>
              <w:rPr>
                <w:rFonts w:ascii="宋体" w:hAnsi="宋体" w:cs="宋体" w:eastAsia="宋体" w:hint="default"/>
                <w:sz w:val="18"/>
                <w:szCs w:val="18"/>
              </w:rPr>
              <w:t>浙江证监局采取 认定为不适当人 选措施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具体内容详见刊 登在巨潮资讯网 </w:t>
            </w:r>
            <w:r>
              <w:rPr>
                <w:rFonts w:ascii="Times New Roman" w:hAnsi="Times New Roman" w:cs="Times New Roman" w:eastAsia="Times New Roman" w:hint="default"/>
                <w:sz w:val="18"/>
                <w:szCs w:val="18"/>
              </w:rPr>
              <w:t>http://www.cninf</w:t>
            </w:r>
          </w:p>
          <w:p>
            <w:pPr>
              <w:pStyle w:val="TableParagraph"/>
              <w:spacing w:line="240" w:lineRule="auto" w:before="24"/>
              <w:ind w:left="22" w:right="0"/>
              <w:jc w:val="both"/>
              <w:rPr>
                <w:rFonts w:ascii="Times New Roman" w:hAnsi="Times New Roman" w:cs="Times New Roman" w:eastAsia="Times New Roman" w:hint="default"/>
                <w:sz w:val="18"/>
                <w:szCs w:val="18"/>
              </w:rPr>
            </w:pPr>
            <w:r>
              <w:rPr>
                <w:rFonts w:ascii="Times New Roman"/>
                <w:sz w:val="18"/>
              </w:rPr>
              <w:t>o.com.cn</w:t>
            </w:r>
          </w:p>
        </w:tc>
      </w:tr>
      <w:tr>
        <w:trPr>
          <w:trHeight w:val="25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 未披露控股股东 关联方违规资金 占用的情况；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年度报告未 完整披露控股股 东违规资金占用 的情况</w:t>
            </w:r>
          </w:p>
        </w:tc>
        <w:tc>
          <w:tcPr>
            <w:tcW w:w="136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1" w:right="72"/>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给予警告，并处 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万元罚款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38" w:lineRule="auto"/>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具体内容详见刊 登在巨潮资讯网 </w:t>
            </w:r>
            <w:r>
              <w:rPr>
                <w:rFonts w:ascii="Times New Roman" w:hAnsi="Times New Roman" w:cs="Times New Roman" w:eastAsia="Times New Roman" w:hint="default"/>
                <w:sz w:val="18"/>
                <w:szCs w:val="18"/>
              </w:rPr>
              <w:t>http://www.cninf</w:t>
            </w:r>
          </w:p>
          <w:p>
            <w:pPr>
              <w:pStyle w:val="TableParagraph"/>
              <w:spacing w:line="240" w:lineRule="auto" w:before="24"/>
              <w:ind w:left="22" w:right="0"/>
              <w:jc w:val="both"/>
              <w:rPr>
                <w:rFonts w:ascii="Times New Roman" w:hAnsi="Times New Roman" w:cs="Times New Roman" w:eastAsia="Times New Roman" w:hint="default"/>
                <w:sz w:val="18"/>
                <w:szCs w:val="18"/>
              </w:rPr>
            </w:pPr>
            <w:r>
              <w:rPr>
                <w:rFonts w:ascii="Times New Roman"/>
                <w:sz w:val="18"/>
              </w:rPr>
              <w:t>o.com.cn</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对公司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年半 年度报告、</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年度报告未履行 信息披露义务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72"/>
              <w:jc w:val="left"/>
              <w:rPr>
                <w:rFonts w:ascii="宋体" w:hAnsi="宋体" w:cs="宋体" w:eastAsia="宋体" w:hint="default"/>
                <w:sz w:val="18"/>
                <w:szCs w:val="18"/>
              </w:rPr>
            </w:pPr>
            <w:r>
              <w:rPr>
                <w:rFonts w:ascii="宋体" w:hAnsi="宋体" w:cs="宋体" w:eastAsia="宋体" w:hint="default"/>
                <w:sz w:val="18"/>
                <w:szCs w:val="18"/>
              </w:rPr>
              <w:t>给予警告，并处 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万元罚款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具体内容详见刊 登在巨潮资讯网 </w:t>
            </w:r>
            <w:r>
              <w:rPr>
                <w:rFonts w:ascii="Times New Roman" w:hAnsi="Times New Roman" w:cs="Times New Roman" w:eastAsia="Times New Roman" w:hint="default"/>
                <w:sz w:val="18"/>
                <w:szCs w:val="18"/>
              </w:rPr>
              <w:t>http://www.cninf</w:t>
            </w:r>
          </w:p>
          <w:p>
            <w:pPr>
              <w:pStyle w:val="TableParagraph"/>
              <w:spacing w:line="240" w:lineRule="auto" w:before="24"/>
              <w:ind w:left="22" w:right="0"/>
              <w:jc w:val="both"/>
              <w:rPr>
                <w:rFonts w:ascii="Times New Roman" w:hAnsi="Times New Roman" w:cs="Times New Roman" w:eastAsia="Times New Roman" w:hint="default"/>
                <w:sz w:val="18"/>
                <w:szCs w:val="18"/>
              </w:rPr>
            </w:pPr>
            <w:r>
              <w:rPr>
                <w:rFonts w:ascii="Times New Roman"/>
                <w:sz w:val="18"/>
              </w:rPr>
              <w:t>o.com.cn</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2"/>
              <w:jc w:val="left"/>
              <w:rPr>
                <w:rFonts w:ascii="宋体" w:hAnsi="宋体" w:cs="宋体" w:eastAsia="宋体" w:hint="default"/>
                <w:sz w:val="18"/>
                <w:szCs w:val="18"/>
              </w:rPr>
            </w:pPr>
            <w:r>
              <w:rPr>
                <w:rFonts w:ascii="宋体" w:hAnsi="宋体" w:cs="宋体" w:eastAsia="宋体" w:hint="default"/>
                <w:spacing w:val="-6"/>
                <w:sz w:val="18"/>
                <w:szCs w:val="18"/>
              </w:rPr>
              <w:t>戚建华、戚建生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金磊、魏浙强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871" w:lineRule="exact"/>
              <w:ind w:right="-38"/>
              <w:jc w:val="left"/>
              <w:rPr>
                <w:rFonts w:ascii="宋体" w:hAnsi="宋体" w:cs="宋体" w:eastAsia="宋体" w:hint="default"/>
                <w:sz w:val="20"/>
                <w:szCs w:val="20"/>
              </w:rPr>
            </w:pPr>
            <w:r>
              <w:rPr>
                <w:rFonts w:ascii="宋体" w:hAnsi="宋体" w:cs="宋体" w:eastAsia="宋体" w:hint="default"/>
                <w:position w:val="-16"/>
                <w:sz w:val="20"/>
                <w:szCs w:val="20"/>
              </w:rPr>
              <w:pict>
                <v:group style="width:67.9pt;height:43.6pt;mso-position-horizontal-relative:char;mso-position-vertical-relative:line" coordorigin="0,0" coordsize="1358,872">
                  <v:group style="position:absolute;left:0;top:0;width:1358;height:468" coordorigin="0,0" coordsize="1358,468">
                    <v:shape style="position:absolute;left:0;top:0;width:1358;height:468" coordorigin="0,0" coordsize="1358,468" path="m0,468l1357,468,1357,0,0,0,0,468xe" filled="true" fillcolor="#ffffff" stroked="false">
                      <v:path arrowok="t"/>
                      <v:fill type="solid"/>
                    </v:shape>
                  </v:group>
                  <v:group style="position:absolute;left:11;top:468;width:2;height:393" coordorigin="11,468" coordsize="2,393">
                    <v:shape style="position:absolute;left:11;top:468;width:2;height:393" coordorigin="11,468" coordsize="0,393" path="m11,468l11,860e" filled="false" stroked="true" strokeweight="1.140pt" strokecolor="#ffffff">
                      <v:path arrowok="t"/>
                    </v:shape>
                  </v:group>
                  <v:group style="position:absolute;left:23;top:468;width:1312;height:393" coordorigin="23,468" coordsize="1312,393">
                    <v:shape style="position:absolute;left:23;top:468;width:1312;height:393" coordorigin="23,468" coordsize="1312,393" path="m23,860l1334,860,1334,468,23,468,23,860xe" filled="true" fillcolor="#ffffff" stroked="false">
                      <v:path arrowok="t"/>
                      <v:fill type="solid"/>
                    </v:shape>
                  </v:group>
                </v:group>
              </w:pict>
            </w:r>
            <w:r>
              <w:rPr>
                <w:rFonts w:ascii="宋体" w:hAnsi="宋体" w:cs="宋体" w:eastAsia="宋体" w:hint="default"/>
                <w:position w:val="-1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对公司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年半 年度报告、</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年度报告未履行 信息披露义务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3" w:right="72"/>
              <w:jc w:val="both"/>
              <w:rPr>
                <w:rFonts w:ascii="宋体" w:hAnsi="宋体" w:cs="宋体" w:eastAsia="宋体" w:hint="default"/>
                <w:sz w:val="18"/>
                <w:szCs w:val="18"/>
              </w:rPr>
            </w:pPr>
            <w:r>
              <w:rPr>
                <w:rFonts w:ascii="宋体" w:hAnsi="宋体" w:cs="宋体" w:eastAsia="宋体" w:hint="default"/>
                <w:sz w:val="18"/>
                <w:szCs w:val="18"/>
              </w:rPr>
              <w:t>给予警告，并分 别处以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万元罚 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具体内容详见刊 登在巨潮资讯网 </w:t>
            </w:r>
            <w:r>
              <w:rPr>
                <w:rFonts w:ascii="Times New Roman" w:hAnsi="Times New Roman" w:cs="Times New Roman" w:eastAsia="Times New Roman" w:hint="default"/>
                <w:sz w:val="18"/>
                <w:szCs w:val="18"/>
              </w:rPr>
              <w:t>http://www.cninf</w:t>
            </w:r>
          </w:p>
          <w:p>
            <w:pPr>
              <w:pStyle w:val="TableParagraph"/>
              <w:spacing w:line="240" w:lineRule="auto" w:before="24"/>
              <w:ind w:left="22" w:right="0"/>
              <w:jc w:val="both"/>
              <w:rPr>
                <w:rFonts w:ascii="Times New Roman" w:hAnsi="Times New Roman" w:cs="Times New Roman" w:eastAsia="Times New Roman" w:hint="default"/>
                <w:sz w:val="18"/>
                <w:szCs w:val="18"/>
              </w:rPr>
            </w:pPr>
            <w:r>
              <w:rPr>
                <w:rFonts w:ascii="Times New Roman"/>
                <w:sz w:val="18"/>
              </w:rPr>
              <w:t>o.com.cn</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俞晓光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对公司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年半 年度报告、</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年度报告未履行 信息披露义务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72"/>
              <w:jc w:val="left"/>
              <w:rPr>
                <w:rFonts w:ascii="宋体" w:hAnsi="宋体" w:cs="宋体" w:eastAsia="宋体" w:hint="default"/>
                <w:sz w:val="18"/>
                <w:szCs w:val="18"/>
              </w:rPr>
            </w:pPr>
            <w:r>
              <w:rPr>
                <w:rFonts w:ascii="宋体" w:hAnsi="宋体" w:cs="宋体" w:eastAsia="宋体" w:hint="default"/>
                <w:sz w:val="18"/>
                <w:szCs w:val="18"/>
              </w:rPr>
              <w:t>予以警告，并处 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万元罚款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具体内容详见刊 登在巨潮资讯网 </w:t>
            </w:r>
            <w:r>
              <w:rPr>
                <w:rFonts w:ascii="Times New Roman" w:hAnsi="Times New Roman" w:cs="Times New Roman" w:eastAsia="Times New Roman" w:hint="default"/>
                <w:sz w:val="18"/>
                <w:szCs w:val="18"/>
              </w:rPr>
              <w:t>http://www.cninf</w:t>
            </w:r>
          </w:p>
          <w:p>
            <w:pPr>
              <w:pStyle w:val="TableParagraph"/>
              <w:spacing w:line="240" w:lineRule="auto" w:before="24"/>
              <w:ind w:left="22" w:right="0"/>
              <w:jc w:val="both"/>
              <w:rPr>
                <w:rFonts w:ascii="Times New Roman" w:hAnsi="Times New Roman" w:cs="Times New Roman" w:eastAsia="Times New Roman" w:hint="default"/>
                <w:sz w:val="18"/>
                <w:szCs w:val="18"/>
              </w:rPr>
            </w:pPr>
            <w:r>
              <w:rPr>
                <w:rFonts w:ascii="Times New Roman"/>
                <w:sz w:val="18"/>
              </w:rPr>
              <w:t>o.com.cn</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3"/>
              <w:jc w:val="left"/>
              <w:rPr>
                <w:rFonts w:ascii="宋体" w:hAnsi="宋体" w:cs="宋体" w:eastAsia="宋体" w:hint="default"/>
                <w:sz w:val="18"/>
                <w:szCs w:val="18"/>
              </w:rPr>
            </w:pPr>
            <w:r>
              <w:rPr>
                <w:rFonts w:ascii="宋体" w:hAnsi="宋体" w:cs="宋体" w:eastAsia="宋体" w:hint="default"/>
                <w:sz w:val="18"/>
                <w:szCs w:val="18"/>
              </w:rPr>
              <w:t>杨学桐、 </w:t>
            </w:r>
            <w:r>
              <w:rPr>
                <w:rFonts w:ascii="宋体" w:hAnsi="宋体" w:cs="宋体" w:eastAsia="宋体" w:hint="default"/>
                <w:spacing w:val="-9"/>
                <w:sz w:val="18"/>
                <w:szCs w:val="18"/>
              </w:rPr>
              <w:t>何力民、吴旭仕、</w:t>
            </w:r>
            <w:r>
              <w:rPr>
                <w:rFonts w:ascii="宋体" w:hAnsi="宋体" w:cs="宋体" w:eastAsia="宋体" w:hint="default"/>
                <w:spacing w:val="-34"/>
                <w:sz w:val="18"/>
                <w:szCs w:val="18"/>
              </w:rPr>
              <w:t> </w:t>
            </w:r>
            <w:r>
              <w:rPr>
                <w:rFonts w:ascii="宋体" w:hAnsi="宋体" w:cs="宋体" w:eastAsia="宋体" w:hint="default"/>
                <w:sz w:val="18"/>
                <w:szCs w:val="18"/>
              </w:rPr>
              <w:t>方中厚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871" w:lineRule="exact"/>
              <w:ind w:right="-38"/>
              <w:jc w:val="left"/>
              <w:rPr>
                <w:rFonts w:ascii="宋体" w:hAnsi="宋体" w:cs="宋体" w:eastAsia="宋体" w:hint="default"/>
                <w:sz w:val="20"/>
                <w:szCs w:val="20"/>
              </w:rPr>
            </w:pPr>
            <w:r>
              <w:rPr>
                <w:rFonts w:ascii="宋体" w:hAnsi="宋体" w:cs="宋体" w:eastAsia="宋体" w:hint="default"/>
                <w:position w:val="-16"/>
                <w:sz w:val="20"/>
                <w:szCs w:val="20"/>
              </w:rPr>
              <w:pict>
                <v:group style="width:67.9pt;height:43.6pt;mso-position-horizontal-relative:char;mso-position-vertical-relative:line" coordorigin="0,0" coordsize="1358,872">
                  <v:group style="position:absolute;left:0;top:0;width:1358;height:468" coordorigin="0,0" coordsize="1358,468">
                    <v:shape style="position:absolute;left:0;top:0;width:1358;height:468" coordorigin="0,0" coordsize="1358,468" path="m0,468l1357,468,1357,0,0,0,0,468xe" filled="true" fillcolor="#ffffff" stroked="false">
                      <v:path arrowok="t"/>
                      <v:fill type="solid"/>
                    </v:shape>
                  </v:group>
                  <v:group style="position:absolute;left:11;top:468;width:2;height:393" coordorigin="11,468" coordsize="2,393">
                    <v:shape style="position:absolute;left:11;top:468;width:2;height:393" coordorigin="11,468" coordsize="0,393" path="m11,468l11,860e" filled="false" stroked="true" strokeweight="1.140pt" strokecolor="#ffffff">
                      <v:path arrowok="t"/>
                    </v:shape>
                  </v:group>
                  <v:group style="position:absolute;left:23;top:468;width:1312;height:393" coordorigin="23,468" coordsize="1312,393">
                    <v:shape style="position:absolute;left:23;top:468;width:1312;height:393" coordorigin="23,468" coordsize="1312,393" path="m23,860l1334,860,1334,468,23,468,23,860xe" filled="true" fillcolor="#ffffff" stroked="false">
                      <v:path arrowok="t"/>
                      <v:fill type="solid"/>
                    </v:shape>
                  </v:group>
                </v:group>
              </w:pict>
            </w:r>
            <w:r>
              <w:rPr>
                <w:rFonts w:ascii="宋体" w:hAnsi="宋体" w:cs="宋体" w:eastAsia="宋体" w:hint="default"/>
                <w:position w:val="-1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对公司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年半 年度报告、</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年度报告未履行 信息披露义务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警告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具体内容详见刊 登在巨潮资讯网 </w:t>
            </w:r>
            <w:r>
              <w:rPr>
                <w:rFonts w:ascii="Times New Roman" w:hAnsi="Times New Roman" w:cs="Times New Roman" w:eastAsia="Times New Roman" w:hint="default"/>
                <w:sz w:val="18"/>
                <w:szCs w:val="18"/>
              </w:rPr>
              <w:t>http://www.cninf</w:t>
            </w:r>
          </w:p>
          <w:p>
            <w:pPr>
              <w:pStyle w:val="TableParagraph"/>
              <w:spacing w:line="240" w:lineRule="auto" w:before="24"/>
              <w:ind w:left="22" w:right="0"/>
              <w:jc w:val="both"/>
              <w:rPr>
                <w:rFonts w:ascii="Times New Roman" w:hAnsi="Times New Roman" w:cs="Times New Roman" w:eastAsia="Times New Roman" w:hint="default"/>
                <w:sz w:val="18"/>
                <w:szCs w:val="18"/>
              </w:rPr>
            </w:pPr>
            <w:r>
              <w:rPr>
                <w:rFonts w:ascii="Times New Roman"/>
                <w:sz w:val="18"/>
              </w:rPr>
              <w:t>o.com.cn</w:t>
            </w:r>
          </w:p>
        </w:tc>
      </w:tr>
    </w:tbl>
    <w:p>
      <w:pPr>
        <w:spacing w:before="51"/>
        <w:ind w:left="154" w:right="0" w:firstLine="0"/>
        <w:jc w:val="left"/>
        <w:rPr>
          <w:rFonts w:ascii="宋体" w:hAnsi="宋体" w:cs="宋体" w:eastAsia="宋体" w:hint="default"/>
          <w:sz w:val="18"/>
          <w:szCs w:val="18"/>
        </w:rPr>
      </w:pPr>
      <w:r>
        <w:rPr/>
        <w:pict>
          <v:shape style="position:absolute;margin-left:92.217003pt;margin-top:-66.918282pt;width:101.1pt;height:23.4pt;mso-position-horizontal-relative:page;mso-position-vertical-relative:paragraph;z-index:-855256" type="#_x0000_t202" filled="false" stroked="false">
            <v:textbox inset="0,0,0,0">
              <w:txbxContent>
                <w:p>
                  <w:pPr>
                    <w:spacing w:line="240" w:lineRule="auto" w:before="11"/>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尚福山、</w:t>
                  </w:r>
                </w:p>
              </w:txbxContent>
            </v:textbox>
            <w10:wrap type="none"/>
          </v:shape>
        </w:pict>
      </w:r>
      <w:r>
        <w:rPr>
          <w:rFonts w:ascii="宋体" w:hAnsi="宋体" w:cs="宋体" w:eastAsia="宋体" w:hint="default"/>
          <w:sz w:val="18"/>
          <w:szCs w:val="18"/>
        </w:rPr>
        <w:t>整改情况说明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3"/>
        <w:spacing w:line="312" w:lineRule="exact" w:before="82"/>
        <w:ind w:right="0" w:firstLine="470"/>
        <w:jc w:val="left"/>
      </w:pPr>
      <w:r>
        <w:rPr>
          <w:spacing w:val="-3"/>
        </w:rPr>
        <w:t>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21</w:t>
      </w:r>
      <w:r>
        <w:rPr>
          <w:spacing w:val="-3"/>
        </w:rPr>
        <w:t>日收到浙江监管局下达的行政监管措施决定书</w:t>
      </w:r>
      <w:r>
        <w:rPr>
          <w:rFonts w:ascii="Times New Roman" w:hAnsi="Times New Roman" w:cs="Times New Roman" w:eastAsia="Times New Roman" w:hint="default"/>
          <w:spacing w:val="-3"/>
        </w:rPr>
        <w:t>[2014]7</w:t>
      </w:r>
      <w:r>
        <w:rPr>
          <w:spacing w:val="-3"/>
        </w:rPr>
        <w:t>号《关于对浙江</w:t>
      </w:r>
      <w:r>
        <w:rPr/>
        <w:t> 宏磊铜业股份有限公司采取责令改正措施的决定》。公司收到行政监管措施决定书后高度重 </w:t>
      </w:r>
      <w:r>
        <w:rPr>
          <w:spacing w:val="-3"/>
        </w:rPr>
        <w:t>视，对照《深圳证券交易所股票上市规则》、《中小企业板上市公司规范运作指引》等规定，</w:t>
      </w:r>
      <w:r>
        <w:rPr>
          <w:spacing w:val="-82"/>
        </w:rPr>
        <w:t> </w:t>
      </w:r>
      <w:r>
        <w:rPr>
          <w:spacing w:val="-82"/>
        </w:rPr>
      </w:r>
      <w:r>
        <w:rPr/>
        <w:t>制定了整改措施及方案，结合公司实际情况进行持续整改。并于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日组织召开了公 司第二届第二十二次董事会、第二届第十七次监事会，审议通过了《关于公司关联方资金占</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left="633" w:right="0" w:hanging="480"/>
        <w:jc w:val="left"/>
      </w:pPr>
      <w:r>
        <w:rPr/>
        <w:t>用及内部控制整改情况的报告》。公司关联方资金占用及内部控制整改情况如下： </w:t>
      </w:r>
      <w:r>
        <w:rPr>
          <w:rFonts w:ascii="宋体" w:hAnsi="宋体" w:cs="宋体" w:eastAsia="宋体" w:hint="default"/>
          <w:b/>
          <w:bCs/>
        </w:rPr>
        <w:t>一、关联方资金占用的具体情况</w:t>
      </w:r>
      <w:r>
        <w:rPr>
          <w:rFonts w:ascii="宋体" w:hAnsi="宋体" w:cs="宋体" w:eastAsia="宋体" w:hint="default"/>
          <w:b/>
          <w:bCs/>
          <w:w w:val="99"/>
        </w:rPr>
        <w:t> </w:t>
      </w:r>
      <w:r>
        <w:rPr/>
        <w:t>公司关联方浙江宏磊控股集团有限公司（以下简称</w:t>
      </w:r>
      <w:r>
        <w:rPr>
          <w:rFonts w:ascii="Times New Roman" w:hAnsi="Times New Roman" w:cs="Times New Roman" w:eastAsia="Times New Roman" w:hint="default"/>
        </w:rPr>
        <w:t>“</w:t>
      </w:r>
      <w:r>
        <w:rPr/>
        <w:t>宏磊控股</w:t>
      </w:r>
      <w:r>
        <w:rPr>
          <w:rFonts w:ascii="Times New Roman" w:hAnsi="Times New Roman" w:cs="Times New Roman" w:eastAsia="Times New Roman" w:hint="default"/>
        </w:rPr>
        <w:t>”</w:t>
      </w:r>
      <w:r>
        <w:rPr/>
        <w:t>）违规占用公司应收票据</w:t>
      </w:r>
    </w:p>
    <w:p>
      <w:pPr>
        <w:pStyle w:val="Heading3"/>
        <w:spacing w:line="225" w:lineRule="auto"/>
        <w:ind w:right="1129"/>
        <w:jc w:val="both"/>
      </w:pPr>
      <w:r>
        <w:rPr/>
        <w:t>及铜材款，</w:t>
      </w:r>
      <w:r>
        <w:rPr>
          <w:rFonts w:ascii="Times New Roman" w:hAnsi="Times New Roman" w:cs="Times New Roman" w:eastAsia="Times New Roman" w:hint="default"/>
        </w:rPr>
        <w:t>2013</w:t>
      </w:r>
      <w:r>
        <w:rPr/>
        <w:t>年度累计占用资金</w:t>
      </w:r>
      <w:r>
        <w:rPr>
          <w:rFonts w:ascii="Times New Roman" w:hAnsi="Times New Roman" w:cs="Times New Roman" w:eastAsia="Times New Roman" w:hint="default"/>
        </w:rPr>
        <w:t>83,300.65</w:t>
      </w:r>
      <w:r>
        <w:rPr/>
        <w:t>万元，截止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日占用资金及占用费余</w:t>
      </w:r>
      <w:r>
        <w:rPr>
          <w:spacing w:val="-88"/>
        </w:rPr>
        <w:t> </w:t>
      </w:r>
      <w:r>
        <w:rPr>
          <w:spacing w:val="-88"/>
        </w:rPr>
      </w:r>
      <w:r>
        <w:rPr/>
        <w:t>额为</w:t>
      </w:r>
      <w:r>
        <w:rPr>
          <w:rFonts w:ascii="Times New Roman" w:hAnsi="Times New Roman" w:cs="Times New Roman" w:eastAsia="Times New Roman" w:hint="default"/>
        </w:rPr>
        <w:t>10,917.00</w:t>
      </w:r>
      <w:r>
        <w:rPr/>
        <w:t>万元（含应收占用费</w:t>
      </w:r>
      <w:r>
        <w:rPr>
          <w:rFonts w:ascii="Times New Roman" w:hAnsi="Times New Roman" w:cs="Times New Roman" w:eastAsia="Times New Roman" w:hint="default"/>
        </w:rPr>
        <w:t>1,049.00</w:t>
      </w:r>
      <w:r>
        <w:rPr/>
        <w:t>万元）。</w:t>
      </w:r>
    </w:p>
    <w:p>
      <w:pPr>
        <w:pStyle w:val="Heading2"/>
        <w:spacing w:line="296" w:lineRule="exact"/>
        <w:ind w:left="636" w:right="0"/>
        <w:jc w:val="left"/>
        <w:rPr>
          <w:b w:val="0"/>
          <w:bCs w:val="0"/>
        </w:rPr>
      </w:pPr>
      <w:r>
        <w:rPr/>
        <w:t>二、关联方资金占用的整改措施</w:t>
      </w:r>
      <w:r>
        <w:rPr>
          <w:b w:val="0"/>
          <w:bCs w:val="0"/>
        </w:rPr>
      </w:r>
    </w:p>
    <w:p>
      <w:pPr>
        <w:spacing w:line="312" w:lineRule="exact" w:before="29"/>
        <w:ind w:left="634"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、主动查明事实，及时补充披露</w:t>
      </w:r>
      <w:r>
        <w:rPr>
          <w:rFonts w:ascii="宋体" w:hAnsi="宋体" w:cs="宋体" w:eastAsia="宋体" w:hint="default"/>
          <w:b/>
          <w:bCs/>
          <w:w w:val="99"/>
          <w:sz w:val="24"/>
          <w:szCs w:val="24"/>
        </w:rPr>
        <w:t> </w:t>
      </w:r>
      <w:r>
        <w:rPr>
          <w:rFonts w:ascii="宋体" w:hAnsi="宋体" w:cs="宋体" w:eastAsia="宋体" w:hint="default"/>
          <w:sz w:val="24"/>
          <w:szCs w:val="24"/>
        </w:rPr>
        <w:t>公司董事会审计委员会在审计部等相关部门的积极配合下，主动对资金被关联方占用整</w:t>
      </w:r>
    </w:p>
    <w:p>
      <w:pPr>
        <w:pStyle w:val="Heading3"/>
        <w:spacing w:line="312" w:lineRule="exact"/>
        <w:ind w:left="154" w:right="1134"/>
        <w:jc w:val="both"/>
      </w:pPr>
      <w:r>
        <w:rPr/>
        <w:t>个过程进行了认真核查，并出具了《内审核查报告》，查明事情真相，对存在的问题提出了 宝贵的整改意见。在自查结果出来后，公司第一时间向浙江证监局、深圳证券交易所等监管 部门作了汇报，并通报中介机构，及时在披露</w:t>
      </w:r>
      <w:r>
        <w:rPr>
          <w:rFonts w:ascii="Times New Roman" w:hAnsi="Times New Roman" w:cs="Times New Roman" w:eastAsia="Times New Roman" w:hint="default"/>
        </w:rPr>
        <w:t>2013</w:t>
      </w:r>
      <w:r>
        <w:rPr/>
        <w:t>年度报告的同时补充披露了关联方违规资</w:t>
      </w:r>
      <w:r>
        <w:rPr>
          <w:spacing w:val="-114"/>
        </w:rPr>
        <w:t> </w:t>
      </w:r>
      <w:r>
        <w:rPr>
          <w:spacing w:val="-114"/>
        </w:rPr>
      </w:r>
      <w:r>
        <w:rPr/>
        <w:t>金占用情况。</w:t>
      </w:r>
    </w:p>
    <w:p>
      <w:pPr>
        <w:spacing w:line="312" w:lineRule="exact" w:before="0"/>
        <w:ind w:left="634"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、积极收回欠款，确保公司利益</w:t>
      </w:r>
      <w:r>
        <w:rPr>
          <w:rFonts w:ascii="宋体" w:hAnsi="宋体" w:cs="宋体" w:eastAsia="宋体" w:hint="default"/>
          <w:b/>
          <w:bCs/>
          <w:w w:val="99"/>
          <w:sz w:val="24"/>
          <w:szCs w:val="24"/>
        </w:rPr>
        <w:t> </w:t>
      </w:r>
      <w:r>
        <w:rPr>
          <w:rFonts w:ascii="宋体" w:hAnsi="宋体" w:cs="宋体" w:eastAsia="宋体" w:hint="default"/>
          <w:sz w:val="24"/>
          <w:szCs w:val="24"/>
        </w:rPr>
        <w:t>根据宏磊控股所出具的承诺函，公司特制定关于公司关联方资金占用问题解决方案，决</w:t>
      </w:r>
    </w:p>
    <w:p>
      <w:pPr>
        <w:pStyle w:val="Heading3"/>
        <w:spacing w:line="312" w:lineRule="exact"/>
        <w:ind w:right="1130"/>
        <w:jc w:val="both"/>
      </w:pPr>
      <w:r>
        <w:rPr>
          <w:spacing w:val="-2"/>
        </w:rPr>
        <w:t>心在一个月内收回全部占用资金及占用费。截止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26</w:t>
      </w:r>
      <w:r>
        <w:rPr>
          <w:spacing w:val="-2"/>
        </w:rPr>
        <w:t>日，公司已将宏磊控股违规占用</w:t>
      </w:r>
      <w:r>
        <w:rPr>
          <w:spacing w:val="-114"/>
        </w:rPr>
        <w:t> </w:t>
      </w:r>
      <w:r>
        <w:rPr>
          <w:spacing w:val="-114"/>
        </w:rPr>
      </w:r>
      <w:r>
        <w:rPr>
          <w:spacing w:val="-1"/>
        </w:rPr>
        <w:t>资金收回，另外公司还收到关联方宏磊控股按年利率</w:t>
      </w:r>
      <w:r>
        <w:rPr>
          <w:rFonts w:ascii="Times New Roman" w:hAnsi="Times New Roman" w:cs="Times New Roman" w:eastAsia="Times New Roman" w:hint="default"/>
          <w:spacing w:val="-1"/>
        </w:rPr>
        <w:t>7%</w:t>
      </w:r>
      <w:r>
        <w:rPr>
          <w:spacing w:val="-1"/>
        </w:rPr>
        <w:t>支付的</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日至还款日资金占</w:t>
      </w:r>
      <w:r>
        <w:rPr>
          <w:spacing w:val="-118"/>
        </w:rPr>
        <w:t> </w:t>
      </w:r>
      <w:r>
        <w:rPr/>
        <w:t>用利息共计</w:t>
      </w:r>
      <w:r>
        <w:rPr>
          <w:rFonts w:ascii="Times New Roman" w:hAnsi="Times New Roman" w:cs="Times New Roman" w:eastAsia="Times New Roman" w:hint="default"/>
        </w:rPr>
        <w:t>287.45</w:t>
      </w:r>
      <w:r>
        <w:rPr/>
        <w:t>万元。至此，关联方占用资金及其占用利息全部还清。有效确保了公司利</w:t>
      </w:r>
      <w:r>
        <w:rPr>
          <w:spacing w:val="-39"/>
        </w:rPr>
        <w:t> </w:t>
      </w:r>
      <w:r>
        <w:rPr>
          <w:spacing w:val="-39"/>
        </w:rPr>
      </w:r>
      <w:r>
        <w:rPr/>
        <w:t>益，不会对中小股东利益造成实质性损害。</w:t>
      </w:r>
    </w:p>
    <w:p>
      <w:pPr>
        <w:pStyle w:val="Heading2"/>
        <w:spacing w:line="291" w:lineRule="exact"/>
        <w:ind w:left="636" w:right="0"/>
        <w:jc w:val="left"/>
        <w:rPr>
          <w:b w:val="0"/>
          <w:bCs w:val="0"/>
        </w:rPr>
      </w:pPr>
      <w:r>
        <w:rPr>
          <w:rFonts w:ascii="Times New Roman" w:hAnsi="Times New Roman" w:cs="Times New Roman" w:eastAsia="Times New Roman" w:hint="default"/>
        </w:rPr>
        <w:t>3</w:t>
      </w:r>
      <w:r>
        <w:rPr/>
        <w:t>、完善内控制度，强化执行力度</w:t>
      </w:r>
      <w:r>
        <w:rPr>
          <w:b w:val="0"/>
          <w:bCs w:val="0"/>
        </w:rPr>
      </w:r>
    </w:p>
    <w:p>
      <w:pPr>
        <w:spacing w:line="312" w:lineRule="exact" w:before="2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）优化公司治理结构</w:t>
      </w:r>
      <w:r>
        <w:rPr>
          <w:rFonts w:ascii="宋体" w:hAnsi="宋体" w:cs="宋体" w:eastAsia="宋体" w:hint="default"/>
          <w:b/>
          <w:bCs/>
          <w:w w:val="99"/>
          <w:sz w:val="24"/>
          <w:szCs w:val="24"/>
        </w:rPr>
        <w:t> </w:t>
      </w:r>
      <w:r>
        <w:rPr>
          <w:rFonts w:ascii="宋体" w:hAnsi="宋体" w:cs="宋体" w:eastAsia="宋体" w:hint="default"/>
          <w:sz w:val="24"/>
          <w:szCs w:val="24"/>
        </w:rPr>
        <w:t>公司将按照现代企业制度要求，进一步优化公司治理结构，规范三会运作，充分发挥独</w:t>
      </w:r>
    </w:p>
    <w:p>
      <w:pPr>
        <w:pStyle w:val="Heading3"/>
        <w:spacing w:line="283" w:lineRule="exact"/>
        <w:ind w:right="0"/>
        <w:jc w:val="both"/>
      </w:pPr>
      <w:r>
        <w:rPr/>
        <w:t>立董事的职能和监事会的监督作用，约束实际控制人的决策和经营行为。责任部门董事会，</w:t>
      </w:r>
    </w:p>
    <w:p>
      <w:pPr>
        <w:pStyle w:val="Heading3"/>
        <w:spacing w:line="321" w:lineRule="exact"/>
        <w:ind w:right="0"/>
        <w:jc w:val="both"/>
      </w:pPr>
      <w:r>
        <w:rPr/>
        <w:t>责任人董事长，完成期限</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前。</w:t>
      </w:r>
    </w:p>
    <w:p>
      <w:pPr>
        <w:spacing w:line="312" w:lineRule="exact" w:before="2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）完善内控制度建设</w:t>
      </w:r>
      <w:r>
        <w:rPr>
          <w:rFonts w:ascii="宋体" w:hAnsi="宋体" w:cs="宋体" w:eastAsia="宋体" w:hint="default"/>
          <w:b/>
          <w:bCs/>
          <w:w w:val="99"/>
          <w:sz w:val="24"/>
          <w:szCs w:val="24"/>
        </w:rPr>
        <w:t> </w:t>
      </w:r>
      <w:r>
        <w:rPr>
          <w:rFonts w:ascii="宋体" w:hAnsi="宋体" w:cs="宋体" w:eastAsia="宋体" w:hint="default"/>
          <w:sz w:val="24"/>
          <w:szCs w:val="24"/>
        </w:rPr>
        <w:t>公司经营层、相关部门必须进一步完善资金管理制度、重大合同管理制度、采购内控制</w:t>
      </w:r>
    </w:p>
    <w:p>
      <w:pPr>
        <w:pStyle w:val="Heading3"/>
        <w:spacing w:line="312" w:lineRule="exact"/>
        <w:ind w:right="1132"/>
        <w:jc w:val="both"/>
      </w:pPr>
      <w:r>
        <w:rPr/>
        <w:t>度、销售内控制度等制度，严格供应商筛选及评审程序，规范资金及合同审核流程及审批权 限；切实加大防范控股股东及关联方资金占用管理制度、关联交易管理制度、信息披露管理 制度、重大信息内部报告制度、大股东定期沟通机制等相关制度的执行力度，杜绝类似问题 </w:t>
      </w:r>
      <w:r>
        <w:rPr>
          <w:spacing w:val="-2"/>
        </w:rPr>
        <w:t>发生。责任部门董事会，责任人董事长、总经理。制度完善完成期限</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前，其他事</w:t>
      </w:r>
      <w:r>
        <w:rPr>
          <w:spacing w:val="-116"/>
        </w:rPr>
        <w:t> </w:t>
      </w:r>
      <w:r>
        <w:rPr>
          <w:spacing w:val="-116"/>
        </w:rPr>
      </w:r>
      <w:r>
        <w:rPr/>
        <w:t>项为持续落实。</w:t>
      </w:r>
    </w:p>
    <w:p>
      <w:pPr>
        <w:spacing w:line="312" w:lineRule="exact" w:before="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）强化内部审计工作</w:t>
      </w:r>
      <w:r>
        <w:rPr>
          <w:rFonts w:ascii="宋体" w:hAnsi="宋体" w:cs="宋体" w:eastAsia="宋体" w:hint="default"/>
          <w:b/>
          <w:bCs/>
          <w:w w:val="99"/>
          <w:sz w:val="24"/>
          <w:szCs w:val="24"/>
        </w:rPr>
        <w:t> </w:t>
      </w:r>
      <w:r>
        <w:rPr>
          <w:rFonts w:ascii="宋体" w:hAnsi="宋体" w:cs="宋体" w:eastAsia="宋体" w:hint="default"/>
          <w:sz w:val="24"/>
          <w:szCs w:val="24"/>
        </w:rPr>
        <w:t>公司将进一步加大内部审计部门的建设，将内审部门真正建设成为直接对独立董事、董</w:t>
      </w:r>
    </w:p>
    <w:p>
      <w:pPr>
        <w:pStyle w:val="Heading3"/>
        <w:spacing w:line="312" w:lineRule="exact"/>
        <w:ind w:right="1132"/>
        <w:jc w:val="both"/>
      </w:pPr>
      <w:r>
        <w:rPr/>
        <w:t>事会审计委员会负责的机构。为了防止发生可能的资金违规占用，公司内审部及财务部要密 切关注和跟踪公司关联方资金往来的情况，确保每月一次核查公司与关联人之间的资金往来 明细；对相关业务部门大额资金使用进行动态跟踪分析与研判，对发生关联方资金往来事项 要及时向董事会汇报并及时告知董事会秘书，履行审批程序和信息披露义务。公司今后涉及 关联方资金往来的业务，在履行审批程序的同时必须提前到董事会秘书处报备。责任部门董 </w:t>
      </w:r>
      <w:r>
        <w:rPr>
          <w:spacing w:val="-5"/>
        </w:rPr>
        <w:t>事会审计委员会，责任人董事长、审计委员会主任、财务总监、审计部经理，启动时间为</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50"/>
        </w:rPr>
        <w:t> </w:t>
      </w:r>
      <w:r>
        <w:rPr/>
        <w:t>年</w:t>
      </w:r>
      <w:r>
        <w:rPr>
          <w:rFonts w:ascii="Times New Roman" w:hAnsi="Times New Roman" w:cs="Times New Roman" w:eastAsia="Times New Roman" w:hint="default"/>
        </w:rPr>
        <w:t>6</w:t>
      </w:r>
      <w:r>
        <w:rPr/>
        <w:t>月，完成期限为持续落实。</w:t>
      </w:r>
    </w:p>
    <w:p>
      <w:pPr>
        <w:spacing w:line="225" w:lineRule="auto" w:before="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）提升守法合规意识</w:t>
      </w:r>
      <w:r>
        <w:rPr>
          <w:rFonts w:ascii="宋体" w:hAnsi="宋体" w:cs="宋体" w:eastAsia="宋体" w:hint="default"/>
          <w:b/>
          <w:bCs/>
          <w:w w:val="99"/>
          <w:sz w:val="24"/>
          <w:szCs w:val="24"/>
        </w:rPr>
        <w:t> </w:t>
      </w:r>
      <w:r>
        <w:rPr>
          <w:rFonts w:ascii="宋体" w:hAnsi="宋体" w:cs="宋体" w:eastAsia="宋体" w:hint="default"/>
          <w:sz w:val="24"/>
          <w:szCs w:val="24"/>
        </w:rPr>
        <w:t>公司董事会办公室负责收集与上市公司监管相关的法律法规和其他法律法规，并收集上</w:t>
      </w:r>
    </w:p>
    <w:p>
      <w:pPr>
        <w:pStyle w:val="Heading3"/>
        <w:spacing w:line="312" w:lineRule="exact" w:before="30"/>
        <w:ind w:right="1139"/>
        <w:jc w:val="both"/>
      </w:pPr>
      <w:r>
        <w:rPr/>
        <w:t>市公司违规案例，汇编成册，要求公司董事、监事、高级管理人员以及其他相关人员，特别 是实际控制人，采取自学与定期讨论的方式，学习法律法规；公司将不定期邀请监管部门工 作人员和法律顾问，为公司进行法律法规和监管政策系统培训，不断提升业务素质和合规意</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0"/>
        <w:jc w:val="left"/>
      </w:pPr>
      <w:r>
        <w:rPr>
          <w:spacing w:val="-3"/>
        </w:rPr>
        <w:t>识，严格按照上述规定和公司管理制度进行相关事项的运作和管理，保证真实、准确、及时、</w:t>
      </w:r>
      <w:r>
        <w:rPr>
          <w:spacing w:val="-81"/>
        </w:rPr>
        <w:t> </w:t>
      </w:r>
      <w:r>
        <w:rPr>
          <w:spacing w:val="-81"/>
        </w:rPr>
      </w:r>
      <w:r>
        <w:rPr/>
        <w:t>完整地履行信息披露义务。责任部门董秘办，责任人董事会秘书，完成期限</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前。</w:t>
      </w:r>
    </w:p>
    <w:p>
      <w:pPr>
        <w:pStyle w:val="Heading3"/>
        <w:spacing w:line="312" w:lineRule="exact"/>
        <w:ind w:right="1133" w:firstLine="480"/>
        <w:jc w:val="both"/>
      </w:pPr>
      <w:r>
        <w:rPr/>
        <w:t>公司《关于关联方资金占用及内部控制整改情况公告》已于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日披露，具体内 容详见巨潮资讯网</w:t>
      </w:r>
      <w:hyperlink r:id="rId13">
        <w:r>
          <w:rPr>
            <w:rFonts w:ascii="Times New Roman" w:hAnsi="Times New Roman" w:cs="Times New Roman" w:eastAsia="Times New Roman" w:hint="default"/>
          </w:rPr>
          <w:t>http://www.cninfo.com.cn</w:t>
        </w:r>
      </w:hyperlink>
      <w:r>
        <w:rPr/>
        <w:t>。</w:t>
      </w:r>
    </w:p>
    <w:p>
      <w:pPr>
        <w:spacing w:line="240" w:lineRule="auto" w:before="6"/>
        <w:rPr>
          <w:rFonts w:ascii="宋体" w:hAnsi="宋体" w:cs="宋体" w:eastAsia="宋体" w:hint="default"/>
          <w:sz w:val="28"/>
          <w:szCs w:val="2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以上的股东涉嫌违规买卖公司股票且公司已披露将收回涉嫌违规所得收益的情况</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115" w:firstLine="0"/>
        <w:jc w:val="left"/>
        <w:rPr>
          <w:rFonts w:ascii="宋体" w:hAnsi="宋体" w:cs="宋体" w:eastAsia="宋体" w:hint="default"/>
          <w:sz w:val="18"/>
          <w:szCs w:val="18"/>
        </w:rPr>
      </w:pPr>
      <w:r>
        <w:rPr>
          <w:rFonts w:ascii="宋体" w:hAnsi="宋体" w:cs="宋体" w:eastAsia="宋体" w:hint="default"/>
          <w:sz w:val="18"/>
          <w:szCs w:val="18"/>
        </w:rPr>
        <w:t>公司报告期不存在董事、监事、高级管理人员、持股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以上的股东涉嫌违规买卖公司股票且公司已披露将收回涉嫌违规所 得收益的情况。</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十三、年度报告披露后面临暂停上市和终止上市情况" w:id="91"/>
      <w:bookmarkEnd w:id="91"/>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53" w:right="0"/>
        <w:jc w:val="left"/>
        <w:rPr>
          <w:b w:val="0"/>
          <w:bCs w:val="0"/>
        </w:rPr>
      </w:pPr>
      <w:bookmarkStart w:name="十四、其他重大事项的说明" w:id="92"/>
      <w:bookmarkEnd w:id="92"/>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3"/>
        <w:spacing w:line="230" w:lineRule="auto" w:before="62"/>
        <w:ind w:right="1130" w:firstLine="480"/>
        <w:jc w:val="both"/>
      </w:pPr>
      <w:r>
        <w:rPr/>
        <w:t>近日，公司收到控股股东戚建萍女士函，由于公司控股股东戚建萍女士、浙江宏磊控股 集团有限公司与燕卫民发生借款合同的债权纠纷原因，债权人燕卫民向上海市第一中级人民 </w:t>
      </w:r>
      <w:r>
        <w:rPr>
          <w:spacing w:val="-2"/>
        </w:rPr>
        <w:t>法院申请强制执行，上海市第一中级人民法院于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17</w:t>
      </w:r>
      <w:r>
        <w:rPr>
          <w:spacing w:val="-2"/>
        </w:rPr>
        <w:t>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4</w:t>
      </w:r>
      <w:r>
        <w:rPr>
          <w:spacing w:val="-2"/>
        </w:rPr>
        <w:t>日分</w:t>
      </w:r>
      <w:r>
        <w:rPr>
          <w:rFonts w:ascii="Times New Roman" w:hAnsi="Times New Roman" w:cs="Times New Roman" w:eastAsia="Times New Roman" w:hint="default"/>
          <w:spacing w:val="-2"/>
        </w:rPr>
        <w:t>2</w:t>
      </w:r>
      <w:r>
        <w:rPr>
          <w:spacing w:val="-2"/>
        </w:rPr>
        <w:t>次司法冻</w:t>
      </w:r>
      <w:r>
        <w:rPr>
          <w:spacing w:val="-106"/>
        </w:rPr>
        <w:t> </w:t>
      </w:r>
      <w:r>
        <w:rPr/>
        <w:t>结了戚建萍女士持有的公司全部股份。并于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日，上海市第一中级人民法院依法将</w:t>
      </w:r>
      <w:r>
        <w:rPr>
          <w:spacing w:val="-112"/>
        </w:rPr>
        <w:t> </w:t>
      </w:r>
      <w:r>
        <w:rPr/>
        <w:t>戚建萍持有的公司股份</w:t>
      </w:r>
      <w:r>
        <w:rPr>
          <w:rFonts w:ascii="Times New Roman" w:hAnsi="Times New Roman" w:cs="Times New Roman" w:eastAsia="Times New Roman" w:hint="default"/>
        </w:rPr>
        <w:t>2,728,440</w:t>
      </w:r>
      <w:r>
        <w:rPr/>
        <w:t>股首发前个人类限售股司法划转过户至债权人燕卫民名下，</w:t>
      </w:r>
      <w:r>
        <w:rPr>
          <w:spacing w:val="-109"/>
        </w:rPr>
        <w:t> </w:t>
      </w:r>
      <w:r>
        <w:rPr>
          <w:spacing w:val="-109"/>
        </w:rPr>
      </w:r>
      <w:r>
        <w:rPr/>
        <w:t>截止本公告日戚建萍持有公司股份为</w:t>
      </w:r>
      <w:r>
        <w:rPr>
          <w:rFonts w:ascii="Times New Roman" w:hAnsi="Times New Roman" w:cs="Times New Roman" w:eastAsia="Times New Roman" w:hint="default"/>
        </w:rPr>
        <w:t>80,423,200</w:t>
      </w:r>
      <w:r>
        <w:rPr/>
        <w:t>股，占公司总股本</w:t>
      </w:r>
      <w:r>
        <w:rPr>
          <w:rFonts w:ascii="Times New Roman" w:hAnsi="Times New Roman" w:cs="Times New Roman" w:eastAsia="Times New Roman" w:hint="default"/>
        </w:rPr>
        <w:t>36.625%</w:t>
      </w:r>
      <w:r>
        <w:rPr/>
        <w:t>。</w:t>
      </w:r>
    </w:p>
    <w:p>
      <w:pPr>
        <w:pStyle w:val="Heading3"/>
        <w:spacing w:line="312" w:lineRule="exact" w:before="12"/>
        <w:ind w:right="0" w:firstLine="480"/>
        <w:jc w:val="left"/>
      </w:pPr>
      <w:r>
        <w:rPr/>
        <w:t>目前，公司控股股东戚建萍与债权人燕卫民正在积极进行协商，争取尽早妥善地处理债 </w:t>
      </w:r>
      <w:r>
        <w:rPr>
          <w:spacing w:val="-3"/>
        </w:rPr>
        <w:t>务纠纷问题，消除股份冻结状态，控制经营风险，确保公司利益和中小投资者利益不受损害。</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十五、公司子公司重要事项" w:id="93"/>
      <w:bookmarkEnd w:id="93"/>
      <w:r>
        <w:rPr>
          <w:b w:val="0"/>
          <w:bCs w:val="0"/>
        </w:rPr>
      </w:r>
      <w:r>
        <w:rPr/>
        <w:t>十五、公司子公司重要事项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53" w:right="0"/>
        <w:jc w:val="left"/>
        <w:rPr>
          <w:b w:val="0"/>
          <w:bCs w:val="0"/>
        </w:rPr>
      </w:pPr>
      <w:bookmarkStart w:name="十六、公司发行公司债券的情况" w:id="94"/>
      <w:bookmarkEnd w:id="94"/>
      <w:r>
        <w:rPr>
          <w:b w:val="0"/>
          <w:bCs w:val="0"/>
        </w:rPr>
      </w:r>
      <w:r>
        <w:rPr/>
        <w:t>十六、公司发行公司债券的情况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6" w:id="95"/>
      <w:bookmarkStart w:name="第六节 股份变动及股东情况" w:id="96"/>
      <w:r>
        <w:rPr>
          <w:b w:val="0"/>
          <w:bCs w:val="0"/>
        </w:rPr>
      </w:r>
      <w:r>
        <w:rPr/>
        <w:t>第六节</w:t>
      </w:r>
      <w:r>
        <w:rPr>
          <w:spacing w:val="-10"/>
        </w:rPr>
        <w:t> </w:t>
      </w:r>
      <w:r>
        <w:rPr/>
        <w:t>股份变动及股东情况</w:t>
      </w:r>
      <w:bookmarkEnd w:id="9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left"/>
        <w:rPr>
          <w:b w:val="0"/>
          <w:bCs w:val="0"/>
        </w:rPr>
      </w:pPr>
      <w:bookmarkStart w:name="一、股份变动情况" w:id="97"/>
      <w:bookmarkEnd w:id="97"/>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2"/>
        <w:gridCol w:w="842"/>
        <w:gridCol w:w="842"/>
        <w:gridCol w:w="842"/>
        <w:gridCol w:w="844"/>
        <w:gridCol w:w="842"/>
        <w:gridCol w:w="844"/>
        <w:gridCol w:w="842"/>
        <w:gridCol w:w="815"/>
        <w:gridCol w:w="820"/>
      </w:tblGrid>
      <w:tr>
        <w:trPr>
          <w:trHeight w:val="402"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2"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109,719,2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64.96%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32,915,76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32,915,76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142,634,9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64.96%</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109,719,2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64.96%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32,915,76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32,915,76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142,634,9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64.96%</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109,719,2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64.96%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32,915,76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32,915,76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142,634,9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64.96%</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59,190,80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35.04%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17,757,24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17,757,24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76,948,04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35.04%</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59,190,80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35.04%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17,757,24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17,757,24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76,948,04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35.04%</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168,910,0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50,673,00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50,673,00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219,583,0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3"/>
        <w:spacing w:line="225" w:lineRule="auto" w:before="68"/>
        <w:ind w:right="1130" w:firstLine="480"/>
        <w:jc w:val="both"/>
      </w:pPr>
      <w:r>
        <w:rPr/>
        <w:t>本公司</w:t>
      </w:r>
      <w:r>
        <w:rPr>
          <w:rFonts w:ascii="Times New Roman" w:hAnsi="Times New Roman" w:cs="Times New Roman" w:eastAsia="Times New Roman" w:hint="default"/>
        </w:rPr>
        <w:t>2013</w:t>
      </w:r>
      <w:r>
        <w:rPr/>
        <w:t>年年度权益分派实施方案为：以公司现有总股本</w:t>
      </w:r>
      <w:r>
        <w:rPr>
          <w:rFonts w:ascii="Times New Roman" w:hAnsi="Times New Roman" w:cs="Times New Roman" w:eastAsia="Times New Roman" w:hint="default"/>
        </w:rPr>
        <w:t>168,910,000</w:t>
      </w:r>
      <w:r>
        <w:rPr/>
        <w:t>股为基数，向全 </w:t>
      </w:r>
      <w:r>
        <w:rPr>
          <w:spacing w:val="-1"/>
        </w:rPr>
        <w:t>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0.90</w:t>
      </w:r>
      <w:r>
        <w:rPr>
          <w:spacing w:val="-1"/>
        </w:rPr>
        <w:t>元人民币现金；同时，以资本公积金向全体股东每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3</w:t>
      </w:r>
      <w:r>
        <w:rPr>
          <w:spacing w:val="-1"/>
        </w:rPr>
        <w:t>股，共计转</w:t>
      </w:r>
      <w:r>
        <w:rPr>
          <w:spacing w:val="-99"/>
        </w:rPr>
        <w:t> </w:t>
      </w:r>
      <w:r>
        <w:rPr>
          <w:spacing w:val="-99"/>
        </w:rPr>
      </w:r>
      <w:r>
        <w:rPr/>
        <w:t>增</w:t>
      </w:r>
      <w:r>
        <w:rPr>
          <w:rFonts w:ascii="Times New Roman" w:hAnsi="Times New Roman" w:cs="Times New Roman" w:eastAsia="Times New Roman" w:hint="default"/>
        </w:rPr>
        <w:t>50,673,000</w:t>
      </w:r>
      <w:r>
        <w:rPr/>
        <w:t>股，转增后公司股份总数为</w:t>
      </w:r>
      <w:r>
        <w:rPr>
          <w:rFonts w:ascii="Times New Roman" w:hAnsi="Times New Roman" w:cs="Times New Roman" w:eastAsia="Times New Roman" w:hint="default"/>
        </w:rPr>
        <w:t>219,583,000</w:t>
      </w:r>
      <w:r>
        <w:rPr/>
        <w:t>股。</w:t>
      </w:r>
    </w:p>
    <w:p>
      <w:pPr>
        <w:spacing w:line="240" w:lineRule="auto" w:before="6"/>
        <w:rPr>
          <w:rFonts w:ascii="宋体" w:hAnsi="宋体" w:cs="宋体" w:eastAsia="宋体" w:hint="default"/>
          <w:sz w:val="29"/>
          <w:szCs w:val="2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3"/>
        <w:spacing w:line="322" w:lineRule="exact" w:before="51"/>
        <w:ind w:right="0"/>
        <w:jc w:val="left"/>
      </w:pPr>
      <w:r>
        <w:rPr/>
        <w:t>公司</w:t>
      </w:r>
      <w:r>
        <w:rPr>
          <w:rFonts w:ascii="Times New Roman" w:hAnsi="Times New Roman" w:cs="Times New Roman" w:eastAsia="Times New Roman" w:hint="default"/>
        </w:rPr>
        <w:t>2013</w:t>
      </w:r>
      <w:r>
        <w:rPr/>
        <w:t>年年度权益分派方案已获</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日召开的</w:t>
      </w:r>
      <w:r>
        <w:rPr>
          <w:rFonts w:ascii="Times New Roman" w:hAnsi="Times New Roman" w:cs="Times New Roman" w:eastAsia="Times New Roman" w:hint="default"/>
        </w:rPr>
        <w:t>2013</w:t>
      </w:r>
      <w:r>
        <w:rPr/>
        <w:t>年年度股东大会审议通过，并于</w:t>
      </w:r>
    </w:p>
    <w:p>
      <w:pPr>
        <w:pStyle w:val="Heading3"/>
        <w:spacing w:line="322" w:lineRule="exact"/>
        <w:ind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日实施权益分派。</w:t>
      </w:r>
    </w:p>
    <w:p>
      <w:pPr>
        <w:spacing w:before="70"/>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57" w:lineRule="auto" w:before="117"/>
        <w:ind w:left="154" w:right="1392"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股份变动对最近一年和最近一期基本每股收益和稀释每股收益、归属于公司普通股股东的每股净资产等财务指标的影响</w:t>
      </w:r>
    </w:p>
    <w:p>
      <w:pPr>
        <w:spacing w:line="357" w:lineRule="auto" w:before="29"/>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公司认为必要或证券监管机构要求披露的其他内容</w:t>
      </w:r>
    </w:p>
    <w:p>
      <w:pPr>
        <w:spacing w:before="28"/>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二、证券发行与上市情况" w:id="98"/>
      <w:bookmarkEnd w:id="9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末近三年历次证券发行情况" w:id="99"/>
      <w:bookmarkEnd w:id="99"/>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公司股份总数及股东结构的变动、公司资产和负债结构的变动情况说明" w:id="100"/>
      <w:bookmarkEnd w:id="10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Heading3"/>
        <w:spacing w:line="225" w:lineRule="auto" w:before="82"/>
        <w:ind w:right="1153"/>
        <w:jc w:val="left"/>
      </w:pPr>
      <w:r>
        <w:rPr/>
        <w:t>本公司实施</w:t>
      </w:r>
      <w:r>
        <w:rPr>
          <w:rFonts w:ascii="Times New Roman" w:hAnsi="Times New Roman" w:cs="Times New Roman" w:eastAsia="Times New Roman" w:hint="default"/>
        </w:rPr>
        <w:t>2013</w:t>
      </w:r>
      <w:r>
        <w:rPr/>
        <w:t>年年度权益分派</w:t>
      </w:r>
      <w:r>
        <w:rPr>
          <w:rFonts w:ascii="Times New Roman" w:hAnsi="Times New Roman" w:cs="Times New Roman" w:eastAsia="Times New Roman" w:hint="default"/>
        </w:rPr>
        <w:t>,</w:t>
      </w:r>
      <w:r>
        <w:rPr/>
        <w:t>以公司现有总股本</w:t>
      </w:r>
      <w:r>
        <w:rPr>
          <w:rFonts w:ascii="Times New Roman" w:hAnsi="Times New Roman" w:cs="Times New Roman" w:eastAsia="Times New Roman" w:hint="default"/>
        </w:rPr>
        <w:t>168,910,000</w:t>
      </w:r>
      <w:r>
        <w:rPr/>
        <w:t>股为基数以资本公积金向全 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股，共计转增</w:t>
      </w:r>
      <w:r>
        <w:rPr>
          <w:rFonts w:ascii="Times New Roman" w:hAnsi="Times New Roman" w:cs="Times New Roman" w:eastAsia="Times New Roman" w:hint="default"/>
        </w:rPr>
        <w:t>50,673,000</w:t>
      </w:r>
      <w:r>
        <w:rPr/>
        <w:t>股，转增后公司股份总数为</w:t>
      </w:r>
      <w:r>
        <w:rPr>
          <w:rFonts w:ascii="Times New Roman" w:hAnsi="Times New Roman" w:cs="Times New Roman" w:eastAsia="Times New Roman" w:hint="default"/>
        </w:rPr>
        <w:t>219,583,000</w:t>
      </w:r>
      <w:r>
        <w:rPr/>
        <w:t>股。股东 结构未发生变化。</w:t>
      </w:r>
    </w:p>
    <w:p>
      <w:pPr>
        <w:spacing w:line="240" w:lineRule="auto" w:before="11"/>
        <w:rPr>
          <w:rFonts w:ascii="宋体" w:hAnsi="宋体" w:cs="宋体" w:eastAsia="宋体" w:hint="default"/>
          <w:sz w:val="24"/>
          <w:szCs w:val="24"/>
        </w:rPr>
      </w:pPr>
    </w:p>
    <w:p>
      <w:pPr>
        <w:pStyle w:val="Heading4"/>
        <w:spacing w:line="240" w:lineRule="auto"/>
        <w:ind w:left="153" w:right="0"/>
        <w:jc w:val="left"/>
        <w:rPr>
          <w:b w:val="0"/>
          <w:bCs w:val="0"/>
        </w:rPr>
      </w:pPr>
      <w:bookmarkStart w:name="3、现存的内部职工股情况" w:id="101"/>
      <w:bookmarkEnd w:id="10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2"/>
      <w:bookmarkEnd w:id="10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公司股东数量及持股情况" w:id="103"/>
      <w:bookmarkEnd w:id="10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1"/>
        <w:gridCol w:w="233"/>
        <w:gridCol w:w="1134"/>
        <w:gridCol w:w="473"/>
        <w:gridCol w:w="389"/>
        <w:gridCol w:w="798"/>
        <w:gridCol w:w="383"/>
        <w:gridCol w:w="414"/>
        <w:gridCol w:w="797"/>
        <w:gridCol w:w="406"/>
        <w:gridCol w:w="445"/>
        <w:gridCol w:w="1128"/>
        <w:gridCol w:w="241"/>
        <w:gridCol w:w="1367"/>
      </w:tblGrid>
      <w:tr>
        <w:trPr>
          <w:trHeight w:val="162" w:hRule="exact"/>
        </w:trPr>
        <w:tc>
          <w:tcPr>
            <w:tcW w:w="1584" w:type="dxa"/>
            <w:gridSpan w:val="2"/>
            <w:vMerge w:val="restart"/>
            <w:tcBorders>
              <w:top w:val="single" w:sz="4" w:space="0" w:color="000000"/>
              <w:left w:val="single" w:sz="4" w:space="0" w:color="000000"/>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18,131</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9,548</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0"/>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84" w:type="dxa"/>
            <w:gridSpan w:val="2"/>
            <w:vMerge/>
            <w:tcBorders>
              <w:left w:val="single" w:sz="4" w:space="0" w:color="000000"/>
              <w:bottom w:val="nil" w:sz="6" w:space="0" w:color="auto"/>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703" w:hRule="exact"/>
        </w:trPr>
        <w:tc>
          <w:tcPr>
            <w:tcW w:w="158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56" w:hRule="exact"/>
        </w:trPr>
        <w:tc>
          <w:tcPr>
            <w:tcW w:w="1584" w:type="dxa"/>
            <w:gridSpan w:val="2"/>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67" w:hRule="exact"/>
        </w:trPr>
        <w:tc>
          <w:tcPr>
            <w:tcW w:w="1584"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1" w:hRule="exact"/>
        </w:trPr>
        <w:tc>
          <w:tcPr>
            <w:tcW w:w="955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351" w:type="dxa"/>
            <w:vMerge w:val="restart"/>
            <w:tcBorders>
              <w:top w:val="single" w:sz="4" w:space="0" w:color="000000"/>
              <w:left w:val="single" w:sz="4" w:space="0" w:color="000000"/>
              <w:right w:val="single" w:sz="4" w:space="0" w:color="000000"/>
            </w:tcBorders>
            <w:shd w:val="clear" w:color="auto" w:fill="D2D2D2"/>
          </w:tcPr>
          <w:p>
            <w:pP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
        </w:tc>
        <w:tc>
          <w:tcPr>
            <w:tcW w:w="863" w:type="dxa"/>
            <w:gridSpan w:val="2"/>
            <w:vMerge w:val="restart"/>
            <w:tcBorders>
              <w:top w:val="single" w:sz="4" w:space="0" w:color="000000"/>
              <w:left w:val="single" w:sz="4" w:space="0" w:color="000000"/>
              <w:right w:val="single" w:sz="4" w:space="0" w:color="FFFFFF"/>
            </w:tcBorders>
            <w:shd w:val="clear" w:color="auto" w:fill="D2D2D2"/>
          </w:tcPr>
          <w:p>
            <w:pPr/>
          </w:p>
        </w:tc>
        <w:tc>
          <w:tcPr>
            <w:tcW w:w="798" w:type="dxa"/>
            <w:tcBorders>
              <w:top w:val="single" w:sz="4" w:space="0" w:color="000000"/>
              <w:left w:val="single" w:sz="4" w:space="0" w:color="FFFFFF"/>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59"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51"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FFFFFF"/>
            </w:tcBorders>
            <w:shd w:val="clear" w:color="auto" w:fill="D2D2D2"/>
          </w:tcPr>
          <w:p>
            <w:pPr/>
          </w:p>
        </w:tc>
        <w:tc>
          <w:tcPr>
            <w:tcW w:w="798"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51"/>
              <w:ind w:left="34" w:right="3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right w:val="single" w:sz="4" w:space="0" w:color="000000"/>
            </w:tcBorders>
            <w:shd w:val="clear" w:color="auto" w:fill="D2D2D2"/>
          </w:tcPr>
          <w:p>
            <w:pPr/>
          </w:p>
        </w:tc>
      </w:tr>
      <w:tr>
        <w:trPr>
          <w:trHeight w:val="140" w:hRule="exact"/>
        </w:trPr>
        <w:tc>
          <w:tcPr>
            <w:tcW w:w="13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8" w:type="dxa"/>
            <w:vMerge/>
            <w:tcBorders>
              <w:left w:val="single" w:sz="4" w:space="0" w:color="FFFFFF"/>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51"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FFFFFF"/>
            </w:tcBorders>
            <w:shd w:val="clear" w:color="auto" w:fill="D2D2D2"/>
          </w:tcPr>
          <w:p>
            <w:pPr/>
          </w:p>
        </w:tc>
        <w:tc>
          <w:tcPr>
            <w:tcW w:w="798" w:type="dxa"/>
            <w:vMerge/>
            <w:tcBorders>
              <w:left w:val="single" w:sz="4" w:space="0" w:color="FFFFFF"/>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51" w:type="dxa"/>
            <w:vMerge w:val="restart"/>
            <w:tcBorders>
              <w:top w:val="nil" w:sz="6" w:space="0" w:color="auto"/>
              <w:left w:val="single" w:sz="4" w:space="0" w:color="000000"/>
              <w:right w:val="single" w:sz="4" w:space="0" w:color="000000"/>
            </w:tcBorders>
            <w:shd w:val="clear" w:color="auto" w:fill="D2D2D2"/>
          </w:tcPr>
          <w:p>
            <w:pPr/>
          </w:p>
        </w:tc>
        <w:tc>
          <w:tcPr>
            <w:tcW w:w="1367" w:type="dxa"/>
            <w:gridSpan w:val="2"/>
            <w:vMerge w:val="restart"/>
            <w:tcBorders>
              <w:top w:val="nil" w:sz="6" w:space="0" w:color="auto"/>
              <w:left w:val="single" w:sz="4" w:space="0" w:color="000000"/>
              <w:right w:val="single" w:sz="4" w:space="0" w:color="000000"/>
            </w:tcBorders>
            <w:shd w:val="clear" w:color="auto" w:fill="D2D2D2"/>
          </w:tcPr>
          <w:p>
            <w:pPr/>
          </w:p>
        </w:tc>
        <w:tc>
          <w:tcPr>
            <w:tcW w:w="863" w:type="dxa"/>
            <w:gridSpan w:val="2"/>
            <w:vMerge w:val="restart"/>
            <w:tcBorders>
              <w:top w:val="nil" w:sz="6" w:space="0" w:color="auto"/>
              <w:left w:val="single" w:sz="4" w:space="0" w:color="000000"/>
              <w:right w:val="single" w:sz="4" w:space="0" w:color="FFFFFF"/>
            </w:tcBorders>
            <w:shd w:val="clear" w:color="auto" w:fill="D2D2D2"/>
          </w:tcPr>
          <w:p>
            <w:pPr/>
          </w:p>
        </w:tc>
        <w:tc>
          <w:tcPr>
            <w:tcW w:w="798" w:type="dxa"/>
            <w:vMerge/>
            <w:tcBorders>
              <w:left w:val="single" w:sz="4" w:space="0" w:color="FFFFFF"/>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51"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FFFFFF"/>
            </w:tcBorders>
            <w:shd w:val="clear" w:color="auto" w:fill="D2D2D2"/>
          </w:tcPr>
          <w:p>
            <w:pPr/>
          </w:p>
        </w:tc>
        <w:tc>
          <w:tcPr>
            <w:tcW w:w="798" w:type="dxa"/>
            <w:tcBorders>
              <w:top w:val="nil" w:sz="6" w:space="0" w:color="auto"/>
              <w:left w:val="single" w:sz="4" w:space="0" w:color="FFFFFF"/>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367"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vMerge w:val="restart"/>
            <w:tcBorders>
              <w:top w:val="single" w:sz="4" w:space="0" w:color="000000"/>
              <w:left w:val="single" w:sz="4" w:space="0" w:color="000000"/>
              <w:right w:val="single" w:sz="4" w:space="0" w:color="FFFFFF"/>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37.87%</w:t>
            </w:r>
          </w:p>
        </w:tc>
        <w:tc>
          <w:tcPr>
            <w:tcW w:w="798" w:type="dxa"/>
            <w:vMerge w:val="restart"/>
            <w:tcBorders>
              <w:top w:val="single" w:sz="4" w:space="0" w:color="000000"/>
              <w:left w:val="single" w:sz="4" w:space="0" w:color="FFFFFF"/>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83,151,64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7" w:type="dxa"/>
            <w:gridSpan w:val="2"/>
            <w:vMerge w:val="restart"/>
            <w:tcBorders>
              <w:top w:val="single" w:sz="4" w:space="0" w:color="000000"/>
              <w:left w:val="single" w:sz="4" w:space="0" w:color="000000"/>
              <w:right w:val="single" w:sz="4" w:space="0" w:color="000000"/>
            </w:tcBorders>
          </w:tcPr>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sz w:val="18"/>
              </w:rPr>
              <w:t>19,188,84</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83,151,64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18"/>
                <w:szCs w:val="18"/>
              </w:rPr>
            </w:pPr>
            <w:r>
              <w:rPr>
                <w:rFonts w:ascii="Times New Roman"/>
                <w:sz w:val="18"/>
              </w:rPr>
              <w:t>70,023,200</w:t>
            </w:r>
          </w:p>
        </w:tc>
      </w:tr>
      <w:tr>
        <w:trPr>
          <w:trHeight w:val="403" w:hRule="exact"/>
        </w:trPr>
        <w:tc>
          <w:tcPr>
            <w:tcW w:w="1351" w:type="dxa"/>
            <w:vMerge/>
            <w:tcBorders>
              <w:left w:val="single" w:sz="4" w:space="0" w:color="000000"/>
              <w:bottom w:val="single" w:sz="4" w:space="0" w:color="000000"/>
              <w:right w:val="single" w:sz="4" w:space="0" w:color="000000"/>
            </w:tcBorders>
          </w:tcPr>
          <w:p>
            <w:pPr/>
          </w:p>
        </w:tc>
        <w:tc>
          <w:tcPr>
            <w:tcW w:w="1367" w:type="dxa"/>
            <w:gridSpan w:val="2"/>
            <w:vMerge/>
            <w:tcBorders>
              <w:left w:val="single" w:sz="4" w:space="0" w:color="000000"/>
              <w:bottom w:val="single" w:sz="4" w:space="0" w:color="000000"/>
              <w:right w:val="single" w:sz="4" w:space="0" w:color="000000"/>
            </w:tcBorders>
          </w:tcPr>
          <w:p>
            <w:pPr/>
          </w:p>
        </w:tc>
        <w:tc>
          <w:tcPr>
            <w:tcW w:w="863" w:type="dxa"/>
            <w:gridSpan w:val="2"/>
            <w:vMerge/>
            <w:tcBorders>
              <w:left w:val="single" w:sz="4" w:space="0" w:color="000000"/>
              <w:bottom w:val="single" w:sz="4" w:space="0" w:color="000000"/>
              <w:right w:val="single" w:sz="4" w:space="0" w:color="FFFFFF"/>
            </w:tcBorders>
          </w:tcPr>
          <w:p>
            <w:pPr/>
          </w:p>
        </w:tc>
        <w:tc>
          <w:tcPr>
            <w:tcW w:w="798" w:type="dxa"/>
            <w:vMerge/>
            <w:tcBorders>
              <w:left w:val="single" w:sz="4" w:space="0" w:color="FFFFFF"/>
              <w:bottom w:val="single" w:sz="4" w:space="0" w:color="000000"/>
              <w:right w:val="single" w:sz="4" w:space="0" w:color="000000"/>
            </w:tcBorders>
          </w:tcPr>
          <w:p>
            <w:pPr/>
          </w:p>
        </w:tc>
        <w:tc>
          <w:tcPr>
            <w:tcW w:w="797" w:type="dxa"/>
            <w:gridSpan w:val="2"/>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51" w:type="dxa"/>
            <w:gridSpan w:val="2"/>
            <w:vMerge/>
            <w:tcBorders>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83,151,640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93.399994pt;margin-top:346.429993pt;width:340.45pt;height:20.8pt;mso-position-horizontal-relative:page;mso-position-vertical-relative:page;z-index:-855232" coordorigin="3868,6929" coordsize="6809,416">
            <v:group style="position:absolute;left:3879;top:6940;width:2;height:393" coordorigin="3879,6940" coordsize="2,393">
              <v:shape style="position:absolute;left:3879;top:6940;width:2;height:393" coordorigin="3879,6940" coordsize="0,393" path="m3879,6940l3879,7332e" filled="false" stroked="true" strokeweight="1.140pt" strokecolor="#ffffff">
                <v:path arrowok="t"/>
              </v:shape>
            </v:group>
            <v:group style="position:absolute;left:3891;top:6940;width:6786;height:393" coordorigin="3891,6940" coordsize="6786,393">
              <v:shape style="position:absolute;left:3891;top:6940;width:6786;height:393" coordorigin="3891,6940" coordsize="6786,393" path="m3891,7332l10676,7332,10676,6940,3891,6940,3891,733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7"/>
        <w:gridCol w:w="863"/>
        <w:gridCol w:w="798"/>
        <w:gridCol w:w="797"/>
        <w:gridCol w:w="797"/>
        <w:gridCol w:w="851"/>
        <w:gridCol w:w="1368"/>
        <w:gridCol w:w="1367"/>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20,384,00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4,704,000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20,384,00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19,084,000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15,184,00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15,184,00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11,561,16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2,667,960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11,561,16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11,557,000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金敏燕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11,561,16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2,667,960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11,561,16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袁琴美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3,741,671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3,741,671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3,741,671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陈传兴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2,747,861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2,747,861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2,747,861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1,324,583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1,324,583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1,324,583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首创证券有限责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1,315,474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303,571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1,315,474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马祝庆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1,297,815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1,297,815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1,297,815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3" w:type="dxa"/>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851" w:type="dxa"/>
            <w:tcBorders>
              <w:top w:val="single" w:sz="4" w:space="0" w:color="000000"/>
              <w:left w:val="nil" w:sz="6" w:space="0" w:color="auto"/>
              <w:bottom w:val="single" w:sz="4" w:space="0" w:color="000000"/>
              <w:right w:val="nil" w:sz="6" w:space="0" w:color="auto"/>
            </w:tcBorders>
          </w:tcPr>
          <w:p>
            <w:pPr/>
          </w:p>
        </w:tc>
        <w:tc>
          <w:tcPr>
            <w:tcW w:w="1368" w:type="dxa"/>
            <w:tcBorders>
              <w:top w:val="single" w:sz="4" w:space="0" w:color="000000"/>
              <w:left w:val="nil" w:sz="6" w:space="0" w:color="auto"/>
              <w:bottom w:val="single" w:sz="4" w:space="0" w:color="000000"/>
              <w:right w:val="nil" w:sz="6" w:space="0" w:color="auto"/>
            </w:tcBorders>
          </w:tcPr>
          <w:p>
            <w:pPr/>
          </w:p>
        </w:tc>
        <w:tc>
          <w:tcPr>
            <w:tcW w:w="1367" w:type="dxa"/>
            <w:tcBorders>
              <w:top w:val="single" w:sz="4" w:space="0" w:color="000000"/>
              <w:left w:val="nil" w:sz="6" w:space="0" w:color="auto"/>
              <w:bottom w:val="single" w:sz="4" w:space="0" w:color="000000"/>
              <w:right w:val="single" w:sz="4" w:space="0" w:color="000000"/>
            </w:tcBorders>
          </w:tcPr>
          <w:p>
            <w:pPr/>
          </w:p>
        </w:tc>
      </w:tr>
      <w:tr>
        <w:trPr>
          <w:trHeight w:val="161"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41" w:type="dxa"/>
            <w:gridSpan w:val="7"/>
            <w:vMerge w:val="restart"/>
            <w:tcBorders>
              <w:top w:val="single" w:sz="4" w:space="0" w:color="000000"/>
              <w:left w:val="single" w:sz="9" w:space="0" w:color="D2D2D2"/>
              <w:right w:val="single" w:sz="4" w:space="0" w:color="000000"/>
            </w:tcBorders>
          </w:tcPr>
          <w:p>
            <w:pPr>
              <w:pStyle w:val="TableParagraph"/>
              <w:spacing w:line="302" w:lineRule="auto" w:before="51"/>
              <w:ind w:left="16" w:right="5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、戚建萍、戚建生、戚建华、金磊、金敏燕为公司共同实际控制人，五人已经签署一 致行动协议；</w:t>
            </w:r>
            <w:r>
              <w:rPr>
                <w:rFonts w:ascii="Times New Roman" w:hAnsi="Times New Roman" w:cs="Times New Roman" w:eastAsia="Times New Roman" w:hint="default"/>
                <w:sz w:val="18"/>
                <w:szCs w:val="18"/>
              </w:rPr>
              <w:t>2</w:t>
            </w:r>
            <w:r>
              <w:rPr>
                <w:rFonts w:ascii="宋体" w:hAnsi="宋体" w:cs="宋体" w:eastAsia="宋体" w:hint="default"/>
                <w:sz w:val="18"/>
                <w:szCs w:val="18"/>
              </w:rPr>
              <w:t>、戚建萍与戚建生为姐弟关系，戚建萍与戚建华为姐妹关系，戚建萍与 金磊为母子关系，戚建萍与金敏燕为母女关系。</w:t>
            </w:r>
          </w:p>
        </w:tc>
      </w:tr>
      <w:tr>
        <w:trPr>
          <w:trHeight w:val="705" w:hRule="exact"/>
        </w:trPr>
        <w:tc>
          <w:tcPr>
            <w:tcW w:w="272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vMerge/>
            <w:tcBorders>
              <w:left w:val="single" w:sz="9" w:space="0" w:color="D2D2D2"/>
              <w:right w:val="single" w:sz="4" w:space="0" w:color="000000"/>
            </w:tcBorders>
          </w:tcPr>
          <w:p>
            <w:pPr/>
          </w:p>
        </w:tc>
      </w:tr>
      <w:tr>
        <w:trPr>
          <w:trHeight w:val="161"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41" w:type="dxa"/>
            <w:gridSpan w:val="7"/>
            <w:vMerge/>
            <w:tcBorders>
              <w:left w:val="single" w:sz="9" w:space="0" w:color="D2D2D2"/>
              <w:bottom w:val="single" w:sz="4" w:space="0" w:color="000000"/>
              <w:right w:val="single" w:sz="4" w:space="0" w:color="000000"/>
            </w:tcBorders>
          </w:tcPr>
          <w:p>
            <w:pP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72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29" w:type="dxa"/>
            <w:gridSpan w:val="2"/>
            <w:vMerge/>
            <w:tcBorders>
              <w:left w:val="single" w:sz="4" w:space="0" w:color="000000"/>
              <w:bottom w:val="nil" w:sz="6" w:space="0" w:color="auto"/>
              <w:right w:val="single" w:sz="4" w:space="0" w:color="000000"/>
            </w:tcBorders>
            <w:shd w:val="clear" w:color="auto" w:fill="D2D2D2"/>
          </w:tcPr>
          <w:p>
            <w:pPr/>
          </w:p>
        </w:tc>
        <w:tc>
          <w:tcPr>
            <w:tcW w:w="4106" w:type="dxa"/>
            <w:gridSpan w:val="5"/>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袁琴美</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3,741,671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3,741,671</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陈传兴</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2,747,861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2,747,861</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叶钢</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1,324,583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1,324,583</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首创证券有限责任公司</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1,315,474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1,315,474</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马祝庆</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1,297,815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1,297,815</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郑韬</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933,400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黄鑫虹</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910,260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周益民</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吕汤杨</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535,145</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洪永娟</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440,050</w:t>
            </w:r>
          </w:p>
        </w:tc>
      </w:tr>
      <w:tr>
        <w:trPr>
          <w:trHeight w:val="1338"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1"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6" w:right="0"/>
              <w:jc w:val="left"/>
              <w:rPr>
                <w:rFonts w:ascii="宋体" w:hAnsi="宋体" w:cs="宋体" w:eastAsia="宋体" w:hint="default"/>
                <w:sz w:val="18"/>
                <w:szCs w:val="18"/>
              </w:rPr>
            </w:pPr>
            <w:r>
              <w:rPr>
                <w:rFonts w:ascii="宋体" w:hAnsi="宋体" w:cs="宋体" w:eastAsia="宋体" w:hint="default"/>
                <w:sz w:val="18"/>
                <w:szCs w:val="18"/>
              </w:rPr>
              <w:t>上述股东与公司控股股东及实际控制人之间不存在关联关系。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29"/>
        <w:gridCol w:w="6841"/>
      </w:tblGrid>
      <w:tr>
        <w:trPr>
          <w:trHeight w:val="2274"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4"/>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股东叶钢在普通证券账户持股数量为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股，在中信建投证券股份有限公司客户信用交易</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担保证券账户持股数量为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1,324,583 </w:t>
            </w:r>
            <w:r>
              <w:rPr>
                <w:rFonts w:ascii="宋体" w:hAnsi="宋体" w:cs="宋体" w:eastAsia="宋体" w:hint="default"/>
                <w:spacing w:val="-4"/>
                <w:sz w:val="18"/>
                <w:szCs w:val="18"/>
              </w:rPr>
              <w:t>股，总计持股数量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1,324,583 </w:t>
            </w:r>
            <w:r>
              <w:rPr>
                <w:rFonts w:ascii="宋体" w:hAnsi="宋体" w:cs="宋体" w:eastAsia="宋体" w:hint="default"/>
                <w:spacing w:val="-3"/>
                <w:sz w:val="18"/>
                <w:szCs w:val="18"/>
              </w:rPr>
              <w:t>股，持股比例为公司总</w:t>
            </w:r>
            <w:r>
              <w:rPr>
                <w:rFonts w:ascii="宋体" w:hAnsi="宋体" w:cs="宋体" w:eastAsia="宋体" w:hint="default"/>
                <w:sz w:val="18"/>
                <w:szCs w:val="18"/>
              </w:rPr>
              <w:t> 股本的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0.60%</w:t>
            </w:r>
            <w:r>
              <w:rPr>
                <w:rFonts w:ascii="宋体" w:hAnsi="宋体" w:cs="宋体" w:eastAsia="宋体" w:hint="default"/>
                <w:sz w:val="18"/>
                <w:szCs w:val="18"/>
              </w:rPr>
              <w:t>；股东马祝庆在普通证券账户持股数量为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股，在光大证券股份有限公司 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1,297,815 </w:t>
            </w:r>
            <w:r>
              <w:rPr>
                <w:rFonts w:ascii="宋体" w:hAnsi="宋体" w:cs="宋体" w:eastAsia="宋体" w:hint="default"/>
                <w:spacing w:val="-4"/>
                <w:sz w:val="18"/>
                <w:szCs w:val="18"/>
              </w:rPr>
              <w:t>股，总计持股数量为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1,297,815 </w:t>
            </w:r>
            <w:r>
              <w:rPr>
                <w:rFonts w:ascii="宋体" w:hAnsi="宋体" w:cs="宋体" w:eastAsia="宋体" w:hint="default"/>
                <w:spacing w:val="-5"/>
                <w:sz w:val="18"/>
                <w:szCs w:val="18"/>
              </w:rPr>
              <w:t>股，持股比例</w:t>
            </w:r>
            <w:r>
              <w:rPr>
                <w:rFonts w:ascii="宋体" w:hAnsi="宋体" w:cs="宋体" w:eastAsia="宋体" w:hint="default"/>
                <w:sz w:val="18"/>
                <w:szCs w:val="18"/>
              </w:rPr>
              <w:t> 为公司总股本的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0.59%</w:t>
            </w:r>
            <w:r>
              <w:rPr>
                <w:rFonts w:ascii="宋体" w:hAnsi="宋体" w:cs="宋体" w:eastAsia="宋体" w:hint="default"/>
                <w:sz w:val="18"/>
                <w:szCs w:val="18"/>
              </w:rPr>
              <w:t>。股东洪永娟在普通证券账户持股数量为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股，在光大证券股份 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440,050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股，总计持股数量为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440,050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股，持 股比例为公司总股本的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0.20%</w:t>
            </w:r>
            <w:r>
              <w:rPr>
                <w:rFonts w:ascii="宋体" w:hAnsi="宋体" w:cs="宋体" w:eastAsia="宋体" w:hint="default"/>
                <w:sz w:val="18"/>
                <w:szCs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2、公司控股股东情况" w:id="104"/>
      <w:bookmarkEnd w:id="10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日任宏磊股份董事长、总经理职务；现任宏天铜</w:t>
            </w:r>
            <w:r>
              <w:rPr>
                <w:rFonts w:ascii="宋体" w:hAnsi="宋体" w:cs="宋体" w:eastAsia="宋体" w:hint="default"/>
                <w:sz w:val="18"/>
                <w:szCs w:val="18"/>
              </w:rPr>
              <w:t> 业董事长、江西宏磊执行董事等职务</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57" w:lineRule="auto" w:before="117"/>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3、公司实际控制人情况" w:id="105"/>
      <w:bookmarkEnd w:id="10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0"/>
        <w:ind w:left="0" w:right="1141" w:firstLine="0"/>
        <w:jc w:val="right"/>
        <w:rPr>
          <w:rFonts w:ascii="宋体" w:hAnsi="宋体" w:cs="宋体" w:eastAsia="宋体" w:hint="default"/>
          <w:sz w:val="18"/>
          <w:szCs w:val="18"/>
        </w:rPr>
      </w:pPr>
      <w:r>
        <w:rPr/>
        <w:pict>
          <v:shape style="position:absolute;margin-left:56.459999pt;margin-top:-123.678284pt;width:479.2pt;height:223.7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030"/>
                    <w:gridCol w:w="4121"/>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金敏燕</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、戚建萍女士：</w:t>
                        </w:r>
                        <w:r>
                          <w:rPr>
                            <w:rFonts w:ascii="Times New Roman" w:hAnsi="Times New Roman" w:cs="Times New Roman" w:eastAsia="Times New Roman" w:hint="default"/>
                            <w:spacing w:val="-9"/>
                            <w:sz w:val="18"/>
                            <w:szCs w:val="18"/>
                          </w:rPr>
                          <w:t>2007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5"/>
                            <w:sz w:val="18"/>
                            <w:szCs w:val="18"/>
                          </w:rPr>
                          <w:t>月任公司董事长、总经理职务</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、戚建生先生：</w:t>
                        </w:r>
                        <w:r>
                          <w:rPr>
                            <w:rFonts w:ascii="Times New Roman" w:hAnsi="Times New Roman" w:cs="Times New Roman" w:eastAsia="Times New Roman" w:hint="default"/>
                            <w:spacing w:val="-7"/>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月任公司董事职务；</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、戚建华女士</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月任公司董事职务；</w:t>
                        </w:r>
                        <w:r>
                          <w:rPr>
                            <w:rFonts w:ascii="Times New Roman" w:hAnsi="Times New Roman" w:cs="Times New Roman" w:eastAsia="Times New Roman" w:hint="default"/>
                            <w:sz w:val="18"/>
                            <w:szCs w:val="18"/>
                          </w:rPr>
                          <w:t>4</w:t>
                        </w:r>
                        <w:r>
                          <w:rPr>
                            <w:rFonts w:ascii="宋体" w:hAnsi="宋体" w:cs="宋体" w:eastAsia="宋体" w:hint="default"/>
                            <w:sz w:val="18"/>
                            <w:szCs w:val="18"/>
                          </w:rPr>
                          <w:t>、金磊先生：</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月至</w:t>
                        </w:r>
                      </w:p>
                      <w:p>
                        <w:pPr>
                          <w:pStyle w:val="TableParagraph"/>
                          <w:spacing w:line="302"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月任公司董事职务；</w:t>
                        </w:r>
                        <w:r>
                          <w:rPr>
                            <w:rFonts w:ascii="Times New Roman" w:hAnsi="Times New Roman" w:cs="Times New Roman" w:eastAsia="Times New Roman" w:hint="default"/>
                            <w:sz w:val="18"/>
                            <w:szCs w:val="18"/>
                          </w:rPr>
                          <w:t>5</w:t>
                        </w:r>
                        <w:r>
                          <w:rPr>
                            <w:rFonts w:ascii="宋体" w:hAnsi="宋体" w:cs="宋体" w:eastAsia="宋体" w:hint="default"/>
                            <w:sz w:val="18"/>
                            <w:szCs w:val="18"/>
                          </w:rPr>
                          <w:t>、金敏燕女士：</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月任 公司董事职务。</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before="75"/>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60" w:lineRule="auto" w:before="44"/>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公司与实际控制人之间的产权及控制关系的方框图</w:t>
      </w:r>
    </w:p>
    <w:p>
      <w:pPr>
        <w:spacing w:line="240" w:lineRule="auto" w:before="12"/>
        <w:rPr>
          <w:rFonts w:ascii="宋体" w:hAnsi="宋体" w:cs="宋体" w:eastAsia="宋体" w:hint="default"/>
          <w:sz w:val="14"/>
          <w:szCs w:val="14"/>
        </w:rPr>
      </w:pPr>
    </w:p>
    <w:p>
      <w:pPr>
        <w:spacing w:line="4635" w:lineRule="exact"/>
        <w:ind w:left="1356"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4591608" cy="29432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4" cstate="print"/>
                    <a:stretch>
                      <a:fillRect/>
                    </a:stretch>
                  </pic:blipFill>
                  <pic:spPr>
                    <a:xfrm>
                      <a:off x="0" y="0"/>
                      <a:ext cx="4591608" cy="2943225"/>
                    </a:xfrm>
                    <a:prstGeom prst="rect">
                      <a:avLst/>
                    </a:prstGeom>
                  </pic:spPr>
                </pic:pic>
              </a:graphicData>
            </a:graphic>
          </wp:inline>
        </w:drawing>
      </w:r>
      <w:r>
        <w:rPr>
          <w:rFonts w:ascii="宋体" w:hAnsi="宋体" w:cs="宋体" w:eastAsia="宋体" w:hint="default"/>
          <w:position w:val="-92"/>
          <w:sz w:val="20"/>
          <w:szCs w:val="20"/>
        </w:rPr>
      </w:r>
    </w:p>
    <w:p>
      <w:pPr>
        <w:spacing w:line="240" w:lineRule="auto" w:before="2"/>
        <w:rPr>
          <w:rFonts w:ascii="宋体" w:hAnsi="宋体" w:cs="宋体" w:eastAsia="宋体" w:hint="default"/>
          <w:sz w:val="14"/>
          <w:szCs w:val="14"/>
        </w:rPr>
      </w:pPr>
    </w:p>
    <w:p>
      <w:pPr>
        <w:pStyle w:val="Heading3"/>
        <w:spacing w:line="240" w:lineRule="auto"/>
        <w:ind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其他持股在10%以上的法人股东" w:id="106"/>
      <w:bookmarkEnd w:id="10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公司股东及其一致行动人在报告期提出或实施股份增持计划的情况" w:id="107"/>
      <w:bookmarkEnd w:id="107"/>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3732" w:firstLine="0"/>
        <w:jc w:val="left"/>
        <w:rPr>
          <w:rFonts w:ascii="宋体" w:hAnsi="宋体" w:cs="宋体" w:eastAsia="宋体" w:hint="default"/>
          <w:sz w:val="18"/>
          <w:szCs w:val="18"/>
        </w:rPr>
      </w:pPr>
      <w:r>
        <w:rPr>
          <w:rFonts w:ascii="宋体" w:hAnsi="宋体" w:cs="宋体" w:eastAsia="宋体" w:hint="default"/>
          <w:sz w:val="18"/>
          <w:szCs w:val="18"/>
        </w:rPr>
        <w:t>□ 适用 √ 不适用 在公司所知的范围内，没有公司股东及其一致行动人在报告期提出或实施股份增持计划。</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08"/>
      <w:bookmarkStart w:name="第七节 优先股相关情况" w:id="109"/>
      <w:r>
        <w:rPr>
          <w:b w:val="0"/>
          <w:bCs w:val="0"/>
        </w:rPr>
      </w:r>
      <w:r>
        <w:rPr/>
        <w:t>第七节</w:t>
      </w:r>
      <w:r>
        <w:rPr>
          <w:spacing w:val="-8"/>
        </w:rPr>
        <w:t> </w:t>
      </w:r>
      <w:r>
        <w:rPr/>
        <w:t>优先股相关情况</w:t>
      </w:r>
      <w:bookmarkEnd w:id="108"/>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57" w:lineRule="auto" w:before="44"/>
        <w:ind w:left="154" w:right="8592"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10"/>
      <w:bookmarkStart w:name="第八节 董事、监事、高级管理人员和员工情况" w:id="111"/>
      <w:r>
        <w:rPr>
          <w:b w:val="0"/>
          <w:bCs w:val="0"/>
        </w:rPr>
      </w:r>
      <w:r>
        <w:rPr/>
        <w:t>第八节</w:t>
      </w:r>
      <w:r>
        <w:rPr>
          <w:spacing w:val="-16"/>
        </w:rPr>
        <w:t> </w:t>
      </w:r>
      <w:r>
        <w:rPr/>
        <w:t>董事、监事、高级管理人员和员工情况</w:t>
      </w:r>
      <w:bookmarkEnd w:id="11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3" w:right="0"/>
        <w:jc w:val="left"/>
        <w:rPr>
          <w:b w:val="0"/>
          <w:bCs w:val="0"/>
        </w:rPr>
      </w:pPr>
      <w:bookmarkStart w:name="一、董事、监事和高级管理人员持股变动" w:id="112"/>
      <w:bookmarkEnd w:id="11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章利全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张震宇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戚海洋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蔡乐华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郑树英</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叶国庆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徐文明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魏宏亮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63,962,800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19,188,840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83,151,640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20,384,000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15,184,000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8,893,200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2,667,960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11,561,160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魏浙强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杨学桐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尚福山</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何力民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吴旭仕</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傅龙兴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许柏良</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吕泉锋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方中厚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100,586,00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30,175,800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130,761,80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pict>
          <v:group style="position:absolute;margin-left:143.660004pt;margin-top:-98.884377pt;width:43.05pt;height:15.6pt;mso-position-horizontal-relative:page;mso-position-vertical-relative:paragraph;z-index:-855184" coordorigin="2873,-1978" coordsize="861,312">
            <v:shape style="position:absolute;left:2873;top:-1978;width:861;height:312" coordorigin="2873,-1978" coordsize="861,312" path="m2873,-1666l3734,-1666,3734,-1978,2873,-1978,2873,-1666xe" filled="true" fillcolor="#ffffff" stroked="false">
              <v:path arrowok="t"/>
              <v:fill type="solid"/>
            </v:shape>
            <w10:wrap type="none"/>
          </v:group>
        </w:pict>
      </w:r>
      <w:bookmarkStart w:name="二、任职情况" w:id="113"/>
      <w:bookmarkEnd w:id="113"/>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272" w:lineRule="exact" w:before="83"/>
        <w:ind w:left="574" w:right="0"/>
        <w:jc w:val="left"/>
      </w:pPr>
      <w:r>
        <w:rPr>
          <w:rFonts w:ascii="Times New Roman" w:hAnsi="Times New Roman" w:cs="Times New Roman" w:eastAsia="Times New Roman" w:hint="default"/>
        </w:rPr>
        <w:t>1</w:t>
      </w:r>
      <w:r>
        <w:rPr/>
        <w:t>、董事会成员 </w:t>
      </w:r>
      <w:r>
        <w:rPr>
          <w:spacing w:val="-1"/>
        </w:rPr>
        <w:t>章利全先生：</w:t>
      </w:r>
      <w:r>
        <w:rPr>
          <w:rFonts w:ascii="Times New Roman" w:hAnsi="Times New Roman" w:cs="Times New Roman" w:eastAsia="Times New Roman" w:hint="default"/>
          <w:spacing w:val="-1"/>
        </w:rPr>
        <w:t>1962</w:t>
      </w:r>
      <w:r>
        <w:rPr>
          <w:spacing w:val="-1"/>
        </w:rPr>
        <w:t>年</w:t>
      </w:r>
      <w:r>
        <w:rPr>
          <w:rFonts w:ascii="Times New Roman" w:hAnsi="Times New Roman" w:cs="Times New Roman" w:eastAsia="Times New Roman" w:hint="default"/>
          <w:spacing w:val="-1"/>
        </w:rPr>
        <w:t>8</w:t>
      </w:r>
      <w:r>
        <w:rPr>
          <w:spacing w:val="-1"/>
        </w:rPr>
        <w:t>月出生，中国国籍，无境外永久居留权，</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8</w:t>
      </w:r>
      <w:r>
        <w:rPr>
          <w:spacing w:val="-1"/>
        </w:rPr>
        <w:t>月浙江大学高级工商管理研修</w:t>
      </w:r>
    </w:p>
    <w:p>
      <w:pPr>
        <w:pStyle w:val="BodyText"/>
        <w:spacing w:line="272" w:lineRule="exact" w:before="0"/>
        <w:ind w:left="154" w:right="1014"/>
        <w:jc w:val="left"/>
      </w:pPr>
      <w:r>
        <w:rPr>
          <w:spacing w:val="-1"/>
        </w:rPr>
        <w:t>班结业。历任浙江宏磊铜业股份有限公司生产管理部经理、总经理助理、副总经理，现任浙江宏磊控股集</w:t>
      </w:r>
      <w:r>
        <w:rPr>
          <w:spacing w:val="-85"/>
        </w:rPr>
        <w:t> </w:t>
      </w:r>
      <w:r>
        <w:rPr>
          <w:spacing w:val="-85"/>
        </w:rPr>
      </w:r>
      <w:r>
        <w:rPr/>
        <w:t>团有限公司监事、浙江宏磊东南房地产开发有限公司董事。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月起任浙江宏磊铜业股份有限公司董 事长。</w:t>
      </w:r>
    </w:p>
    <w:p>
      <w:pPr>
        <w:pStyle w:val="BodyText"/>
        <w:spacing w:line="272" w:lineRule="exact" w:before="0"/>
        <w:ind w:right="1021" w:firstLine="420"/>
        <w:jc w:val="left"/>
      </w:pPr>
      <w:r>
        <w:rPr>
          <w:spacing w:val="-4"/>
        </w:rPr>
        <w:t>张震宇先生：</w:t>
      </w:r>
      <w:r>
        <w:rPr>
          <w:rFonts w:ascii="宋体" w:hAnsi="宋体" w:cs="宋体" w:eastAsia="宋体" w:hint="default"/>
          <w:spacing w:val="-4"/>
        </w:rPr>
        <w:t>1964</w:t>
      </w:r>
      <w:r>
        <w:rPr>
          <w:rFonts w:ascii="宋体" w:hAnsi="宋体" w:cs="宋体" w:eastAsia="宋体" w:hint="default"/>
          <w:spacing w:val="-51"/>
        </w:rPr>
        <w:t> </w:t>
      </w:r>
      <w:r>
        <w:rPr/>
        <w:t>年</w:t>
      </w:r>
      <w:r>
        <w:rPr>
          <w:spacing w:val="-51"/>
        </w:rPr>
        <w:t> </w:t>
      </w:r>
      <w:r>
        <w:rPr>
          <w:rFonts w:ascii="宋体" w:hAnsi="宋体" w:cs="宋体" w:eastAsia="宋体" w:hint="default"/>
        </w:rPr>
        <w:t>3</w:t>
      </w:r>
      <w:r>
        <w:rPr>
          <w:rFonts w:ascii="宋体" w:hAnsi="宋体" w:cs="宋体" w:eastAsia="宋体" w:hint="default"/>
          <w:spacing w:val="-50"/>
        </w:rPr>
        <w:t> </w:t>
      </w:r>
      <w:r>
        <w:rPr>
          <w:spacing w:val="-5"/>
        </w:rPr>
        <w:t>月出生，中国国籍，无境外永久居留权，</w:t>
      </w:r>
      <w:r>
        <w:rPr>
          <w:rFonts w:ascii="宋体" w:hAnsi="宋体" w:cs="宋体" w:eastAsia="宋体" w:hint="default"/>
          <w:spacing w:val="-5"/>
        </w:rPr>
        <w:t>2009</w:t>
      </w:r>
      <w:r>
        <w:rPr>
          <w:rFonts w:ascii="宋体" w:hAnsi="宋体" w:cs="宋体" w:eastAsia="宋体" w:hint="default"/>
          <w:spacing w:val="-51"/>
        </w:rPr>
        <w:t> </w:t>
      </w:r>
      <w:r>
        <w:rPr/>
        <w:t>年</w:t>
      </w:r>
      <w:r>
        <w:rPr>
          <w:spacing w:val="-52"/>
        </w:rPr>
        <w:t> </w:t>
      </w:r>
      <w:r>
        <w:rPr>
          <w:rFonts w:ascii="宋体" w:hAnsi="宋体" w:cs="宋体" w:eastAsia="宋体" w:hint="default"/>
        </w:rPr>
        <w:t>6</w:t>
      </w:r>
      <w:r>
        <w:rPr>
          <w:rFonts w:ascii="宋体" w:hAnsi="宋体" w:cs="宋体" w:eastAsia="宋体" w:hint="default"/>
          <w:spacing w:val="-51"/>
        </w:rPr>
        <w:t> </w:t>
      </w:r>
      <w:r>
        <w:rPr/>
        <w:t>月上海复旦大学</w:t>
      </w:r>
      <w:r>
        <w:rPr>
          <w:spacing w:val="-51"/>
        </w:rPr>
        <w:t> </w:t>
      </w:r>
      <w:r>
        <w:rPr>
          <w:rFonts w:ascii="宋体" w:hAnsi="宋体" w:cs="宋体" w:eastAsia="宋体" w:hint="default"/>
        </w:rPr>
        <w:t>EMBA</w:t>
      </w:r>
      <w:r>
        <w:rPr>
          <w:rFonts w:ascii="宋体" w:hAnsi="宋体" w:cs="宋体" w:eastAsia="宋体" w:hint="default"/>
          <w:spacing w:val="-51"/>
        </w:rPr>
        <w:t> </w:t>
      </w:r>
      <w:r>
        <w:rPr/>
        <w:t>毕业， 硕士学位，高级工程师，公司核心技术人员。</w:t>
      </w:r>
      <w:r>
        <w:rPr>
          <w:rFonts w:ascii="宋体" w:hAnsi="宋体" w:cs="宋体" w:eastAsia="宋体" w:hint="default"/>
        </w:rPr>
        <w:t>2009</w:t>
      </w:r>
      <w:r>
        <w:rPr>
          <w:rFonts w:ascii="宋体" w:hAnsi="宋体" w:cs="宋体" w:eastAsia="宋体" w:hint="default"/>
          <w:spacing w:val="-55"/>
        </w:rPr>
        <w:t> </w:t>
      </w:r>
      <w:r>
        <w:rPr/>
        <w:t>年起历任浙江宏磊铜业股份有限公司技术中心副主任、 主任、副总经理；浙江宏天铜业有限公司董事。现任浙江宏天铜业有限公司董事；</w:t>
      </w:r>
      <w:r>
        <w:rPr>
          <w:rFonts w:ascii="宋体" w:hAnsi="宋体" w:cs="宋体" w:eastAsia="宋体" w:hint="default"/>
        </w:rPr>
        <w:t>2015</w:t>
      </w:r>
      <w:r>
        <w:rPr>
          <w:rFonts w:ascii="宋体" w:hAnsi="宋体" w:cs="宋体" w:eastAsia="宋体" w:hint="default"/>
          <w:spacing w:val="-68"/>
        </w:rPr>
        <w:t> </w:t>
      </w:r>
      <w:r>
        <w:rPr/>
        <w:t>年</w:t>
      </w:r>
      <w:r>
        <w:rPr>
          <w:spacing w:val="-69"/>
        </w:rPr>
        <w:t> </w:t>
      </w:r>
      <w:r>
        <w:rPr>
          <w:rFonts w:ascii="宋体" w:hAnsi="宋体" w:cs="宋体" w:eastAsia="宋体" w:hint="default"/>
        </w:rPr>
        <w:t>2</w:t>
      </w:r>
      <w:r>
        <w:rPr>
          <w:rFonts w:ascii="宋体" w:hAnsi="宋体" w:cs="宋体" w:eastAsia="宋体" w:hint="default"/>
          <w:spacing w:val="-68"/>
        </w:rPr>
        <w:t> </w:t>
      </w:r>
      <w:r>
        <w:rPr/>
        <w:t>月起任浙江宏 磊铜业股份有限公司董事、总经理。</w:t>
      </w:r>
    </w:p>
    <w:p>
      <w:pPr>
        <w:pStyle w:val="BodyText"/>
        <w:spacing w:line="272" w:lineRule="exact" w:before="0"/>
        <w:ind w:right="1132" w:firstLine="420"/>
        <w:jc w:val="both"/>
      </w:pPr>
      <w:r>
        <w:rPr/>
        <w:t>叶健先生：</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9</w:t>
      </w:r>
      <w:r>
        <w:rPr/>
        <w:t>月出生，中国国籍，无境外永久居留权，硕士学位。</w:t>
      </w:r>
      <w:r>
        <w:rPr>
          <w:rFonts w:ascii="Times New Roman" w:hAnsi="Times New Roman" w:cs="Times New Roman" w:eastAsia="Times New Roman" w:hint="default"/>
        </w:rPr>
        <w:t>2008</w:t>
      </w:r>
      <w:r>
        <w:rPr/>
        <w:t>年起历任浙江宏磊铜业 </w:t>
      </w:r>
      <w:r>
        <w:rPr>
          <w:spacing w:val="-1"/>
        </w:rPr>
        <w:t>股份有限公司生产管理部经理、销售管理部经理、采购管理部经理、总经理助理；浙江宏天铜业有限公司</w:t>
      </w:r>
      <w:r>
        <w:rPr>
          <w:spacing w:val="-86"/>
        </w:rPr>
        <w:t> </w:t>
      </w:r>
      <w:r>
        <w:rPr>
          <w:spacing w:val="-86"/>
        </w:rPr>
      </w:r>
      <w:r>
        <w:rPr/>
        <w:t>总经理助理。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月起任浙江宏磊铜业股份有限公司董事、副总经理。</w:t>
      </w:r>
    </w:p>
    <w:p>
      <w:pPr>
        <w:pStyle w:val="BodyText"/>
        <w:spacing w:line="225" w:lineRule="auto" w:before="0"/>
        <w:ind w:right="0" w:firstLine="420"/>
        <w:jc w:val="left"/>
      </w:pPr>
      <w:r>
        <w:rPr>
          <w:spacing w:val="-1"/>
        </w:rPr>
        <w:t>戚海洋先生：</w:t>
      </w:r>
      <w:r>
        <w:rPr>
          <w:rFonts w:ascii="Times New Roman" w:hAnsi="Times New Roman" w:cs="Times New Roman" w:eastAsia="Times New Roman" w:hint="default"/>
          <w:spacing w:val="-1"/>
        </w:rPr>
        <w:t>1951</w:t>
      </w:r>
      <w:r>
        <w:rPr>
          <w:spacing w:val="-1"/>
        </w:rPr>
        <w:t>年</w:t>
      </w:r>
      <w:r>
        <w:rPr>
          <w:rFonts w:ascii="Times New Roman" w:hAnsi="Times New Roman" w:cs="Times New Roman" w:eastAsia="Times New Roman" w:hint="default"/>
          <w:spacing w:val="-1"/>
        </w:rPr>
        <w:t>5</w:t>
      </w:r>
      <w:r>
        <w:rPr>
          <w:spacing w:val="-1"/>
        </w:rPr>
        <w:t>月出生，中国国籍，无境外永久居留权，高中学历。</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月任</w:t>
      </w:r>
      <w:r>
        <w:rPr>
          <w:spacing w:val="1"/>
        </w:rPr>
        <w:t> </w:t>
      </w:r>
      <w:r>
        <w:rPr/>
        <w:t>浙江宏磊铜业股份有限公司采购部经理等职务。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月起任浙江宏磊铜业股份有限公司董事职务。</w:t>
      </w:r>
    </w:p>
    <w:p>
      <w:pPr>
        <w:pStyle w:val="BodyText"/>
        <w:spacing w:line="272" w:lineRule="exact" w:before="12"/>
        <w:ind w:left="154" w:right="0" w:firstLine="420"/>
        <w:jc w:val="left"/>
      </w:pPr>
      <w:r>
        <w:rPr>
          <w:spacing w:val="-3"/>
        </w:rPr>
        <w:t>蔡乐华先生：</w:t>
      </w:r>
      <w:r>
        <w:rPr>
          <w:rFonts w:ascii="Times New Roman" w:hAnsi="Times New Roman" w:cs="Times New Roman" w:eastAsia="Times New Roman" w:hint="default"/>
          <w:spacing w:val="-3"/>
        </w:rPr>
        <w:t>1960</w:t>
      </w:r>
      <w:r>
        <w:rPr>
          <w:spacing w:val="-3"/>
        </w:rPr>
        <w:t>年</w:t>
      </w:r>
      <w:r>
        <w:rPr>
          <w:rFonts w:ascii="Times New Roman" w:hAnsi="Times New Roman" w:cs="Times New Roman" w:eastAsia="Times New Roman" w:hint="default"/>
          <w:spacing w:val="-3"/>
        </w:rPr>
        <w:t>2</w:t>
      </w:r>
      <w:r>
        <w:rPr>
          <w:spacing w:val="-3"/>
        </w:rPr>
        <w:t>月出生，中国国籍，无境外永久居留权，本科学历，厦门大学</w:t>
      </w:r>
      <w:r>
        <w:rPr>
          <w:rFonts w:ascii="Times New Roman" w:hAnsi="Times New Roman" w:cs="Times New Roman" w:eastAsia="Times New Roman" w:hint="default"/>
          <w:spacing w:val="-3"/>
        </w:rPr>
        <w:t>EMBA</w:t>
      </w:r>
      <w:r>
        <w:rPr>
          <w:spacing w:val="-3"/>
        </w:rPr>
        <w:t>在读。高级</w:t>
      </w:r>
      <w:r>
        <w:rPr/>
        <w:t> 经济师、注册会计师。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月至今担任浙江诸暨天阳会计师事务所有限公司董事、总经理；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 </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月兼任申科滑动轴承股份有限公司独立董事；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月至今兼任浙江太子龙服饰股份有限</w:t>
      </w:r>
    </w:p>
    <w:p>
      <w:pPr>
        <w:spacing w:after="0" w:line="272" w:lineRule="exact"/>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BodyText"/>
        <w:spacing w:line="272" w:lineRule="exact" w:before="63"/>
        <w:ind w:left="573" w:right="1198" w:hanging="420"/>
        <w:jc w:val="left"/>
      </w:pPr>
      <w:r>
        <w:rPr/>
        <w:t>公司（拟上市）独立董事。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月起任浙江宏磊铜业股份有限公司独立董事职务。 黄河女士：</w:t>
      </w:r>
      <w:r>
        <w:rPr>
          <w:rFonts w:ascii="Times New Roman" w:hAnsi="Times New Roman" w:cs="Times New Roman" w:eastAsia="Times New Roman" w:hint="default"/>
        </w:rPr>
        <w:t>1959</w:t>
      </w:r>
      <w:r>
        <w:rPr/>
        <w:t>年</w:t>
      </w:r>
      <w:r>
        <w:rPr>
          <w:rFonts w:ascii="Times New Roman" w:hAnsi="Times New Roman" w:cs="Times New Roman" w:eastAsia="Times New Roman" w:hint="default"/>
        </w:rPr>
        <w:t>10</w:t>
      </w:r>
      <w:r>
        <w:rPr/>
        <w:t>月出生，中国国籍，无境外永久居留权，本科学历。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月任</w:t>
      </w:r>
    </w:p>
    <w:p>
      <w:pPr>
        <w:pStyle w:val="BodyText"/>
        <w:spacing w:line="272" w:lineRule="exact" w:before="0"/>
        <w:ind w:left="574" w:right="1092" w:hanging="420"/>
        <w:jc w:val="left"/>
      </w:pPr>
      <w:r>
        <w:rPr/>
        <w:t>浙江宏磊铜业股份有限公司副总经理；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月起任浙江宏磊铜业股份有限公司独立董事职务。 </w:t>
      </w:r>
      <w:r>
        <w:rPr>
          <w:rFonts w:ascii="Times New Roman" w:hAnsi="Times New Roman" w:cs="Times New Roman" w:eastAsia="Times New Roman" w:hint="default"/>
        </w:rPr>
        <w:t>2</w:t>
      </w:r>
      <w:r>
        <w:rPr/>
        <w:t>、监事会成员 叶国庆先生：</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9</w:t>
      </w:r>
      <w:r>
        <w:rPr/>
        <w:t>月出生，中国国籍，无境外永久居留权，本科学历，工程师。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月至今，</w:t>
      </w:r>
    </w:p>
    <w:p>
      <w:pPr>
        <w:pStyle w:val="BodyText"/>
        <w:spacing w:line="255" w:lineRule="exact" w:before="0"/>
        <w:ind w:left="154" w:right="0"/>
        <w:jc w:val="left"/>
        <w:rPr>
          <w:rFonts w:ascii="Times New Roman" w:hAnsi="Times New Roman" w:cs="Times New Roman" w:eastAsia="Times New Roman" w:hint="default"/>
        </w:rPr>
      </w:pPr>
      <w:r>
        <w:rPr/>
        <w:t>历任公司生产厂长、技术中心副主任兼副总工程师。现任本公司副总工程师兼技术中心副主任。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p>
    <w:p>
      <w:pPr>
        <w:pStyle w:val="BodyText"/>
        <w:spacing w:line="272" w:lineRule="exact" w:before="18"/>
        <w:ind w:left="535" w:right="1124" w:hanging="382"/>
        <w:jc w:val="left"/>
      </w:pPr>
      <w:r>
        <w:rPr/>
        <w:t>月起兼任浙江宏磊铜业股份有限公司监事会主席。 </w:t>
      </w:r>
      <w:r>
        <w:rPr>
          <w:spacing w:val="-2"/>
        </w:rPr>
        <w:t>徐文明先生：</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8</w:t>
      </w:r>
      <w:r>
        <w:rPr>
          <w:spacing w:val="-2"/>
        </w:rPr>
        <w:t>月出生，中国国籍，无境外永久居留权，大专学历，工程师，</w:t>
      </w:r>
      <w:r>
        <w:rPr>
          <w:rFonts w:ascii="Times New Roman" w:hAnsi="Times New Roman" w:cs="Times New Roman" w:eastAsia="Times New Roman" w:hint="default"/>
          <w:spacing w:val="-2"/>
        </w:rPr>
        <w:t>2008</w:t>
      </w:r>
      <w:r>
        <w:rPr>
          <w:spacing w:val="-2"/>
        </w:rPr>
        <w:t>年至今历任浙</w:t>
      </w:r>
    </w:p>
    <w:p>
      <w:pPr>
        <w:pStyle w:val="BodyText"/>
        <w:spacing w:line="272" w:lineRule="exact" w:before="0"/>
        <w:ind w:right="0"/>
        <w:jc w:val="left"/>
      </w:pPr>
      <w:r>
        <w:rPr/>
        <w:t>江宏磊铜业股份有限公司品质部经理、办公室主任、总经理助理。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月起任浙江宏磊铜业股份有限</w:t>
      </w:r>
      <w:r>
        <w:rPr>
          <w:spacing w:val="-29"/>
        </w:rPr>
        <w:t> </w:t>
      </w:r>
      <w:r>
        <w:rPr>
          <w:spacing w:val="-29"/>
        </w:rPr>
      </w:r>
      <w:r>
        <w:rPr/>
        <w:t>公司监事兼办公室主任。</w:t>
      </w:r>
    </w:p>
    <w:p>
      <w:pPr>
        <w:pStyle w:val="BodyText"/>
        <w:spacing w:line="223" w:lineRule="auto" w:before="0"/>
        <w:ind w:right="1130" w:firstLine="381"/>
        <w:jc w:val="both"/>
      </w:pPr>
      <w:r>
        <w:rPr>
          <w:spacing w:val="-2"/>
        </w:rPr>
        <w:t>魏宏亮先生：</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2</w:t>
      </w:r>
      <w:r>
        <w:rPr>
          <w:spacing w:val="-2"/>
        </w:rPr>
        <w:t>月出生，中国国籍，无境外永久居留权，中专学历，</w:t>
      </w:r>
      <w:r>
        <w:rPr>
          <w:rFonts w:ascii="Times New Roman" w:hAnsi="Times New Roman" w:cs="Times New Roman" w:eastAsia="Times New Roman" w:hint="default"/>
          <w:spacing w:val="-2"/>
        </w:rPr>
        <w:t>2008</w:t>
      </w:r>
      <w:r>
        <w:rPr>
          <w:spacing w:val="-2"/>
        </w:rPr>
        <w:t>年至今历任浙江宏天铜</w:t>
      </w:r>
      <w:r>
        <w:rPr/>
        <w:t> 业有限公司设备部主管、浙江宏磊铜业股份有限公司铜杆车间设备部经理等职务。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月起兼任浙江</w:t>
      </w:r>
      <w:r>
        <w:rPr>
          <w:spacing w:val="-26"/>
        </w:rPr>
        <w:t> </w:t>
      </w:r>
      <w:r>
        <w:rPr>
          <w:spacing w:val="-26"/>
        </w:rPr>
      </w:r>
      <w:r>
        <w:rPr/>
        <w:t>宏磊铜业股份有限公司职工监事职务。</w:t>
      </w:r>
    </w:p>
    <w:p>
      <w:pPr>
        <w:pStyle w:val="BodyText"/>
        <w:spacing w:line="281" w:lineRule="exact" w:before="0"/>
        <w:ind w:left="573" w:right="0"/>
        <w:jc w:val="left"/>
      </w:pPr>
      <w:r>
        <w:rPr>
          <w:rFonts w:ascii="Times New Roman" w:hAnsi="Times New Roman" w:cs="Times New Roman" w:eastAsia="Times New Roman" w:hint="default"/>
        </w:rPr>
        <w:t>3</w:t>
      </w:r>
      <w:r>
        <w:rPr/>
        <w:t>、高级管理人员</w:t>
      </w:r>
    </w:p>
    <w:p>
      <w:pPr>
        <w:pStyle w:val="BodyText"/>
        <w:spacing w:line="272" w:lineRule="exact" w:before="18"/>
        <w:ind w:right="1021" w:firstLine="420"/>
        <w:jc w:val="left"/>
      </w:pPr>
      <w:r>
        <w:rPr>
          <w:spacing w:val="-4"/>
        </w:rPr>
        <w:t>张震宇先生：</w:t>
      </w:r>
      <w:r>
        <w:rPr>
          <w:rFonts w:ascii="宋体" w:hAnsi="宋体" w:cs="宋体" w:eastAsia="宋体" w:hint="default"/>
          <w:spacing w:val="-4"/>
        </w:rPr>
        <w:t>1964</w:t>
      </w:r>
      <w:r>
        <w:rPr>
          <w:rFonts w:ascii="宋体" w:hAnsi="宋体" w:cs="宋体" w:eastAsia="宋体" w:hint="default"/>
          <w:spacing w:val="-51"/>
        </w:rPr>
        <w:t> </w:t>
      </w:r>
      <w:r>
        <w:rPr/>
        <w:t>年</w:t>
      </w:r>
      <w:r>
        <w:rPr>
          <w:spacing w:val="-51"/>
        </w:rPr>
        <w:t> </w:t>
      </w:r>
      <w:r>
        <w:rPr>
          <w:rFonts w:ascii="宋体" w:hAnsi="宋体" w:cs="宋体" w:eastAsia="宋体" w:hint="default"/>
        </w:rPr>
        <w:t>3</w:t>
      </w:r>
      <w:r>
        <w:rPr>
          <w:rFonts w:ascii="宋体" w:hAnsi="宋体" w:cs="宋体" w:eastAsia="宋体" w:hint="default"/>
          <w:spacing w:val="-50"/>
        </w:rPr>
        <w:t> </w:t>
      </w:r>
      <w:r>
        <w:rPr>
          <w:spacing w:val="-5"/>
        </w:rPr>
        <w:t>月出生，中国国籍，无境外永久居留权，</w:t>
      </w:r>
      <w:r>
        <w:rPr>
          <w:rFonts w:ascii="宋体" w:hAnsi="宋体" w:cs="宋体" w:eastAsia="宋体" w:hint="default"/>
          <w:spacing w:val="-5"/>
        </w:rPr>
        <w:t>2009</w:t>
      </w:r>
      <w:r>
        <w:rPr>
          <w:rFonts w:ascii="宋体" w:hAnsi="宋体" w:cs="宋体" w:eastAsia="宋体" w:hint="default"/>
          <w:spacing w:val="-51"/>
        </w:rPr>
        <w:t> </w:t>
      </w:r>
      <w:r>
        <w:rPr/>
        <w:t>年</w:t>
      </w:r>
      <w:r>
        <w:rPr>
          <w:spacing w:val="-52"/>
        </w:rPr>
        <w:t> </w:t>
      </w:r>
      <w:r>
        <w:rPr>
          <w:rFonts w:ascii="宋体" w:hAnsi="宋体" w:cs="宋体" w:eastAsia="宋体" w:hint="default"/>
        </w:rPr>
        <w:t>6</w:t>
      </w:r>
      <w:r>
        <w:rPr>
          <w:rFonts w:ascii="宋体" w:hAnsi="宋体" w:cs="宋体" w:eastAsia="宋体" w:hint="default"/>
          <w:spacing w:val="-51"/>
        </w:rPr>
        <w:t> </w:t>
      </w:r>
      <w:r>
        <w:rPr/>
        <w:t>月上海复旦大学</w:t>
      </w:r>
      <w:r>
        <w:rPr>
          <w:spacing w:val="-51"/>
        </w:rPr>
        <w:t> </w:t>
      </w:r>
      <w:r>
        <w:rPr>
          <w:rFonts w:ascii="宋体" w:hAnsi="宋体" w:cs="宋体" w:eastAsia="宋体" w:hint="default"/>
        </w:rPr>
        <w:t>EMBA</w:t>
      </w:r>
      <w:r>
        <w:rPr>
          <w:rFonts w:ascii="宋体" w:hAnsi="宋体" w:cs="宋体" w:eastAsia="宋体" w:hint="default"/>
          <w:spacing w:val="-51"/>
        </w:rPr>
        <w:t> </w:t>
      </w:r>
      <w:r>
        <w:rPr/>
        <w:t>毕业， 硕士学位，高级工程师，公司核心技术人员。</w:t>
      </w:r>
      <w:r>
        <w:rPr>
          <w:rFonts w:ascii="宋体" w:hAnsi="宋体" w:cs="宋体" w:eastAsia="宋体" w:hint="default"/>
        </w:rPr>
        <w:t>2009</w:t>
      </w:r>
      <w:r>
        <w:rPr>
          <w:rFonts w:ascii="宋体" w:hAnsi="宋体" w:cs="宋体" w:eastAsia="宋体" w:hint="default"/>
          <w:spacing w:val="-55"/>
        </w:rPr>
        <w:t> </w:t>
      </w:r>
      <w:r>
        <w:rPr/>
        <w:t>年起历任浙江宏磊铜业股份有限公司技术中心副主任、 主任、副总经理；浙江宏天铜业有限公司董事。现任浙江宏天铜业有限公司董事；</w:t>
      </w:r>
      <w:r>
        <w:rPr>
          <w:rFonts w:ascii="宋体" w:hAnsi="宋体" w:cs="宋体" w:eastAsia="宋体" w:hint="default"/>
        </w:rPr>
        <w:t>2015</w:t>
      </w:r>
      <w:r>
        <w:rPr>
          <w:rFonts w:ascii="宋体" w:hAnsi="宋体" w:cs="宋体" w:eastAsia="宋体" w:hint="default"/>
          <w:spacing w:val="-68"/>
        </w:rPr>
        <w:t> </w:t>
      </w:r>
      <w:r>
        <w:rPr/>
        <w:t>年</w:t>
      </w:r>
      <w:r>
        <w:rPr>
          <w:spacing w:val="-69"/>
        </w:rPr>
        <w:t> </w:t>
      </w:r>
      <w:r>
        <w:rPr>
          <w:rFonts w:ascii="宋体" w:hAnsi="宋体" w:cs="宋体" w:eastAsia="宋体" w:hint="default"/>
        </w:rPr>
        <w:t>2</w:t>
      </w:r>
      <w:r>
        <w:rPr>
          <w:rFonts w:ascii="宋体" w:hAnsi="宋体" w:cs="宋体" w:eastAsia="宋体" w:hint="default"/>
          <w:spacing w:val="-68"/>
        </w:rPr>
        <w:t> </w:t>
      </w:r>
      <w:r>
        <w:rPr/>
        <w:t>月起任浙江宏 磊铜业股份有限公司董事、总经理。</w:t>
      </w:r>
    </w:p>
    <w:p>
      <w:pPr>
        <w:pStyle w:val="BodyText"/>
        <w:spacing w:line="272" w:lineRule="exact" w:before="0"/>
        <w:ind w:right="1132" w:firstLine="420"/>
        <w:jc w:val="both"/>
      </w:pPr>
      <w:r>
        <w:rPr/>
        <w:t>叶健先生：</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9</w:t>
      </w:r>
      <w:r>
        <w:rPr/>
        <w:t>月出生，中国国籍，无境外永久居留权，硕士学位。</w:t>
      </w:r>
      <w:r>
        <w:rPr>
          <w:rFonts w:ascii="Times New Roman" w:hAnsi="Times New Roman" w:cs="Times New Roman" w:eastAsia="Times New Roman" w:hint="default"/>
        </w:rPr>
        <w:t>2008</w:t>
      </w:r>
      <w:r>
        <w:rPr/>
        <w:t>年起历任浙江宏磊铜业 </w:t>
      </w:r>
      <w:r>
        <w:rPr>
          <w:spacing w:val="-1"/>
        </w:rPr>
        <w:t>股份有限公司生产管理部经理、销售管理部经理、采购管理部经理、总经理助理；浙江宏天铜业有限公司</w:t>
      </w:r>
      <w:r>
        <w:rPr>
          <w:spacing w:val="-86"/>
        </w:rPr>
        <w:t> </w:t>
      </w:r>
      <w:r>
        <w:rPr>
          <w:spacing w:val="-86"/>
        </w:rPr>
      </w:r>
      <w:r>
        <w:rPr/>
        <w:t>总经理助理。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月起任浙江宏磊铜业股份有限公司董事、副总经理。</w:t>
      </w:r>
    </w:p>
    <w:p>
      <w:pPr>
        <w:pStyle w:val="BodyText"/>
        <w:spacing w:line="272" w:lineRule="exact" w:before="0"/>
        <w:ind w:left="154" w:right="1098" w:firstLine="420"/>
        <w:jc w:val="both"/>
      </w:pPr>
      <w:r>
        <w:rPr/>
        <w:t>郑树英先生：</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4</w:t>
      </w:r>
      <w:r>
        <w:rPr/>
        <w:t>月出生，中国国籍，无境外永久居留权，高级工商管理硕士</w:t>
      </w:r>
      <w:r>
        <w:rPr>
          <w:rFonts w:ascii="Times New Roman" w:hAnsi="Times New Roman" w:cs="Times New Roman" w:eastAsia="Times New Roman" w:hint="default"/>
        </w:rPr>
        <w:t>(EMBA)</w:t>
      </w:r>
      <w:r>
        <w:rPr/>
        <w:t>，会计师、 经济师。</w:t>
      </w:r>
      <w:r>
        <w:rPr>
          <w:rFonts w:ascii="Times New Roman" w:hAnsi="Times New Roman" w:cs="Times New Roman" w:eastAsia="Times New Roman" w:hint="default"/>
        </w:rPr>
        <w:t>2008</w:t>
      </w:r>
      <w:r>
        <w:rPr/>
        <w:t>年起历任浙江宏磊控股集团有限公司总经理助理兼财务部经理，浙江宏磊铜业股份有限公司 总经理助理兼财务部经理、内审机构负责人。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月起任浙江宏磊铜业股份有限公司财务总监。</w:t>
      </w:r>
    </w:p>
    <w:p>
      <w:pPr>
        <w:pStyle w:val="BodyText"/>
        <w:spacing w:line="225" w:lineRule="auto" w:before="0"/>
        <w:ind w:right="1131" w:firstLine="420"/>
        <w:jc w:val="both"/>
      </w:pPr>
      <w:r>
        <w:rPr>
          <w:spacing w:val="-1"/>
        </w:rPr>
        <w:t>赵毅先生：</w:t>
      </w:r>
      <w:r>
        <w:rPr>
          <w:rFonts w:ascii="Times New Roman" w:hAnsi="Times New Roman" w:cs="Times New Roman" w:eastAsia="Times New Roman" w:hint="default"/>
          <w:spacing w:val="-1"/>
        </w:rPr>
        <w:t>1973</w:t>
      </w:r>
      <w:r>
        <w:rPr>
          <w:spacing w:val="-1"/>
        </w:rPr>
        <w:t>年</w:t>
      </w:r>
      <w:r>
        <w:rPr>
          <w:rFonts w:ascii="Times New Roman" w:hAnsi="Times New Roman" w:cs="Times New Roman" w:eastAsia="Times New Roman" w:hint="default"/>
          <w:spacing w:val="-1"/>
        </w:rPr>
        <w:t>12</w:t>
      </w:r>
      <w:r>
        <w:rPr>
          <w:spacing w:val="-1"/>
        </w:rPr>
        <w:t>月出生，中国国籍，无境外永久居留权，大专文化程度，</w:t>
      </w:r>
      <w:r>
        <w:rPr>
          <w:rFonts w:ascii="Times New Roman" w:hAnsi="Times New Roman" w:cs="Times New Roman" w:eastAsia="Times New Roman" w:hint="default"/>
          <w:spacing w:val="-1"/>
        </w:rPr>
        <w:t>2008</w:t>
      </w:r>
      <w:r>
        <w:rPr>
          <w:spacing w:val="-1"/>
        </w:rPr>
        <w:t>年起历任深圳证券</w:t>
      </w:r>
      <w:r>
        <w:rPr/>
        <w:t> </w:t>
      </w:r>
      <w:r>
        <w:rPr>
          <w:spacing w:val="-1"/>
        </w:rPr>
        <w:t>信息有限公司视讯部发行经理、深圳华宝证券有限公司总经理助理、深圳东方财智资产管理有限公司总经</w:t>
      </w:r>
    </w:p>
    <w:p>
      <w:pPr>
        <w:pStyle w:val="BodyText"/>
        <w:spacing w:line="272" w:lineRule="exact" w:before="27"/>
        <w:ind w:right="0"/>
        <w:jc w:val="left"/>
      </w:pPr>
      <w:r>
        <w:rPr/>
        <w:t>理助理、浙江宏磊铜业股份有限公司总经理助理。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月起任浙江宏磊铜业股份有限公司副总经理、</w:t>
      </w:r>
      <w:r>
        <w:rPr>
          <w:spacing w:val="-30"/>
        </w:rPr>
        <w:t> </w:t>
      </w:r>
      <w:r>
        <w:rPr>
          <w:spacing w:val="-30"/>
        </w:rPr>
      </w:r>
      <w:r>
        <w:rPr/>
        <w:t>董事会秘书。</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57" w:lineRule="auto" w:before="117"/>
        <w:ind w:left="154" w:right="9132" w:firstLine="0"/>
        <w:jc w:val="left"/>
        <w:rPr>
          <w:rFonts w:ascii="宋体" w:hAnsi="宋体" w:cs="宋体" w:eastAsia="宋体" w:hint="default"/>
          <w:sz w:val="18"/>
          <w:szCs w:val="18"/>
        </w:rPr>
      </w:pPr>
      <w:r>
        <w:rPr>
          <w:rFonts w:ascii="宋体" w:hAnsi="宋体" w:cs="宋体" w:eastAsia="宋体" w:hint="default"/>
          <w:sz w:val="18"/>
          <w:szCs w:val="18"/>
        </w:rPr>
        <w:t>□ 适用 √ 不适用 在其他单位任职情况</w:t>
      </w:r>
    </w:p>
    <w:p>
      <w:pPr>
        <w:spacing w:before="28"/>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章利全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浙江宏磊控股集团有限公司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章利全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浙江宏磊东南房地产开发有限公司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张震宇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浙江宏天铜业有限公司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蔡乐华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浙江诸暨天阳会计师事务所有限公司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蔡乐华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申科滑动轴承股份有限公司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蔡乐华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浙江太子龙服饰股份有限公司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董事、监事、高级管理人员报酬情况" w:id="114"/>
      <w:bookmarkEnd w:id="114"/>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w:t>
      </w:r>
    </w:p>
    <w:p>
      <w:pPr>
        <w:pStyle w:val="BodyText"/>
        <w:spacing w:line="266" w:lineRule="auto" w:before="90"/>
        <w:ind w:left="154" w:right="0"/>
        <w:jc w:val="left"/>
      </w:pPr>
      <w:r>
        <w:rPr>
          <w:rFonts w:ascii="Times New Roman" w:hAnsi="Times New Roman" w:cs="Times New Roman" w:eastAsia="Times New Roman" w:hint="default"/>
        </w:rPr>
        <w:t>1</w:t>
      </w:r>
      <w:r>
        <w:rPr/>
        <w:t>、董事、监事、高级管理人员报酬的决策程序：董事、监事的薪酬与津贴由公司董事会薪酬与考核委员 </w:t>
      </w:r>
      <w:r>
        <w:rPr>
          <w:spacing w:val="-1"/>
        </w:rPr>
        <w:t>会制订方案，董事会审议通过并报股东大会批准后执行。高级管理人员报酬由公司董事会薪酬与考核委员</w:t>
      </w:r>
      <w:r>
        <w:rPr>
          <w:spacing w:val="-81"/>
        </w:rPr>
        <w:t> </w:t>
      </w:r>
      <w:r>
        <w:rPr>
          <w:spacing w:val="-81"/>
        </w:rPr>
      </w:r>
      <w:r>
        <w:rPr/>
        <w:t>会制订方案，董事会审议通过后执行。 </w:t>
      </w:r>
      <w:r>
        <w:rPr>
          <w:rFonts w:ascii="Times New Roman" w:hAnsi="Times New Roman" w:cs="Times New Roman" w:eastAsia="Times New Roman" w:hint="default"/>
        </w:rPr>
        <w:t>2</w:t>
      </w:r>
      <w:r>
        <w:rPr/>
        <w:t>、董事、监事、高级管理人员报酬确定依据：公司制定的《薪酬与考核委员会工作细则》等内部规定。</w:t>
      </w:r>
    </w:p>
    <w:p>
      <w:pPr>
        <w:pStyle w:val="BodyText"/>
        <w:spacing w:line="264" w:lineRule="auto" w:before="0"/>
        <w:ind w:left="154" w:right="0"/>
        <w:jc w:val="left"/>
      </w:pPr>
      <w:r>
        <w:rPr>
          <w:rFonts w:ascii="Times New Roman" w:hAnsi="Times New Roman" w:cs="Times New Roman" w:eastAsia="Times New Roman" w:hint="default"/>
        </w:rPr>
        <w:t>3</w:t>
      </w:r>
      <w:r>
        <w:rPr/>
        <w:t>、董事、监事和高级管理人员报酬的实际支付情况：高级管理人员按董事会核定的标准按月发放基本薪 </w:t>
      </w:r>
      <w:r>
        <w:rPr>
          <w:spacing w:val="-1"/>
        </w:rPr>
        <w:t>酬；独立董事津贴每年度结束后统一发放，本报告期津贴尚未支付；公司监事报酬根据公司内部考核制度</w:t>
      </w:r>
      <w:r>
        <w:rPr>
          <w:spacing w:val="-83"/>
        </w:rPr>
        <w:t> </w:t>
      </w:r>
      <w:r>
        <w:rPr>
          <w:spacing w:val="-83"/>
        </w:rPr>
      </w:r>
      <w:r>
        <w:rPr/>
        <w:t>发放；在公司担任董事、监事，同时又在其他单位任职高级管理人员的，公司不支付报酬。</w:t>
      </w:r>
    </w:p>
    <w:p>
      <w:pPr>
        <w:spacing w:line="240" w:lineRule="auto" w:before="10"/>
        <w:rPr>
          <w:rFonts w:ascii="宋体" w:hAnsi="宋体" w:cs="宋体" w:eastAsia="宋体" w:hint="default"/>
          <w:sz w:val="26"/>
          <w:szCs w:val="2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 w:right="51"/>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魏浙强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杨学桐</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尚福山</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何力民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吴旭仕</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傅龙兴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吕泉锋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许柏良</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方中厚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副总经理、董 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章利全</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张震宇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郑树英</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53" w:right="0"/>
        <w:jc w:val="left"/>
        <w:rPr>
          <w:b w:val="0"/>
          <w:bCs w:val="0"/>
        </w:rPr>
      </w:pPr>
      <w:bookmarkStart w:name="四、公司董事、监事、高级管理人员变动情况" w:id="115"/>
      <w:bookmarkEnd w:id="115"/>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章利全</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章利全</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日公司换届任免中离任副总经理职 务</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张震宇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日被聘任总经理职务，解聘其副总</w:t>
            </w:r>
          </w:p>
          <w:p>
            <w:pPr>
              <w:pStyle w:val="TableParagraph"/>
              <w:spacing w:line="302" w:lineRule="auto" w:before="63"/>
              <w:ind w:left="23" w:right="73"/>
              <w:jc w:val="left"/>
              <w:rPr>
                <w:rFonts w:ascii="宋体" w:hAnsi="宋体" w:cs="宋体" w:eastAsia="宋体" w:hint="default"/>
                <w:sz w:val="18"/>
                <w:szCs w:val="18"/>
              </w:rPr>
            </w:pPr>
            <w:r>
              <w:rPr>
                <w:rFonts w:ascii="宋体" w:hAnsi="宋体" w:cs="宋体" w:eastAsia="宋体" w:hint="default"/>
                <w:sz w:val="18"/>
                <w:szCs w:val="18"/>
              </w:rPr>
              <w:t>经理职务，并于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日公司换届任免中被 选举为董事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叶健</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日公司换届任免中被选举为董事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郑树英</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方中厚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因工作变动原因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杨学桐</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尚福山</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因接受中国证券监督管理委员会浙江监管局行政监管 措施的原因</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left="153" w:right="0"/>
        <w:jc w:val="left"/>
        <w:rPr>
          <w:b w:val="0"/>
          <w:bCs w:val="0"/>
        </w:rPr>
      </w:pPr>
      <w:bookmarkStart w:name="五、报告期核心技术团队或关键技术人员变动情况（非董事、监事、高级管理人员）" w:id="116"/>
      <w:bookmarkEnd w:id="116"/>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报告期内，本公司核心技术团队（关键技术人员）等对公司核心竞争力有重大影响的人员无变动情况。</w:t>
      </w:r>
    </w:p>
    <w:p>
      <w:pPr>
        <w:spacing w:line="240" w:lineRule="auto" w:before="2"/>
        <w:rPr>
          <w:rFonts w:ascii="宋体" w:hAnsi="宋体" w:cs="宋体" w:eastAsia="宋体" w:hint="default"/>
          <w:sz w:val="25"/>
          <w:szCs w:val="25"/>
        </w:rPr>
      </w:pPr>
    </w:p>
    <w:p>
      <w:pPr>
        <w:pStyle w:val="Heading2"/>
        <w:spacing w:line="240" w:lineRule="auto"/>
        <w:ind w:left="153" w:right="0"/>
        <w:jc w:val="left"/>
        <w:rPr>
          <w:b w:val="0"/>
          <w:bCs w:val="0"/>
        </w:rPr>
      </w:pPr>
      <w:bookmarkStart w:name="六、公司员工情况" w:id="117"/>
      <w:bookmarkEnd w:id="117"/>
      <w:r>
        <w:rPr>
          <w:b w:val="0"/>
          <w:bCs w:val="0"/>
        </w:rPr>
      </w:r>
      <w:r>
        <w:rPr/>
        <w:t>六、公司员工情况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0" w:firstLine="252"/>
        <w:jc w:val="left"/>
      </w:pPr>
      <w:r>
        <w:rPr>
          <w:rFonts w:ascii="Times New Roman" w:hAnsi="Times New Roman" w:cs="Times New Roman" w:eastAsia="Times New Roman" w:hint="default"/>
          <w:spacing w:val="-6"/>
        </w:rPr>
        <w:t>1</w:t>
      </w:r>
      <w:r>
        <w:rPr>
          <w:spacing w:val="-6"/>
        </w:rPr>
        <w:t>、截止报告期末，公司（包括子公司）共有在职职工</w:t>
      </w:r>
      <w:r>
        <w:rPr>
          <w:rFonts w:ascii="Times New Roman" w:hAnsi="Times New Roman" w:cs="Times New Roman" w:eastAsia="Times New Roman" w:hint="default"/>
          <w:spacing w:val="-6"/>
        </w:rPr>
        <w:t>437</w:t>
      </w:r>
      <w:r>
        <w:rPr>
          <w:spacing w:val="-6"/>
        </w:rPr>
        <w:t>人。公司依据《中华人民共和国劳动法》、《中</w:t>
      </w:r>
      <w:r>
        <w:rPr/>
        <w:t> 华人民共和国劳动合同法》和其他有关法律、法规要求，与员工签订劳动合同，按时缴纳</w:t>
      </w:r>
      <w:r>
        <w:rPr>
          <w:rFonts w:ascii="Times New Roman" w:hAnsi="Times New Roman" w:cs="Times New Roman" w:eastAsia="Times New Roman" w:hint="default"/>
        </w:rPr>
        <w:t>“</w:t>
      </w:r>
      <w:r>
        <w:rPr/>
        <w:t>养老、医疗、 工伤、生育、失业</w:t>
      </w:r>
      <w:r>
        <w:rPr>
          <w:rFonts w:ascii="Times New Roman" w:hAnsi="Times New Roman" w:cs="Times New Roman" w:eastAsia="Times New Roman" w:hint="default"/>
        </w:rPr>
        <w:t>”</w:t>
      </w:r>
      <w:r>
        <w:rPr/>
        <w:t>五项社会保险及住房公积金，积极维护员工的合法权益。</w:t>
      </w:r>
    </w:p>
    <w:p>
      <w:pPr>
        <w:pStyle w:val="BodyText"/>
        <w:spacing w:line="256" w:lineRule="auto" w:before="5"/>
        <w:ind w:right="1122" w:firstLine="168"/>
        <w:jc w:val="left"/>
      </w:pPr>
      <w:r>
        <w:rPr>
          <w:rFonts w:ascii="Times New Roman" w:hAnsi="Times New Roman" w:cs="Times New Roman" w:eastAsia="Times New Roman" w:hint="default"/>
          <w:spacing w:val="-2"/>
        </w:rPr>
        <w:t>2</w:t>
      </w:r>
      <w:r>
        <w:rPr>
          <w:spacing w:val="-2"/>
        </w:rPr>
        <w:t>、报告期内，员工人数比去年同期减少的主要原因：公司控股子公司宏天铜业停工搬迁造成部分员工流</w:t>
      </w:r>
      <w:r>
        <w:rPr/>
        <w:t> 失；公司进行转型升级后设备自动化程度提升减少了用工人数。</w:t>
      </w:r>
    </w:p>
    <w:p>
      <w:pPr>
        <w:pStyle w:val="BodyText"/>
        <w:spacing w:line="240" w:lineRule="auto" w:before="22"/>
        <w:ind w:left="321" w:right="0"/>
        <w:jc w:val="left"/>
      </w:pPr>
      <w:r>
        <w:rPr>
          <w:rFonts w:ascii="Times New Roman" w:hAnsi="Times New Roman" w:cs="Times New Roman" w:eastAsia="Times New Roman" w:hint="default"/>
        </w:rPr>
        <w:t>3</w:t>
      </w:r>
      <w:r>
        <w:rPr/>
        <w:t>、报告期内，需公司承担费用的离退休职工人数为</w:t>
      </w:r>
      <w:r>
        <w:rPr>
          <w:rFonts w:ascii="Times New Roman" w:hAnsi="Times New Roman" w:cs="Times New Roman" w:eastAsia="Times New Roman" w:hint="default"/>
        </w:rPr>
        <w:t>0</w:t>
      </w:r>
      <w:r>
        <w:rPr/>
        <w:t>人。</w:t>
      </w:r>
    </w:p>
    <w:p>
      <w:pPr>
        <w:pStyle w:val="BodyText"/>
        <w:spacing w:line="240" w:lineRule="auto" w:before="21"/>
        <w:ind w:left="321" w:right="0"/>
        <w:jc w:val="left"/>
      </w:pPr>
      <w:r>
        <w:rPr>
          <w:rFonts w:ascii="Times New Roman" w:hAnsi="Times New Roman" w:cs="Times New Roman" w:eastAsia="Times New Roman" w:hint="default"/>
        </w:rPr>
        <w:t>4</w:t>
      </w:r>
      <w:r>
        <w:rPr/>
        <w:t>、公司员工专业构成和教育程度的统计图表列示：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line="2841" w:lineRule="exact"/>
        <w:ind w:left="154"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3105140" cy="18042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3105140" cy="1804225"/>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line="2773" w:lineRule="exact"/>
        <w:ind w:left="154"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3083329" cy="1761267"/>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6" cstate="print"/>
                    <a:stretch>
                      <a:fillRect/>
                    </a:stretch>
                  </pic:blipFill>
                  <pic:spPr>
                    <a:xfrm>
                      <a:off x="0" y="0"/>
                      <a:ext cx="3083329" cy="1761267"/>
                    </a:xfrm>
                    <a:prstGeom prst="rect">
                      <a:avLst/>
                    </a:prstGeom>
                  </pic:spPr>
                </pic:pic>
              </a:graphicData>
            </a:graphic>
          </wp:inline>
        </w:drawing>
      </w:r>
      <w:r>
        <w:rPr>
          <w:rFonts w:ascii="宋体" w:hAnsi="宋体" w:cs="宋体" w:eastAsia="宋体" w:hint="default"/>
          <w:position w:val="-54"/>
          <w:sz w:val="20"/>
          <w:szCs w:val="20"/>
        </w:rPr>
      </w:r>
    </w:p>
    <w:p>
      <w:pPr>
        <w:spacing w:after="0" w:line="2773"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763"/>
        <w:jc w:val="center"/>
        <w:rPr>
          <w:b w:val="0"/>
          <w:bCs w:val="0"/>
        </w:rPr>
      </w:pPr>
      <w:bookmarkStart w:name="_TOC_250003" w:id="118"/>
      <w:bookmarkStart w:name="第九节 公司治理" w:id="119"/>
      <w:r>
        <w:rPr>
          <w:b w:val="0"/>
          <w:bCs w:val="0"/>
        </w:rPr>
      </w:r>
      <w:r>
        <w:rPr/>
        <w:t>第九节</w:t>
      </w:r>
      <w:r>
        <w:rPr>
          <w:spacing w:val="-5"/>
        </w:rPr>
        <w:t> </w:t>
      </w:r>
      <w:r>
        <w:rPr/>
        <w:t>公司治理</w:t>
      </w:r>
      <w:bookmarkEnd w:id="11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both"/>
        <w:rPr>
          <w:b w:val="0"/>
          <w:bCs w:val="0"/>
        </w:rPr>
      </w:pPr>
      <w:bookmarkStart w:name="一、公司治理的基本状况" w:id="120"/>
      <w:bookmarkEnd w:id="120"/>
      <w:r>
        <w:rPr>
          <w:b w:val="0"/>
          <w:bCs w:val="0"/>
        </w:rPr>
      </w:r>
      <w:r>
        <w:rPr/>
        <w:t>一、公司治理的基本状况</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right="1132" w:firstLine="480"/>
        <w:jc w:val="both"/>
      </w:pPr>
      <w:r>
        <w:rPr>
          <w:spacing w:val="-2"/>
        </w:rPr>
        <w:t>报告期内，公司召开了</w:t>
      </w:r>
      <w:r>
        <w:rPr>
          <w:rFonts w:ascii="Times New Roman" w:hAnsi="Times New Roman" w:cs="Times New Roman" w:eastAsia="Times New Roman" w:hint="default"/>
          <w:spacing w:val="-2"/>
        </w:rPr>
        <w:t>10</w:t>
      </w:r>
      <w:r>
        <w:rPr>
          <w:spacing w:val="-2"/>
        </w:rPr>
        <w:t>次董事会、</w:t>
      </w:r>
      <w:r>
        <w:rPr>
          <w:rFonts w:ascii="Times New Roman" w:hAnsi="Times New Roman" w:cs="Times New Roman" w:eastAsia="Times New Roman" w:hint="default"/>
          <w:spacing w:val="-2"/>
        </w:rPr>
        <w:t>6</w:t>
      </w:r>
      <w:r>
        <w:rPr>
          <w:spacing w:val="-2"/>
        </w:rPr>
        <w:t>次监事会、</w:t>
      </w:r>
      <w:r>
        <w:rPr>
          <w:rFonts w:ascii="Times New Roman" w:hAnsi="Times New Roman" w:cs="Times New Roman" w:eastAsia="Times New Roman" w:hint="default"/>
          <w:spacing w:val="-2"/>
        </w:rPr>
        <w:t>4</w:t>
      </w:r>
      <w:r>
        <w:rPr>
          <w:spacing w:val="-2"/>
        </w:rPr>
        <w:t>次股东大会，会议的召集与召开程序、出席会议人</w:t>
      </w:r>
      <w:r>
        <w:rPr/>
        <w:t> 员的资格、会议表决程序和决议均符合法律、法规和公司章程的规定。</w:t>
      </w:r>
    </w:p>
    <w:p>
      <w:pPr>
        <w:pStyle w:val="BodyText"/>
        <w:spacing w:line="271" w:lineRule="auto" w:before="22"/>
        <w:ind w:right="1110" w:firstLine="480"/>
        <w:jc w:val="both"/>
      </w:pPr>
      <w:r>
        <w:rPr>
          <w:spacing w:val="-2"/>
        </w:rPr>
        <w:t>报告期内，公司董事会认真吸取上年度发生控股股东违规占用资金的教训，公司董事会审计委员会在</w:t>
      </w:r>
      <w:r>
        <w:rPr/>
        <w:t> </w:t>
      </w:r>
      <w:r>
        <w:rPr>
          <w:spacing w:val="-1"/>
        </w:rPr>
        <w:t>审计部等相关部门的积极配合下，主动对资金被关联方占用整个过程进行了认真核查，并出具了《内审核</w:t>
      </w:r>
      <w:r>
        <w:rPr>
          <w:spacing w:val="-83"/>
        </w:rPr>
        <w:t> </w:t>
      </w:r>
      <w:r>
        <w:rPr>
          <w:spacing w:val="-83"/>
        </w:rPr>
      </w:r>
      <w:r>
        <w:rPr>
          <w:spacing w:val="-1"/>
        </w:rPr>
        <w:t>查报告》，查明事情真相，对存在的问题提出了宝贵的整改意见。在自查结果出来后，公司第一时间向浙</w:t>
      </w:r>
      <w:r>
        <w:rPr>
          <w:spacing w:val="-83"/>
        </w:rPr>
        <w:t> </w:t>
      </w:r>
      <w:r>
        <w:rPr>
          <w:spacing w:val="-83"/>
        </w:rPr>
      </w:r>
      <w:r>
        <w:rPr>
          <w:spacing w:val="-1"/>
        </w:rPr>
        <w:t>江证监局、深圳证券交易所等监管部门作了汇报，并通报中介机构，及时在披露</w:t>
      </w:r>
      <w:r>
        <w:rPr>
          <w:rFonts w:ascii="Times New Roman" w:hAnsi="Times New Roman" w:cs="Times New Roman" w:eastAsia="Times New Roman" w:hint="default"/>
          <w:spacing w:val="-1"/>
        </w:rPr>
        <w:t>2013</w:t>
      </w:r>
      <w:r>
        <w:rPr>
          <w:spacing w:val="-1"/>
        </w:rPr>
        <w:t>年度报告的同时补充</w:t>
      </w:r>
      <w:r>
        <w:rPr>
          <w:spacing w:val="-82"/>
        </w:rPr>
        <w:t> </w:t>
      </w:r>
      <w:r>
        <w:rPr>
          <w:spacing w:val="-82"/>
        </w:rPr>
      </w:r>
      <w:r>
        <w:rPr/>
        <w:t>披露了关联方违规资金占用情况。并根据宏磊控股所出具的承诺函，公司积极催收关联方占用资金欠款， </w:t>
      </w:r>
      <w:r>
        <w:rPr>
          <w:spacing w:val="-1"/>
        </w:rPr>
        <w:t>确保公司及广大投资者的利益，制定出关于公司关联方资金占用问题解决方案，在一个月内收回全部占用</w:t>
      </w:r>
      <w:r>
        <w:rPr>
          <w:spacing w:val="-81"/>
        </w:rPr>
        <w:t> </w:t>
      </w:r>
      <w:r>
        <w:rPr>
          <w:spacing w:val="-81"/>
        </w:rPr>
      </w:r>
      <w:r>
        <w:rPr/>
        <w:t>资金及占用费。</w:t>
      </w:r>
    </w:p>
    <w:p>
      <w:pPr>
        <w:pStyle w:val="BodyText"/>
        <w:spacing w:line="273" w:lineRule="auto" w:before="10"/>
        <w:ind w:right="1012" w:firstLine="336"/>
        <w:jc w:val="left"/>
      </w:pPr>
      <w:r>
        <w:rPr>
          <w:spacing w:val="-1"/>
        </w:rPr>
        <w:t>报告期内，公司董事会不断完善公司法人治理结构，健全内部控制体系，公司按照现代企业制度要求，</w:t>
      </w:r>
      <w:r>
        <w:rPr/>
        <w:t> 规范三会运作，调整了董事会、监事会的成员组成，充分发挥独立董事的职能和监事会的监督作用，约束 实际控制人的决策和经营行为。</w:t>
      </w:r>
    </w:p>
    <w:p>
      <w:pPr>
        <w:pStyle w:val="BodyText"/>
        <w:spacing w:line="273" w:lineRule="auto"/>
        <w:ind w:left="573" w:right="1198" w:hanging="168"/>
        <w:jc w:val="left"/>
      </w:pPr>
      <w:r>
        <w:rPr/>
        <w:t>（一）关于股东和股东大会 报告期内，公司严格遵守法律法规，规范地召集、召开了</w:t>
      </w:r>
      <w:r>
        <w:rPr>
          <w:rFonts w:ascii="Times New Roman" w:hAnsi="Times New Roman" w:cs="Times New Roman" w:eastAsia="Times New Roman" w:hint="default"/>
        </w:rPr>
        <w:t>4</w:t>
      </w:r>
      <w:r>
        <w:rPr/>
        <w:t>次股东大会。历次股东大会的召集、召开</w:t>
      </w:r>
    </w:p>
    <w:p>
      <w:pPr>
        <w:pStyle w:val="BodyText"/>
        <w:spacing w:line="273" w:lineRule="auto" w:before="0"/>
        <w:ind w:right="1131"/>
        <w:jc w:val="both"/>
      </w:pPr>
      <w:r>
        <w:rPr>
          <w:spacing w:val="-1"/>
        </w:rPr>
        <w:t>程序、出席股东大会的人员资格及股东大会的表决程序均符合《公司法》、《证券法》、《深圳证券交易</w:t>
      </w:r>
      <w:r>
        <w:rPr>
          <w:spacing w:val="-85"/>
        </w:rPr>
        <w:t> </w:t>
      </w:r>
      <w:r>
        <w:rPr>
          <w:spacing w:val="-85"/>
        </w:rPr>
      </w:r>
      <w:r>
        <w:rPr>
          <w:spacing w:val="-1"/>
        </w:rPr>
        <w:t>所股票上市规则》、《深圳证券交易所中小企业板上市公司规范运作指引》、《公司章程》、《股东大会</w:t>
      </w:r>
      <w:r>
        <w:rPr>
          <w:spacing w:val="-83"/>
        </w:rPr>
        <w:t> </w:t>
      </w:r>
      <w:r>
        <w:rPr>
          <w:spacing w:val="-83"/>
        </w:rPr>
      </w:r>
      <w:r>
        <w:rPr>
          <w:spacing w:val="-1"/>
        </w:rPr>
        <w:t>议事规则》及其他法律法规的规定，能够确保全体股东尤其是中小股东享有平等地位，充分行使自己的权</w:t>
      </w:r>
      <w:r>
        <w:rPr>
          <w:spacing w:val="-83"/>
        </w:rPr>
        <w:t> </w:t>
      </w:r>
      <w:r>
        <w:rPr>
          <w:spacing w:val="-83"/>
        </w:rPr>
      </w:r>
      <w:r>
        <w:rPr/>
        <w:t>利。报告期内召开的股东大会均由董事会召集召开，并邀请见证律师进行现场见证。</w:t>
      </w:r>
    </w:p>
    <w:p>
      <w:pPr>
        <w:pStyle w:val="BodyText"/>
        <w:spacing w:line="273" w:lineRule="auto"/>
        <w:ind w:left="573" w:right="1018" w:hanging="105"/>
        <w:jc w:val="left"/>
      </w:pPr>
      <w:r>
        <w:rPr/>
        <w:t>（二）关于上市公司与实际控制人的关系 </w:t>
      </w:r>
      <w:r>
        <w:rPr>
          <w:spacing w:val="-3"/>
        </w:rPr>
        <w:t>报告期内，公司实际控制人为自然人，公司实际控制人能够严格按照《中小企业板上市公司控股股东、</w:t>
      </w:r>
    </w:p>
    <w:p>
      <w:pPr>
        <w:pStyle w:val="BodyText"/>
        <w:spacing w:line="273" w:lineRule="auto"/>
        <w:ind w:right="1133"/>
        <w:jc w:val="both"/>
      </w:pPr>
      <w:r>
        <w:rPr>
          <w:spacing w:val="-1"/>
        </w:rPr>
        <w:t>实际控制人行为指引》的规定和要求，规范行为，履行义务。没有超越公司股东大会直接或间接干预公司</w:t>
      </w:r>
      <w:r>
        <w:rPr>
          <w:spacing w:val="-86"/>
        </w:rPr>
        <w:t> </w:t>
      </w:r>
      <w:r>
        <w:rPr>
          <w:spacing w:val="-86"/>
        </w:rPr>
      </w:r>
      <w:r>
        <w:rPr/>
        <w:t>的决策和经营活动的行为。</w:t>
      </w:r>
    </w:p>
    <w:p>
      <w:pPr>
        <w:pStyle w:val="BodyText"/>
        <w:spacing w:line="273" w:lineRule="auto"/>
        <w:ind w:left="573" w:right="1018" w:hanging="105"/>
        <w:jc w:val="left"/>
      </w:pPr>
      <w:r>
        <w:rPr/>
        <w:t>（三）关于董事与董事会 </w:t>
      </w:r>
      <w:r>
        <w:rPr>
          <w:spacing w:val="-3"/>
        </w:rPr>
        <w:t>报告期内，公司现任董事共六名，其中独立董事二名，董事会人数和人员构成符合法律、法规的要求。</w:t>
      </w:r>
    </w:p>
    <w:p>
      <w:pPr>
        <w:pStyle w:val="BodyText"/>
        <w:spacing w:line="268" w:lineRule="auto"/>
        <w:ind w:right="1110"/>
        <w:jc w:val="both"/>
      </w:pPr>
      <w:r>
        <w:rPr>
          <w:spacing w:val="-1"/>
        </w:rPr>
        <w:t>公司所有董事能按照公司和股东利益最大化的要求诚信、勤勉地履行职责。公司独立董事严格遵守《关于</w:t>
      </w:r>
      <w:r>
        <w:rPr>
          <w:spacing w:val="-83"/>
        </w:rPr>
        <w:t> </w:t>
      </w:r>
      <w:r>
        <w:rPr>
          <w:spacing w:val="-83"/>
        </w:rPr>
      </w:r>
      <w:r>
        <w:rPr>
          <w:spacing w:val="-1"/>
        </w:rPr>
        <w:t>在上市公司建立独立董事制度的指导意见》及公司《独立董事工作制度》等规定，积极参与公司决策，对</w:t>
      </w:r>
      <w:r>
        <w:rPr>
          <w:spacing w:val="-83"/>
        </w:rPr>
        <w:t> </w:t>
      </w:r>
      <w:r>
        <w:rPr>
          <w:spacing w:val="-83"/>
        </w:rPr>
      </w:r>
      <w:r>
        <w:rPr/>
        <w:t>诸多重大事项发表了独立意见，充分发挥了独立董事特有的职能。董事会下设战略委员会、审计委员会、 </w:t>
      </w:r>
      <w:r>
        <w:rPr>
          <w:spacing w:val="-1"/>
        </w:rPr>
        <w:t>提名委员会、薪酬与考核委员会，各专门委员会严格遵守相关制度规定，各行其责，有力加强了公司董事</w:t>
      </w:r>
      <w:r>
        <w:rPr>
          <w:spacing w:val="-86"/>
        </w:rPr>
        <w:t> </w:t>
      </w:r>
      <w:r>
        <w:rPr>
          <w:spacing w:val="-86"/>
        </w:rPr>
      </w:r>
      <w:r>
        <w:rPr>
          <w:spacing w:val="-1"/>
        </w:rPr>
        <w:t>会工作的规范运作。报告期内，董事会召开了</w:t>
      </w:r>
      <w:r>
        <w:rPr>
          <w:rFonts w:ascii="Times New Roman" w:hAnsi="Times New Roman" w:cs="Times New Roman" w:eastAsia="Times New Roman" w:hint="default"/>
          <w:spacing w:val="-1"/>
        </w:rPr>
        <w:t>10</w:t>
      </w:r>
      <w:r>
        <w:rPr>
          <w:spacing w:val="-1"/>
        </w:rPr>
        <w:t>次会议，保证了股东大会决议得到有效落实和各方面工作</w:t>
      </w:r>
      <w:r>
        <w:rPr>
          <w:spacing w:val="-85"/>
        </w:rPr>
        <w:t> </w:t>
      </w:r>
      <w:r>
        <w:rPr>
          <w:spacing w:val="-85"/>
        </w:rPr>
      </w:r>
      <w:r>
        <w:rPr/>
        <w:t>的顺利进行。</w:t>
      </w:r>
    </w:p>
    <w:p>
      <w:pPr>
        <w:pStyle w:val="BodyText"/>
        <w:spacing w:line="273" w:lineRule="auto" w:before="10"/>
        <w:ind w:left="574" w:right="0" w:hanging="105"/>
        <w:jc w:val="left"/>
      </w:pPr>
      <w:r>
        <w:rPr/>
        <w:t>（四）关于监事和监事会 </w:t>
      </w:r>
      <w:r>
        <w:rPr>
          <w:spacing w:val="-1"/>
        </w:rPr>
        <w:t>报告期内，公司现任监事共三名，包括二名股东代表和一名职工代表，监事会人数和人员构成符合法</w:t>
      </w:r>
    </w:p>
    <w:p>
      <w:pPr>
        <w:pStyle w:val="BodyText"/>
        <w:spacing w:line="273" w:lineRule="auto"/>
        <w:ind w:left="154" w:right="1023"/>
        <w:jc w:val="left"/>
      </w:pPr>
      <w:r>
        <w:rPr>
          <w:spacing w:val="-3"/>
        </w:rPr>
        <w:t>律、法规的要求。公司监事根据法律、法规及公司章程授予的职权认真履行职责，本着对股东负责的态度，</w:t>
      </w:r>
      <w:r>
        <w:rPr>
          <w:spacing w:val="-96"/>
        </w:rPr>
        <w:t> </w:t>
      </w:r>
      <w:r>
        <w:rPr>
          <w:spacing w:val="-96"/>
        </w:rPr>
      </w:r>
      <w:r>
        <w:rPr/>
        <w:t>对公司财务以及公司董事、总经理和其他高级管理人员履行职责的合法、合规性进行有效监督；对公司重</w:t>
      </w:r>
      <w:r>
        <w:rPr/>
        <w:t> 大事项、财务状况、董事和经理的履职情况等进行有效监督并发表意见，维护公司和全体股东的利益。报 告期内，监事会召开了</w:t>
      </w:r>
      <w:r>
        <w:rPr>
          <w:rFonts w:ascii="Times New Roman" w:hAnsi="Times New Roman" w:cs="Times New Roman" w:eastAsia="Times New Roman" w:hint="default"/>
        </w:rPr>
        <w:t>6</w:t>
      </w:r>
      <w:r>
        <w:rPr/>
        <w:t>次会议，检查了公司的财务状况并对董事会编制的定期报告进行审核。</w:t>
      </w:r>
    </w:p>
    <w:p>
      <w:pPr>
        <w:pStyle w:val="BodyText"/>
        <w:spacing w:line="273" w:lineRule="auto" w:before="0"/>
        <w:ind w:left="574" w:right="0" w:hanging="105"/>
        <w:jc w:val="left"/>
      </w:pPr>
      <w:r>
        <w:rPr/>
        <w:t>（五）关于绩效评价与激励约束机制 </w:t>
      </w:r>
      <w:r>
        <w:rPr>
          <w:spacing w:val="-1"/>
        </w:rPr>
        <w:t>公司建立了公正、透明、有效的董事、监事和高管人员的绩效评价标准和激励约束机制，公司高级管</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0"/>
        <w:jc w:val="both"/>
      </w:pPr>
      <w:r>
        <w:rPr/>
        <w:t>理人员的聘任公开、透明，严格按照有关法律法规的规定进行。公司未来还将探索更多形式的激励方式， </w:t>
      </w:r>
      <w:r>
        <w:rPr>
          <w:spacing w:val="-1"/>
        </w:rPr>
        <w:t>形成多层次的综合激励机制，完善绩效评价标准，更好地调动管理人员的工作积极性，吸引和稳定优秀管</w:t>
      </w:r>
      <w:r>
        <w:rPr>
          <w:spacing w:val="-83"/>
        </w:rPr>
        <w:t> </w:t>
      </w:r>
      <w:r>
        <w:rPr>
          <w:spacing w:val="-83"/>
        </w:rPr>
      </w:r>
      <w:r>
        <w:rPr/>
        <w:t>理人才和技术、业务骨干。</w:t>
      </w:r>
    </w:p>
    <w:p>
      <w:pPr>
        <w:pStyle w:val="BodyText"/>
        <w:spacing w:line="273" w:lineRule="auto"/>
        <w:ind w:left="573" w:right="0" w:hanging="105"/>
        <w:jc w:val="left"/>
      </w:pPr>
      <w:r>
        <w:rPr/>
        <w:t>（六）关于投资者关系管理工作 </w:t>
      </w:r>
      <w:r>
        <w:rPr>
          <w:spacing w:val="-1"/>
        </w:rPr>
        <w:t>报告期内，公司严格按照有关法律法规及《深圳证券交易所股票上市规则》中关于公司信息披露的规</w:t>
      </w:r>
    </w:p>
    <w:p>
      <w:pPr>
        <w:pStyle w:val="BodyText"/>
        <w:spacing w:line="273" w:lineRule="auto"/>
        <w:ind w:right="1131"/>
        <w:jc w:val="both"/>
      </w:pPr>
      <w:r>
        <w:rPr>
          <w:spacing w:val="-1"/>
        </w:rPr>
        <w:t>定，真实、准确、完整、及时地履行信息披露义务，并确保所有股东以平等的机会获得信息。公司明确董</w:t>
      </w:r>
      <w:r>
        <w:rPr>
          <w:spacing w:val="-82"/>
        </w:rPr>
        <w:t> </w:t>
      </w:r>
      <w:r>
        <w:rPr>
          <w:spacing w:val="-82"/>
        </w:rPr>
      </w:r>
      <w:r>
        <w:rPr>
          <w:spacing w:val="-1"/>
        </w:rPr>
        <w:t>事会秘书为投资者关系管理负责人，组织实施投资者关系的日常管理工作，指定证券部为专门的投资者关</w:t>
      </w:r>
      <w:r>
        <w:rPr>
          <w:spacing w:val="-81"/>
        </w:rPr>
        <w:t> </w:t>
      </w:r>
      <w:r>
        <w:rPr>
          <w:spacing w:val="-81"/>
        </w:rPr>
      </w:r>
      <w:r>
        <w:rPr/>
        <w:t>系管理机构，加强与投资者的沟通，充分保证广大投资者的知情权。</w:t>
      </w:r>
    </w:p>
    <w:p>
      <w:pPr>
        <w:pStyle w:val="BodyText"/>
        <w:spacing w:line="273" w:lineRule="auto"/>
        <w:ind w:left="573" w:right="0" w:hanging="105"/>
        <w:jc w:val="left"/>
      </w:pPr>
      <w:r>
        <w:rPr/>
        <w:t>（七）关于信息披露 </w:t>
      </w:r>
      <w:r>
        <w:rPr>
          <w:spacing w:val="-1"/>
        </w:rPr>
        <w:t>公司按照《深圳证券交易所股票上市规则》、《公司章程》、《信息披露事务管理制度》、《投资者</w:t>
      </w:r>
    </w:p>
    <w:p>
      <w:pPr>
        <w:pStyle w:val="BodyText"/>
        <w:spacing w:line="273" w:lineRule="auto"/>
        <w:ind w:right="1024"/>
        <w:jc w:val="left"/>
      </w:pPr>
      <w:r>
        <w:rPr/>
        <w:t>关系管理制度》等的规定，依法真实、准确、及时、公平、完整地披露有关信息，报告期内，除了按照监 管要求披露信息外，公司通过电话、传真、电子邮件等形式加强与投资者的沟通，力求提高信息披露的透 </w:t>
      </w:r>
      <w:r>
        <w:rPr>
          <w:spacing w:val="-3"/>
        </w:rPr>
        <w:t>明度。同时，公司进一步加强了与监管机构的经常性联系和主动沟通，积极向监管机构报告公司相关事项，</w:t>
      </w:r>
      <w:r>
        <w:rPr>
          <w:spacing w:val="-92"/>
        </w:rPr>
        <w:t> </w:t>
      </w:r>
      <w:r>
        <w:rPr>
          <w:spacing w:val="-92"/>
        </w:rPr>
      </w:r>
      <w:r>
        <w:rPr/>
        <w:t>确保公司信息披露更加规范。</w:t>
      </w:r>
    </w:p>
    <w:p>
      <w:pPr>
        <w:pStyle w:val="BodyText"/>
        <w:spacing w:line="273" w:lineRule="auto"/>
        <w:ind w:left="573" w:right="1093" w:hanging="105"/>
        <w:jc w:val="left"/>
      </w:pPr>
      <w:r>
        <w:rPr/>
        <w:t>（八）关于利益相关者 公司在保持稳健发展、实现股东利益最大化的同时，积极关注所在地区环境保护、公益事业等问题，</w:t>
      </w:r>
    </w:p>
    <w:p>
      <w:pPr>
        <w:pStyle w:val="BodyText"/>
        <w:spacing w:line="273" w:lineRule="auto"/>
        <w:ind w:right="1024"/>
        <w:jc w:val="left"/>
      </w:pPr>
      <w:r>
        <w:rPr>
          <w:spacing w:val="-3"/>
        </w:rPr>
        <w:t>重视社会责任，充分尊重和维护相关利益者的合法权利，加强与各方的沟通和合作，努力实现股东、社会、</w:t>
      </w:r>
      <w:r>
        <w:rPr>
          <w:spacing w:val="-96"/>
        </w:rPr>
        <w:t> </w:t>
      </w:r>
      <w:r>
        <w:rPr>
          <w:spacing w:val="-96"/>
        </w:rPr>
      </w:r>
      <w:r>
        <w:rPr/>
        <w:t>员工等各方利益的均衡，共同推动公司持续、健康地发展。公司治理的实际情况与中国证监会有关上市公</w:t>
      </w:r>
      <w:r>
        <w:rPr/>
        <w:t> 司治理的规范性文件要求基本符合，并能严格按照相关规定履行义务。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57" w:lineRule="auto" w:before="117"/>
        <w:ind w:left="153" w:right="5533" w:firstLine="0"/>
        <w:jc w:val="left"/>
        <w:rPr>
          <w:rFonts w:ascii="宋体" w:hAnsi="宋体" w:cs="宋体" w:eastAsia="宋体" w:hint="default"/>
          <w:sz w:val="18"/>
          <w:szCs w:val="18"/>
        </w:rPr>
      </w:pPr>
      <w:r>
        <w:rPr>
          <w:rFonts w:ascii="宋体" w:hAnsi="宋体" w:cs="宋体" w:eastAsia="宋体" w:hint="default"/>
          <w:sz w:val="18"/>
          <w:szCs w:val="18"/>
        </w:rPr>
        <w:t>□ 是 √ 否 公司治理与《公司法》和中国证监会相关规定的要求不存在差异。</w:t>
      </w:r>
    </w:p>
    <w:p>
      <w:pPr>
        <w:spacing w:before="28"/>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tabs>
          <w:tab w:pos="7985" w:val="left" w:leader="none"/>
        </w:tabs>
        <w:spacing w:line="312" w:lineRule="auto" w:before="116"/>
        <w:ind w:left="153" w:right="1043" w:firstLine="630"/>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日召开的公司第二届董事会第八次会议上审议通过了《关于修订浙江宏磊铜业股份有限公司 </w:t>
      </w:r>
      <w:r>
        <w:rPr>
          <w:rFonts w:ascii="宋体" w:hAnsi="宋体" w:cs="宋体" w:eastAsia="宋体" w:hint="default"/>
          <w:spacing w:val="-3"/>
          <w:sz w:val="18"/>
          <w:szCs w:val="18"/>
        </w:rPr>
        <w:t>内幕信息知情人登记管理制度的议案》，进一步完善了公司内幕知情人登记管理制度。</w:t>
        <w:tab/>
      </w:r>
      <w:r>
        <w:rPr>
          <w:rFonts w:ascii="宋体" w:hAnsi="宋体" w:cs="宋体" w:eastAsia="宋体" w:hint="default"/>
          <w:sz w:val="18"/>
          <w:szCs w:val="18"/>
        </w:rPr>
        <w:t>报告期内，公司能够按</w:t>
      </w:r>
      <w:r>
        <w:rPr>
          <w:rFonts w:ascii="宋体" w:hAnsi="宋体" w:cs="宋体" w:eastAsia="宋体" w:hint="default"/>
          <w:sz w:val="18"/>
          <w:szCs w:val="18"/>
        </w:rPr>
        <w:t> </w:t>
      </w:r>
      <w:r>
        <w:rPr>
          <w:rFonts w:ascii="宋体" w:hAnsi="宋体" w:cs="宋体" w:eastAsia="宋体" w:hint="default"/>
          <w:spacing w:val="-4"/>
          <w:sz w:val="18"/>
          <w:szCs w:val="18"/>
        </w:rPr>
        <w:t>照证监会《关于上市公司建立内幕信息知情人登记管理制度的规定》、深交所《中小企业板信息披露业务备忘录第</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号：内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幕信息知情人报备相关事项》以及公司《内幕信息知情人登记管理制度》的要求，认真做好内幕信息管理和内幕信息知情人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登记工作，能够如实、完整记录内幕信息在公开披露前的报告、传递、编制、审核、披露等各环节所有内幕信息知情人名单。</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在定期报告披露期间，公司对董事、监事、高级管理人员以及其他内幕信息知情人在定期报告公告前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天内、业绩预告和</w:t>
      </w:r>
    </w:p>
    <w:p>
      <w:pPr>
        <w:spacing w:line="302" w:lineRule="auto" w:before="3"/>
        <w:ind w:left="154" w:right="1124" w:firstLine="0"/>
        <w:jc w:val="left"/>
        <w:rPr>
          <w:rFonts w:ascii="宋体" w:hAnsi="宋体" w:cs="宋体" w:eastAsia="宋体" w:hint="default"/>
          <w:sz w:val="18"/>
          <w:szCs w:val="18"/>
        </w:rPr>
      </w:pPr>
      <w:r>
        <w:rPr>
          <w:rFonts w:ascii="宋体" w:hAnsi="宋体" w:cs="宋体" w:eastAsia="宋体" w:hint="default"/>
          <w:sz w:val="18"/>
          <w:szCs w:val="18"/>
        </w:rPr>
        <w:t>业绩快报公告前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日内以及其他重大事项披露期间等敏感期内买卖公司股票的情况进行自查，没有发现相关人员利用内幕 信息从事内幕交易。</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二、报告期内召开的年度股东大会和临时股东大会的有关情况" w:id="121"/>
      <w:bookmarkEnd w:id="121"/>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年度股东大会情况" w:id="122"/>
      <w:bookmarkEnd w:id="122"/>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2"/>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 会工作报告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00" w:lineRule="auto" w:before="13"/>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 </w:t>
            </w:r>
            <w:r>
              <w:rPr>
                <w:rFonts w:ascii="宋体" w:hAnsi="宋体" w:cs="宋体" w:eastAsia="宋体" w:hint="default"/>
                <w:spacing w:val="-28"/>
                <w:sz w:val="18"/>
                <w:szCs w:val="18"/>
              </w:rPr>
              <w:t>工作报告》；</w:t>
            </w:r>
            <w:r>
              <w:rPr>
                <w:rFonts w:ascii="Times New Roman" w:hAnsi="Times New Roman" w:cs="Times New Roman" w:eastAsia="Times New Roman" w:hint="default"/>
                <w:spacing w:val="-28"/>
                <w:sz w:val="18"/>
                <w:szCs w:val="18"/>
              </w:rPr>
              <w:t>3</w:t>
            </w:r>
            <w:r>
              <w:rPr>
                <w:rFonts w:ascii="宋体" w:hAnsi="宋体" w:cs="宋体" w:eastAsia="宋体" w:hint="default"/>
                <w:spacing w:val="-28"/>
                <w:sz w:val="18"/>
                <w:szCs w:val="18"/>
              </w:rPr>
              <w:t>、《</w:t>
            </w:r>
            <w:r>
              <w:rPr>
                <w:rFonts w:ascii="Times New Roman" w:hAnsi="Times New Roman" w:cs="Times New Roman" w:eastAsia="Times New Roman" w:hint="default"/>
                <w:spacing w:val="-28"/>
                <w:sz w:val="18"/>
                <w:szCs w:val="18"/>
              </w:rPr>
              <w:t>2013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60"/>
              <w:jc w:val="left"/>
              <w:rPr>
                <w:rFonts w:ascii="宋体" w:hAnsi="宋体" w:cs="宋体" w:eastAsia="宋体" w:hint="default"/>
                <w:sz w:val="18"/>
                <w:szCs w:val="18"/>
              </w:rPr>
            </w:pPr>
            <w:r>
              <w:rPr>
                <w:rFonts w:ascii="宋体" w:hAnsi="宋体" w:cs="宋体" w:eastAsia="宋体" w:hint="default"/>
                <w:sz w:val="18"/>
                <w:szCs w:val="18"/>
              </w:rPr>
              <w:t>决议通过第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 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具体内容详见刊登 在巨潮资讯网 </w:t>
            </w:r>
            <w:hyperlink r:id="rId17">
              <w:r>
                <w:rPr>
                  <w:rFonts w:ascii="Times New Roman" w:hAnsi="Times New Roman" w:cs="Times New Roman" w:eastAsia="Times New Roman" w:hint="default"/>
                  <w:spacing w:val="-1"/>
                  <w:sz w:val="18"/>
                  <w:szCs w:val="18"/>
                </w:rPr>
                <w:t>http://www.cninfo.co</w:t>
              </w:r>
            </w:hyperlink>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m.cn</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p>
      <w:pPr>
        <w:spacing w:line="8806" w:lineRule="exact"/>
        <w:ind w:left="149" w:right="0" w:firstLine="0"/>
        <w:rPr>
          <w:rFonts w:ascii="宋体" w:hAnsi="宋体" w:cs="宋体" w:eastAsia="宋体" w:hint="default"/>
          <w:sz w:val="20"/>
          <w:szCs w:val="20"/>
        </w:rPr>
      </w:pPr>
      <w:r>
        <w:rPr>
          <w:rFonts w:ascii="宋体" w:hAnsi="宋体" w:cs="宋体" w:eastAsia="宋体" w:hint="default"/>
          <w:position w:val="-175"/>
          <w:sz w:val="20"/>
          <w:szCs w:val="20"/>
        </w:rPr>
        <w:pict>
          <v:group style="width:478.9pt;height:440.35pt;mso-position-horizontal-relative:char;mso-position-vertical-relative:line" coordorigin="0,0" coordsize="9578,8807">
            <v:group style="position:absolute;left:4795;top:14;width:1584;height:8778" coordorigin="4795,14" coordsize="1584,8778">
              <v:shape style="position:absolute;left:4795;top:14;width:1584;height:8778" coordorigin="4795,14" coordsize="1584,8778" path="m4795,8792l6379,8792,6379,14,4795,14,4795,8792xe" filled="true" fillcolor="#ffffff" stroked="false">
                <v:path arrowok="t"/>
                <v:fill type="solid"/>
              </v:shape>
            </v:group>
            <v:group style="position:absolute;left:10;top:10;width:1587;height:2" coordorigin="10,10" coordsize="1587,2">
              <v:shape style="position:absolute;left:10;top:10;width:1587;height:2" coordorigin="10,10" coordsize="1587,0" path="m10,10l1596,10e" filled="false" stroked="true" strokeweight=".48pt" strokecolor="#000000">
                <v:path arrowok="t"/>
              </v:shape>
            </v:group>
            <v:group style="position:absolute;left:1606;top:10;width:1584;height:2" coordorigin="1606,10" coordsize="1584,2">
              <v:shape style="position:absolute;left:1606;top:10;width:1584;height:2" coordorigin="1606,10" coordsize="1584,0" path="m1606,10l3190,10e" filled="false" stroked="true" strokeweight=".48pt" strokecolor="#000000">
                <v:path arrowok="t"/>
              </v:shape>
            </v:group>
            <v:group style="position:absolute;left:3200;top:10;width:1586;height:2" coordorigin="3200,10" coordsize="1586,2">
              <v:shape style="position:absolute;left:3200;top:10;width:1586;height:2" coordorigin="3200,10" coordsize="1586,0" path="m3200,10l4785,10e" filled="false" stroked="true" strokeweight=".48pt" strokecolor="#000000">
                <v:path arrowok="t"/>
              </v:shape>
            </v:group>
            <v:group style="position:absolute;left:4795;top:10;width:1584;height:2" coordorigin="4795,10" coordsize="1584,2">
              <v:shape style="position:absolute;left:4795;top:10;width:1584;height:2" coordorigin="4795,10" coordsize="1584,0" path="m4795,10l6379,10e" filled="false" stroked="true" strokeweight=".48pt" strokecolor="#000000">
                <v:path arrowok="t"/>
              </v:shape>
            </v:group>
            <v:group style="position:absolute;left:6388;top:10;width:1585;height:2" coordorigin="6388,10" coordsize="1585,2">
              <v:shape style="position:absolute;left:6388;top:10;width:1585;height:2" coordorigin="6388,10" coordsize="1585,0" path="m6388,10l7973,10e" filled="false" stroked="true" strokeweight=".48pt" strokecolor="#000000">
                <v:path arrowok="t"/>
              </v:shape>
            </v:group>
            <v:group style="position:absolute;left:7982;top:10;width:1586;height:2" coordorigin="7982,10" coordsize="1586,2">
              <v:shape style="position:absolute;left:7982;top:10;width:1586;height:2" coordorigin="7982,10" coordsize="1586,0" path="m7982,10l9568,10e" filled="false" stroked="true" strokeweight=".48pt" strokecolor="#000000">
                <v:path arrowok="t"/>
              </v:shape>
            </v:group>
            <v:group style="position:absolute;left:5;top:5;width:2;height:8797" coordorigin="5,5" coordsize="2,8797">
              <v:shape style="position:absolute;left:5;top:5;width:2;height:8797" coordorigin="5,5" coordsize="0,8797" path="m5,5l5,8802e" filled="false" stroked="true" strokeweight=".48pt" strokecolor="#000000">
                <v:path arrowok="t"/>
              </v:shape>
            </v:group>
            <v:group style="position:absolute;left:10;top:8797;width:1587;height:2" coordorigin="10,8797" coordsize="1587,2">
              <v:shape style="position:absolute;left:10;top:8797;width:1587;height:2" coordorigin="10,8797" coordsize="1587,0" path="m10,8797l1596,8797e" filled="false" stroked="true" strokeweight=".48pt" strokecolor="#000000">
                <v:path arrowok="t"/>
              </v:shape>
            </v:group>
            <v:group style="position:absolute;left:1601;top:5;width:2;height:8797" coordorigin="1601,5" coordsize="2,8797">
              <v:shape style="position:absolute;left:1601;top:5;width:2;height:8797" coordorigin="1601,5" coordsize="0,8797" path="m1601,5l1601,8802e" filled="false" stroked="true" strokeweight=".48pt" strokecolor="#000000">
                <v:path arrowok="t"/>
              </v:shape>
            </v:group>
            <v:group style="position:absolute;left:1606;top:8797;width:1584;height:2" coordorigin="1606,8797" coordsize="1584,2">
              <v:shape style="position:absolute;left:1606;top:8797;width:1584;height:2" coordorigin="1606,8797" coordsize="1584,0" path="m1606,8797l3190,8797e" filled="false" stroked="true" strokeweight=".48pt" strokecolor="#000000">
                <v:path arrowok="t"/>
              </v:shape>
            </v:group>
            <v:group style="position:absolute;left:3195;top:5;width:2;height:8797" coordorigin="3195,5" coordsize="2,8797">
              <v:shape style="position:absolute;left:3195;top:5;width:2;height:8797" coordorigin="3195,5" coordsize="0,8797" path="m3195,5l3195,8802e" filled="false" stroked="true" strokeweight=".48pt" strokecolor="#000000">
                <v:path arrowok="t"/>
              </v:shape>
            </v:group>
            <v:group style="position:absolute;left:3200;top:8797;width:1586;height:2" coordorigin="3200,8797" coordsize="1586,2">
              <v:shape style="position:absolute;left:3200;top:8797;width:1586;height:2" coordorigin="3200,8797" coordsize="1586,0" path="m3200,8797l4785,8797e" filled="false" stroked="true" strokeweight=".48pt" strokecolor="#000000">
                <v:path arrowok="t"/>
              </v:shape>
            </v:group>
            <v:group style="position:absolute;left:4790;top:5;width:2;height:8797" coordorigin="4790,5" coordsize="2,8797">
              <v:shape style="position:absolute;left:4790;top:5;width:2;height:8797" coordorigin="4790,5" coordsize="0,8797" path="m4790,5l4790,8802e" filled="false" stroked="true" strokeweight=".48pt" strokecolor="#000000">
                <v:path arrowok="t"/>
              </v:shape>
            </v:group>
            <v:group style="position:absolute;left:4795;top:8797;width:1584;height:2" coordorigin="4795,8797" coordsize="1584,2">
              <v:shape style="position:absolute;left:4795;top:8797;width:1584;height:2" coordorigin="4795,8797" coordsize="1584,0" path="m4795,8797l6379,8797e" filled="false" stroked="true" strokeweight=".48pt" strokecolor="#000000">
                <v:path arrowok="t"/>
              </v:shape>
            </v:group>
            <v:group style="position:absolute;left:6384;top:5;width:2;height:8797" coordorigin="6384,5" coordsize="2,8797">
              <v:shape style="position:absolute;left:6384;top:5;width:2;height:8797" coordorigin="6384,5" coordsize="0,8797" path="m6384,5l6384,8802e" filled="false" stroked="true" strokeweight=".48pt" strokecolor="#000000">
                <v:path arrowok="t"/>
              </v:shape>
            </v:group>
            <v:group style="position:absolute;left:6388;top:8797;width:1585;height:2" coordorigin="6388,8797" coordsize="1585,2">
              <v:shape style="position:absolute;left:6388;top:8797;width:1585;height:2" coordorigin="6388,8797" coordsize="1585,0" path="m6388,8797l7973,8797e" filled="false" stroked="true" strokeweight=".48pt" strokecolor="#000000">
                <v:path arrowok="t"/>
              </v:shape>
            </v:group>
            <v:group style="position:absolute;left:7978;top:5;width:2;height:8797" coordorigin="7978,5" coordsize="2,8797">
              <v:shape style="position:absolute;left:7978;top:5;width:2;height:8797" coordorigin="7978,5" coordsize="0,8797" path="m7978,5l7978,8802e" filled="false" stroked="true" strokeweight=".48pt" strokecolor="#000000">
                <v:path arrowok="t"/>
              </v:shape>
            </v:group>
            <v:group style="position:absolute;left:7982;top:8797;width:1586;height:2" coordorigin="7982,8797" coordsize="1586,2">
              <v:shape style="position:absolute;left:7982;top:8797;width:1586;height:2" coordorigin="7982,8797" coordsize="1586,0" path="m7982,8797l9568,8797e" filled="false" stroked="true" strokeweight=".48pt" strokecolor="#000000">
                <v:path arrowok="t"/>
              </v:shape>
            </v:group>
            <v:group style="position:absolute;left:9572;top:5;width:2;height:8797" coordorigin="9572,5" coordsize="2,8797">
              <v:shape style="position:absolute;left:9572;top:5;width:2;height:8797" coordorigin="9572,5" coordsize="0,8797" path="m9572,5l9572,8802e" filled="false" stroked="true" strokeweight=".48pt" strokecolor="#000000">
                <v:path arrowok="t"/>
              </v:shape>
              <v:shape style="position:absolute;left:0;top:0;width:9578;height:8807" type="#_x0000_t202" filled="false" stroked="false">
                <v:textbox inset="0,0,0,0">
                  <w:txbxContent>
                    <w:p>
                      <w:pPr>
                        <w:spacing w:line="309" w:lineRule="auto" w:before="25"/>
                        <w:ind w:left="3223" w:right="4731" w:firstLine="0"/>
                        <w:jc w:val="left"/>
                        <w:rPr>
                          <w:rFonts w:ascii="宋体" w:hAnsi="宋体" w:cs="宋体" w:eastAsia="宋体" w:hint="default"/>
                          <w:sz w:val="18"/>
                          <w:szCs w:val="18"/>
                        </w:rPr>
                      </w:pPr>
                      <w:r>
                        <w:rPr>
                          <w:rFonts w:ascii="宋体" w:hAnsi="宋体" w:cs="宋体" w:eastAsia="宋体" w:hint="default"/>
                          <w:sz w:val="18"/>
                          <w:szCs w:val="18"/>
                        </w:rPr>
                        <w:t>年年度报告及摘 </w:t>
                      </w:r>
                      <w:r>
                        <w:rPr>
                          <w:rFonts w:ascii="宋体" w:hAnsi="宋体" w:cs="宋体" w:eastAsia="宋体" w:hint="default"/>
                          <w:spacing w:val="-22"/>
                          <w:sz w:val="18"/>
                          <w:szCs w:val="18"/>
                        </w:rPr>
                        <w:t>要》；</w:t>
                      </w:r>
                      <w:r>
                        <w:rPr>
                          <w:rFonts w:ascii="Times New Roman" w:hAnsi="Times New Roman" w:cs="Times New Roman" w:eastAsia="Times New Roman" w:hint="default"/>
                          <w:spacing w:val="-22"/>
                          <w:sz w:val="18"/>
                          <w:szCs w:val="18"/>
                        </w:rPr>
                        <w:t>4</w:t>
                      </w:r>
                      <w:r>
                        <w:rPr>
                          <w:rFonts w:ascii="宋体" w:hAnsi="宋体" w:cs="宋体" w:eastAsia="宋体" w:hint="default"/>
                          <w:spacing w:val="-22"/>
                          <w:sz w:val="18"/>
                          <w:szCs w:val="18"/>
                        </w:rPr>
                        <w:t>、《</w:t>
                      </w:r>
                      <w:r>
                        <w:rPr>
                          <w:rFonts w:ascii="Times New Roman" w:hAnsi="Times New Roman" w:cs="Times New Roman" w:eastAsia="Times New Roman" w:hint="default"/>
                          <w:spacing w:val="-22"/>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年度</w:t>
                      </w:r>
                      <w:r>
                        <w:rPr>
                          <w:rFonts w:ascii="宋体" w:hAnsi="宋体" w:cs="宋体" w:eastAsia="宋体" w:hint="default"/>
                          <w:spacing w:val="-87"/>
                          <w:sz w:val="18"/>
                          <w:szCs w:val="18"/>
                        </w:rPr>
                        <w:t> </w:t>
                      </w:r>
                      <w:r>
                        <w:rPr>
                          <w:rFonts w:ascii="宋体" w:hAnsi="宋体" w:cs="宋体" w:eastAsia="宋体" w:hint="default"/>
                          <w:spacing w:val="-9"/>
                          <w:sz w:val="18"/>
                          <w:szCs w:val="18"/>
                        </w:rPr>
                        <w:t>财务决算报告》；</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w:t>
                      </w:r>
                    </w:p>
                    <w:p>
                      <w:pPr>
                        <w:spacing w:line="307" w:lineRule="auto" w:before="5"/>
                        <w:ind w:left="3223" w:right="473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 </w:t>
                      </w:r>
                      <w:r>
                        <w:rPr>
                          <w:rFonts w:ascii="宋体" w:hAnsi="宋体" w:cs="宋体" w:eastAsia="宋体" w:hint="default"/>
                          <w:spacing w:val="-15"/>
                          <w:sz w:val="18"/>
                          <w:szCs w:val="18"/>
                        </w:rPr>
                        <w:t>配预案》；</w:t>
                      </w:r>
                      <w:r>
                        <w:rPr>
                          <w:rFonts w:ascii="Times New Roman" w:hAnsi="Times New Roman" w:cs="Times New Roman" w:eastAsia="Times New Roman" w:hint="default"/>
                          <w:spacing w:val="-15"/>
                          <w:sz w:val="18"/>
                          <w:szCs w:val="18"/>
                        </w:rPr>
                        <w:t>6</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年度募集资金存放 及使用情况的专项 </w:t>
                      </w:r>
                      <w:r>
                        <w:rPr>
                          <w:rFonts w:ascii="宋体" w:hAnsi="宋体" w:cs="宋体" w:eastAsia="宋体" w:hint="default"/>
                          <w:spacing w:val="-20"/>
                          <w:sz w:val="18"/>
                          <w:szCs w:val="18"/>
                        </w:rPr>
                        <w:t>报告》；</w:t>
                      </w:r>
                      <w:r>
                        <w:rPr>
                          <w:rFonts w:ascii="Times New Roman" w:hAnsi="Times New Roman" w:cs="Times New Roman" w:eastAsia="Times New Roman" w:hint="default"/>
                          <w:spacing w:val="-20"/>
                          <w:sz w:val="18"/>
                          <w:szCs w:val="18"/>
                        </w:rPr>
                        <w:t>7</w:t>
                      </w:r>
                      <w:r>
                        <w:rPr>
                          <w:rFonts w:ascii="宋体" w:hAnsi="宋体" w:cs="宋体" w:eastAsia="宋体" w:hint="default"/>
                          <w:spacing w:val="-20"/>
                          <w:sz w:val="18"/>
                          <w:szCs w:val="18"/>
                        </w:rPr>
                        <w:t>、《</w:t>
                      </w:r>
                      <w:r>
                        <w:rPr>
                          <w:rFonts w:ascii="Times New Roman" w:hAnsi="Times New Roman" w:cs="Times New Roman" w:eastAsia="Times New Roman" w:hint="default"/>
                          <w:spacing w:val="-20"/>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度内部控制自我评 </w:t>
                      </w:r>
                      <w:r>
                        <w:rPr>
                          <w:rFonts w:ascii="宋体" w:hAnsi="宋体" w:cs="宋体" w:eastAsia="宋体" w:hint="default"/>
                          <w:spacing w:val="-18"/>
                          <w:sz w:val="18"/>
                          <w:szCs w:val="18"/>
                        </w:rPr>
                        <w:t>价报告》；</w:t>
                      </w:r>
                      <w:r>
                        <w:rPr>
                          <w:rFonts w:ascii="Times New Roman" w:hAnsi="Times New Roman" w:cs="Times New Roman" w:eastAsia="Times New Roman" w:hint="default"/>
                          <w:spacing w:val="-18"/>
                          <w:sz w:val="18"/>
                          <w:szCs w:val="18"/>
                        </w:rPr>
                        <w:t>8</w:t>
                      </w:r>
                      <w:r>
                        <w:rPr>
                          <w:rFonts w:ascii="宋体" w:hAnsi="宋体" w:cs="宋体" w:eastAsia="宋体" w:hint="default"/>
                          <w:spacing w:val="-18"/>
                          <w:sz w:val="18"/>
                          <w:szCs w:val="18"/>
                        </w:rPr>
                        <w:t>、《关于</w:t>
                      </w:r>
                      <w:r>
                        <w:rPr>
                          <w:rFonts w:ascii="宋体" w:hAnsi="宋体" w:cs="宋体" w:eastAsia="宋体" w:hint="default"/>
                          <w:sz w:val="18"/>
                          <w:szCs w:val="18"/>
                        </w:rPr>
                        <w:t> 向银行等金融机构 申请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年综合授 </w:t>
                      </w:r>
                      <w:r>
                        <w:rPr>
                          <w:rFonts w:ascii="宋体" w:hAnsi="宋体" w:cs="宋体" w:eastAsia="宋体" w:hint="default"/>
                          <w:spacing w:val="-9"/>
                          <w:sz w:val="18"/>
                          <w:szCs w:val="18"/>
                        </w:rPr>
                        <w:t>信额度的议案》；</w:t>
                      </w:r>
                      <w:r>
                        <w:rPr>
                          <w:rFonts w:ascii="Times New Roman" w:hAnsi="Times New Roman" w:cs="Times New Roman" w:eastAsia="Times New Roman" w:hint="default"/>
                          <w:spacing w:val="-9"/>
                          <w:sz w:val="18"/>
                          <w:szCs w:val="18"/>
                        </w:rPr>
                        <w:t>9</w:t>
                      </w:r>
                      <w:r>
                        <w:rPr>
                          <w:rFonts w:ascii="宋体" w:hAnsi="宋体" w:cs="宋体" w:eastAsia="宋体" w:hint="default"/>
                          <w:spacing w:val="-9"/>
                          <w:sz w:val="18"/>
                          <w:szCs w:val="18"/>
                        </w:rPr>
                        <w:t>、</w:t>
                      </w:r>
                    </w:p>
                    <w:p>
                      <w:pPr>
                        <w:spacing w:line="316" w:lineRule="auto" w:before="7"/>
                        <w:ind w:left="3223" w:right="4902" w:hanging="9"/>
                        <w:jc w:val="center"/>
                        <w:rPr>
                          <w:rFonts w:ascii="Times New Roman" w:hAnsi="Times New Roman" w:cs="Times New Roman" w:eastAsia="Times New Roman" w:hint="default"/>
                          <w:sz w:val="18"/>
                          <w:szCs w:val="18"/>
                        </w:rPr>
                      </w:pPr>
                      <w:r>
                        <w:rPr>
                          <w:rFonts w:ascii="宋体" w:hAnsi="宋体" w:cs="宋体" w:eastAsia="宋体" w:hint="default"/>
                          <w:sz w:val="18"/>
                          <w:szCs w:val="18"/>
                        </w:rPr>
                        <w:t>《关于为子公司提 </w:t>
                      </w:r>
                      <w:r>
                        <w:rPr>
                          <w:rFonts w:ascii="宋体" w:hAnsi="宋体" w:cs="宋体" w:eastAsia="宋体" w:hint="default"/>
                          <w:spacing w:val="-18"/>
                          <w:sz w:val="18"/>
                          <w:szCs w:val="18"/>
                        </w:rPr>
                        <w:t>供担保的议案》；</w:t>
                      </w:r>
                      <w:r>
                        <w:rPr>
                          <w:rFonts w:ascii="Times New Roman" w:hAnsi="Times New Roman" w:cs="Times New Roman" w:eastAsia="Times New Roman" w:hint="default"/>
                          <w:spacing w:val="-18"/>
                          <w:sz w:val="18"/>
                          <w:szCs w:val="18"/>
                        </w:rPr>
                        <w:t>10</w:t>
                      </w:r>
                    </w:p>
                    <w:p>
                      <w:pPr>
                        <w:spacing w:line="314" w:lineRule="auto" w:before="0"/>
                        <w:ind w:left="3223" w:right="4812" w:firstLine="0"/>
                        <w:jc w:val="left"/>
                        <w:rPr>
                          <w:rFonts w:ascii="宋体" w:hAnsi="宋体" w:cs="宋体" w:eastAsia="宋体" w:hint="default"/>
                          <w:sz w:val="18"/>
                          <w:szCs w:val="18"/>
                        </w:rPr>
                      </w:pPr>
                      <w:r>
                        <w:rPr>
                          <w:rFonts w:ascii="宋体" w:hAnsi="宋体" w:cs="宋体" w:eastAsia="宋体" w:hint="default"/>
                          <w:sz w:val="18"/>
                          <w:szCs w:val="18"/>
                        </w:rPr>
                        <w:t>《关于续聘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度审计机构的议 </w:t>
                      </w:r>
                      <w:r>
                        <w:rPr>
                          <w:rFonts w:ascii="宋体" w:hAnsi="宋体" w:cs="宋体" w:eastAsia="宋体" w:hint="default"/>
                          <w:spacing w:val="-24"/>
                          <w:sz w:val="18"/>
                          <w:szCs w:val="18"/>
                        </w:rPr>
                        <w:t>案》；</w:t>
                      </w:r>
                      <w:r>
                        <w:rPr>
                          <w:rFonts w:ascii="Times New Roman" w:hAnsi="Times New Roman" w:cs="Times New Roman" w:eastAsia="Times New Roman" w:hint="default"/>
                          <w:spacing w:val="-24"/>
                          <w:sz w:val="18"/>
                          <w:szCs w:val="18"/>
                        </w:rPr>
                        <w:t>11</w:t>
                      </w:r>
                      <w:r>
                        <w:rPr>
                          <w:rFonts w:ascii="宋体" w:hAnsi="宋体" w:cs="宋体" w:eastAsia="宋体" w:hint="default"/>
                          <w:spacing w:val="-24"/>
                          <w:sz w:val="18"/>
                          <w:szCs w:val="18"/>
                        </w:rPr>
                        <w:t>、《公司董事</w:t>
                      </w:r>
                      <w:r>
                        <w:rPr>
                          <w:rFonts w:ascii="宋体" w:hAnsi="宋体" w:cs="宋体" w:eastAsia="宋体" w:hint="default"/>
                          <w:sz w:val="18"/>
                          <w:szCs w:val="18"/>
                        </w:rPr>
                        <w:t> 会关于对会计师事 务所出具的带强调 事项段的无保留审 计意见涉及事项的 </w:t>
                      </w:r>
                      <w:r>
                        <w:rPr>
                          <w:rFonts w:ascii="宋体" w:hAnsi="宋体" w:cs="宋体" w:eastAsia="宋体" w:hint="default"/>
                          <w:spacing w:val="-24"/>
                          <w:sz w:val="18"/>
                          <w:szCs w:val="18"/>
                        </w:rPr>
                        <w:t>专项说明》；</w:t>
                      </w:r>
                      <w:r>
                        <w:rPr>
                          <w:rFonts w:ascii="Times New Roman" w:hAnsi="Times New Roman" w:cs="Times New Roman" w:eastAsia="Times New Roman" w:hint="default"/>
                          <w:spacing w:val="-24"/>
                          <w:sz w:val="18"/>
                          <w:szCs w:val="18"/>
                        </w:rPr>
                        <w:t>12</w:t>
                      </w:r>
                      <w:r>
                        <w:rPr>
                          <w:rFonts w:ascii="宋体" w:hAnsi="宋体" w:cs="宋体" w:eastAsia="宋体" w:hint="default"/>
                          <w:spacing w:val="-24"/>
                          <w:sz w:val="18"/>
                          <w:szCs w:val="18"/>
                        </w:rPr>
                        <w:t>、《公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司董事会关于对会 计师事务所对内部 控制有效性出具非 标准审计报告涉及 </w:t>
                      </w:r>
                      <w:r>
                        <w:rPr>
                          <w:rFonts w:ascii="宋体" w:hAnsi="宋体" w:cs="宋体" w:eastAsia="宋体" w:hint="default"/>
                          <w:spacing w:val="-10"/>
                          <w:sz w:val="18"/>
                          <w:szCs w:val="18"/>
                        </w:rPr>
                        <w:t>事项的专项说明》。</w:t>
                      </w:r>
                    </w:p>
                  </w:txbxContent>
                </v:textbox>
                <w10:wrap type="none"/>
              </v:shape>
            </v:group>
          </v:group>
        </w:pict>
      </w:r>
      <w:r>
        <w:rPr>
          <w:rFonts w:ascii="宋体" w:hAnsi="宋体" w:cs="宋体" w:eastAsia="宋体" w:hint="default"/>
          <w:position w:val="-175"/>
          <w:sz w:val="20"/>
          <w:szCs w:val="20"/>
        </w:rPr>
      </w:r>
    </w:p>
    <w:p>
      <w:pPr>
        <w:spacing w:line="240" w:lineRule="auto" w:before="11"/>
        <w:rPr>
          <w:rFonts w:ascii="宋体" w:hAnsi="宋体" w:cs="宋体" w:eastAsia="宋体" w:hint="default"/>
          <w:b/>
          <w:bCs/>
          <w:sz w:val="18"/>
          <w:szCs w:val="18"/>
        </w:rPr>
      </w:pPr>
    </w:p>
    <w:p>
      <w:pPr>
        <w:pStyle w:val="Heading4"/>
        <w:spacing w:line="240" w:lineRule="auto" w:before="35"/>
        <w:ind w:right="0"/>
        <w:jc w:val="left"/>
        <w:rPr>
          <w:b w:val="0"/>
          <w:bCs w:val="0"/>
        </w:rPr>
      </w:pPr>
      <w:r>
        <w:rPr/>
        <w:pict>
          <v:shape style="position:absolute;margin-left:290.079987pt;margin-top:-451.926331pt;width:85.35pt;height:438.9pt;mso-position-horizontal-relative:page;mso-position-vertical-relative:paragraph;z-index:-85511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3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bookmarkStart w:name="2、本报告期临时股东大会情况" w:id="123"/>
      <w:bookmarkEnd w:id="123"/>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119"/>
              <w:jc w:val="both"/>
              <w:rPr>
                <w:rFonts w:ascii="宋体" w:hAnsi="宋体" w:cs="宋体" w:eastAsia="宋体" w:hint="default"/>
                <w:sz w:val="18"/>
                <w:szCs w:val="18"/>
              </w:rPr>
            </w:pPr>
            <w:r>
              <w:rPr>
                <w:rFonts w:ascii="宋体" w:hAnsi="宋体" w:cs="宋体" w:eastAsia="宋体" w:hint="default"/>
                <w:sz w:val="18"/>
                <w:szCs w:val="18"/>
              </w:rPr>
              <w:t>《关于选举吕泉锋 先生为公司监事的 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决议通过该议案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具体内容详见刊登 在巨潮资讯网 </w:t>
            </w:r>
            <w:hyperlink r:id="rId17">
              <w:r>
                <w:rPr>
                  <w:rFonts w:ascii="Times New Roman" w:hAnsi="Times New Roman" w:cs="Times New Roman" w:eastAsia="Times New Roman" w:hint="default"/>
                  <w:spacing w:val="-1"/>
                  <w:sz w:val="18"/>
                  <w:szCs w:val="18"/>
                </w:rPr>
                <w:t>http://www.cninfo.co</w:t>
              </w:r>
            </w:hyperlink>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m.cn</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10"/>
                <w:sz w:val="18"/>
                <w:szCs w:val="18"/>
              </w:rPr>
              <w:t>关于〈浙江宏磊铜业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股份有限公司章程 修正案〉的议案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决议通过该议案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具体内容详见刊登 在巨潮资讯网 </w:t>
            </w:r>
            <w:hyperlink r:id="rId17">
              <w:r>
                <w:rPr>
                  <w:rFonts w:ascii="Times New Roman" w:hAnsi="Times New Roman" w:cs="Times New Roman" w:eastAsia="Times New Roman" w:hint="default"/>
                  <w:spacing w:val="-1"/>
                  <w:sz w:val="18"/>
                  <w:szCs w:val="18"/>
                </w:rPr>
                <w:t>http://www.cninfo.co</w:t>
              </w:r>
            </w:hyperlink>
          </w:p>
          <w:p>
            <w:pPr>
              <w:pStyle w:val="TableParagraph"/>
              <w:spacing w:line="240" w:lineRule="auto" w:before="25"/>
              <w:ind w:left="23" w:right="0"/>
              <w:jc w:val="left"/>
              <w:rPr>
                <w:rFonts w:ascii="Times New Roman" w:hAnsi="Times New Roman" w:cs="Times New Roman" w:eastAsia="Times New Roman" w:hint="default"/>
                <w:sz w:val="18"/>
                <w:szCs w:val="18"/>
              </w:rPr>
            </w:pPr>
            <w:r>
              <w:rPr>
                <w:rFonts w:ascii="Times New Roman"/>
                <w:sz w:val="18"/>
              </w:rPr>
              <w:t>m.cn</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、《关于继续以部分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闲置募集资金临时 性补充公司流动资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22" w:right="149"/>
              <w:jc w:val="left"/>
              <w:rPr>
                <w:rFonts w:ascii="宋体" w:hAnsi="宋体" w:cs="宋体" w:eastAsia="宋体" w:hint="default"/>
                <w:sz w:val="18"/>
                <w:szCs w:val="18"/>
              </w:rPr>
            </w:pPr>
            <w:r>
              <w:rPr>
                <w:rFonts w:ascii="宋体" w:hAnsi="宋体" w:cs="宋体" w:eastAsia="宋体" w:hint="default"/>
                <w:sz w:val="18"/>
                <w:szCs w:val="18"/>
              </w:rPr>
              <w:t>决议通过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项议 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具体内容详见刊登 在巨潮资讯网 </w:t>
            </w:r>
            <w:hyperlink r:id="rId17">
              <w:r>
                <w:rPr>
                  <w:rFonts w:ascii="Times New Roman" w:hAnsi="Times New Roman" w:cs="Times New Roman" w:eastAsia="Times New Roman" w:hint="default"/>
                  <w:spacing w:val="-1"/>
                  <w:sz w:val="18"/>
                  <w:szCs w:val="18"/>
                </w:rPr>
                <w:t>http://www.cninfo.co</w:t>
              </w:r>
            </w:hyperlink>
          </w:p>
        </w:tc>
      </w:tr>
    </w:tbl>
    <w:p>
      <w:pPr>
        <w:spacing w:after="0" w:line="338"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20"/>
              <w:jc w:val="left"/>
              <w:rPr>
                <w:rFonts w:ascii="宋体" w:hAnsi="宋体" w:cs="宋体" w:eastAsia="宋体" w:hint="default"/>
                <w:sz w:val="18"/>
                <w:szCs w:val="18"/>
              </w:rPr>
            </w:pPr>
            <w:r>
              <w:rPr>
                <w:rFonts w:ascii="宋体" w:hAnsi="宋体" w:cs="宋体" w:eastAsia="宋体" w:hint="default"/>
                <w:spacing w:val="-15"/>
                <w:sz w:val="18"/>
                <w:szCs w:val="18"/>
              </w:rPr>
              <w:t>金的议案》；</w:t>
            </w:r>
            <w:r>
              <w:rPr>
                <w:rFonts w:ascii="宋体" w:hAnsi="宋体" w:cs="宋体" w:eastAsia="宋体" w:hint="default"/>
                <w:spacing w:val="-41"/>
                <w:sz w:val="18"/>
                <w:szCs w:val="18"/>
              </w:rPr>
              <w:t> </w:t>
            </w:r>
            <w:r>
              <w:rPr>
                <w:rFonts w:ascii="Times New Roman" w:hAnsi="Times New Roman" w:cs="Times New Roman" w:eastAsia="Times New Roman" w:hint="default"/>
                <w:spacing w:val="-33"/>
                <w:sz w:val="18"/>
                <w:szCs w:val="18"/>
              </w:rPr>
              <w:t>2</w:t>
            </w:r>
            <w:r>
              <w:rPr>
                <w:rFonts w:ascii="宋体" w:hAnsi="宋体" w:cs="宋体" w:eastAsia="宋体" w:hint="default"/>
                <w:spacing w:val="-33"/>
                <w:sz w:val="18"/>
                <w:szCs w:val="18"/>
              </w:rPr>
              <w:t>、《关</w:t>
            </w:r>
            <w:r>
              <w:rPr>
                <w:rFonts w:ascii="宋体" w:hAnsi="宋体" w:cs="宋体" w:eastAsia="宋体" w:hint="default"/>
                <w:sz w:val="18"/>
                <w:szCs w:val="18"/>
              </w:rPr>
              <w:t> 于选举章利全先生 为公司非独立董事 </w:t>
            </w:r>
            <w:r>
              <w:rPr>
                <w:rFonts w:ascii="宋体" w:hAnsi="宋体" w:cs="宋体" w:eastAsia="宋体" w:hint="default"/>
                <w:spacing w:val="-18"/>
                <w:sz w:val="18"/>
                <w:szCs w:val="18"/>
              </w:rPr>
              <w:t>的议案》。</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m.cn</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3、表决权恢夊的优先股股东请求召开临时股东大会" w:id="124"/>
      <w:bookmarkEnd w:id="124"/>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报告期内独立董事履行职责的情况" w:id="125"/>
      <w:bookmarkEnd w:id="125"/>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独立董事出席董事会及股东大会的情况" w:id="126"/>
      <w:bookmarkEnd w:id="12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杨学桐</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尚福山</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何力民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吴旭仕</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独立董事对公司有关事项提出异议的情况" w:id="127"/>
      <w:bookmarkEnd w:id="12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60" w:lineRule="auto" w:before="116"/>
        <w:ind w:left="153" w:right="6973"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11"/>
        <w:rPr>
          <w:rFonts w:ascii="宋体" w:hAnsi="宋体" w:cs="宋体" w:eastAsia="宋体" w:hint="default"/>
          <w:sz w:val="19"/>
          <w:szCs w:val="19"/>
        </w:rPr>
      </w:pPr>
    </w:p>
    <w:p>
      <w:pPr>
        <w:pStyle w:val="Heading4"/>
        <w:spacing w:line="240" w:lineRule="auto"/>
        <w:ind w:left="153" w:right="0"/>
        <w:jc w:val="left"/>
        <w:rPr>
          <w:b w:val="0"/>
          <w:bCs w:val="0"/>
        </w:rPr>
      </w:pPr>
      <w:bookmarkStart w:name="3、独立董事履行职责的其他说明" w:id="128"/>
      <w:bookmarkEnd w:id="12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57" w:lineRule="auto" w:before="116"/>
        <w:ind w:left="153" w:right="6793"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p>
      <w:pPr>
        <w:pStyle w:val="BodyText"/>
        <w:spacing w:line="273" w:lineRule="auto" w:before="2"/>
        <w:ind w:right="1024" w:firstLine="420"/>
        <w:jc w:val="left"/>
      </w:pPr>
      <w:r>
        <w:rPr/>
        <w:t>报告期内，公司独立董事积极出席公司召开的董事会和股东大会，定期听取公司经营情况汇报，对公 司进行了多次实地现场考察，了解公司的生产经营情况和财务状况，对公司内部审计、资金占用等事项发 </w:t>
      </w:r>
      <w:r>
        <w:rPr>
          <w:spacing w:val="-3"/>
        </w:rPr>
        <w:t>表独立意见；并通过电话和邮件，独立董事积极与公司其他董事、高管人员及相关工作人员保持密切联系，</w:t>
      </w:r>
      <w:r>
        <w:rPr>
          <w:spacing w:val="-90"/>
        </w:rPr>
        <w:t> </w:t>
      </w:r>
      <w:r>
        <w:rPr>
          <w:spacing w:val="-90"/>
        </w:rPr>
      </w:r>
      <w:r>
        <w:rPr/>
        <w:t>时刻关注国内外经济形势和行业发展态势对公司经营状况的影响，关注传媒、网络有关公司的相关报道， </w:t>
      </w:r>
      <w:r>
        <w:rPr>
          <w:spacing w:val="-3"/>
        </w:rPr>
        <w:t>及时获悉公司各重大事项的进展情况，定期审阅公司提供的信息报告，及时了解掌握公司经营与发展情况，</w:t>
      </w:r>
      <w:r>
        <w:rPr>
          <w:spacing w:val="-92"/>
        </w:rPr>
        <w:t> </w:t>
      </w:r>
      <w:r>
        <w:rPr>
          <w:spacing w:val="-92"/>
        </w:rPr>
      </w:r>
      <w:r>
        <w:rPr/>
        <w:t>深入探讨公司经营发展中的机遇与挑战，及时提示风险。本年度重点关注公司关联方资金占用归还情况、 募投项目建设进展情况、主营业务经营状况和发展趋势等重大经营活动，掌握公司的运行动态，在充分掌</w:t>
      </w:r>
      <w:r>
        <w:rPr/>
        <w:t> 握实际情况的基础上提出相关意见与建议，独立董事对董事会各项议案的审议表决、对重大事项发表独立</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意见提供了有力的支持。</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ind w:left="153" w:right="0"/>
        <w:jc w:val="both"/>
        <w:rPr>
          <w:b w:val="0"/>
          <w:bCs w:val="0"/>
        </w:rPr>
      </w:pPr>
      <w:bookmarkStart w:name="四、董事会下设专门委员会在报告期内履行职责情况" w:id="129"/>
      <w:bookmarkEnd w:id="129"/>
      <w:r>
        <w:rPr>
          <w:b w:val="0"/>
          <w:bCs w:val="0"/>
        </w:rPr>
      </w:r>
      <w:r>
        <w:rPr/>
        <w:t>四、董事会下设专门委员会在报告期内履行职责情况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BodyText"/>
        <w:spacing w:line="266" w:lineRule="auto" w:before="0"/>
        <w:ind w:right="1130" w:firstLine="420"/>
        <w:jc w:val="both"/>
      </w:pPr>
      <w:r>
        <w:rPr>
          <w:spacing w:val="-1"/>
        </w:rPr>
        <w:t>公司董事会下设四个专门委员会，分别为战略委员会、审计委员会、提名委员会、薪酬委员会。</w:t>
      </w:r>
      <w:r>
        <w:rPr>
          <w:rFonts w:ascii="Times New Roman" w:hAnsi="Times New Roman" w:cs="Times New Roman" w:eastAsia="Times New Roman" w:hint="default"/>
          <w:spacing w:val="-1"/>
        </w:rPr>
        <w:t>2014</w:t>
      </w:r>
      <w:r>
        <w:rPr>
          <w:rFonts w:ascii="Times New Roman" w:hAnsi="Times New Roman" w:cs="Times New Roman" w:eastAsia="Times New Roman" w:hint="default"/>
        </w:rPr>
        <w:t> </w:t>
      </w:r>
      <w:r>
        <w:rPr>
          <w:spacing w:val="-1"/>
        </w:rPr>
        <w:t>年度各专门委员会本着勤勉尽责的原则，根据《公司法》、《上市公司治理准则》等有关法律法规及《公</w:t>
      </w:r>
      <w:r>
        <w:rPr>
          <w:spacing w:val="-85"/>
        </w:rPr>
        <w:t> </w:t>
      </w:r>
      <w:r>
        <w:rPr>
          <w:spacing w:val="-85"/>
        </w:rPr>
      </w:r>
      <w:r>
        <w:rPr>
          <w:spacing w:val="-1"/>
        </w:rPr>
        <w:t>司章程》、《公司董事会各专门委员会工作细则》的有关规定开展相关工作，报告期内，各专门委员会履</w:t>
      </w:r>
      <w:r>
        <w:rPr>
          <w:spacing w:val="-82"/>
        </w:rPr>
        <w:t> </w:t>
      </w:r>
      <w:r>
        <w:rPr>
          <w:spacing w:val="-82"/>
        </w:rPr>
      </w:r>
      <w:r>
        <w:rPr/>
        <w:t>职情况如下：</w:t>
      </w:r>
    </w:p>
    <w:p>
      <w:pPr>
        <w:pStyle w:val="BodyText"/>
        <w:spacing w:line="256" w:lineRule="auto" w:before="14"/>
        <w:ind w:left="573" w:right="0" w:hanging="21"/>
        <w:jc w:val="left"/>
      </w:pPr>
      <w:r>
        <w:rPr>
          <w:rFonts w:ascii="Times New Roman" w:hAnsi="Times New Roman" w:cs="Times New Roman" w:eastAsia="Times New Roman" w:hint="default"/>
        </w:rPr>
        <w:t>1</w:t>
      </w:r>
      <w:r>
        <w:rPr/>
        <w:t>、战略委员会 </w:t>
      </w:r>
      <w:r>
        <w:rPr>
          <w:spacing w:val="-1"/>
        </w:rPr>
        <w:t>报告期内，战略委员会根据有关规定积极开展工作，认真履行职责。报告期内，战略委员会召开了相</w:t>
      </w:r>
    </w:p>
    <w:p>
      <w:pPr>
        <w:pStyle w:val="BodyText"/>
        <w:spacing w:line="273" w:lineRule="auto" w:before="22"/>
        <w:ind w:right="0"/>
        <w:jc w:val="left"/>
      </w:pPr>
      <w:r>
        <w:rPr>
          <w:spacing w:val="-1"/>
        </w:rPr>
        <w:t>关会议，对公司所处行业发展态势、募投项目建设和筹划资产重组等重大事项进行了深入分析探讨，对公</w:t>
      </w:r>
      <w:r>
        <w:rPr>
          <w:spacing w:val="-83"/>
        </w:rPr>
        <w:t> </w:t>
      </w:r>
      <w:r>
        <w:rPr>
          <w:spacing w:val="-83"/>
        </w:rPr>
      </w:r>
      <w:r>
        <w:rPr/>
        <w:t>司发展战略的实施提出了合理建议。</w:t>
      </w:r>
    </w:p>
    <w:p>
      <w:pPr>
        <w:pStyle w:val="BodyText"/>
        <w:spacing w:line="256" w:lineRule="auto"/>
        <w:ind w:left="489" w:right="1117" w:firstLine="144"/>
        <w:jc w:val="left"/>
      </w:pPr>
      <w:r>
        <w:rPr>
          <w:rFonts w:ascii="Times New Roman" w:hAnsi="Times New Roman" w:cs="Times New Roman" w:eastAsia="Times New Roman" w:hint="default"/>
        </w:rPr>
        <w:t>2</w:t>
      </w:r>
      <w:r>
        <w:rPr/>
        <w:t>、审计委员会 </w:t>
      </w:r>
      <w:r>
        <w:rPr>
          <w:spacing w:val="-1"/>
        </w:rPr>
        <w:t>报告期内，审计委员会根据有关规定，积极履行职责。报告期内，审计委员会召开了</w:t>
      </w:r>
      <w:r>
        <w:rPr>
          <w:rFonts w:ascii="Times New Roman" w:hAnsi="Times New Roman" w:cs="Times New Roman" w:eastAsia="Times New Roman" w:hint="default"/>
          <w:spacing w:val="-1"/>
        </w:rPr>
        <w:t>4</w:t>
      </w:r>
      <w:r>
        <w:rPr>
          <w:spacing w:val="-1"/>
        </w:rPr>
        <w:t>次会议，审议了</w:t>
      </w:r>
    </w:p>
    <w:p>
      <w:pPr>
        <w:pStyle w:val="BodyText"/>
        <w:spacing w:line="273" w:lineRule="auto" w:before="5"/>
        <w:ind w:right="1131"/>
        <w:jc w:val="both"/>
      </w:pPr>
      <w:r>
        <w:rPr>
          <w:spacing w:val="-1"/>
        </w:rPr>
        <w:t>公司审计部提交的各项内部审计报告，听取了审计部年度工作总结和工作计划安排，对审计部的工作开展</w:t>
      </w:r>
      <w:r>
        <w:rPr>
          <w:spacing w:val="-81"/>
        </w:rPr>
        <w:t> </w:t>
      </w:r>
      <w:r>
        <w:rPr>
          <w:spacing w:val="-81"/>
        </w:rPr>
      </w:r>
      <w:r>
        <w:rPr>
          <w:spacing w:val="-1"/>
        </w:rPr>
        <w:t>给予了一定的指导。对公司年度审计、外部审计机构的聘任等事项给予合理的建议，对财务报告、募集资</w:t>
      </w:r>
      <w:r>
        <w:rPr>
          <w:spacing w:val="-85"/>
        </w:rPr>
        <w:t> </w:t>
      </w:r>
      <w:r>
        <w:rPr>
          <w:spacing w:val="-85"/>
        </w:rPr>
      </w:r>
      <w:r>
        <w:rPr/>
        <w:t>金使用、内部控制建设等情况进行审核。</w:t>
      </w:r>
    </w:p>
    <w:p>
      <w:pPr>
        <w:pStyle w:val="BodyText"/>
        <w:spacing w:line="256" w:lineRule="auto"/>
        <w:ind w:left="633" w:right="1033" w:firstLine="46"/>
        <w:jc w:val="left"/>
      </w:pPr>
      <w:r>
        <w:rPr>
          <w:rFonts w:ascii="Times New Roman" w:hAnsi="Times New Roman" w:cs="Times New Roman" w:eastAsia="Times New Roman" w:hint="default"/>
        </w:rPr>
        <w:t>3</w:t>
      </w:r>
      <w:r>
        <w:rPr/>
        <w:t>、提名委员会 报告期内，提名委员会按照《董事会提名委员会工作细则》履行职责，对公司调整、更换部分董事、</w:t>
      </w:r>
    </w:p>
    <w:p>
      <w:pPr>
        <w:pStyle w:val="BodyText"/>
        <w:spacing w:line="266" w:lineRule="auto" w:before="22"/>
        <w:ind w:left="573" w:right="0" w:hanging="420"/>
        <w:jc w:val="left"/>
      </w:pPr>
      <w:r>
        <w:rPr/>
        <w:t>监事、高管及内审机构负责人人选进行提名，对其任职资格进行了审查，并发表审查意见和建议。 </w:t>
      </w:r>
      <w:r>
        <w:rPr>
          <w:rFonts w:ascii="Times New Roman" w:hAnsi="Times New Roman" w:cs="Times New Roman" w:eastAsia="Times New Roman" w:hint="default"/>
        </w:rPr>
        <w:t>4</w:t>
      </w:r>
      <w:r>
        <w:rPr/>
        <w:t>、薪酬与考核委员会 </w:t>
      </w:r>
      <w:r>
        <w:rPr>
          <w:spacing w:val="-1"/>
        </w:rPr>
        <w:t>报告期内，薪酬与考核委员会根据有关规定，积极履行职责。薪酬与考核委员会对公司董事、监事和</w:t>
      </w:r>
    </w:p>
    <w:p>
      <w:pPr>
        <w:pStyle w:val="BodyText"/>
        <w:spacing w:line="273" w:lineRule="auto" w:before="14"/>
        <w:ind w:right="1130"/>
        <w:jc w:val="both"/>
      </w:pPr>
      <w:r>
        <w:rPr>
          <w:spacing w:val="-1"/>
        </w:rPr>
        <w:t>高级管理人员的薪酬审核后认为，公司逐步建立公正、公平、公开、有效的高级管理人员绩效评价标准和</w:t>
      </w:r>
      <w:r>
        <w:rPr>
          <w:spacing w:val="-85"/>
        </w:rPr>
        <w:t> </w:t>
      </w:r>
      <w:r>
        <w:rPr>
          <w:spacing w:val="-85"/>
        </w:rPr>
      </w:r>
      <w:r>
        <w:rPr>
          <w:spacing w:val="-1"/>
        </w:rPr>
        <w:t>激励约束机制，公司高级管理人员实行基本年薪与年终绩效考核相结合的薪酬制度。公司董事、监事和高</w:t>
      </w:r>
      <w:r>
        <w:rPr>
          <w:spacing w:val="-83"/>
        </w:rPr>
        <w:t> </w:t>
      </w:r>
      <w:r>
        <w:rPr>
          <w:spacing w:val="-83"/>
        </w:rPr>
      </w:r>
      <w:r>
        <w:rPr/>
        <w:t>级管理人员报告期内薪酬真实，符合公司绩效考核指标。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2"/>
        <w:spacing w:line="240" w:lineRule="auto"/>
        <w:ind w:left="153" w:right="0"/>
        <w:jc w:val="both"/>
        <w:rPr>
          <w:b w:val="0"/>
          <w:bCs w:val="0"/>
        </w:rPr>
      </w:pPr>
      <w:bookmarkStart w:name="五、监事会工作情况" w:id="130"/>
      <w:bookmarkEnd w:id="130"/>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60" w:lineRule="auto" w:before="116"/>
        <w:ind w:left="153" w:right="7693"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left="153" w:right="0"/>
        <w:jc w:val="both"/>
        <w:rPr>
          <w:b w:val="0"/>
          <w:bCs w:val="0"/>
        </w:rPr>
      </w:pPr>
      <w:bookmarkStart w:name="六、公司相对于控股股东在业务、人员、资产、机构、财务等方面的独立完整情况" w:id="131"/>
      <w:bookmarkEnd w:id="131"/>
      <w:r>
        <w:rPr>
          <w:b w:val="0"/>
          <w:bCs w:val="0"/>
        </w:rPr>
      </w: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10" w:firstLine="420"/>
        <w:jc w:val="both"/>
      </w:pPr>
      <w:r>
        <w:rPr/>
        <w:t>公司自设立以来，按照《公司法》、《证券法》等法律法规和《公司章程》的要求规范运作，建立、 </w:t>
      </w:r>
      <w:r>
        <w:rPr>
          <w:spacing w:val="-1"/>
        </w:rPr>
        <w:t>健全了公司法人治理结构。公司与控股股东、实际控制人在业务、人员、资产、机构、财务等方面完全分</w:t>
      </w:r>
      <w:r>
        <w:rPr>
          <w:spacing w:val="-83"/>
        </w:rPr>
        <w:t> </w:t>
      </w:r>
      <w:r>
        <w:rPr>
          <w:spacing w:val="-83"/>
        </w:rPr>
      </w:r>
      <w:r>
        <w:rPr>
          <w:spacing w:val="-1"/>
        </w:rPr>
        <w:t>开，具有独立完整的业务及自主经营能力。公司所有的生产经营或重大事项均根据《公司章程》及相关制</w:t>
      </w:r>
      <w:r>
        <w:rPr>
          <w:spacing w:val="-86"/>
        </w:rPr>
        <w:t> </w:t>
      </w:r>
      <w:r>
        <w:rPr>
          <w:spacing w:val="-86"/>
        </w:rPr>
      </w:r>
      <w:r>
        <w:rPr/>
        <w:t>度的规定由经理层、董事会、股东大会讨论确定，不存在受控于控股股东、实际控制人的情形。</w:t>
      </w:r>
    </w:p>
    <w:p>
      <w:pPr>
        <w:pStyle w:val="BodyText"/>
        <w:spacing w:line="273" w:lineRule="auto"/>
        <w:ind w:left="573" w:right="0"/>
        <w:jc w:val="left"/>
      </w:pPr>
      <w:r>
        <w:rPr/>
        <w:t>（一）业务独立情况 </w:t>
      </w:r>
      <w:r>
        <w:rPr>
          <w:spacing w:val="-1"/>
        </w:rPr>
        <w:t>公司与控股股东、实际控制人及其控制的其他企业不存在同业竞争。公司目前主要从事漆包线、铜管</w:t>
      </w:r>
    </w:p>
    <w:p>
      <w:pPr>
        <w:pStyle w:val="BodyText"/>
        <w:spacing w:line="240" w:lineRule="auto"/>
        <w:ind w:right="0"/>
        <w:jc w:val="both"/>
      </w:pPr>
      <w:r>
        <w:rPr/>
        <w:t>的生产销售业务，拥有独立完整的研发、生产、采购及销售系统，拥有具体系统的生产经营计划、财务核</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24"/>
        <w:jc w:val="left"/>
      </w:pPr>
      <w:r>
        <w:rPr>
          <w:spacing w:val="-3"/>
        </w:rPr>
        <w:t>算、劳动人事、产品供销等业务体系，具备独立的面向市场自主经营能力，均由公司自主决策、自负盈亏，</w:t>
      </w:r>
      <w:r>
        <w:rPr>
          <w:spacing w:val="-94"/>
        </w:rPr>
        <w:t> </w:t>
      </w:r>
      <w:r>
        <w:rPr>
          <w:spacing w:val="-94"/>
        </w:rPr>
      </w:r>
      <w:r>
        <w:rPr/>
        <w:t>不存在对股东及其他机构依赖的情况。</w:t>
      </w:r>
    </w:p>
    <w:p>
      <w:pPr>
        <w:pStyle w:val="BodyText"/>
        <w:spacing w:line="273" w:lineRule="auto"/>
        <w:ind w:left="573" w:right="0"/>
        <w:jc w:val="left"/>
      </w:pPr>
      <w:r>
        <w:rPr/>
        <w:t>（二）人员独立情况 </w:t>
      </w:r>
      <w:r>
        <w:rPr>
          <w:spacing w:val="-1"/>
        </w:rPr>
        <w:t>公司的董事、监事、高级管理人员的任职，均按照《公司法》及其他法律、法规、规范性文件、《公</w:t>
      </w:r>
    </w:p>
    <w:p>
      <w:pPr>
        <w:pStyle w:val="BodyText"/>
        <w:spacing w:line="273" w:lineRule="auto" w:before="8"/>
        <w:ind w:right="1131"/>
        <w:jc w:val="both"/>
      </w:pPr>
      <w:r>
        <w:rPr>
          <w:spacing w:val="-1"/>
        </w:rPr>
        <w:t>司章程》规定的程序进行。公司总经理、副总经理、财务总监和董事会秘书等高级管理人员均在公司工作</w:t>
      </w:r>
      <w:r>
        <w:rPr>
          <w:spacing w:val="-86"/>
        </w:rPr>
        <w:t> </w:t>
      </w:r>
      <w:r>
        <w:rPr>
          <w:spacing w:val="-86"/>
        </w:rPr>
      </w:r>
      <w:r>
        <w:rPr>
          <w:spacing w:val="-1"/>
        </w:rPr>
        <w:t>并领取薪酬，没有在控股股东、实际控制人及其控制的其他企业中担任除董事、监事以外的任何职务及领</w:t>
      </w:r>
      <w:r>
        <w:rPr>
          <w:spacing w:val="-83"/>
        </w:rPr>
        <w:t> </w:t>
      </w:r>
      <w:r>
        <w:rPr>
          <w:spacing w:val="-83"/>
        </w:rPr>
      </w:r>
      <w:r>
        <w:rPr>
          <w:spacing w:val="-1"/>
        </w:rPr>
        <w:t>取薪酬。公司的财务人员也不存在在控股股东、实际控制人或其控制的其他企业中兼职的情况。公司建立</w:t>
      </w:r>
      <w:r>
        <w:rPr>
          <w:spacing w:val="-83"/>
        </w:rPr>
        <w:t> </w:t>
      </w:r>
      <w:r>
        <w:rPr>
          <w:spacing w:val="-83"/>
        </w:rPr>
      </w:r>
      <w:r>
        <w:rPr/>
        <w:t>独立的人事管理系统，与员工签订了劳动合同，建立独立的工资管理、福利与社会保障体系。</w:t>
      </w:r>
    </w:p>
    <w:p>
      <w:pPr>
        <w:pStyle w:val="BodyText"/>
        <w:spacing w:line="273" w:lineRule="auto"/>
        <w:ind w:left="573" w:right="0"/>
        <w:jc w:val="left"/>
      </w:pPr>
      <w:r>
        <w:rPr/>
        <w:t>（三）资产独立情况 </w:t>
      </w:r>
      <w:r>
        <w:rPr>
          <w:spacing w:val="-1"/>
        </w:rPr>
        <w:t>公司合法拥有与主营业务相关的土地、厂房、机器设备以及商标、专利、非专利技术的所有权或者使</w:t>
      </w:r>
    </w:p>
    <w:p>
      <w:pPr>
        <w:pStyle w:val="BodyText"/>
        <w:spacing w:line="273" w:lineRule="auto"/>
        <w:ind w:right="1131"/>
        <w:jc w:val="both"/>
      </w:pPr>
      <w:r>
        <w:rPr>
          <w:spacing w:val="-1"/>
        </w:rPr>
        <w:t>用权。公司与股东之间的资产产权界定清晰，生产经营场所独立，不存在依靠股东的生产经营场所进行生</w:t>
      </w:r>
      <w:r>
        <w:rPr>
          <w:spacing w:val="-83"/>
        </w:rPr>
        <w:t> </w:t>
      </w:r>
      <w:r>
        <w:rPr>
          <w:spacing w:val="-83"/>
        </w:rPr>
      </w:r>
      <w:r>
        <w:rPr>
          <w:spacing w:val="-1"/>
        </w:rPr>
        <w:t>产经营的情况。公司不存在以资产、权益或信誉为股东的债务提供担保的情况，公司对所有资产拥有完全</w:t>
      </w:r>
      <w:r>
        <w:rPr>
          <w:spacing w:val="-83"/>
        </w:rPr>
        <w:t> </w:t>
      </w:r>
      <w:r>
        <w:rPr>
          <w:spacing w:val="-83"/>
        </w:rPr>
      </w:r>
      <w:r>
        <w:rPr/>
        <w:t>的控制支配权，不存在资产、资金被股东占用而损害公司利益的情况。</w:t>
      </w:r>
    </w:p>
    <w:p>
      <w:pPr>
        <w:pStyle w:val="BodyText"/>
        <w:spacing w:line="273" w:lineRule="auto"/>
        <w:ind w:left="573" w:right="0"/>
        <w:jc w:val="left"/>
      </w:pPr>
      <w:r>
        <w:rPr/>
        <w:t>（四）机构独立情况 </w:t>
      </w:r>
      <w:r>
        <w:rPr>
          <w:spacing w:val="-1"/>
        </w:rPr>
        <w:t>公司设立健全的组织体系，股东大会、董事会、监事会及各职能部门均独立运作，依法独立行使各自</w:t>
      </w:r>
    </w:p>
    <w:p>
      <w:pPr>
        <w:pStyle w:val="BodyText"/>
        <w:spacing w:line="273" w:lineRule="auto"/>
        <w:ind w:right="1131"/>
        <w:jc w:val="both"/>
      </w:pPr>
      <w:r>
        <w:rPr>
          <w:spacing w:val="-1"/>
        </w:rPr>
        <w:t>职权。公司生产经营和办公机构完全独立，不存在与股东混合经营的情形。公司的机构设置均独立于控股</w:t>
      </w:r>
      <w:r>
        <w:rPr>
          <w:spacing w:val="-83"/>
        </w:rPr>
        <w:t> </w:t>
      </w:r>
      <w:r>
        <w:rPr>
          <w:spacing w:val="-83"/>
        </w:rPr>
      </w:r>
      <w:r>
        <w:rPr/>
        <w:t>股东，未发生控股股东及其关联企业干预公司机构设置和生产经营活动的情况。</w:t>
      </w:r>
    </w:p>
    <w:p>
      <w:pPr>
        <w:pStyle w:val="BodyText"/>
        <w:spacing w:line="273" w:lineRule="auto"/>
        <w:ind w:left="469" w:right="1197" w:firstLine="104"/>
        <w:jc w:val="left"/>
      </w:pPr>
      <w:r>
        <w:rPr/>
        <w:t>（五）财务独立情况 公司设有独立的财务会计部门和内部审计部门，并配备专职财务管理人员及内部审计人员。公司制定</w:t>
      </w:r>
    </w:p>
    <w:p>
      <w:pPr>
        <w:pStyle w:val="BodyText"/>
        <w:spacing w:line="273" w:lineRule="auto"/>
        <w:ind w:right="1131"/>
        <w:jc w:val="both"/>
      </w:pPr>
      <w:r>
        <w:rPr>
          <w:spacing w:val="-1"/>
        </w:rPr>
        <w:t>了独立于控股股东的财务管理制度和内部审计管理制度，并建立了独立的会计核算体系。公司具有独立的</w:t>
      </w:r>
      <w:r>
        <w:rPr>
          <w:spacing w:val="-81"/>
        </w:rPr>
        <w:t> </w:t>
      </w:r>
      <w:r>
        <w:rPr>
          <w:spacing w:val="-81"/>
        </w:rPr>
      </w:r>
      <w:r>
        <w:rPr/>
        <w:t>银行账户并依法独立纳税。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left="153" w:right="0"/>
        <w:jc w:val="both"/>
        <w:rPr>
          <w:b w:val="0"/>
          <w:bCs w:val="0"/>
        </w:rPr>
      </w:pPr>
      <w:bookmarkStart w:name="七、同业竞争情况" w:id="132"/>
      <w:bookmarkEnd w:id="132"/>
      <w:r>
        <w:rPr>
          <w:b w:val="0"/>
          <w:bCs w:val="0"/>
        </w:rPr>
      </w:r>
      <w:r>
        <w:rPr/>
        <w:t>七、同业竞争情况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53" w:right="0"/>
        <w:jc w:val="both"/>
        <w:rPr>
          <w:b w:val="0"/>
          <w:bCs w:val="0"/>
        </w:rPr>
      </w:pPr>
      <w:bookmarkStart w:name="八、高级管理人员的考评及激励情况" w:id="133"/>
      <w:bookmarkEnd w:id="133"/>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4"/>
          <w:szCs w:val="24"/>
        </w:rPr>
      </w:pPr>
    </w:p>
    <w:p>
      <w:pPr>
        <w:pStyle w:val="BodyText"/>
        <w:spacing w:line="264" w:lineRule="auto" w:before="0"/>
        <w:ind w:right="1135" w:firstLine="168"/>
        <w:jc w:val="left"/>
      </w:pPr>
      <w:r>
        <w:rPr/>
        <w:t>高级管理人员实行年薪制，依据行业薪酬水平，经营效益、岗位职级等因素确定。年终对高级管理人员 的履行职责情况和年度实际业绩进行绩效考核，并根据考核情况核发年度绩效薪酬。</w:t>
      </w:r>
      <w:r>
        <w:rPr>
          <w:rFonts w:ascii="Times New Roman" w:hAnsi="Times New Roman" w:cs="Times New Roman" w:eastAsia="Times New Roman" w:hint="default"/>
        </w:rPr>
        <w:t>2014</w:t>
      </w:r>
      <w:r>
        <w:rPr>
          <w:rFonts w:ascii="Times New Roman" w:hAnsi="Times New Roman" w:cs="Times New Roman" w:eastAsia="Times New Roman" w:hint="default"/>
          <w:spacing w:val="31"/>
        </w:rPr>
        <w:t> </w:t>
      </w:r>
      <w:r>
        <w:rPr/>
        <w:t>年度高级管理 人员的考核均为合格。</w:t>
      </w:r>
      <w:r>
        <w:rPr>
          <w:rFonts w:ascii="Times New Roman" w:hAnsi="Times New Roman" w:cs="Times New Roman" w:eastAsia="Times New Roman" w:hint="default"/>
        </w:rPr>
        <w:t>2014</w:t>
      </w:r>
      <w:r>
        <w:rPr/>
        <w:t>年度公司未实行股权激励的事项。</w:t>
      </w:r>
    </w:p>
    <w:p>
      <w:pPr>
        <w:spacing w:after="0" w:line="26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763"/>
        <w:jc w:val="center"/>
        <w:rPr>
          <w:b w:val="0"/>
          <w:bCs w:val="0"/>
        </w:rPr>
      </w:pPr>
      <w:bookmarkStart w:name="_TOC_250002" w:id="134"/>
      <w:bookmarkStart w:name="第十节 内部控制" w:id="135"/>
      <w:r>
        <w:rPr>
          <w:b w:val="0"/>
          <w:bCs w:val="0"/>
        </w:rPr>
      </w:r>
      <w:r>
        <w:rPr/>
        <w:t>第十节</w:t>
      </w:r>
      <w:r>
        <w:rPr>
          <w:spacing w:val="-5"/>
        </w:rPr>
        <w:t> </w:t>
      </w:r>
      <w:r>
        <w:rPr/>
        <w:t>内部控制</w:t>
      </w:r>
      <w:bookmarkEnd w:id="13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left"/>
        <w:rPr>
          <w:b w:val="0"/>
          <w:bCs w:val="0"/>
        </w:rPr>
      </w:pPr>
      <w:bookmarkStart w:name="一、内部控制建设情况" w:id="136"/>
      <w:bookmarkEnd w:id="136"/>
      <w:r>
        <w:rPr>
          <w:b w:val="0"/>
          <w:bCs w:val="0"/>
        </w:rPr>
      </w:r>
      <w:r>
        <w:rPr/>
        <w:t>一、内部控制建设情况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014" w:firstLine="315"/>
        <w:jc w:val="left"/>
      </w:pPr>
      <w:r>
        <w:rPr/>
        <w:t>公司根据监管要求以及企业自身经营特点，建立了一套较为完整的涵盖经营管理、财务管理等内部控 </w:t>
      </w:r>
      <w:r>
        <w:rPr>
          <w:spacing w:val="-1"/>
        </w:rPr>
        <w:t>制制度，这些制度构成了公司的内部控制制度体系，基本包括了公司所有运营环节，具有较强的指导性和</w:t>
      </w:r>
      <w:r>
        <w:rPr>
          <w:spacing w:val="-83"/>
        </w:rPr>
        <w:t> </w:t>
      </w:r>
      <w:r>
        <w:rPr>
          <w:spacing w:val="-83"/>
        </w:rPr>
      </w:r>
      <w:r>
        <w:rPr>
          <w:spacing w:val="-1"/>
        </w:rPr>
        <w:t>规范性。同时，公司设置了内审部，并配备专职审计人员，在公司审计委员会的监督与指导下，对公司生</w:t>
      </w:r>
      <w:r>
        <w:rPr>
          <w:spacing w:val="-82"/>
        </w:rPr>
        <w:t> </w:t>
      </w:r>
      <w:r>
        <w:rPr>
          <w:spacing w:val="-82"/>
        </w:rPr>
      </w:r>
      <w:r>
        <w:rPr>
          <w:spacing w:val="-1"/>
        </w:rPr>
        <w:t>产经营活动和内部控制执行情况进行监督、检查，对公司内部审计体系进行了补充和完善，针对管理过程</w:t>
      </w:r>
      <w:r>
        <w:rPr>
          <w:spacing w:val="-83"/>
        </w:rPr>
        <w:t> </w:t>
      </w:r>
      <w:r>
        <w:rPr>
          <w:spacing w:val="-83"/>
        </w:rPr>
      </w:r>
      <w:r>
        <w:rPr>
          <w:spacing w:val="-1"/>
        </w:rPr>
        <w:t>中发现的问题和不足，提出了合理性意见和建议，确保内部控制制度的有效实施和生产经营活动的正常进</w:t>
      </w:r>
      <w:r>
        <w:rPr>
          <w:spacing w:val="-81"/>
        </w:rPr>
        <w:t> </w:t>
      </w:r>
      <w:r>
        <w:rPr>
          <w:spacing w:val="-81"/>
        </w:rPr>
      </w:r>
      <w:r>
        <w:rPr/>
        <w:t>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2"/>
        <w:spacing w:line="240" w:lineRule="auto"/>
        <w:ind w:right="0"/>
        <w:jc w:val="left"/>
        <w:rPr>
          <w:b w:val="0"/>
          <w:bCs w:val="0"/>
        </w:rPr>
      </w:pPr>
      <w:bookmarkStart w:name="二、董事会关于内部控制责任的声明" w:id="137"/>
      <w:bookmarkEnd w:id="137"/>
      <w:r>
        <w:rPr>
          <w:b w:val="0"/>
          <w:bCs w:val="0"/>
        </w:rPr>
      </w:r>
      <w:r>
        <w:rPr/>
        <w:t>二、董事会关于内部控制责任的声明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10" w:firstLine="420"/>
        <w:jc w:val="right"/>
      </w:pPr>
      <w:r>
        <w:rPr>
          <w:spacing w:val="-1"/>
        </w:rPr>
        <w:t>按照企业内部控制规范体系的规定，建立健全和有效实施内部控制，评价其有效性，并如实披露内部</w:t>
      </w:r>
      <w:r>
        <w:rPr/>
        <w:t> </w:t>
      </w:r>
      <w:r>
        <w:rPr>
          <w:spacing w:val="-1"/>
        </w:rPr>
        <w:t>控制评价报告是公司董事会的责任。监事会对董事会建立和实施内部控制进行监督。经理层负责组织领导</w:t>
      </w:r>
      <w:r>
        <w:rPr/>
        <w:t> </w:t>
      </w:r>
      <w:r>
        <w:rPr>
          <w:spacing w:val="-1"/>
        </w:rPr>
        <w:t>企业内部控制的日常运行。公司董事会、监事会及董事、监事、高级管理人员保证本报告内容不存在任何</w:t>
      </w:r>
      <w:r>
        <w:rPr/>
        <w:t> 虚假记载、误导性陈述或重大遗漏，并对报告内容的真实性、准确性和完整性承担个别及连带法律责任。 </w:t>
      </w:r>
      <w:r>
        <w:rPr>
          <w:spacing w:val="-1"/>
        </w:rPr>
        <w:t>公司内部控制的目标是合理保证经营管理合法合规、资产安全、财务报告及相关信息真实完整，提高</w:t>
      </w:r>
      <w:r>
        <w:rPr/>
        <w:t> </w:t>
      </w:r>
      <w:r>
        <w:rPr>
          <w:spacing w:val="-1"/>
        </w:rPr>
        <w:t>经营效率和效果，促进实现发展战略。由于内部控制存在的固有局限性，故仅能为实现上述目标提供合理</w:t>
      </w:r>
      <w:r>
        <w:rPr/>
        <w:t> </w:t>
      </w:r>
      <w:r>
        <w:rPr>
          <w:spacing w:val="-1"/>
        </w:rPr>
        <w:t>保证。此外，由于情况的变化可能导致内部控制变得不恰当，或对控制政策和程序遵循的程度降低，根据</w:t>
      </w:r>
    </w:p>
    <w:p>
      <w:pPr>
        <w:pStyle w:val="BodyText"/>
        <w:spacing w:line="240" w:lineRule="auto"/>
        <w:ind w:left="154" w:right="0"/>
        <w:jc w:val="left"/>
      </w:pPr>
      <w:r>
        <w:rPr/>
        <w:t>内部控制评价结果推测未来内部控制的有效性具有一定的风险。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4"/>
        <w:ind w:right="0"/>
        <w:jc w:val="left"/>
        <w:rPr>
          <w:b w:val="0"/>
          <w:bCs w:val="0"/>
        </w:rPr>
      </w:pPr>
      <w:bookmarkStart w:name="三、建立财务报告内部控制的依据" w:id="138"/>
      <w:bookmarkEnd w:id="138"/>
      <w:r>
        <w:rPr>
          <w:b w:val="0"/>
          <w:bCs w:val="0"/>
        </w:rPr>
      </w:r>
      <w:r>
        <w:rPr/>
        <w:t>三、建立财务报告内部控制的依据</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0" w:right="1109"/>
        <w:jc w:val="right"/>
      </w:pPr>
      <w:r>
        <w:rPr/>
        <w:t>公司依据企业内部控制规范体系及《深圳证券交易所股票上市规则》、《企业内部控制基本规范》、</w:t>
      </w:r>
    </w:p>
    <w:p>
      <w:pPr>
        <w:pStyle w:val="BodyText"/>
        <w:spacing w:line="273" w:lineRule="auto" w:before="37"/>
        <w:ind w:left="154" w:right="1014"/>
        <w:jc w:val="left"/>
      </w:pPr>
      <w:r>
        <w:rPr>
          <w:spacing w:val="-1"/>
        </w:rPr>
        <w:t>《深圳证券交易所上市公司内部控制指引》等相关法律、法规和规章制度的要求，组织开展内部控制评价</w:t>
      </w:r>
      <w:r>
        <w:rPr>
          <w:spacing w:val="-83"/>
        </w:rPr>
        <w:t> </w:t>
      </w:r>
      <w:r>
        <w:rPr>
          <w:spacing w:val="-83"/>
        </w:rPr>
      </w:r>
      <w:r>
        <w:rPr/>
        <w:t>工作。</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right="0"/>
        <w:jc w:val="left"/>
        <w:rPr>
          <w:b w:val="0"/>
          <w:bCs w:val="0"/>
        </w:rPr>
      </w:pPr>
      <w:bookmarkStart w:name="四、内部控制评价报告" w:id="139"/>
      <w:bookmarkEnd w:id="139"/>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1611"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
              <w:jc w:val="both"/>
              <w:rPr>
                <w:rFonts w:ascii="宋体" w:hAnsi="宋体" w:cs="宋体" w:eastAsia="宋体" w:hint="default"/>
                <w:sz w:val="18"/>
                <w:szCs w:val="18"/>
              </w:rPr>
            </w:pPr>
            <w:r>
              <w:rPr>
                <w:rFonts w:ascii="宋体" w:hAnsi="宋体" w:cs="宋体" w:eastAsia="宋体" w:hint="default"/>
                <w:spacing w:val="-1"/>
                <w:sz w:val="18"/>
                <w:szCs w:val="18"/>
              </w:rPr>
              <w:t>根据公司财务报告内部控制重大缺陷的认定情况，于内部控制评价报告基准日，公司的内部控制设计与运行在报告期内基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本有效，但公司在贸易业务合同执行及资金管理方面尚需完善和整改。存在缺陷如下：公司及子公司从事铜材贸易业务， </w:t>
            </w:r>
            <w:r>
              <w:rPr>
                <w:rFonts w:ascii="宋体" w:hAnsi="宋体" w:cs="宋体" w:eastAsia="宋体" w:hint="default"/>
                <w:spacing w:val="-1"/>
                <w:sz w:val="18"/>
                <w:szCs w:val="18"/>
              </w:rPr>
              <w:t>未严格执行对供应商、客户资信评审程序；贸易商品仓单等凭据流转不及时；与贸易业务相关的采购付款、销售收款内部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控制执行不到位，存在不按合同约定的结算方式和期限进行交易和收、付款的情况，存在大额预付款项退回的情形。董事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会认为，除上述缺陷外，根据深圳证券交易所《中小企业板上市公司规范运作指引》及相关规定，本公司财务报告内部控</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日在其他重大方面是有效的。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内部控制审计报告或鉴证报告" w:id="140"/>
      <w:bookmarkEnd w:id="140"/>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3"/>
        <w:rPr>
          <w:rFonts w:ascii="宋体" w:hAnsi="宋体" w:cs="宋体" w:eastAsia="宋体" w:hint="default"/>
          <w:sz w:val="24"/>
          <w:szCs w:val="24"/>
        </w:rPr>
      </w:pPr>
    </w:p>
    <w:p>
      <w:pPr>
        <w:pStyle w:val="Heading2"/>
        <w:spacing w:line="240" w:lineRule="auto"/>
        <w:ind w:left="153" w:right="0"/>
        <w:jc w:val="left"/>
        <w:rPr>
          <w:b w:val="0"/>
          <w:bCs w:val="0"/>
        </w:rPr>
      </w:pPr>
      <w:bookmarkStart w:name="六、年度报告重大差错责任追究制度的建立与执行情况" w:id="141"/>
      <w:bookmarkEnd w:id="141"/>
      <w:r>
        <w:rPr>
          <w:b w:val="0"/>
          <w:bCs w:val="0"/>
        </w:rPr>
      </w:r>
      <w:r>
        <w:rPr/>
        <w:t>六、年度报告重大差错责任追究制度的建立与执行情况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10" w:firstLine="420"/>
        <w:jc w:val="both"/>
      </w:pPr>
      <w:r>
        <w:rPr>
          <w:spacing w:val="-1"/>
        </w:rPr>
        <w:t>公司严格按照中国证监会、深圳证券交易所等监管部门的要求，建立了《浙江宏磊铜业股份有限公司</w:t>
      </w:r>
      <w:r>
        <w:rPr/>
        <w:t> 年报信息披露重大差错责任追究制度》，并就年报信息披露重大差错责任追究做了明确规定。报告期内， 公司未发生重大会计差错更正、重大遗漏信息补充等的情况。</w:t>
      </w:r>
    </w:p>
    <w:p>
      <w:pPr>
        <w:spacing w:after="0" w:line="27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_TOC_250001" w:id="142"/>
      <w:bookmarkStart w:name="第十一节 财务报告" w:id="143"/>
      <w:r>
        <w:rPr>
          <w:b w:val="0"/>
          <w:bCs w:val="0"/>
        </w:rPr>
      </w:r>
      <w:r>
        <w:rPr/>
        <w:t>第十一节</w:t>
      </w:r>
      <w:r>
        <w:rPr>
          <w:spacing w:val="-6"/>
        </w:rPr>
        <w:t> </w:t>
      </w:r>
      <w:r>
        <w:rPr/>
        <w:t>财务报告</w:t>
      </w:r>
      <w:bookmarkEnd w:id="14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left"/>
        <w:rPr>
          <w:b w:val="0"/>
          <w:bCs w:val="0"/>
        </w:rPr>
      </w:pPr>
      <w:bookmarkStart w:name="一、审计报告" w:id="144"/>
      <w:bookmarkEnd w:id="144"/>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保留意见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中汇会审（</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1663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吴成航、包平荣</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b/>
          <w:bCs/>
          <w:sz w:val="26"/>
          <w:szCs w:val="26"/>
        </w:rPr>
      </w:pPr>
    </w:p>
    <w:p>
      <w:pPr>
        <w:pStyle w:val="Heading3"/>
        <w:spacing w:line="240" w:lineRule="auto"/>
        <w:ind w:right="-19"/>
        <w:jc w:val="left"/>
      </w:pPr>
      <w:r>
        <w:rPr/>
        <w:t>浙江宏磊铜业股份有限公司全体股东：</w:t>
      </w:r>
    </w:p>
    <w:p>
      <w:pPr>
        <w:spacing w:before="51"/>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35" w:space="45"/>
            <w:col w:w="6650"/>
          </w:cols>
        </w:sectPr>
      </w:pPr>
    </w:p>
    <w:p>
      <w:pPr>
        <w:pStyle w:val="Heading3"/>
        <w:spacing w:line="312" w:lineRule="exact" w:before="28"/>
        <w:ind w:right="1131" w:firstLine="480"/>
        <w:jc w:val="both"/>
      </w:pPr>
      <w:r>
        <w:rPr>
          <w:spacing w:val="2"/>
        </w:rPr>
        <w:t>我们审计了后附的浙江宏磊铜业股份有限公司</w:t>
      </w:r>
      <w:r>
        <w:rPr>
          <w:rFonts w:ascii="Times New Roman" w:hAnsi="Times New Roman" w:cs="Times New Roman" w:eastAsia="Times New Roman" w:hint="default"/>
          <w:spacing w:val="2"/>
        </w:rPr>
        <w:t>(</w:t>
      </w:r>
      <w:r>
        <w:rPr>
          <w:spacing w:val="2"/>
        </w:rPr>
        <w:t>以下简称宏磊股份</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2014</w:t>
      </w:r>
      <w:r>
        <w:rPr/>
        <w:t>年度的合并及母公司利润表、合并及母公司现</w:t>
      </w:r>
      <w:r>
        <w:rPr>
          <w:spacing w:val="-111"/>
        </w:rPr>
        <w:t> </w:t>
      </w:r>
      <w:r>
        <w:rPr>
          <w:spacing w:val="-111"/>
        </w:rPr>
      </w:r>
      <w:r>
        <w:rPr/>
        <w:t>金流量表、合并及母公司所有者权益变动表，以及财务报表附注。</w:t>
      </w:r>
    </w:p>
    <w:p>
      <w:pPr>
        <w:spacing w:line="240" w:lineRule="auto" w:before="11"/>
        <w:rPr>
          <w:rFonts w:ascii="宋体" w:hAnsi="宋体" w:cs="宋体" w:eastAsia="宋体" w:hint="default"/>
          <w:sz w:val="23"/>
          <w:szCs w:val="23"/>
        </w:rPr>
      </w:pPr>
    </w:p>
    <w:p>
      <w:pPr>
        <w:pStyle w:val="Heading3"/>
        <w:spacing w:line="312" w:lineRule="exact"/>
        <w:ind w:left="633" w:right="1113"/>
        <w:jc w:val="left"/>
      </w:pPr>
      <w:r>
        <w:rPr/>
        <w:t>一、管理层对财务报表的责任 编制和公允列报财务报表是宏磊股份管理层的责任，这种责任包括：</w:t>
      </w:r>
      <w:r>
        <w:rPr>
          <w:rFonts w:ascii="Times New Roman" w:hAnsi="Times New Roman" w:cs="Times New Roman" w:eastAsia="Times New Roman" w:hint="default"/>
        </w:rPr>
        <w:t>(1)</w:t>
      </w:r>
      <w:r>
        <w:rPr/>
        <w:t>按照企业会计准</w:t>
      </w:r>
    </w:p>
    <w:p>
      <w:pPr>
        <w:pStyle w:val="Heading3"/>
        <w:spacing w:line="225" w:lineRule="auto"/>
        <w:ind w:left="154" w:right="1112"/>
        <w:jc w:val="left"/>
      </w:pPr>
      <w:r>
        <w:rPr/>
        <w:t>则的规定编制财务报表，并使其实现公允反映；</w:t>
      </w:r>
      <w:r>
        <w:rPr>
          <w:rFonts w:ascii="Times New Roman" w:hAnsi="Times New Roman" w:cs="Times New Roman" w:eastAsia="Times New Roman" w:hint="default"/>
        </w:rPr>
        <w:t>(2)</w:t>
      </w:r>
      <w:r>
        <w:rPr/>
        <w:t>设计、执行和维护必要的内部控制，以使 财务报表不存在由于舞弊或错误导致的重大错报。</w:t>
      </w:r>
    </w:p>
    <w:p>
      <w:pPr>
        <w:spacing w:line="240" w:lineRule="auto" w:before="2"/>
        <w:rPr>
          <w:rFonts w:ascii="宋体" w:hAnsi="宋体" w:cs="宋体" w:eastAsia="宋体" w:hint="default"/>
          <w:sz w:val="26"/>
          <w:szCs w:val="26"/>
        </w:rPr>
      </w:pPr>
    </w:p>
    <w:p>
      <w:pPr>
        <w:pStyle w:val="Heading3"/>
        <w:spacing w:line="312" w:lineRule="exact"/>
        <w:ind w:left="634" w:right="0"/>
        <w:jc w:val="left"/>
      </w:pPr>
      <w:r>
        <w:rPr/>
        <w:t>二、注册会计师的责任 我们的责任是在执行审计工作的基础上对财务报表发表审计意见。我们按照中国注册会</w:t>
      </w:r>
    </w:p>
    <w:p>
      <w:pPr>
        <w:pStyle w:val="Heading3"/>
        <w:spacing w:line="312" w:lineRule="exact"/>
        <w:ind w:left="154" w:right="0"/>
        <w:jc w:val="left"/>
      </w:pPr>
      <w:r>
        <w:rPr/>
        <w:t>计师审计准则的规定执行了审计工作。中国注册会计师审计准则要求我们遵守中国注册会计 师职业道德守则，计划和执行审计工作以对财务报表是否不存在重大错报获取合理保证。</w:t>
      </w:r>
    </w:p>
    <w:p>
      <w:pPr>
        <w:pStyle w:val="Heading3"/>
        <w:spacing w:line="312" w:lineRule="exact"/>
        <w:ind w:left="154" w:right="994"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117"/>
        </w:rPr>
        <w:t> </w:t>
      </w:r>
      <w:r>
        <w:rPr>
          <w:spacing w:val="-117"/>
        </w:rPr>
      </w:r>
      <w:r>
        <w:rPr/>
        <w:t>当的审计程序，但目的并非对内部控制的有效性发表意见。审计工作还包括评价管理层选用 会计政策的恰当性和作出会计估计的合理性，以及评价财务报表的总体列报。</w:t>
      </w:r>
    </w:p>
    <w:p>
      <w:pPr>
        <w:pStyle w:val="Heading3"/>
        <w:spacing w:line="283" w:lineRule="exact"/>
        <w:ind w:left="634" w:right="0"/>
        <w:jc w:val="left"/>
      </w:pPr>
      <w:r>
        <w:rPr/>
        <w:t>我们相信，我们获取的审计证据是充分、适当的，为发表保留意见提供了基础。</w:t>
      </w:r>
    </w:p>
    <w:p>
      <w:pPr>
        <w:spacing w:line="240" w:lineRule="auto" w:before="0"/>
        <w:rPr>
          <w:rFonts w:ascii="宋体" w:hAnsi="宋体" w:cs="宋体" w:eastAsia="宋体" w:hint="default"/>
          <w:sz w:val="26"/>
          <w:szCs w:val="26"/>
        </w:rPr>
      </w:pPr>
    </w:p>
    <w:p>
      <w:pPr>
        <w:pStyle w:val="Heading3"/>
        <w:spacing w:line="312" w:lineRule="exact"/>
        <w:ind w:left="634" w:right="0"/>
        <w:jc w:val="left"/>
      </w:pPr>
      <w:r>
        <w:rPr/>
        <w:t>三、导致保留意见的事项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日，宏磊股份应收票据余额</w:t>
      </w:r>
      <w:r>
        <w:rPr>
          <w:rFonts w:ascii="Times New Roman" w:hAnsi="Times New Roman" w:cs="Times New Roman" w:eastAsia="Times New Roman" w:hint="default"/>
        </w:rPr>
        <w:t>43,173.00</w:t>
      </w:r>
      <w:r>
        <w:rPr/>
        <w:t>万元，存放于供应商租赁仓库的</w:t>
      </w:r>
    </w:p>
    <w:p>
      <w:pPr>
        <w:pStyle w:val="Heading3"/>
        <w:spacing w:line="310" w:lineRule="exact" w:before="1"/>
        <w:ind w:right="0"/>
        <w:jc w:val="left"/>
      </w:pPr>
      <w:r>
        <w:rPr>
          <w:spacing w:val="-2"/>
        </w:rPr>
        <w:t>存货余额</w:t>
      </w:r>
      <w:r>
        <w:rPr>
          <w:rFonts w:ascii="Times New Roman" w:hAnsi="Times New Roman" w:cs="Times New Roman" w:eastAsia="Times New Roman" w:hint="default"/>
          <w:spacing w:val="-2"/>
        </w:rPr>
        <w:t>29,179.75</w:t>
      </w:r>
      <w:r>
        <w:rPr>
          <w:spacing w:val="-2"/>
        </w:rPr>
        <w:t>万元。我们于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月接受审计委托，故未能在</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日对上述资</w:t>
      </w:r>
      <w:r>
        <w:rPr>
          <w:spacing w:val="-98"/>
        </w:rPr>
        <w:t> </w:t>
      </w:r>
      <w:r>
        <w:rPr/>
        <w:t>产实施监盘程序，也无法实施其他满意的替代审计程序，以对该等期末存货的数量和状况以</w:t>
      </w:r>
    </w:p>
    <w:p>
      <w:pPr>
        <w:pStyle w:val="Heading3"/>
        <w:spacing w:line="284" w:lineRule="exact"/>
        <w:ind w:right="0"/>
        <w:jc w:val="left"/>
      </w:pPr>
      <w:r>
        <w:rPr/>
        <w:t>及应收票据的金额获取充分、适当的审计证据。</w:t>
      </w:r>
    </w:p>
    <w:p>
      <w:pPr>
        <w:spacing w:line="240" w:lineRule="auto" w:before="1"/>
        <w:rPr>
          <w:rFonts w:ascii="宋体" w:hAnsi="宋体" w:cs="宋体" w:eastAsia="宋体" w:hint="default"/>
          <w:sz w:val="26"/>
          <w:szCs w:val="26"/>
        </w:rPr>
      </w:pPr>
    </w:p>
    <w:p>
      <w:pPr>
        <w:pStyle w:val="Heading3"/>
        <w:spacing w:line="312" w:lineRule="exact"/>
        <w:ind w:left="634" w:right="0"/>
        <w:jc w:val="left"/>
      </w:pPr>
      <w:r>
        <w:rPr/>
        <w:t>四、保留意见 我们认为，除</w:t>
      </w:r>
      <w:r>
        <w:rPr>
          <w:rFonts w:ascii="Times New Roman" w:hAnsi="Times New Roman" w:cs="Times New Roman" w:eastAsia="Times New Roman" w:hint="default"/>
        </w:rPr>
        <w:t>“</w:t>
      </w:r>
      <w:r>
        <w:rPr/>
        <w:t>三、导致保留意见的事项</w:t>
      </w:r>
      <w:r>
        <w:rPr>
          <w:rFonts w:ascii="Times New Roman" w:hAnsi="Times New Roman" w:cs="Times New Roman" w:eastAsia="Times New Roman" w:hint="default"/>
        </w:rPr>
        <w:t>”</w:t>
      </w:r>
      <w:r>
        <w:rPr/>
        <w:t>段所述事项产生的影响外，宏磊股份财务报表</w:t>
      </w:r>
    </w:p>
    <w:p>
      <w:pPr>
        <w:pStyle w:val="Heading3"/>
        <w:spacing w:line="302" w:lineRule="exact"/>
        <w:ind w:left="154" w:right="0"/>
        <w:jc w:val="left"/>
      </w:pPr>
      <w:r>
        <w:rPr/>
        <w:t>在所有重大方面按照企业会计准则的规定编制，公允反映了宏磊股份</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w:t>
      </w:r>
    </w:p>
    <w:p>
      <w:pPr>
        <w:spacing w:after="0" w:line="302" w:lineRule="exact"/>
        <w:jc w:val="left"/>
        <w:sectPr>
          <w:type w:val="continuous"/>
          <w:pgSz w:w="11910" w:h="16840"/>
          <w:pgMar w:top="1060" w:bottom="1160" w:left="980" w:right="0"/>
        </w:sectPr>
      </w:pPr>
    </w:p>
    <w:p>
      <w:pPr>
        <w:spacing w:line="240" w:lineRule="auto" w:before="7"/>
        <w:rPr>
          <w:rFonts w:ascii="宋体" w:hAnsi="宋体" w:cs="宋体" w:eastAsia="宋体" w:hint="default"/>
          <w:sz w:val="23"/>
          <w:szCs w:val="23"/>
        </w:rPr>
      </w:pPr>
    </w:p>
    <w:p>
      <w:pPr>
        <w:pStyle w:val="Heading3"/>
        <w:spacing w:line="240" w:lineRule="auto" w:before="26"/>
        <w:ind w:right="0"/>
        <w:jc w:val="both"/>
      </w:pPr>
      <w:r>
        <w:rPr/>
        <w:t>及母公司财务状况以及</w:t>
      </w:r>
      <w:r>
        <w:rPr>
          <w:rFonts w:ascii="Times New Roman" w:hAnsi="Times New Roman" w:cs="Times New Roman" w:eastAsia="Times New Roman" w:hint="default"/>
        </w:rPr>
        <w:t>2014</w:t>
      </w:r>
      <w:r>
        <w:rPr/>
        <w:t>年度的合并及母公司经营成果和现金流量。</w:t>
      </w:r>
    </w:p>
    <w:p>
      <w:pPr>
        <w:spacing w:line="240" w:lineRule="auto" w:before="8"/>
        <w:rPr>
          <w:rFonts w:ascii="宋体" w:hAnsi="宋体" w:cs="宋体" w:eastAsia="宋体" w:hint="default"/>
          <w:sz w:val="24"/>
          <w:szCs w:val="24"/>
        </w:rPr>
      </w:pPr>
    </w:p>
    <w:p>
      <w:pPr>
        <w:pStyle w:val="Heading3"/>
        <w:spacing w:line="312" w:lineRule="exact"/>
        <w:ind w:left="633" w:right="1115"/>
        <w:jc w:val="left"/>
      </w:pPr>
      <w:r>
        <w:rPr/>
        <w:t>五、强调事项 </w:t>
      </w:r>
      <w:r>
        <w:rPr>
          <w:spacing w:val="-2"/>
        </w:rPr>
        <w:t>我们提醒财务报表使用者关注，如财务报表附注十二之</w:t>
      </w:r>
      <w:r>
        <w:rPr>
          <w:rFonts w:ascii="Times New Roman" w:hAnsi="Times New Roman" w:cs="Times New Roman" w:eastAsia="Times New Roman" w:hint="default"/>
          <w:spacing w:val="-2"/>
        </w:rPr>
        <w:t>2</w:t>
      </w:r>
      <w:r>
        <w:rPr>
          <w:spacing w:val="-2"/>
        </w:rPr>
        <w:t>所述，宏磊股份</w:t>
      </w:r>
      <w:r>
        <w:rPr>
          <w:rFonts w:ascii="Times New Roman" w:hAnsi="Times New Roman" w:cs="Times New Roman" w:eastAsia="Times New Roman" w:hint="default"/>
          <w:spacing w:val="-2"/>
        </w:rPr>
        <w:t>2014</w:t>
      </w:r>
      <w:r>
        <w:rPr>
          <w:spacing w:val="-2"/>
        </w:rPr>
        <w:t>年度铜材贸</w:t>
      </w:r>
    </w:p>
    <w:p>
      <w:pPr>
        <w:pStyle w:val="Heading3"/>
        <w:spacing w:line="312" w:lineRule="exact"/>
        <w:ind w:right="1132"/>
        <w:jc w:val="both"/>
      </w:pPr>
      <w:r>
        <w:rPr>
          <w:spacing w:val="-1"/>
        </w:rPr>
        <w:t>易收入</w:t>
      </w:r>
      <w:r>
        <w:rPr>
          <w:rFonts w:ascii="Times New Roman" w:hAnsi="Times New Roman" w:cs="Times New Roman" w:eastAsia="Times New Roman" w:hint="default"/>
          <w:spacing w:val="-1"/>
        </w:rPr>
        <w:t>44.82</w:t>
      </w:r>
      <w:r>
        <w:rPr>
          <w:spacing w:val="-1"/>
        </w:rPr>
        <w:t>亿元，占营业收入比重</w:t>
      </w:r>
      <w:r>
        <w:rPr>
          <w:rFonts w:ascii="Times New Roman" w:hAnsi="Times New Roman" w:cs="Times New Roman" w:eastAsia="Times New Roman" w:hint="default"/>
          <w:spacing w:val="-1"/>
        </w:rPr>
        <w:t>96.70%</w:t>
      </w:r>
      <w:r>
        <w:rPr>
          <w:spacing w:val="-1"/>
        </w:rPr>
        <w:t>；</w:t>
      </w:r>
      <w:r>
        <w:rPr>
          <w:rFonts w:ascii="Times New Roman" w:hAnsi="Times New Roman" w:cs="Times New Roman" w:eastAsia="Times New Roman" w:hint="default"/>
          <w:spacing w:val="-1"/>
        </w:rPr>
        <w:t>2014</w:t>
      </w:r>
      <w:r>
        <w:rPr>
          <w:spacing w:val="-1"/>
        </w:rPr>
        <w:t>年度对供应商的预付款项发生额较大，存在</w:t>
      </w:r>
      <w:r>
        <w:rPr>
          <w:spacing w:val="-117"/>
        </w:rPr>
        <w:t> </w:t>
      </w:r>
      <w:r>
        <w:rPr>
          <w:spacing w:val="-117"/>
        </w:rPr>
      </w:r>
      <w:r>
        <w:rPr/>
        <w:t>部分预付款项大于实际贸易额的情形。截至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日，预付款项、应收票据、应收账</w:t>
      </w:r>
      <w:r>
        <w:rPr>
          <w:spacing w:val="-111"/>
        </w:rPr>
        <w:t> </w:t>
      </w:r>
      <w:r>
        <w:rPr>
          <w:spacing w:val="-111"/>
        </w:rPr>
      </w:r>
      <w:r>
        <w:rPr/>
        <w:t>款、存货余额分别为</w:t>
      </w:r>
      <w:r>
        <w:rPr>
          <w:rFonts w:ascii="Times New Roman" w:hAnsi="Times New Roman" w:cs="Times New Roman" w:eastAsia="Times New Roman" w:hint="default"/>
        </w:rPr>
        <w:t>42,744.95</w:t>
      </w:r>
      <w:r>
        <w:rPr/>
        <w:t>万元、</w:t>
      </w:r>
      <w:r>
        <w:rPr>
          <w:rFonts w:ascii="Times New Roman" w:hAnsi="Times New Roman" w:cs="Times New Roman" w:eastAsia="Times New Roman" w:hint="default"/>
        </w:rPr>
        <w:t>43,173.00</w:t>
      </w:r>
      <w:r>
        <w:rPr/>
        <w:t>万元、</w:t>
      </w:r>
      <w:r>
        <w:rPr>
          <w:rFonts w:ascii="Times New Roman" w:hAnsi="Times New Roman" w:cs="Times New Roman" w:eastAsia="Times New Roman" w:hint="default"/>
        </w:rPr>
        <w:t>58,797.33</w:t>
      </w:r>
      <w:r>
        <w:rPr/>
        <w:t>万元、</w:t>
      </w:r>
      <w:r>
        <w:rPr>
          <w:rFonts w:ascii="Times New Roman" w:hAnsi="Times New Roman" w:cs="Times New Roman" w:eastAsia="Times New Roman" w:hint="default"/>
        </w:rPr>
        <w:t>50,486.60</w:t>
      </w:r>
      <w:r>
        <w:rPr/>
        <w:t>万元，合计占</w:t>
      </w:r>
      <w:r>
        <w:rPr>
          <w:spacing w:val="-100"/>
        </w:rPr>
        <w:t> </w:t>
      </w:r>
      <w:r>
        <w:rPr>
          <w:spacing w:val="-100"/>
        </w:rPr>
      </w:r>
      <w:r>
        <w:rPr/>
        <w:t>资产总额的</w:t>
      </w:r>
      <w:r>
        <w:rPr>
          <w:rFonts w:ascii="Times New Roman" w:hAnsi="Times New Roman" w:cs="Times New Roman" w:eastAsia="Times New Roman" w:hint="default"/>
        </w:rPr>
        <w:t>73.16%</w:t>
      </w:r>
      <w:r>
        <w:rPr/>
        <w:t>。本段内容不影响已发表的审计意见。</w:t>
      </w:r>
    </w:p>
    <w:p>
      <w:pPr>
        <w:spacing w:line="240" w:lineRule="auto" w:before="11"/>
        <w:rPr>
          <w:rFonts w:ascii="宋体" w:hAnsi="宋体" w:cs="宋体" w:eastAsia="宋体" w:hint="default"/>
          <w:sz w:val="23"/>
          <w:szCs w:val="23"/>
        </w:rPr>
      </w:pPr>
    </w:p>
    <w:p>
      <w:pPr>
        <w:pStyle w:val="Heading3"/>
        <w:spacing w:line="312" w:lineRule="exact"/>
        <w:ind w:left="633" w:right="1121"/>
        <w:jc w:val="left"/>
      </w:pPr>
      <w:r>
        <w:rPr/>
        <w:t>六、其他事项 </w:t>
      </w:r>
      <w:r>
        <w:rPr>
          <w:spacing w:val="-2"/>
        </w:rPr>
        <w:t>宏磊股份</w:t>
      </w:r>
      <w:r>
        <w:rPr>
          <w:rFonts w:ascii="Times New Roman" w:hAnsi="Times New Roman" w:cs="Times New Roman" w:eastAsia="Times New Roman" w:hint="default"/>
          <w:spacing w:val="-2"/>
        </w:rPr>
        <w:t>2013</w:t>
      </w:r>
      <w:r>
        <w:rPr>
          <w:spacing w:val="-2"/>
        </w:rPr>
        <w:t>年度财务报表已由其他注册会计师审计，并于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日发表了带强调</w:t>
      </w:r>
    </w:p>
    <w:p>
      <w:pPr>
        <w:pStyle w:val="Heading3"/>
        <w:spacing w:line="283" w:lineRule="exact"/>
        <w:ind w:right="0"/>
        <w:jc w:val="both"/>
      </w:pPr>
      <w:r>
        <w:rPr/>
        <w:t>事项段的无保留意见。</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2"/>
        <w:spacing w:line="240" w:lineRule="auto"/>
        <w:ind w:left="153" w:right="0"/>
        <w:jc w:val="both"/>
        <w:rPr>
          <w:b w:val="0"/>
          <w:bCs w:val="0"/>
        </w:rPr>
      </w:pPr>
      <w:bookmarkStart w:name="二、财务报表" w:id="145"/>
      <w:bookmarkEnd w:id="14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left="153" w:right="0"/>
        <w:jc w:val="both"/>
        <w:rPr>
          <w:b w:val="0"/>
          <w:bCs w:val="0"/>
        </w:rPr>
      </w:pPr>
      <w:bookmarkStart w:name="1、合并资产负债表" w:id="146"/>
      <w:bookmarkEnd w:id="14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编制单位：浙江宏磊铜业股份有限公司</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158,223,374.76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682,539,674.32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431,730,000.00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2,889,287.10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587,973,340.88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567,373,149.97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427,449,461.51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218,415,221.80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26,560,652.03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171,565,400.32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504,865,986.06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448,850,651.67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6,950,895.79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15,736,346.32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2,143,753,711.03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2,107,369,731.50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290,957,685.50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327,416,285.99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28,068,245.28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22,011,242.92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522,314.38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717,695.86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88,817,683.29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90,749,120.64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14,405,533.34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5,731,939.77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5,848,469.06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2,802,194.76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524,379,930.85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545,188,479.94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2,668,133,641.88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2,652,558,211.44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989,378,030.26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470,943,562.77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53,644,431.47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60,663,141.27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3,991,761.64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10,735,489.74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5,480,875.47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5,550,379.12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35,321,409.52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28,611,175.95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4,261,223.11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909,651.22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5,411,744.99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2,144,454.00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2,991,968.90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11,044,186.87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1,457,801,445.36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1,310,552,040.94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45,415,196.44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90,048,570.11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102,160,377.18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90,048,570.11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147,575,573.62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1,547,850,015.47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1,458,127,614.56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219,583,000.00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168,910,000.00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508,993,353.25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559,666,353.25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28,207,833.52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28,207,833.52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233,090,324.60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296,041,977.54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989,874,511.37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1,052,826,164.31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130,409,115.04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141,604,432.57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1,120,283,626.41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1,194,430,596.88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2,668,133,641.88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2,652,558,211.44</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法定代表人：章利全</w:t>
        <w:tab/>
        <w:t>主管会计工作负责人：郑树英</w:t>
        <w:tab/>
        <w:t>会计机构负责人：郑树英</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2、母公司资产负债表" w:id="147"/>
      <w:bookmarkEnd w:id="14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150,367,745.16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581,419,749.24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391,730,000.00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2,889,287.10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584,771,621.03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430,252,018.61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340,357,758.82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199,581,950.33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26,548,710.39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146,411,409.05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453,054,612.73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396,249,545.93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17,340.23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8,820,355.11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1,946,847,788.36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1,765,624,315.37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271,402,880.55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271,402,880.55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224,919,447.21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250,745,140.36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522,314.38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717,695.86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11,865,073.79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12,174,500.87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14,405,533.34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3,987,845.05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2,348,469.06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2,802,194.76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621,223,718.33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637,590,257.45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2,568,071,506.69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2,403,214,572.82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658,090,000.00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627,070,000.00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566,162,724.80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410,388,973.54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2,713,944.93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7,302,026.83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3,601,506.08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3,564,786.10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9,557,622.96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2,654,909.57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1,409,284.28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617,897.78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5,411,744.99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2,144,454.00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742,387.72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10,805,245.69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1,605,009,215.76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1,375,548,293.51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45,415,196.44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51,685,196.44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1,611,996,215.76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1,427,233,489.95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219,583,000.00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168,910,000.00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499,656,679.39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550,329,679.39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28,207,833.52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28,207,833.52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208,627,778.02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228,533,569.96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956,075,290.93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975,981,082.87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2,568,071,506.69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2,403,214,572.82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left="153" w:right="0"/>
        <w:jc w:val="left"/>
        <w:rPr>
          <w:b w:val="0"/>
          <w:bCs w:val="0"/>
        </w:rPr>
      </w:pPr>
      <w:bookmarkStart w:name="3、合并利润表" w:id="148"/>
      <w:bookmarkEnd w:id="14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4,634,458,799.23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3,721,023,384.82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4,634,458,799.23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3,721,023,384.82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4,711,872,826.56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3,809,325,199.69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4,568,818,791.59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3,707,158,437.67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155,900.23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1,633,838.60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4,090,871.26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16,543,740.21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61,285,954.91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55,617,930.47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43,592,145.11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33,745,908.25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33,929,163.46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-5,374,655.51</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8,400,000.00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8,400,000.00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right="104"/>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-69,014,027.33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-79,901,814.87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14,176,101.95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229,459,017.94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95,594.80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208,846,358.12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8,040,193.35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7,312,279.18</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2,923.09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2,087,637.37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72.47998pt;width:157.7pt;height:19.650pt;mso-position-horizontal-relative:page;mso-position-vertical-relative:page;z-index:-855088" coordorigin="4245,1450" coordsize="3154,393">
            <v:shape style="position:absolute;left:4245;top:1450;width:3154;height:393" coordorigin="4245,1450" coordsize="3154,393" path="m4245,1842l7399,1842,7399,1450,4245,1450,4245,184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1090"/>
        <w:gridCol w:w="2132"/>
        <w:gridCol w:w="3276"/>
      </w:tblGrid>
      <w:tr>
        <w:trPr>
          <w:trHeight w:val="402" w:hRule="exact"/>
        </w:trPr>
        <w:tc>
          <w:tcPr>
            <w:tcW w:w="305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9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15" w:right="0"/>
              <w:jc w:val="left"/>
              <w:rPr>
                <w:rFonts w:ascii="Times New Roman" w:hAnsi="Times New Roman" w:cs="Times New Roman" w:eastAsia="Times New Roman" w:hint="default"/>
                <w:sz w:val="18"/>
                <w:szCs w:val="18"/>
              </w:rPr>
            </w:pPr>
            <w:r>
              <w:rPr>
                <w:rFonts w:ascii="Times New Roman"/>
                <w:sz w:val="18"/>
              </w:rPr>
              <w:t>-62,878,118.73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142,244,923.89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-3,933,048.26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36,750,382.58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-58,945,070.47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105,494,541.31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-47,749,752.94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75,083,156.38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89" w:right="0"/>
              <w:jc w:val="left"/>
              <w:rPr>
                <w:rFonts w:ascii="Times New Roman" w:hAnsi="Times New Roman" w:cs="Times New Roman" w:eastAsia="Times New Roman" w:hint="default"/>
                <w:sz w:val="18"/>
                <w:szCs w:val="18"/>
              </w:rPr>
            </w:pPr>
            <w:r>
              <w:rPr>
                <w:rFonts w:ascii="Times New Roman"/>
                <w:sz w:val="18"/>
              </w:rPr>
              <w:t>-11,195,317.53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30,411,384.93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-58,945,070.47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105,494,541.31</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-47,749,752.94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75,083,156.38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89" w:right="0"/>
              <w:jc w:val="left"/>
              <w:rPr>
                <w:rFonts w:ascii="Times New Roman" w:hAnsi="Times New Roman" w:cs="Times New Roman" w:eastAsia="Times New Roman" w:hint="default"/>
                <w:sz w:val="18"/>
                <w:szCs w:val="18"/>
              </w:rPr>
            </w:pPr>
            <w:r>
              <w:rPr>
                <w:rFonts w:ascii="Times New Roman"/>
                <w:sz w:val="18"/>
              </w:rPr>
              <w:t>-11,195,317.53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30,411,384.93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-4,703,891.94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元，上期被合并方实现的净利润为：</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25,376,990.36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tabs>
          <w:tab w:pos="3574" w:val="left" w:leader="none"/>
          <w:tab w:pos="7715" w:val="left" w:leader="none"/>
        </w:tabs>
        <w:spacing w:before="126"/>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法定代表人：章利全</w:t>
        <w:tab/>
        <w:t>主管会计工作负责人：郑树英</w:t>
        <w:tab/>
        <w:t>会计机构负责人：郑树英</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4、母公司利润表" w:id="149"/>
      <w:bookmarkEnd w:id="14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4,352,029,411.54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3,106,420,900.55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4,266,636,280.96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3,036,407,751.60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116,617.30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1,476,264.30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2,735,009.00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11,980,279.33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42,543,817.43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27,339,129.50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21,272,606.32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20,979,634.82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32,047,444.92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-7,336,921.54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13,297,960.32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-4,922,364.39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28,872,722.86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1,333,294.80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4,678,617.13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95,594.80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6,792,957.33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3,117,953.33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2,923.09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-10,382,026.92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30,433,386.66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-5,678,134.98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5,056,396.30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-4,703,891.94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25,376,990.36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-4,703,891.94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25,376,990.36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合并现金流量表" w:id="150"/>
      <w:bookmarkEnd w:id="15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07" w:right="0"/>
              <w:jc w:val="left"/>
              <w:rPr>
                <w:rFonts w:ascii="Times New Roman" w:hAnsi="Times New Roman" w:cs="Times New Roman" w:eastAsia="Times New Roman" w:hint="default"/>
                <w:sz w:val="18"/>
                <w:szCs w:val="18"/>
              </w:rPr>
            </w:pPr>
            <w:r>
              <w:rPr>
                <w:rFonts w:ascii="Times New Roman"/>
                <w:sz w:val="18"/>
              </w:rPr>
              <w:t>5,389,652,322.30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15" w:right="0"/>
              <w:jc w:val="left"/>
              <w:rPr>
                <w:rFonts w:ascii="Times New Roman" w:hAnsi="Times New Roman" w:cs="Times New Roman" w:eastAsia="Times New Roman" w:hint="default"/>
                <w:sz w:val="18"/>
                <w:szCs w:val="18"/>
              </w:rPr>
            </w:pPr>
            <w:r>
              <w:rPr>
                <w:rFonts w:ascii="Times New Roman"/>
                <w:sz w:val="18"/>
              </w:rPr>
              <w:t>4,311,179,004.12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447,904.06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2,650,665,075.30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2,634,007,850.72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8,040,317,397.60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6,945,634,758.90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6,140,846,597.62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4,574,700,052.65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33,956,496.05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45,311,251.06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11,184,258.24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41,500,727.33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2,707,284,383.50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2,221,145,894.59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8,893,271,735.41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6,882,657,925.63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-852,954,337.81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62,976,833.27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526,866.47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316,401,423.59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120,011,250.00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296,432,468.49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128,938,116.47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621,233,892.08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6,559,707.21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113,018,452.14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6,758,000.00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186,731,459.00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119,459,707.21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306,507,911.14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9,478,409.26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314,725,980.94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1,364,119,476.21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794,754,876.27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217,919,843.63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1,582,039,319.84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794,754,876.27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853,223,038.96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883,363,890.07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75,571,719.98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57,583,627.00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2,279,716.19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45,415,196.44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974,209,955.38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940,947,517.07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607,829,364.46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-146,192,640.80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-250,774.07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-698,199.16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-235,897,338.16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230,811,974.25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250,744,115.72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19,932,141.47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14,846,777.56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250,744,115.72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51"/>
      <w:bookmarkEnd w:id="15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4,950,287,064.94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3,581,021,976.00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2,293,442,712.23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2,291,426,719.29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7,243,729,777.17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5,872,448,695.29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5,522,657,066.30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3,564,044,202.61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25,483,770.24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31,245,771.08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7,660,606.27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30,982,217.71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2,400,670,924.85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1,974,892,683.12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7,956,472,367.66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5,601,164,874.52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-712,742,590.49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271,283,820.77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13,297,960.32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526,866.47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87,073.59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120,011,250.00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128,938,116.47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13,385,033.91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520,613.21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13,671,978.18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6,758,000.00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113,420,613.21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20,429,978.18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15,517,503.26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-7,044,944.27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901,590,000.00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217,919,843.63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1,119,509,843.63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501,994,553.63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59,319,774.73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42,410,979.67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45,415,196.44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659,234,971.17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544,405,533.30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460,274,872.46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-29,605,533.30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417,889.88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-236,950,214.77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235,051,233.08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244,039,749.24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8,988,516.16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7,089,534.47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244,039,749.24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left="153" w:right="0"/>
        <w:jc w:val="left"/>
        <w:rPr>
          <w:b w:val="0"/>
          <w:bCs w:val="0"/>
        </w:rPr>
      </w:pPr>
      <w:bookmarkStart w:name="7、合并所有者权益变动表" w:id="152"/>
      <w:bookmarkEnd w:id="15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168,91</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559,666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,353.25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28,207,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833.52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296,041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,977.54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141,604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,432.57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1,194,4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30,596.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168,91</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559,666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,353.25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28,207,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833.52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296,041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,977.54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141,604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,432.57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1,194,4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30,596.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50,673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-50,673,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-62,951,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652.94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-11,195,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317.53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-74,146,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970.47</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-47,749,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752.94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-11,195,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317.53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-58,945,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070.47</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-15,201,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900.00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-15,201,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900.00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-15,201,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-15,201,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-50,673,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-50,673,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219,58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508,993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,353.25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833.52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233,090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,324.60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130,409</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,115.04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83,626.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168,91</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559,666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,353.25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25,670,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134.48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231,942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,451.95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113,472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,763.83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1,099,6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61,703.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168,91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559,666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,353.25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25,670,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134.48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231,942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,451.95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113,472</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,763.83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61,703.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2,537,6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99.04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64,099,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525.59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28,131,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668.74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94,768,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893.37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75,083,</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156.38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30,411,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384.93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105,494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,541.31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2,537,6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99.04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-10,983,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630.79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-2,279,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716.19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-10,725,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647.94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2,537,6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99.04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-2,537,6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99.04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-8,445,9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31.75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-2,279,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716.19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-10,725,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647.94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168,91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559,666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,353.25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833.52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296,041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,977.54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141,604</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,432.57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30,596.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8、母公司所有者权益变动表" w:id="153"/>
      <w:bookmarkEnd w:id="15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168,910,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550,329,6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79.39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28,207,83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3.52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228,533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,569.96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975,981,0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82.87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168,910,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550,329,6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79.39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28,207,83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3.52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228,533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,569.96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975,981,0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82.87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50,673,0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-50,673,0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-19,905,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791.94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-19,905,7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91.94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-4,703,8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91.94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-4,703,89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1.94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-15,201,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-15,201,9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-15,201,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-15,201,9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50,673,0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-50,673,0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50,673,0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-50,673,0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219,583,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499,656,6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28,207,83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208,627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,778.02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956,075,2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90.93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168,910,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550,329,6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79.39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25,670,13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214,140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,210.39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959,050,0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24.26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168,910,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550,329,6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79.39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25,670,13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214,140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,210.39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959,050,0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24.26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2,537,699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14,393,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359.57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16,931,05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8.61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25,376,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990.36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25,376,99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0.36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2,537,699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-10,983,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630.79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-8,445,93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1.75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2,537,699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-2,537,6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99.04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-8,445,9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31.75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-8,445,93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1.75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168,910,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550,329,6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79.39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28,207,83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228,533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,569.96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975,981,0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82.87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left="153" w:right="0"/>
        <w:jc w:val="left"/>
        <w:rPr>
          <w:b w:val="0"/>
          <w:bCs w:val="0"/>
        </w:rPr>
      </w:pPr>
      <w:bookmarkStart w:name="三、公司基本情况" w:id="154"/>
      <w:bookmarkEnd w:id="154"/>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66" w:lineRule="auto" w:before="0"/>
        <w:ind w:right="1109" w:firstLine="420"/>
        <w:jc w:val="both"/>
      </w:pPr>
      <w:r>
        <w:rPr/>
        <w:t>浙江宏磊铜业股份有限公司（以下简称公司或本公司）系在宏磊集团有限公司（以下简称宏磊集团） 的基础上采用整体变更方式设立的股份有限公司，于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日在浙江省工商行政管理局登记注册， 取得注册号为</w:t>
      </w:r>
      <w:r>
        <w:rPr>
          <w:rFonts w:ascii="Times New Roman" w:hAnsi="Times New Roman" w:cs="Times New Roman" w:eastAsia="Times New Roman" w:hint="default"/>
        </w:rPr>
        <w:t>330681000010590</w:t>
      </w:r>
      <w:r>
        <w:rPr/>
        <w:t>的《企业法人营业执照》。</w:t>
      </w:r>
    </w:p>
    <w:p>
      <w:pPr>
        <w:pStyle w:val="BodyText"/>
        <w:spacing w:line="256" w:lineRule="auto" w:before="0"/>
        <w:ind w:right="1130" w:firstLine="420"/>
        <w:jc w:val="both"/>
      </w:pPr>
      <w:r>
        <w:rPr>
          <w:spacing w:val="-3"/>
          <w:w w:val="99"/>
        </w:rPr>
        <w:t>经中国证券监督管理委员会</w:t>
      </w:r>
      <w:r>
        <w:rPr>
          <w:rFonts w:ascii="Times New Roman" w:hAnsi="Times New Roman" w:cs="Times New Roman" w:eastAsia="Times New Roman" w:hint="default"/>
          <w:spacing w:val="-3"/>
          <w:w w:val="99"/>
        </w:rPr>
        <w:t>(</w:t>
      </w:r>
      <w:r>
        <w:rPr>
          <w:spacing w:val="-3"/>
          <w:w w:val="99"/>
        </w:rPr>
        <w:t>证监许可</w:t>
      </w:r>
      <w:r>
        <w:rPr>
          <w:rFonts w:ascii="Times New Roman" w:hAnsi="Times New Roman" w:cs="Times New Roman" w:eastAsia="Times New Roman" w:hint="default"/>
          <w:spacing w:val="-3"/>
          <w:w w:val="99"/>
        </w:rPr>
        <w:t>[2011]1923</w:t>
      </w:r>
      <w:r>
        <w:rPr>
          <w:spacing w:val="-3"/>
          <w:w w:val="99"/>
        </w:rPr>
        <w:t>号文</w:t>
      </w:r>
      <w:r>
        <w:rPr>
          <w:rFonts w:ascii="Times New Roman" w:hAnsi="Times New Roman" w:cs="Times New Roman" w:eastAsia="Times New Roman" w:hint="default"/>
          <w:spacing w:val="-3"/>
          <w:w w:val="99"/>
        </w:rPr>
        <w:t>)</w:t>
      </w:r>
      <w:r>
        <w:rPr>
          <w:spacing w:val="-3"/>
          <w:w w:val="99"/>
        </w:rPr>
        <w:t>核准，公司获准向社会公开发行人民币普通股</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spacing w:val="-1"/>
          <w:w w:val="99"/>
        </w:rPr>
        <w:t> </w:t>
      </w:r>
      <w:r>
        <w:rPr/>
        <w:t>股</w:t>
      </w:r>
      <w:r>
        <w:rPr>
          <w:rFonts w:ascii="Times New Roman" w:hAnsi="Times New Roman" w:cs="Times New Roman" w:eastAsia="Times New Roman" w:hint="default"/>
        </w:rPr>
        <w:t>)</w:t>
      </w:r>
      <w:r>
        <w:rPr/>
        <w:t>股票</w:t>
      </w:r>
      <w:r>
        <w:rPr>
          <w:rFonts w:ascii="Times New Roman" w:hAnsi="Times New Roman" w:cs="Times New Roman" w:eastAsia="Times New Roman" w:hint="default"/>
        </w:rPr>
        <w:t>4,223</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，公司股票于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日在深圳证券交易所挂牌交易，发行后公司注</w:t>
      </w:r>
      <w:r>
        <w:rPr>
          <w:spacing w:val="-84"/>
        </w:rPr>
        <w:t> </w:t>
      </w:r>
      <w:r>
        <w:rPr>
          <w:spacing w:val="-84"/>
        </w:rPr>
      </w:r>
      <w:r>
        <w:rPr/>
        <w:t>册资本为</w:t>
      </w:r>
      <w:r>
        <w:rPr>
          <w:rFonts w:ascii="Times New Roman" w:hAnsi="Times New Roman" w:cs="Times New Roman" w:eastAsia="Times New Roman" w:hint="default"/>
        </w:rPr>
        <w:t>16,891</w:t>
      </w:r>
      <w:r>
        <w:rPr/>
        <w:t>万元，股份总数</w:t>
      </w:r>
      <w:r>
        <w:rPr>
          <w:rFonts w:ascii="Times New Roman" w:hAnsi="Times New Roman" w:cs="Times New Roman" w:eastAsia="Times New Roman" w:hint="default"/>
        </w:rPr>
        <w:t>16,891</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p>
    <w:p>
      <w:pPr>
        <w:pStyle w:val="BodyText"/>
        <w:spacing w:line="256" w:lineRule="auto" w:before="5"/>
        <w:ind w:right="1130" w:firstLine="420"/>
        <w:jc w:val="both"/>
      </w:pPr>
      <w:r>
        <w:rPr/>
        <w:t>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日召开的</w:t>
      </w:r>
      <w:r>
        <w:rPr>
          <w:rFonts w:ascii="Times New Roman" w:hAnsi="Times New Roman" w:cs="Times New Roman" w:eastAsia="Times New Roman" w:hint="default"/>
        </w:rPr>
        <w:t>2013</w:t>
      </w:r>
      <w:r>
        <w:rPr/>
        <w:t>年度股东大会决议，以资本公积金向全体股东每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股。以</w:t>
      </w:r>
      <w:r>
        <w:rPr>
          <w:rFonts w:ascii="Times New Roman" w:hAnsi="Times New Roman" w:cs="Times New Roman" w:eastAsia="Times New Roman" w:hint="default"/>
        </w:rPr>
        <w:t>16,891 </w:t>
      </w:r>
      <w:r>
        <w:rPr>
          <w:spacing w:val="-1"/>
        </w:rPr>
        <w:t>万股为基数，本次资本公积转增股本新增公司注册资本</w:t>
      </w:r>
      <w:r>
        <w:rPr>
          <w:rFonts w:ascii="Times New Roman" w:hAnsi="Times New Roman" w:cs="Times New Roman" w:eastAsia="Times New Roman" w:hint="default"/>
          <w:spacing w:val="-1"/>
        </w:rPr>
        <w:t>5,067.30</w:t>
      </w:r>
      <w:r>
        <w:rPr>
          <w:spacing w:val="-1"/>
        </w:rPr>
        <w:t>万元，新增股份</w:t>
      </w:r>
      <w:r>
        <w:rPr>
          <w:rFonts w:ascii="Times New Roman" w:hAnsi="Times New Roman" w:cs="Times New Roman" w:eastAsia="Times New Roman" w:hint="default"/>
          <w:spacing w:val="-1"/>
        </w:rPr>
        <w:t>5,067.30</w:t>
      </w:r>
      <w:r>
        <w:rPr>
          <w:spacing w:val="-1"/>
        </w:rPr>
        <w:t>万股。转增后公司</w:t>
      </w:r>
      <w:r>
        <w:rPr>
          <w:spacing w:val="-81"/>
        </w:rPr>
        <w:t> </w:t>
      </w:r>
      <w:r>
        <w:rPr>
          <w:spacing w:val="-81"/>
        </w:rPr>
      </w:r>
      <w:r>
        <w:rPr/>
        <w:t>注册资本为 </w:t>
      </w:r>
      <w:r>
        <w:rPr>
          <w:rFonts w:ascii="Times New Roman" w:hAnsi="Times New Roman" w:cs="Times New Roman" w:eastAsia="Times New Roman" w:hint="default"/>
        </w:rPr>
        <w:t>21,958.30 </w:t>
      </w:r>
      <w:r>
        <w:rPr/>
        <w:t>万元，股份总数 </w:t>
      </w:r>
      <w:r>
        <w:rPr>
          <w:rFonts w:ascii="Times New Roman" w:hAnsi="Times New Roman" w:cs="Times New Roman" w:eastAsia="Times New Roman" w:hint="default"/>
        </w:rPr>
        <w:t>21,958.30</w:t>
      </w:r>
      <w:r>
        <w:rPr>
          <w:rFonts w:ascii="Times New Roman" w:hAnsi="Times New Roman" w:cs="Times New Roman" w:eastAsia="Times New Roman" w:hint="default"/>
          <w:spacing w:val="-14"/>
        </w:rPr>
        <w:t> </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日办妥工商 变更登记。</w:t>
      </w:r>
    </w:p>
    <w:p>
      <w:pPr>
        <w:pStyle w:val="BodyText"/>
        <w:spacing w:line="273" w:lineRule="auto" w:before="22"/>
        <w:ind w:left="154" w:right="1130" w:firstLine="420"/>
        <w:jc w:val="both"/>
      </w:pPr>
      <w:r>
        <w:rPr>
          <w:spacing w:val="-1"/>
        </w:rPr>
        <w:t>本公司经营范围：漆包线、铜管、铜杆、铜线、铜棒、铜配件、铜工艺品的生产、销售，经营进出口</w:t>
      </w:r>
      <w:r>
        <w:rPr/>
        <w:t> 业务</w:t>
      </w:r>
      <w:r>
        <w:rPr>
          <w:rFonts w:ascii="Times New Roman" w:hAnsi="Times New Roman" w:cs="Times New Roman" w:eastAsia="Times New Roman" w:hint="default"/>
        </w:rPr>
        <w:t>(</w:t>
      </w:r>
      <w:r>
        <w:rPr/>
        <w:t>国家法律法规限定、禁止的除外</w:t>
      </w:r>
      <w:r>
        <w:rPr>
          <w:rFonts w:ascii="Times New Roman" w:hAnsi="Times New Roman" w:cs="Times New Roman" w:eastAsia="Times New Roman" w:hint="default"/>
        </w:rPr>
        <w:t>)</w:t>
      </w:r>
      <w:r>
        <w:rPr/>
        <w:t>，铜材料的研究开发、技术成果转让。</w:t>
      </w:r>
    </w:p>
    <w:p>
      <w:pPr>
        <w:spacing w:line="240" w:lineRule="auto" w:before="13"/>
        <w:rPr>
          <w:rFonts w:ascii="宋体" w:hAnsi="宋体" w:cs="宋体" w:eastAsia="宋体" w:hint="default"/>
          <w:sz w:val="22"/>
          <w:szCs w:val="22"/>
        </w:rPr>
      </w:pPr>
    </w:p>
    <w:p>
      <w:pPr>
        <w:pStyle w:val="BodyText"/>
        <w:spacing w:line="273" w:lineRule="auto" w:before="0"/>
        <w:ind w:right="1132" w:firstLine="420"/>
        <w:jc w:val="both"/>
      </w:pPr>
      <w:r>
        <w:rPr>
          <w:spacing w:val="-1"/>
        </w:rPr>
        <w:t>母公司将其控制的所有子公司纳入合并财务报表的合并范围。合并财务报表以母公司及其子公司的财</w:t>
      </w:r>
      <w:r>
        <w:rPr/>
        <w:t> </w:t>
      </w:r>
      <w:r>
        <w:rPr>
          <w:spacing w:val="-1"/>
        </w:rPr>
        <w:t>务报表为基础，根据其他有关资料，按照权益法调整对子公司的长期股权投资后，由母公司按照《企业会</w:t>
      </w:r>
      <w:r>
        <w:rPr>
          <w:spacing w:val="-86"/>
        </w:rPr>
        <w:t> </w:t>
      </w:r>
      <w:r>
        <w:rPr>
          <w:spacing w:val="-86"/>
        </w:rPr>
      </w:r>
      <w:r>
        <w:rPr/>
        <w:t>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2"/>
          <w:szCs w:val="22"/>
        </w:rPr>
      </w:pPr>
    </w:p>
    <w:p>
      <w:pPr>
        <w:pStyle w:val="Heading2"/>
        <w:spacing w:line="240" w:lineRule="auto"/>
        <w:ind w:right="0"/>
        <w:jc w:val="left"/>
        <w:rPr>
          <w:b w:val="0"/>
          <w:bCs w:val="0"/>
        </w:rPr>
      </w:pPr>
      <w:bookmarkStart w:name="四、财务报表的编制基础" w:id="155"/>
      <w:bookmarkEnd w:id="155"/>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56"/>
      <w:bookmarkEnd w:id="15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3" w:firstLine="420"/>
        <w:jc w:val="both"/>
      </w:pPr>
      <w:r>
        <w:rPr>
          <w:spacing w:val="-1"/>
        </w:rPr>
        <w:t>本公司以持续经营为基础，根据实际发生的交易和事项，按照《企业会计准则》进行确认和计量，在</w:t>
      </w:r>
      <w:r>
        <w:rPr/>
        <w:t> 此基础上编制财务报表。</w:t>
      </w:r>
    </w:p>
    <w:p>
      <w:pPr>
        <w:pStyle w:val="BodyText"/>
        <w:spacing w:line="256" w:lineRule="auto"/>
        <w:ind w:right="1130" w:firstLine="420"/>
        <w:jc w:val="both"/>
      </w:pPr>
      <w:r>
        <w:rPr>
          <w:spacing w:val="-1"/>
        </w:rPr>
        <w:t>本公司</w:t>
      </w:r>
      <w:r>
        <w:rPr>
          <w:rFonts w:ascii="Times New Roman" w:hAnsi="Times New Roman" w:cs="Times New Roman" w:eastAsia="Times New Roman" w:hint="default"/>
          <w:spacing w:val="-1"/>
        </w:rPr>
        <w:t>2014</w:t>
      </w:r>
      <w:r>
        <w:rPr>
          <w:spacing w:val="-1"/>
        </w:rPr>
        <w:t>年实施财政部当年度最新修订的企业会计准则及相关具体规定，即本报告所载</w:t>
      </w:r>
      <w:r>
        <w:rPr>
          <w:rFonts w:ascii="Times New Roman" w:hAnsi="Times New Roman" w:cs="Times New Roman" w:eastAsia="Times New Roman" w:hint="default"/>
          <w:spacing w:val="-1"/>
        </w:rPr>
        <w:t>2014</w:t>
      </w:r>
      <w:r>
        <w:rPr>
          <w:spacing w:val="-1"/>
        </w:rPr>
        <w:t>年度之</w:t>
      </w:r>
      <w:r>
        <w:rPr/>
        <w:t> 财务信息按本财务报表附注二</w:t>
      </w:r>
      <w:r>
        <w:rPr>
          <w:rFonts w:ascii="Times New Roman" w:hAnsi="Times New Roman" w:cs="Times New Roman" w:eastAsia="Times New Roman" w:hint="default"/>
        </w:rPr>
        <w:t>“</w:t>
      </w:r>
      <w:r>
        <w:rPr/>
        <w:t>公司主要会计政策、会计估计和前期差错</w:t>
      </w:r>
      <w:r>
        <w:rPr>
          <w:rFonts w:ascii="Times New Roman" w:hAnsi="Times New Roman" w:cs="Times New Roman" w:eastAsia="Times New Roman" w:hint="default"/>
        </w:rPr>
        <w:t>”</w:t>
      </w:r>
      <w:r>
        <w:rPr/>
        <w:t>所列各项编制，并按照追溯调整 的原则，编制可比资产负债表和可比利润表。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line="506" w:lineRule="auto" w:before="0"/>
        <w:ind w:left="154" w:right="6972" w:firstLine="0"/>
        <w:jc w:val="left"/>
        <w:rPr>
          <w:rFonts w:ascii="宋体" w:hAnsi="宋体" w:cs="宋体" w:eastAsia="宋体" w:hint="default"/>
          <w:sz w:val="21"/>
          <w:szCs w:val="21"/>
        </w:rPr>
      </w:pPr>
      <w:bookmarkStart w:name="2、持续经营" w:id="157"/>
      <w:bookmarkEnd w:id="15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1"/>
          <w:szCs w:val="21"/>
        </w:rPr>
        <w:t>本公司财务报表以持续经营为编制基础。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2"/>
        <w:spacing w:line="240" w:lineRule="auto"/>
        <w:ind w:right="0"/>
        <w:jc w:val="left"/>
        <w:rPr>
          <w:b w:val="0"/>
          <w:bCs w:val="0"/>
        </w:rPr>
      </w:pPr>
      <w:bookmarkStart w:name="五、重要会计政策及会计估计" w:id="158"/>
      <w:bookmarkEnd w:id="15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61" w:lineRule="auto" w:before="91"/>
        <w:ind w:right="1131" w:firstLine="420"/>
        <w:jc w:val="both"/>
      </w:pPr>
      <w:r>
        <w:rPr>
          <w:spacing w:val="-1"/>
        </w:rPr>
        <w:t>本公司</w:t>
      </w:r>
      <w:r>
        <w:rPr>
          <w:rFonts w:ascii="Times New Roman" w:hAnsi="Times New Roman" w:cs="Times New Roman" w:eastAsia="Times New Roman" w:hint="default"/>
          <w:spacing w:val="-1"/>
        </w:rPr>
        <w:t>2014</w:t>
      </w:r>
      <w:r>
        <w:rPr>
          <w:spacing w:val="-1"/>
        </w:rPr>
        <w:t>年实施财政部当年度最新修订的企业会计准则及相关具体规定，并对</w:t>
      </w:r>
      <w:r>
        <w:rPr>
          <w:rFonts w:ascii="Times New Roman" w:hAnsi="Times New Roman" w:cs="Times New Roman" w:eastAsia="Times New Roman" w:hint="default"/>
          <w:spacing w:val="-1"/>
        </w:rPr>
        <w:t>2013</w:t>
      </w:r>
      <w:r>
        <w:rPr>
          <w:spacing w:val="-1"/>
        </w:rPr>
        <w:t>年的比较财务报</w:t>
      </w:r>
      <w:r>
        <w:rPr/>
        <w:t> 表进行了重新表述。根据最新修订的《企业会计准则第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长期股权投资》，本公司将持有的不具有</w:t>
      </w:r>
      <w:r>
        <w:rPr>
          <w:spacing w:val="-27"/>
        </w:rPr>
        <w:t> </w:t>
      </w:r>
      <w:r>
        <w:rPr>
          <w:spacing w:val="-27"/>
        </w:rPr>
      </w:r>
      <w:r>
        <w:rPr>
          <w:spacing w:val="-1"/>
        </w:rPr>
        <w:t>控制、共同控制、重大影响且公允价值不能可靠计量的股权投资，作为按成本计量的可供出售金融资产核</w:t>
      </w:r>
      <w:r>
        <w:rPr>
          <w:spacing w:val="-83"/>
        </w:rPr>
        <w:t> </w:t>
      </w:r>
      <w:r>
        <w:rPr>
          <w:spacing w:val="-83"/>
        </w:rPr>
      </w:r>
      <w:r>
        <w:rPr>
          <w:spacing w:val="-1"/>
        </w:rPr>
        <w:t>算，不作为长期股权投资核算。本公司对该项会计政策变更采用追溯调整法，</w:t>
      </w:r>
      <w:r>
        <w:rPr>
          <w:rFonts w:ascii="Times New Roman" w:hAnsi="Times New Roman" w:cs="Times New Roman" w:eastAsia="Times New Roman" w:hint="default"/>
          <w:spacing w:val="-1"/>
        </w:rPr>
        <w:t>2013</w:t>
      </w:r>
      <w:r>
        <w:rPr>
          <w:spacing w:val="-1"/>
        </w:rPr>
        <w:t>年度的比较财务报表已</w:t>
      </w:r>
    </w:p>
    <w:p>
      <w:pPr>
        <w:spacing w:after="0" w:line="261"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0"/>
        <w:jc w:val="left"/>
      </w:pPr>
      <w:r>
        <w:rPr>
          <w:spacing w:val="15"/>
        </w:rPr>
        <w:t>重新表述，调整减少</w:t>
      </w:r>
      <w:r>
        <w:rPr>
          <w:spacing w:val="-8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2"/>
        </w:rPr>
        <w:t> </w:t>
      </w:r>
      <w:r>
        <w:rPr>
          <w:spacing w:val="15"/>
        </w:rPr>
        <w:t>年末长期股权投资</w:t>
      </w:r>
      <w:r>
        <w:rPr>
          <w:spacing w:val="-83"/>
        </w:rPr>
        <w:t> </w:t>
      </w:r>
      <w:r>
        <w:rPr>
          <w:rFonts w:ascii="Times New Roman" w:hAnsi="Times New Roman" w:cs="Times New Roman" w:eastAsia="Times New Roman" w:hint="default"/>
        </w:rPr>
        <w:t>95,760,000.00</w:t>
      </w:r>
      <w:r>
        <w:rPr>
          <w:rFonts w:ascii="Times New Roman" w:hAnsi="Times New Roman" w:cs="Times New Roman" w:eastAsia="Times New Roman" w:hint="default"/>
          <w:spacing w:val="-31"/>
        </w:rPr>
        <w:t> </w:t>
      </w:r>
      <w:r>
        <w:rPr>
          <w:spacing w:val="8"/>
        </w:rPr>
        <w:t>元，</w:t>
      </w:r>
      <w:r>
        <w:rPr>
          <w:spacing w:val="-85"/>
        </w:rPr>
        <w:t> </w:t>
      </w:r>
      <w:r>
        <w:rPr>
          <w:spacing w:val="13"/>
        </w:rPr>
        <w:t>调整增加</w:t>
      </w:r>
      <w:r>
        <w:rPr>
          <w:spacing w:val="-8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1"/>
        </w:rPr>
        <w:t> </w:t>
      </w:r>
      <w:r>
        <w:rPr>
          <w:spacing w:val="15"/>
        </w:rPr>
        <w:t>年末可供出售金融资产</w:t>
      </w:r>
      <w:r>
        <w:rPr>
          <w:spacing w:val="-100"/>
        </w:rPr>
        <w:t> </w:t>
      </w:r>
      <w:r>
        <w:rPr>
          <w:spacing w:val="-100"/>
        </w:rPr>
      </w:r>
      <w:r>
        <w:rPr>
          <w:rFonts w:ascii="Times New Roman" w:hAnsi="Times New Roman" w:cs="Times New Roman" w:eastAsia="Times New Roman" w:hint="default"/>
        </w:rPr>
        <w:t>95,760,000.00</w:t>
      </w:r>
      <w:r>
        <w:rPr/>
        <w:t>元。本会计政策变更业经公司第二届董事会第二十八次会议审议通过。</w:t>
      </w:r>
    </w:p>
    <w:p>
      <w:pPr>
        <w:spacing w:line="240" w:lineRule="auto" w:before="5"/>
        <w:rPr>
          <w:rFonts w:ascii="宋体" w:hAnsi="宋体" w:cs="宋体" w:eastAsia="宋体" w:hint="default"/>
          <w:sz w:val="24"/>
          <w:szCs w:val="24"/>
        </w:rPr>
      </w:pPr>
    </w:p>
    <w:p>
      <w:pPr>
        <w:spacing w:line="590" w:lineRule="atLeast" w:before="0"/>
        <w:ind w:left="573" w:right="0" w:hanging="420"/>
        <w:jc w:val="left"/>
        <w:rPr>
          <w:rFonts w:ascii="宋体" w:hAnsi="宋体" w:cs="宋体" w:eastAsia="宋体" w:hint="default"/>
          <w:sz w:val="21"/>
          <w:szCs w:val="21"/>
        </w:rPr>
      </w:pPr>
      <w:bookmarkStart w:name="1、遵循企业会计准则的声明" w:id="159"/>
      <w:bookmarkEnd w:id="15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本公司所编制的财务报表符合企业会计准则的要求，真实、完整地反映了公司的财务状况、经营成果</w:t>
      </w:r>
    </w:p>
    <w:p>
      <w:pPr>
        <w:pStyle w:val="BodyText"/>
        <w:spacing w:line="240" w:lineRule="auto" w:before="37"/>
        <w:ind w:right="0"/>
        <w:jc w:val="left"/>
      </w:pPr>
      <w:r>
        <w:rPr/>
        <w:t>和现金流量等有关信息。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line="506" w:lineRule="auto" w:before="0"/>
        <w:ind w:left="153" w:right="6973" w:firstLine="0"/>
        <w:jc w:val="left"/>
        <w:rPr>
          <w:rFonts w:ascii="宋体" w:hAnsi="宋体" w:cs="宋体" w:eastAsia="宋体" w:hint="default"/>
          <w:sz w:val="21"/>
          <w:szCs w:val="21"/>
        </w:rPr>
      </w:pPr>
      <w:bookmarkStart w:name="2、会计期间" w:id="160"/>
      <w:bookmarkEnd w:id="16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会计年度自公历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 </w:t>
      </w:r>
      <w:bookmarkStart w:name="3、营业周期" w:id="161"/>
      <w:bookmarkEnd w:id="161"/>
      <w:r>
        <w:rPr>
          <w:rFonts w:ascii="宋体" w:hAnsi="宋体" w:cs="宋体" w:eastAsia="宋体" w:hint="default"/>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56" w:lineRule="auto" w:before="63"/>
        <w:ind w:right="1129" w:firstLine="420"/>
        <w:jc w:val="both"/>
      </w:pPr>
      <w:r>
        <w:rPr>
          <w:spacing w:val="-1"/>
        </w:rPr>
        <w:t>正常营业周期是指本公司从购买用于加工的资产起至实现现金或现金等价物的期间。本公司以</w:t>
      </w:r>
      <w:r>
        <w:rPr>
          <w:rFonts w:ascii="Times New Roman" w:hAnsi="Times New Roman" w:cs="Times New Roman" w:eastAsia="Times New Roman" w:hint="default"/>
          <w:spacing w:val="-1"/>
        </w:rPr>
        <w:t>12</w:t>
      </w:r>
      <w:r>
        <w:rPr>
          <w:spacing w:val="-1"/>
        </w:rPr>
        <w:t>个月</w:t>
      </w:r>
      <w:r>
        <w:rPr/>
        <w:t> 作为一个营业周期，并以其作为资产和负债的流动性划分标准。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line="506" w:lineRule="auto" w:before="0"/>
        <w:ind w:left="153" w:right="8233" w:firstLine="0"/>
        <w:jc w:val="left"/>
        <w:rPr>
          <w:rFonts w:ascii="宋体" w:hAnsi="宋体" w:cs="宋体" w:eastAsia="宋体" w:hint="default"/>
          <w:sz w:val="21"/>
          <w:szCs w:val="21"/>
        </w:rPr>
      </w:pPr>
      <w:bookmarkStart w:name="4、记账本位币" w:id="162"/>
      <w:bookmarkEnd w:id="16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spacing w:line="240" w:lineRule="auto" w:before="0"/>
        <w:rPr>
          <w:rFonts w:ascii="宋体" w:hAnsi="宋体" w:cs="宋体" w:eastAsia="宋体" w:hint="default"/>
          <w:sz w:val="20"/>
          <w:szCs w:val="20"/>
        </w:rPr>
      </w:pPr>
    </w:p>
    <w:p>
      <w:pPr>
        <w:pStyle w:val="Heading4"/>
        <w:spacing w:line="240" w:lineRule="auto" w:before="155"/>
        <w:ind w:left="153" w:right="0"/>
        <w:jc w:val="left"/>
        <w:rPr>
          <w:b w:val="0"/>
          <w:bCs w:val="0"/>
        </w:rPr>
      </w:pPr>
      <w:bookmarkStart w:name="5、同一控制下和非同一控制下企业合并的会计处理方法" w:id="163"/>
      <w:bookmarkEnd w:id="16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0"/>
        <w:jc w:val="left"/>
      </w:pPr>
      <w:r>
        <w:rPr>
          <w:rFonts w:ascii="Times New Roman" w:hAnsi="Times New Roman" w:cs="Times New Roman" w:eastAsia="Times New Roman" w:hint="default"/>
        </w:rPr>
        <w:t>1</w:t>
      </w:r>
      <w:r>
        <w:rPr/>
        <w:t>．同一控制下企业合并的会计处理 </w:t>
      </w:r>
      <w:r>
        <w:rPr>
          <w:spacing w:val="-1"/>
        </w:rPr>
        <w:t>公司在企业合并中取得的资产和负债，按照合并日被合并方在最终控制方合并财务报表中的账面价值</w:t>
      </w:r>
    </w:p>
    <w:p>
      <w:pPr>
        <w:pStyle w:val="BodyText"/>
        <w:spacing w:line="273" w:lineRule="auto" w:before="22"/>
        <w:ind w:right="0"/>
        <w:jc w:val="left"/>
      </w:pPr>
      <w:r>
        <w:rPr>
          <w:spacing w:val="-1"/>
        </w:rPr>
        <w:t>计量。公司取得的被合并方所有者权益在最终控制方合并财务报表中的账面价值的份额与支付的合并对价</w:t>
      </w:r>
      <w:r>
        <w:rPr>
          <w:spacing w:val="-81"/>
        </w:rPr>
        <w:t> </w:t>
      </w:r>
      <w:r>
        <w:rPr>
          <w:spacing w:val="-81"/>
        </w:rPr>
      </w:r>
      <w:r>
        <w:rPr/>
        <w:t>账面价值</w:t>
      </w:r>
      <w:r>
        <w:rPr>
          <w:rFonts w:ascii="Times New Roman" w:hAnsi="Times New Roman" w:cs="Times New Roman" w:eastAsia="Times New Roman" w:hint="default"/>
        </w:rPr>
        <w:t>(</w:t>
      </w:r>
      <w:r>
        <w:rPr/>
        <w:t>或发行股份面值总额</w:t>
      </w:r>
      <w:r>
        <w:rPr>
          <w:rFonts w:ascii="Times New Roman" w:hAnsi="Times New Roman" w:cs="Times New Roman" w:eastAsia="Times New Roman" w:hint="default"/>
        </w:rPr>
        <w:t>)</w:t>
      </w:r>
      <w:r>
        <w:rPr/>
        <w:t>的差额，调整资本公积；资本公积不足冲减的，调整留存收益。</w:t>
      </w:r>
    </w:p>
    <w:p>
      <w:pPr>
        <w:pStyle w:val="BodyText"/>
        <w:spacing w:line="256" w:lineRule="auto" w:before="0"/>
        <w:ind w:left="574" w:right="0"/>
        <w:jc w:val="left"/>
      </w:pPr>
      <w:r>
        <w:rPr>
          <w:rFonts w:ascii="Times New Roman" w:hAnsi="Times New Roman" w:cs="Times New Roman" w:eastAsia="Times New Roman" w:hint="default"/>
        </w:rPr>
        <w:t>2</w:t>
      </w:r>
      <w:r>
        <w:rPr/>
        <w:t>．非同一控制下企业合并的会计处理 </w:t>
      </w:r>
      <w:r>
        <w:rPr>
          <w:spacing w:val="3"/>
        </w:rPr>
        <w:t>公司在购买日对合并成本大于合并中取得的被购买方可辨认净资产公允价值份额的差额，确认为商</w:t>
      </w:r>
    </w:p>
    <w:p>
      <w:pPr>
        <w:pStyle w:val="BodyText"/>
        <w:spacing w:line="273" w:lineRule="auto" w:before="22"/>
        <w:ind w:left="154" w:right="1131"/>
        <w:jc w:val="both"/>
      </w:pPr>
      <w:r>
        <w:rPr>
          <w:spacing w:val="-1"/>
        </w:rPr>
        <w:t>誉；对于合并成本小于合并中取得的被购买方可辨认净资产公允价值份额，首先对取得的被购买方各项可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pStyle w:val="BodyText"/>
        <w:spacing w:line="266" w:lineRule="auto"/>
        <w:ind w:right="1131" w:firstLine="420"/>
        <w:jc w:val="both"/>
      </w:pPr>
      <w:r>
        <w:rPr>
          <w:spacing w:val="-1"/>
        </w:rPr>
        <w:t>如果在购买日或合并当期期末，因各种因素影响无法合理确定作为合并对价付出的各项资产的公允价</w:t>
      </w:r>
      <w:r>
        <w:rPr/>
        <w:t> </w:t>
      </w:r>
      <w:r>
        <w:rPr>
          <w:spacing w:val="-1"/>
        </w:rPr>
        <w:t>值，或合并中取得被购买方各项可辨认资产、负债的公允价值，合并当期期末，公司以暂时确定的价值为</w:t>
      </w:r>
      <w:r>
        <w:rPr>
          <w:spacing w:val="-86"/>
        </w:rPr>
        <w:t> </w:t>
      </w:r>
      <w:r>
        <w:rPr>
          <w:spacing w:val="-86"/>
        </w:rPr>
      </w:r>
      <w:r>
        <w:rPr>
          <w:spacing w:val="-1"/>
        </w:rPr>
        <w:t>基础对企业合并进行核算。自购买日算起</w:t>
      </w:r>
      <w:r>
        <w:rPr>
          <w:rFonts w:ascii="Times New Roman" w:hAnsi="Times New Roman" w:cs="Times New Roman" w:eastAsia="Times New Roman" w:hint="default"/>
          <w:spacing w:val="-1"/>
        </w:rPr>
        <w:t>12</w:t>
      </w:r>
      <w:r>
        <w:rPr>
          <w:spacing w:val="-1"/>
        </w:rPr>
        <w:t>个月内取得进一步的信息表明需对原暂时确定的价值进行调整</w:t>
      </w:r>
      <w:r>
        <w:rPr>
          <w:spacing w:val="-82"/>
        </w:rPr>
        <w:t> </w:t>
      </w:r>
      <w:r>
        <w:rPr>
          <w:spacing w:val="-82"/>
        </w:rPr>
      </w:r>
      <w:r>
        <w:rPr>
          <w:spacing w:val="-1"/>
        </w:rPr>
        <w:t>的，则视同在购买日发生，进行追溯调整，同时对以暂时性价值为基础提供的比较报表信息进行相关的调</w:t>
      </w:r>
      <w:r>
        <w:rPr>
          <w:spacing w:val="-83"/>
        </w:rPr>
        <w:t> </w:t>
      </w:r>
      <w:r>
        <w:rPr>
          <w:spacing w:val="-83"/>
        </w:rPr>
      </w:r>
      <w:r>
        <w:rPr>
          <w:spacing w:val="-1"/>
        </w:rPr>
        <w:t>整；自购买日算起</w:t>
      </w:r>
      <w:r>
        <w:rPr>
          <w:rFonts w:ascii="Times New Roman" w:hAnsi="Times New Roman" w:cs="Times New Roman" w:eastAsia="Times New Roman" w:hint="default"/>
          <w:spacing w:val="-1"/>
        </w:rPr>
        <w:t>12</w:t>
      </w:r>
      <w:r>
        <w:rPr>
          <w:spacing w:val="-1"/>
        </w:rPr>
        <w:t>个月以后对企业合并成本或合并中取得的可辨认资产、负债价值的调整，按照《企业</w:t>
      </w:r>
      <w:r>
        <w:rPr>
          <w:spacing w:val="-87"/>
        </w:rPr>
        <w:t> </w:t>
      </w:r>
      <w:r>
        <w:rPr>
          <w:spacing w:val="-87"/>
        </w:rPr>
      </w:r>
      <w:r>
        <w:rPr/>
        <w:t>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会计政策、会计估计变更和会计差错更正》的原则进行处理。</w:t>
      </w:r>
    </w:p>
    <w:p>
      <w:pPr>
        <w:pStyle w:val="BodyText"/>
        <w:spacing w:line="264" w:lineRule="auto" w:before="0"/>
        <w:ind w:left="154" w:right="1131" w:firstLine="420"/>
        <w:jc w:val="both"/>
      </w:pPr>
      <w:r>
        <w:rPr>
          <w:spacing w:val="3"/>
        </w:rPr>
        <w:t>公司在企业合并中取得的被购买方的可抵扣暂时性差异，在购买日不符合递延所得税资产确认条件</w:t>
      </w:r>
      <w:r>
        <w:rPr/>
        <w:t> </w:t>
      </w:r>
      <w:r>
        <w:rPr>
          <w:spacing w:val="-1"/>
        </w:rPr>
        <w:t>的，不予以确认。购买日后</w:t>
      </w:r>
      <w:r>
        <w:rPr>
          <w:rFonts w:ascii="Times New Roman" w:hAnsi="Times New Roman" w:cs="Times New Roman" w:eastAsia="Times New Roman" w:hint="default"/>
          <w:spacing w:val="-1"/>
        </w:rPr>
        <w:t>12</w:t>
      </w:r>
      <w:r>
        <w:rPr>
          <w:spacing w:val="-1"/>
        </w:rPr>
        <w:t>个月内，如取得新的或进一步的信息表明购买日的相关情况已经存在，预期</w:t>
      </w:r>
      <w:r>
        <w:rPr>
          <w:spacing w:val="-87"/>
        </w:rPr>
        <w:t> </w:t>
      </w:r>
      <w:r>
        <w:rPr>
          <w:spacing w:val="-87"/>
        </w:rPr>
      </w:r>
      <w:r>
        <w:rPr>
          <w:spacing w:val="-1"/>
        </w:rPr>
        <w:t>被购买方在购买日可抵扣暂时性差异带来的经济利益能够实现的，确认相关的递延所得税资产，同时减少</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3"/>
        <w:jc w:val="both"/>
      </w:pPr>
      <w:r>
        <w:rPr>
          <w:spacing w:val="-1"/>
        </w:rPr>
        <w:t>商誉，商誉不足冲减的，差额部分确认为当期损益；除上述情况以外，确认与企业合并相关的递延所得税</w:t>
      </w:r>
      <w:r>
        <w:rPr>
          <w:spacing w:val="-86"/>
        </w:rPr>
        <w:t> </w:t>
      </w:r>
      <w:r>
        <w:rPr>
          <w:spacing w:val="-86"/>
        </w:rPr>
      </w:r>
      <w:r>
        <w:rPr/>
        <w:t>资产，计入当期损益。</w:t>
      </w:r>
    </w:p>
    <w:p>
      <w:pPr>
        <w:pStyle w:val="BodyText"/>
        <w:spacing w:line="266" w:lineRule="auto"/>
        <w:ind w:right="1024" w:firstLine="420"/>
        <w:jc w:val="left"/>
      </w:pPr>
      <w:r>
        <w:rPr>
          <w:spacing w:val="2"/>
        </w:rPr>
        <w:t>通过多次交易分步实现的非同一控制下企业合并，根据企业会计准则判断该多次交易是否属于</w:t>
      </w:r>
      <w:r>
        <w:rPr>
          <w:rFonts w:ascii="Times New Roman" w:hAnsi="Times New Roman" w:cs="Times New Roman" w:eastAsia="Times New Roman" w:hint="default"/>
          <w:spacing w:val="2"/>
        </w:rPr>
        <w:t>“</w:t>
      </w:r>
      <w:r>
        <w:rPr>
          <w:spacing w:val="2"/>
        </w:rPr>
        <w:t>一揽</w:t>
      </w:r>
      <w:r>
        <w:rPr>
          <w:spacing w:val="3"/>
        </w:rPr>
        <w:t> </w:t>
      </w:r>
      <w:r>
        <w:rPr/>
        <w:t>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w:t>
      </w:r>
      <w:r>
        <w:rPr>
          <w:spacing w:val="-85"/>
        </w:rPr>
        <w:t> </w:t>
      </w:r>
      <w:r>
        <w:rPr>
          <w:spacing w:val="-85"/>
        </w:rPr>
      </w:r>
      <w:r>
        <w:rPr/>
        <w:t>易</w:t>
      </w:r>
      <w:r>
        <w:rPr>
          <w:rFonts w:ascii="Times New Roman" w:hAnsi="Times New Roman" w:cs="Times New Roman" w:eastAsia="Times New Roman" w:hint="default"/>
        </w:rPr>
        <w:t>”</w:t>
      </w:r>
      <w:r>
        <w:rPr/>
        <w:t>的，在合并财务报表中，对于购买日之前持有的被购买方的股权，按照该股权在购买日的公允价值进</w:t>
      </w:r>
      <w:r>
        <w:rPr>
          <w:spacing w:val="-25"/>
        </w:rPr>
        <w:t> </w:t>
      </w:r>
      <w:r>
        <w:rPr>
          <w:spacing w:val="-25"/>
        </w:rPr>
      </w:r>
      <w:r>
        <w:rPr>
          <w:spacing w:val="-3"/>
        </w:rPr>
        <w:t>行重新计量，公允价值与其账面价值的差额计入当期投资收益；原持有的股权投资为可供出售金融资产的，</w:t>
      </w:r>
      <w:r>
        <w:rPr>
          <w:spacing w:val="-92"/>
        </w:rPr>
        <w:t> </w:t>
      </w:r>
      <w:r>
        <w:rPr>
          <w:spacing w:val="-92"/>
        </w:rPr>
      </w:r>
      <w:r>
        <w:rPr/>
        <w:t>原计入其他综合收益的累计公允价值变动转入购买日所属当期损益；原持有的被购买方的股权涉及权益法</w:t>
      </w:r>
      <w:r>
        <w:rPr/>
        <w:t> 核算下的其他综合收益以及除净损益、其他综合收益和利润分配外的其他所有者权益变动的，与其相关的 其他综合收益、其他所有者权益变动转为购买日所属当期收益，由于被投资方重新计量设定受益计划净负 债或净资产变动而产生的其他综合收益除外。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2"/>
        <w:ind w:left="153" w:right="0"/>
        <w:jc w:val="left"/>
        <w:rPr>
          <w:b w:val="0"/>
          <w:bCs w:val="0"/>
        </w:rPr>
      </w:pPr>
      <w:bookmarkStart w:name="6、合并财务报表的编制方法" w:id="164"/>
      <w:bookmarkEnd w:id="16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0"/>
        <w:jc w:val="left"/>
      </w:pPr>
      <w:r>
        <w:rPr/>
        <w:t>公司合并财务报表的合并范围以控制为基础确定，所有子公司均纳入合并财务报表。 </w:t>
      </w:r>
      <w:r>
        <w:rPr>
          <w:spacing w:val="-1"/>
        </w:rPr>
        <w:t>所有纳入合并财务报表合并范围的子公司所采用的会计政策、会计期间与本公司一致，如子公司采用</w:t>
      </w:r>
    </w:p>
    <w:p>
      <w:pPr>
        <w:pStyle w:val="BodyText"/>
        <w:spacing w:line="273" w:lineRule="auto"/>
        <w:ind w:left="0" w:right="1109"/>
        <w:jc w:val="right"/>
      </w:pPr>
      <w:r>
        <w:rPr>
          <w:spacing w:val="-1"/>
        </w:rPr>
        <w:t>的会计政策、会计期间与本公司不一致的，在编制合并财务报表时，按本公司的会计政策、会计期间进行</w:t>
      </w:r>
      <w:r>
        <w:rPr/>
        <w:t> </w:t>
      </w:r>
      <w:r>
        <w:rPr>
          <w:spacing w:val="-1"/>
        </w:rPr>
        <w:t>必要的调整。对于非同一控制下企业合并取得的子公司，以购买日可辨认净资产公允价值为基础对其财务</w:t>
      </w:r>
      <w:r>
        <w:rPr/>
        <w:t> 报表进行调整。合并财务报表以本公司及子公司的财务报表为基础，根据其他有关资料，由本公司编制。 </w:t>
      </w:r>
      <w:r>
        <w:rPr>
          <w:spacing w:val="-1"/>
        </w:rPr>
        <w:t>合并财务报表时抵销本公司与各子公司、各子公司相互之间发生的内部交易对合并资产负债表、合并</w:t>
      </w:r>
    </w:p>
    <w:p>
      <w:pPr>
        <w:pStyle w:val="BodyText"/>
        <w:spacing w:line="273" w:lineRule="auto"/>
        <w:ind w:left="573" w:right="0" w:hanging="420"/>
        <w:jc w:val="left"/>
      </w:pPr>
      <w:r>
        <w:rPr/>
        <w:t>利润表、合并现金流量表、合并所有者权益变动表的影响。 </w:t>
      </w:r>
      <w:r>
        <w:rPr>
          <w:spacing w:val="3"/>
        </w:rPr>
        <w:t>子公司少数股东应占的权益和损益分别在合并资产负债表中所有者权益项目下和合并利润表中净利</w:t>
      </w:r>
    </w:p>
    <w:p>
      <w:pPr>
        <w:pStyle w:val="BodyText"/>
        <w:spacing w:line="273" w:lineRule="auto"/>
        <w:ind w:right="1132"/>
        <w:jc w:val="both"/>
      </w:pPr>
      <w:r>
        <w:rPr>
          <w:spacing w:val="-1"/>
        </w:rPr>
        <w:t>润项目下单独列示。子公司少数股东分担的当期亏损超过了少数股东在该子公司期初所有者权益中所享有</w:t>
      </w:r>
      <w:r>
        <w:rPr>
          <w:spacing w:val="-81"/>
        </w:rPr>
        <w:t> </w:t>
      </w:r>
      <w:r>
        <w:rPr>
          <w:spacing w:val="-81"/>
        </w:rPr>
      </w:r>
      <w:r>
        <w:rPr/>
        <w:t>份额而形成的余额，冲减少数股东权益。</w:t>
      </w:r>
    </w:p>
    <w:p>
      <w:pPr>
        <w:pStyle w:val="BodyText"/>
        <w:spacing w:line="273" w:lineRule="auto"/>
        <w:ind w:right="1131" w:firstLine="420"/>
        <w:jc w:val="both"/>
      </w:pPr>
      <w:r>
        <w:rPr>
          <w:spacing w:val="-1"/>
        </w:rPr>
        <w:t>本期若因同一控制下企业合并增加子公司的，则调整合并资产负债表的期初数；将子公司合并当期期</w:t>
      </w:r>
      <w:r>
        <w:rPr/>
        <w:t> </w:t>
      </w:r>
      <w:r>
        <w:rPr>
          <w:spacing w:val="-1"/>
        </w:rPr>
        <w:t>初至期末的收入、费用、利润纳入合并利润表；将子公司合并当期期初至期末的现金流量纳入合并现金流</w:t>
      </w:r>
      <w:r>
        <w:rPr>
          <w:spacing w:val="-83"/>
        </w:rPr>
        <w:t> </w:t>
      </w:r>
      <w:r>
        <w:rPr>
          <w:spacing w:val="-83"/>
        </w:rPr>
      </w:r>
      <w:r>
        <w:rPr/>
        <w:t>量表。</w:t>
      </w:r>
    </w:p>
    <w:p>
      <w:pPr>
        <w:pStyle w:val="BodyText"/>
        <w:spacing w:line="273" w:lineRule="auto"/>
        <w:ind w:right="1110" w:firstLine="420"/>
        <w:jc w:val="right"/>
      </w:pPr>
      <w:r>
        <w:rPr>
          <w:spacing w:val="-1"/>
        </w:rPr>
        <w:t>本期若因非同一控制下企业合并增加子公司的，则不调整合并资产负债表期初数；将子公司自购买日</w:t>
      </w:r>
      <w:r>
        <w:rPr/>
        <w:t> 至期末的收入、费用、利润纳入合并利润表；该子公司自购买日至期末的现金流量纳入合并现金流量表。 </w:t>
      </w:r>
      <w:r>
        <w:rPr>
          <w:spacing w:val="-1"/>
        </w:rPr>
        <w:t>本期本公司处置子公司，则该子公司期初至处置日的收入、费用、利润纳入合并利润表；该子公司期</w:t>
      </w:r>
      <w:r>
        <w:rPr/>
        <w:t> </w:t>
      </w:r>
      <w:r>
        <w:rPr>
          <w:spacing w:val="-1"/>
        </w:rPr>
        <w:t>初至处置日的现金流量纳入合并现金流量表。因处置部分股权投资或其他原因丧失了对原有子公司控制权</w:t>
      </w:r>
      <w:r>
        <w:rPr/>
        <w:t> </w:t>
      </w:r>
      <w:r>
        <w:rPr>
          <w:spacing w:val="-1"/>
        </w:rPr>
        <w:t>时，对于处置后的剩余股权投资，本公司按照其在丧失控制权日的公允价值进行重新计量。处置股权取得</w:t>
      </w:r>
      <w:r>
        <w:rPr/>
        <w:t> </w:t>
      </w:r>
      <w:r>
        <w:rPr>
          <w:spacing w:val="-1"/>
        </w:rPr>
        <w:t>的对价与剩余股权公允价值之和，减去按原持股比例计算应享有原有子公司自购买日开始持续计算的净资</w:t>
      </w:r>
      <w:r>
        <w:rPr/>
        <w:t> </w:t>
      </w:r>
      <w:r>
        <w:rPr>
          <w:spacing w:val="-1"/>
        </w:rPr>
        <w:t>产的份额之间的差额，计入丧失控制权当期的投资收益。与原有子公司股权投资相关的其他综合收益，在</w:t>
      </w:r>
    </w:p>
    <w:p>
      <w:pPr>
        <w:pStyle w:val="BodyText"/>
        <w:spacing w:line="273" w:lineRule="auto"/>
        <w:ind w:left="573" w:right="0" w:hanging="420"/>
        <w:jc w:val="left"/>
      </w:pPr>
      <w:r>
        <w:rPr/>
        <w:t>丧失控制权时转为当期投资收益。 </w:t>
      </w:r>
      <w:r>
        <w:rPr>
          <w:spacing w:val="-1"/>
        </w:rPr>
        <w:t>对于分步处置股权至丧失控制权过程中的各项交易，各项交易的条款、条件以及经济影响符合以下一</w:t>
      </w:r>
    </w:p>
    <w:p>
      <w:pPr>
        <w:pStyle w:val="BodyText"/>
        <w:spacing w:line="273" w:lineRule="auto"/>
        <w:ind w:right="1131"/>
        <w:jc w:val="both"/>
      </w:pPr>
      <w:r>
        <w:rPr>
          <w:spacing w:val="-1"/>
        </w:rPr>
        <w:t>种或多种情况时，本公司将多次交易事项作为一揽子交易，将各项交易作为一项处置子公司并丧失控制权</w:t>
      </w:r>
      <w:r>
        <w:rPr>
          <w:spacing w:val="-81"/>
        </w:rPr>
        <w:t> </w:t>
      </w:r>
      <w:r>
        <w:rPr>
          <w:spacing w:val="-81"/>
        </w:rPr>
      </w:r>
      <w:r>
        <w:rPr>
          <w:spacing w:val="-1"/>
        </w:rPr>
        <w:t>的交易进行会计处理；在丧失控制权之前每一次处置价款与处置投资对应的享有该子公司净资产份额的差</w:t>
      </w:r>
      <w:r>
        <w:rPr>
          <w:spacing w:val="-81"/>
        </w:rPr>
        <w:t> </w:t>
      </w:r>
      <w:r>
        <w:rPr>
          <w:spacing w:val="-81"/>
        </w:rPr>
      </w:r>
      <w:r>
        <w:rPr/>
        <w:t>额，在合并财务报表中确认为其他综合收益，在丧失控制权时一并转入丧失控制权当期的损益：</w:t>
      </w:r>
    </w:p>
    <w:p>
      <w:pPr>
        <w:pStyle w:val="BodyText"/>
        <w:spacing w:line="240" w:lineRule="auto" w:before="8"/>
        <w:ind w:left="573" w:right="0"/>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21"/>
        <w:ind w:left="573" w:right="0"/>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21"/>
        <w:ind w:left="573" w:right="0"/>
        <w:jc w:val="left"/>
      </w:pP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21"/>
        <w:ind w:left="573" w:right="0"/>
        <w:jc w:val="left"/>
      </w:pPr>
      <w:r>
        <w:rPr>
          <w:rFonts w:ascii="Times New Roman" w:hAnsi="Times New Roman" w:cs="Times New Roman" w:eastAsia="Times New Roman" w:hint="default"/>
        </w:rPr>
        <w:t>4</w:t>
      </w:r>
      <w:r>
        <w:rPr/>
        <w:t>．一项交易单独看是不经济的，但是和其他交易一并考虑时是经济的。</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2" w:firstLine="420"/>
        <w:jc w:val="both"/>
      </w:pPr>
      <w:r>
        <w:rPr>
          <w:spacing w:val="3"/>
        </w:rPr>
        <w:t>本公司因购买少数股权新取得的长期股权投资成本与按照新增持股比例计算应享有子公司的可辨认</w:t>
      </w:r>
      <w:r>
        <w:rPr/>
        <w:t> </w:t>
      </w:r>
      <w:r>
        <w:rPr>
          <w:spacing w:val="-1"/>
        </w:rPr>
        <w:t>净资产份额之间的差额，以及在不丧失控制权的情况下因部分处置对子公司的股权投资而取得的处置价款</w:t>
      </w:r>
      <w:r>
        <w:rPr>
          <w:spacing w:val="-81"/>
        </w:rPr>
        <w:t> </w:t>
      </w:r>
      <w:r>
        <w:rPr>
          <w:spacing w:val="-81"/>
        </w:rPr>
      </w:r>
      <w:r>
        <w:rPr>
          <w:spacing w:val="3"/>
        </w:rPr>
        <w:t>与处置长期股权投资相对应享有子公司净资产的差额，均调整合并资产负债表中的资本公积中的股本溢</w:t>
      </w:r>
      <w:r>
        <w:rPr>
          <w:spacing w:val="-77"/>
        </w:rPr>
        <w:t> </w:t>
      </w:r>
      <w:r>
        <w:rPr>
          <w:spacing w:val="-77"/>
        </w:rPr>
      </w:r>
      <w:r>
        <w:rPr/>
        <w:t>价，资本公积中的股本溢价不足冲减的，调整留存收益。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153" w:right="0"/>
        <w:jc w:val="both"/>
        <w:rPr>
          <w:b w:val="0"/>
          <w:bCs w:val="0"/>
        </w:rPr>
      </w:pPr>
      <w:bookmarkStart w:name="7、合营安排分类及共同经营会计处理方法" w:id="165"/>
      <w:bookmarkEnd w:id="16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610" w:lineRule="atLeast" w:before="3"/>
        <w:ind w:left="573" w:right="0" w:hanging="420"/>
        <w:jc w:val="left"/>
        <w:rPr>
          <w:rFonts w:ascii="宋体" w:hAnsi="宋体" w:cs="宋体" w:eastAsia="宋体" w:hint="default"/>
          <w:sz w:val="21"/>
          <w:szCs w:val="21"/>
        </w:rPr>
      </w:pPr>
      <w:bookmarkStart w:name="8、现金及现金等价物的确定标准" w:id="166"/>
      <w:bookmarkEnd w:id="16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2"/>
          <w:sz w:val="21"/>
          <w:szCs w:val="21"/>
        </w:rPr>
        <w:t>现金等价物是指企业持有的期限短</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一般是指从购买日起</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个月内到期</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、流动性强、易于转换为已知金</w:t>
      </w:r>
    </w:p>
    <w:p>
      <w:pPr>
        <w:pStyle w:val="BodyText"/>
        <w:spacing w:line="240" w:lineRule="auto" w:before="21"/>
        <w:ind w:right="0"/>
        <w:jc w:val="both"/>
      </w:pPr>
      <w:r>
        <w:rPr/>
        <w:t>额现金、价值变动风险很小的投资。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left="153" w:right="0"/>
        <w:jc w:val="both"/>
        <w:rPr>
          <w:b w:val="0"/>
          <w:bCs w:val="0"/>
        </w:rPr>
      </w:pPr>
      <w:bookmarkStart w:name="9、外币业务和外币报表折算" w:id="167"/>
      <w:bookmarkEnd w:id="16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1093"/>
        <w:jc w:val="left"/>
      </w:pPr>
      <w:r>
        <w:rPr>
          <w:rFonts w:ascii="Times New Roman" w:hAnsi="Times New Roman" w:cs="Times New Roman" w:eastAsia="Times New Roman" w:hint="default"/>
        </w:rPr>
        <w:t>1</w:t>
      </w:r>
      <w:r>
        <w:rPr/>
        <w:t>．外币业务 对发生的外币业务，采用交易发生日的即期汇率折合人民币记账。对各种外币账户的外币期末余额，</w:t>
      </w:r>
    </w:p>
    <w:p>
      <w:pPr>
        <w:pStyle w:val="BodyText"/>
        <w:spacing w:line="273" w:lineRule="auto" w:before="22"/>
        <w:ind w:right="1130"/>
        <w:jc w:val="both"/>
      </w:pPr>
      <w:r>
        <w:rPr>
          <w:spacing w:val="-1"/>
        </w:rPr>
        <w:t>外币货币性项目按资产负债表日即期汇率折算，除与购建符合资本化条件资产有关的专门借款本金及利息</w:t>
      </w:r>
      <w:r>
        <w:rPr>
          <w:spacing w:val="-80"/>
        </w:rPr>
        <w:t> </w:t>
      </w:r>
      <w:r>
        <w:rPr>
          <w:spacing w:val="-80"/>
        </w:rPr>
      </w:r>
      <w:r>
        <w:rPr>
          <w:spacing w:val="-1"/>
        </w:rPr>
        <w:t>的汇兑差额外，其他汇兑差额计入当期损益；以历史成本计量的外币非货币性项目仍采用交易发生日的即</w:t>
      </w:r>
      <w:r>
        <w:rPr>
          <w:spacing w:val="-81"/>
        </w:rPr>
        <w:t> </w:t>
      </w:r>
      <w:r>
        <w:rPr>
          <w:spacing w:val="-81"/>
        </w:rPr>
      </w:r>
      <w:r>
        <w:rPr>
          <w:spacing w:val="-1"/>
        </w:rPr>
        <w:t>期汇率折算；以公允价值计量的外币非货币性项目，采用公允价值确定日的即期汇率折算，差额作为公允</w:t>
      </w:r>
      <w:r>
        <w:rPr>
          <w:spacing w:val="-83"/>
        </w:rPr>
        <w:t> </w:t>
      </w:r>
      <w:r>
        <w:rPr>
          <w:spacing w:val="-83"/>
        </w:rPr>
      </w:r>
      <w:r>
        <w:rPr/>
        <w:t>价值变动损益。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4"/>
        <w:spacing w:line="240" w:lineRule="auto"/>
        <w:ind w:left="153" w:right="0"/>
        <w:jc w:val="both"/>
        <w:rPr>
          <w:b w:val="0"/>
          <w:bCs w:val="0"/>
        </w:rPr>
      </w:pPr>
      <w:bookmarkStart w:name="10、金融工具" w:id="168"/>
      <w:bookmarkEnd w:id="16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jc w:val="left"/>
      </w:pPr>
      <w:r>
        <w:rPr>
          <w:rFonts w:ascii="Times New Roman" w:hAnsi="Times New Roman" w:cs="Times New Roman" w:eastAsia="Times New Roman" w:hint="default"/>
        </w:rPr>
        <w:t>1</w:t>
      </w:r>
      <w:r>
        <w:rPr/>
        <w:t>．金融资产和金融负债的分类 </w:t>
      </w:r>
      <w:r>
        <w:rPr>
          <w:spacing w:val="-3"/>
        </w:rPr>
        <w:t>金融资产在初始确认时划分为以下四类：以公允价值计量且其变动计入当期损益的金融资产</w:t>
      </w:r>
      <w:r>
        <w:rPr>
          <w:rFonts w:ascii="Times New Roman" w:hAnsi="Times New Roman" w:cs="Times New Roman" w:eastAsia="Times New Roman" w:hint="default"/>
          <w:spacing w:val="-3"/>
        </w:rPr>
        <w:t>(</w:t>
      </w:r>
      <w:r>
        <w:rPr>
          <w:spacing w:val="-3"/>
        </w:rPr>
        <w:t>包括交易</w:t>
      </w:r>
    </w:p>
    <w:p>
      <w:pPr>
        <w:pStyle w:val="BodyText"/>
        <w:spacing w:line="256" w:lineRule="auto" w:before="5"/>
        <w:ind w:left="154" w:right="0"/>
        <w:jc w:val="left"/>
      </w:pPr>
      <w:r>
        <w:rPr>
          <w:spacing w:val="-3"/>
        </w:rPr>
        <w:t>性金融资产和指定为以公允价值计量且其变动计入当期损益的金融资产</w:t>
      </w:r>
      <w:r>
        <w:rPr>
          <w:rFonts w:ascii="Times New Roman" w:hAnsi="Times New Roman" w:cs="Times New Roman" w:eastAsia="Times New Roman" w:hint="default"/>
          <w:spacing w:val="-3"/>
        </w:rPr>
        <w:t>)</w:t>
      </w:r>
      <w:r>
        <w:rPr>
          <w:spacing w:val="-3"/>
        </w:rPr>
        <w:t>、持有至到期投资、应收款项、可</w:t>
      </w:r>
      <w:r>
        <w:rPr>
          <w:spacing w:val="-60"/>
        </w:rPr>
        <w:t> </w:t>
      </w:r>
      <w:r>
        <w:rPr>
          <w:spacing w:val="-60"/>
        </w:rPr>
      </w:r>
      <w:r>
        <w:rPr/>
        <w:t>供出售金融资产。</w:t>
      </w:r>
    </w:p>
    <w:p>
      <w:pPr>
        <w:pStyle w:val="BodyText"/>
        <w:spacing w:line="256" w:lineRule="auto" w:before="22"/>
        <w:ind w:right="1132" w:firstLine="420"/>
        <w:jc w:val="both"/>
      </w:pPr>
      <w:r>
        <w:rPr>
          <w:spacing w:val="-3"/>
        </w:rPr>
        <w:t>金融负债在初始确认时划分为以下两类：以公允价值计量且其变动计入当期损益的金融负债</w:t>
      </w:r>
      <w:r>
        <w:rPr>
          <w:rFonts w:ascii="Times New Roman" w:hAnsi="Times New Roman" w:cs="Times New Roman" w:eastAsia="Times New Roman" w:hint="default"/>
          <w:spacing w:val="-3"/>
        </w:rPr>
        <w:t>(</w:t>
      </w:r>
      <w:r>
        <w:rPr>
          <w:spacing w:val="-3"/>
        </w:rPr>
        <w:t>包括交易</w:t>
      </w:r>
      <w:r>
        <w:rPr/>
        <w:t> 性金融负债和指定为以公允价值计量且其变动计入当期损益的金融负债</w:t>
      </w:r>
      <w:r>
        <w:rPr>
          <w:rFonts w:ascii="Times New Roman" w:hAnsi="Times New Roman" w:cs="Times New Roman" w:eastAsia="Times New Roman" w:hint="default"/>
        </w:rPr>
        <w:t>)</w:t>
      </w:r>
      <w:r>
        <w:rPr/>
        <w:t>、其他金融负债。</w:t>
      </w:r>
    </w:p>
    <w:p>
      <w:pPr>
        <w:pStyle w:val="BodyText"/>
        <w:spacing w:line="256" w:lineRule="auto" w:before="5"/>
        <w:ind w:left="573" w:right="1093"/>
        <w:jc w:val="left"/>
      </w:pPr>
      <w:r>
        <w:rPr>
          <w:rFonts w:ascii="Times New Roman" w:hAnsi="Times New Roman" w:cs="Times New Roman" w:eastAsia="Times New Roman" w:hint="default"/>
        </w:rPr>
        <w:t>2</w:t>
      </w:r>
      <w:r>
        <w:rPr/>
        <w:t>．金融资产和金融负债的确认依据和计量方法 公司成为金融工具合同的一方时，确认一项金融资产或金融负债。初始确认金融资产或金融负债时，</w:t>
      </w:r>
    </w:p>
    <w:p>
      <w:pPr>
        <w:pStyle w:val="BodyText"/>
        <w:spacing w:line="273" w:lineRule="auto" w:before="22"/>
        <w:ind w:right="0"/>
        <w:jc w:val="left"/>
      </w:pP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w:t>
      </w:r>
    </w:p>
    <w:p>
      <w:pPr>
        <w:pStyle w:val="BodyText"/>
        <w:spacing w:line="266" w:lineRule="auto" w:before="8"/>
        <w:ind w:right="1109" w:firstLine="420"/>
        <w:jc w:val="both"/>
      </w:pPr>
      <w:r>
        <w:rPr/>
        <w:t>公司按照公允价值对金融资产进行后续计量，且不扣除将来处置该金融资产时可能发生的交易费用， </w:t>
      </w:r>
      <w:r>
        <w:rPr>
          <w:spacing w:val="-2"/>
        </w:rPr>
        <w:t>但下列情况除外：</w:t>
      </w:r>
      <w:r>
        <w:rPr>
          <w:rFonts w:ascii="Times New Roman" w:hAnsi="Times New Roman" w:cs="Times New Roman" w:eastAsia="Times New Roman" w:hint="default"/>
          <w:spacing w:val="-2"/>
        </w:rPr>
        <w:t>(1)</w:t>
      </w:r>
      <w:r>
        <w:rPr>
          <w:spacing w:val="-2"/>
        </w:rPr>
        <w:t>持有至到期投资以及应收款项采用实际利率法，按摊余成本计量；</w:t>
      </w:r>
      <w:r>
        <w:rPr>
          <w:rFonts w:ascii="Times New Roman" w:hAnsi="Times New Roman" w:cs="Times New Roman" w:eastAsia="Times New Roman" w:hint="default"/>
          <w:spacing w:val="-2"/>
        </w:rPr>
        <w:t>(2)</w:t>
      </w:r>
      <w:r>
        <w:rPr>
          <w:spacing w:val="-2"/>
        </w:rPr>
        <w:t>在活跃市场中没</w:t>
      </w:r>
      <w:r>
        <w:rPr>
          <w:spacing w:val="-97"/>
        </w:rPr>
        <w:t> </w:t>
      </w:r>
      <w:r>
        <w:rPr>
          <w:spacing w:val="-1"/>
        </w:rPr>
        <w:t>有报价且其公允价值不能可靠计量的权益工具投资，以及与该权益工具挂钩并须通过交付该权益工具结算</w:t>
      </w:r>
      <w:r>
        <w:rPr>
          <w:spacing w:val="-81"/>
        </w:rPr>
        <w:t> </w:t>
      </w:r>
      <w:r>
        <w:rPr>
          <w:spacing w:val="-81"/>
        </w:rPr>
      </w:r>
      <w:r>
        <w:rPr/>
        <w:t>的衍生金融资产，按照成本计量。</w:t>
      </w:r>
    </w:p>
    <w:p>
      <w:pPr>
        <w:pStyle w:val="BodyText"/>
        <w:spacing w:line="240" w:lineRule="auto" w:before="14"/>
        <w:ind w:left="573" w:right="0"/>
        <w:jc w:val="left"/>
      </w:pPr>
      <w:r>
        <w:rPr/>
        <w:t>公司采用实际利率法，按摊余成本对金融负债进行后续计量，但下列情况除外：</w:t>
      </w:r>
      <w:r>
        <w:rPr>
          <w:rFonts w:ascii="Times New Roman" w:hAnsi="Times New Roman" w:cs="Times New Roman" w:eastAsia="Times New Roman" w:hint="default"/>
        </w:rPr>
        <w:t>(1)</w:t>
      </w:r>
      <w:r>
        <w:rPr/>
        <w:t>以公允价值计量且</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right="1024"/>
        <w:jc w:val="left"/>
      </w:pPr>
      <w:r>
        <w:rPr>
          <w:spacing w:val="-3"/>
        </w:rPr>
        <w:t>其变动计入当期损益的金融负债，按照公允价值计量，且不扣除将来结清金融负债时可能发生的交易费用；</w:t>
      </w:r>
      <w:r>
        <w:rPr>
          <w:spacing w:val="-92"/>
        </w:rPr>
        <w:t> </w:t>
      </w:r>
      <w:r>
        <w:rPr>
          <w:spacing w:val="-92"/>
        </w:rPr>
      </w:r>
      <w:r>
        <w:rPr>
          <w:rFonts w:ascii="Times New Roman" w:hAnsi="Times New Roman" w:cs="Times New Roman" w:eastAsia="Times New Roman" w:hint="default"/>
        </w:rPr>
        <w:t>(2)</w:t>
      </w:r>
      <w:r>
        <w:rPr/>
        <w:t>与在活跃市场中没有报价、公允价值不能可靠计量的权益工具挂钩并须通过交付该权益工具结算的衍生 金融负债，按照成本计量；</w:t>
      </w:r>
      <w:r>
        <w:rPr>
          <w:rFonts w:ascii="Times New Roman" w:hAnsi="Times New Roman" w:cs="Times New Roman" w:eastAsia="Times New Roman" w:hint="default"/>
        </w:rPr>
        <w:t>(3)</w:t>
      </w:r>
      <w:r>
        <w:rPr/>
        <w:t>不属于指定为以公允价值计量且其变动计入当期损益的金融负债的财务担保 合同，按照履行相关现时义务所需支出的最佳估计数与初始确认金额扣除按照实际利率法摊销的累计摊销 额后的余额两项金额之中的较高者进行后续计量。</w:t>
      </w:r>
    </w:p>
    <w:p>
      <w:pPr>
        <w:pStyle w:val="BodyText"/>
        <w:spacing w:line="266" w:lineRule="auto" w:before="16"/>
        <w:ind w:right="1131"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价值变动损益；在资产持有期间所取得的利息或现金股利，确认为投资收益；处置时，将实际收到的金额</w:t>
      </w:r>
      <w:r>
        <w:rPr>
          <w:spacing w:val="-85"/>
        </w:rPr>
        <w:t> </w:t>
      </w:r>
      <w:r>
        <w:rPr>
          <w:spacing w:val="-85"/>
        </w:rPr>
      </w:r>
      <w:r>
        <w:rPr>
          <w:spacing w:val="-2"/>
        </w:rPr>
        <w:t>与初始入账金额之间的差额确认为投资收益，同时调整公允价值变动损益。</w:t>
      </w:r>
      <w:r>
        <w:rPr>
          <w:rFonts w:ascii="Times New Roman" w:hAnsi="Times New Roman" w:cs="Times New Roman" w:eastAsia="Times New Roman" w:hint="default"/>
          <w:spacing w:val="-2"/>
        </w:rPr>
        <w:t>(2)</w:t>
      </w:r>
      <w:r>
        <w:rPr>
          <w:spacing w:val="-2"/>
        </w:rPr>
        <w:t>可供出售金融资产的公允价</w:t>
      </w:r>
      <w:r>
        <w:rPr>
          <w:spacing w:val="-67"/>
        </w:rPr>
        <w:t> </w:t>
      </w:r>
      <w:r>
        <w:rPr>
          <w:spacing w:val="-1"/>
        </w:rPr>
        <w:t>值变动计入资本公积；持有期间按实际利率法计算的利息，计入投资收益；可供出售权益工具投资的现金</w:t>
      </w:r>
      <w:r>
        <w:rPr>
          <w:spacing w:val="-83"/>
        </w:rPr>
        <w:t> </w:t>
      </w:r>
      <w:r>
        <w:rPr>
          <w:spacing w:val="-83"/>
        </w:rPr>
      </w:r>
      <w:r>
        <w:rPr>
          <w:spacing w:val="-1"/>
        </w:rPr>
        <w:t>股利，于被投资单位宣告发放股利时计入投资收益；处置时，将实际收到的金额与账面价值扣除原直接计</w:t>
      </w:r>
      <w:r>
        <w:rPr>
          <w:spacing w:val="-83"/>
        </w:rPr>
        <w:t> </w:t>
      </w:r>
      <w:r>
        <w:rPr>
          <w:spacing w:val="-83"/>
        </w:rPr>
      </w:r>
      <w:r>
        <w:rPr/>
        <w:t>入资本公积的公允价值变动累计额之后的差额确认为投资收益。</w:t>
      </w:r>
    </w:p>
    <w:p>
      <w:pPr>
        <w:pStyle w:val="BodyText"/>
        <w:spacing w:line="256" w:lineRule="auto" w:before="14"/>
        <w:ind w:left="573" w:right="0"/>
        <w:jc w:val="left"/>
      </w:pPr>
      <w:r>
        <w:rPr>
          <w:rFonts w:ascii="Times New Roman" w:hAnsi="Times New Roman" w:cs="Times New Roman" w:eastAsia="Times New Roman" w:hint="default"/>
        </w:rPr>
        <w:t>3</w:t>
      </w:r>
      <w:r>
        <w:rPr/>
        <w:t>．金融资产转移的确认依据和计量方法 </w:t>
      </w:r>
      <w:r>
        <w:rPr>
          <w:spacing w:val="-1"/>
        </w:rPr>
        <w:t>公司已将金融资产所有权上几乎所有的风险和报酬转移给了转入方的，终止确认该金融资产；保留了</w:t>
      </w:r>
    </w:p>
    <w:p>
      <w:pPr>
        <w:pStyle w:val="BodyText"/>
        <w:spacing w:line="261" w:lineRule="auto" w:before="22"/>
        <w:ind w:right="1131"/>
        <w:jc w:val="both"/>
      </w:pPr>
      <w:r>
        <w:rPr>
          <w:spacing w:val="-1"/>
        </w:rPr>
        <w:t>金融资产所有权上几乎所有的风险和报酬的，继续确认所转移的金融资产，并将收到的对价确认为一项金</w:t>
      </w:r>
      <w:r>
        <w:rPr>
          <w:spacing w:val="-81"/>
        </w:rPr>
        <w:t> </w:t>
      </w:r>
      <w:r>
        <w:rPr>
          <w:spacing w:val="-81"/>
        </w:rPr>
      </w:r>
      <w:r>
        <w:rPr>
          <w:spacing w:val="-2"/>
        </w:rPr>
        <w:t>融负债。公司既没有转移也没有保留金融资产所有权上几乎所有的风险和报酬的，分别下列情况处理：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6"/>
        </w:rPr>
        <w:t> </w:t>
      </w:r>
      <w:r>
        <w:rPr>
          <w:spacing w:val="-2"/>
        </w:rPr>
        <w:t>放弃了对该金融资产控制的，终止确认该金融资产；</w:t>
      </w:r>
      <w:r>
        <w:rPr>
          <w:rFonts w:ascii="Times New Roman" w:hAnsi="Times New Roman" w:cs="Times New Roman" w:eastAsia="Times New Roman" w:hint="default"/>
          <w:spacing w:val="-2"/>
        </w:rPr>
        <w:t>(2)</w:t>
      </w:r>
      <w:r>
        <w:rPr>
          <w:spacing w:val="-2"/>
        </w:rPr>
        <w:t>未放弃对该金融资产控制的，按照继续涉入所转移</w:t>
      </w:r>
      <w:r>
        <w:rPr>
          <w:spacing w:val="-68"/>
        </w:rPr>
        <w:t> </w:t>
      </w:r>
      <w:r>
        <w:rPr>
          <w:spacing w:val="-68"/>
        </w:rPr>
      </w:r>
      <w:r>
        <w:rPr/>
        <w:t>金融资产的程度确认有关金融资产，并相应确认有关负债。</w:t>
      </w:r>
    </w:p>
    <w:p>
      <w:pPr>
        <w:pStyle w:val="BodyText"/>
        <w:spacing w:line="261" w:lineRule="auto" w:before="18"/>
        <w:ind w:right="1014" w:firstLine="420"/>
        <w:jc w:val="left"/>
      </w:pPr>
      <w:r>
        <w:rPr/>
        <w:t>金融资产整体转移满足终止确认条件的，将下列两项金额的差额计入当期损益：</w:t>
      </w:r>
      <w:r>
        <w:rPr>
          <w:rFonts w:ascii="Times New Roman" w:hAnsi="Times New Roman" w:cs="Times New Roman" w:eastAsia="Times New Roman" w:hint="default"/>
        </w:rPr>
        <w:t>(1)</w:t>
      </w:r>
      <w:r>
        <w:rPr/>
        <w:t>所转移金融资产的 账面价值；</w:t>
      </w:r>
      <w:r>
        <w:rPr>
          <w:rFonts w:ascii="Times New Roman" w:hAnsi="Times New Roman" w:cs="Times New Roman" w:eastAsia="Times New Roman" w:hint="default"/>
        </w:rPr>
        <w:t>(2)</w:t>
      </w:r>
      <w:r>
        <w:rPr/>
        <w:t>因转移而收到的对价，与原直接计入所有者权益的公允价值变动累计额之和。金融资产部分 转移满足终止确认条件的，将所转移金融资产整体的账面价值，在终止确认部分和未终止确认部分之间， </w:t>
      </w:r>
      <w:r>
        <w:rPr>
          <w:spacing w:val="-4"/>
        </w:rPr>
        <w:t>按照各自的相对公允价值进行分摊，并将下列两项金额的差额计入当期损益：</w:t>
      </w:r>
      <w:r>
        <w:rPr>
          <w:rFonts w:ascii="Times New Roman" w:hAnsi="Times New Roman" w:cs="Times New Roman" w:eastAsia="Times New Roman" w:hint="default"/>
          <w:spacing w:val="-4"/>
        </w:rPr>
        <w:t>(1)</w:t>
      </w:r>
      <w:r>
        <w:rPr>
          <w:spacing w:val="-4"/>
        </w:rPr>
        <w:t>终止确认部分的账面价值；</w:t>
      </w:r>
      <w:r>
        <w:rPr>
          <w:spacing w:val="-70"/>
        </w:rPr>
        <w:t> </w:t>
      </w:r>
      <w:r>
        <w:rPr>
          <w:rFonts w:ascii="Times New Roman" w:hAnsi="Times New Roman" w:cs="Times New Roman" w:eastAsia="Times New Roman" w:hint="default"/>
          <w:spacing w:val="2"/>
        </w:rPr>
        <w:t>(2)</w:t>
      </w:r>
      <w:r>
        <w:rPr>
          <w:spacing w:val="2"/>
        </w:rPr>
        <w:t>终止确认部分的对价，与原直接计入所有者权益的公允价值变动累计额中对应终止确认部分的金额之</w:t>
      </w:r>
      <w:r>
        <w:rPr>
          <w:spacing w:val="-73"/>
        </w:rPr>
        <w:t> </w:t>
      </w:r>
      <w:r>
        <w:rPr>
          <w:spacing w:val="-73"/>
        </w:rPr>
      </w:r>
      <w:r>
        <w:rPr/>
        <w:t>和。</w:t>
      </w:r>
    </w:p>
    <w:p>
      <w:pPr>
        <w:pStyle w:val="BodyText"/>
        <w:spacing w:line="256" w:lineRule="auto" w:before="18"/>
        <w:ind w:left="574" w:right="0"/>
        <w:jc w:val="left"/>
      </w:pPr>
      <w:r>
        <w:rPr>
          <w:rFonts w:ascii="Times New Roman" w:hAnsi="Times New Roman" w:cs="Times New Roman" w:eastAsia="Times New Roman" w:hint="default"/>
        </w:rPr>
        <w:t>4</w:t>
      </w:r>
      <w:r>
        <w:rPr/>
        <w:t>．金融资产和金融负债的终止确认条件 </w:t>
      </w:r>
      <w:r>
        <w:rPr>
          <w:spacing w:val="3"/>
        </w:rPr>
        <w:t>当收取某项金融资产现金流量的合同权利已终止或该金融资产所有权上几乎所有的风险和报酬已转</w:t>
      </w:r>
    </w:p>
    <w:p>
      <w:pPr>
        <w:pStyle w:val="BodyText"/>
        <w:spacing w:line="273" w:lineRule="auto" w:before="22"/>
        <w:ind w:left="154" w:right="1131"/>
        <w:jc w:val="both"/>
      </w:pPr>
      <w:r>
        <w:rPr>
          <w:spacing w:val="-1"/>
        </w:rPr>
        <w:t>移时，终止确认该金融资产；当金融负债的现实义务全部或部分解除时，相应终止确认该金融负债或其一</w:t>
      </w:r>
      <w:r>
        <w:rPr>
          <w:spacing w:val="-83"/>
        </w:rPr>
        <w:t> </w:t>
      </w:r>
      <w:r>
        <w:rPr>
          <w:spacing w:val="-83"/>
        </w:rPr>
      </w:r>
      <w:r>
        <w:rPr/>
        <w:t>部分。</w:t>
      </w:r>
    </w:p>
    <w:p>
      <w:pPr>
        <w:pStyle w:val="BodyText"/>
        <w:spacing w:line="256" w:lineRule="auto"/>
        <w:ind w:left="574" w:right="0"/>
        <w:jc w:val="left"/>
      </w:pPr>
      <w:r>
        <w:rPr>
          <w:rFonts w:ascii="Times New Roman" w:hAnsi="Times New Roman" w:cs="Times New Roman" w:eastAsia="Times New Roman" w:hint="default"/>
        </w:rPr>
        <w:t>5</w:t>
      </w:r>
      <w:r>
        <w:rPr/>
        <w:t>．金融资产和金融负债的公允价值确定方法 </w:t>
      </w:r>
      <w:r>
        <w:rPr>
          <w:spacing w:val="-1"/>
        </w:rPr>
        <w:t>存在活跃市场的金融资产或金融负债，以活跃市场的报价确定其公允价值；不存在活跃市场的金融资</w:t>
      </w:r>
    </w:p>
    <w:p>
      <w:pPr>
        <w:pStyle w:val="BodyText"/>
        <w:spacing w:line="256" w:lineRule="auto" w:before="22"/>
        <w:ind w:left="154" w:right="1130"/>
        <w:jc w:val="both"/>
      </w:pPr>
      <w:r>
        <w:rPr>
          <w:spacing w:val="-2"/>
        </w:rPr>
        <w:t>产或金融负债，采用估值技术</w:t>
      </w:r>
      <w:r>
        <w:rPr>
          <w:rFonts w:ascii="Times New Roman" w:hAnsi="Times New Roman" w:cs="Times New Roman" w:eastAsia="Times New Roman" w:hint="default"/>
          <w:spacing w:val="-2"/>
        </w:rPr>
        <w:t>(</w:t>
      </w:r>
      <w:r>
        <w:rPr>
          <w:spacing w:val="-2"/>
        </w:rPr>
        <w:t>包括参考熟悉情况并自愿交易的各方最近进行的市场交易中使用的价格、参</w:t>
      </w:r>
      <w:r>
        <w:rPr/>
        <w:t> </w:t>
      </w:r>
      <w:r>
        <w:rPr>
          <w:spacing w:val="-2"/>
        </w:rPr>
        <w:t>照实质上相同的其他金融工具的当前公允价值、现金流量折现法和期权定价模型等</w:t>
      </w:r>
      <w:r>
        <w:rPr>
          <w:rFonts w:ascii="Times New Roman" w:hAnsi="Times New Roman" w:cs="Times New Roman" w:eastAsia="Times New Roman" w:hint="default"/>
          <w:spacing w:val="-2"/>
        </w:rPr>
        <w:t>)</w:t>
      </w:r>
      <w:r>
        <w:rPr>
          <w:spacing w:val="-2"/>
        </w:rPr>
        <w:t>确定其公允价值；初始</w:t>
      </w:r>
      <w:r>
        <w:rPr>
          <w:spacing w:val="-103"/>
        </w:rPr>
        <w:t> </w:t>
      </w:r>
      <w:r>
        <w:rPr>
          <w:spacing w:val="-103"/>
        </w:rPr>
      </w:r>
      <w:r>
        <w:rPr/>
        <w:t>取得或源生的金融资产或承担的金融负债，以市场交易价格作为确定其公允价值的基础。</w:t>
      </w:r>
    </w:p>
    <w:p>
      <w:pPr>
        <w:pStyle w:val="BodyText"/>
        <w:spacing w:line="256" w:lineRule="auto" w:before="22"/>
        <w:ind w:left="574" w:right="0"/>
        <w:jc w:val="left"/>
      </w:pPr>
      <w:r>
        <w:rPr>
          <w:rFonts w:ascii="Times New Roman" w:hAnsi="Times New Roman" w:cs="Times New Roman" w:eastAsia="Times New Roman" w:hint="default"/>
        </w:rPr>
        <w:t>6</w:t>
      </w:r>
      <w:r>
        <w:rPr/>
        <w:t>．金融资产的减值测试和减值准备计提方法 </w:t>
      </w:r>
      <w:r>
        <w:rPr>
          <w:spacing w:val="-1"/>
        </w:rPr>
        <w:t>除了以公允价值计量且其变动计入当期损益的金融资产外，公司在每个资产负债表日对其他金融资产</w:t>
      </w:r>
    </w:p>
    <w:p>
      <w:pPr>
        <w:pStyle w:val="BodyText"/>
        <w:spacing w:line="273" w:lineRule="auto" w:before="22"/>
        <w:ind w:left="574" w:right="0" w:hanging="420"/>
        <w:jc w:val="left"/>
      </w:pPr>
      <w:r>
        <w:rPr/>
        <w:t>的账面价值进行检查，有客观证据表明金融资产发生减值的，计提减值准备。 </w:t>
      </w:r>
      <w:r>
        <w:rPr>
          <w:spacing w:val="-1"/>
        </w:rPr>
        <w:t>公司对单项金额重大的金融资产单独进行减值测试；对单项金额不重大的金融资产，单独进行减值测</w:t>
      </w:r>
    </w:p>
    <w:p>
      <w:pPr>
        <w:pStyle w:val="BodyText"/>
        <w:spacing w:line="256" w:lineRule="auto"/>
        <w:ind w:left="154" w:right="1131"/>
        <w:jc w:val="both"/>
      </w:pPr>
      <w:r>
        <w:rPr>
          <w:spacing w:val="-2"/>
        </w:rPr>
        <w:t>试或包括在具有类似信用风险特征的金融资产组合中进行减值测试。单独测试未发生减值的金融资产</w:t>
      </w:r>
      <w:r>
        <w:rPr>
          <w:rFonts w:ascii="Times New Roman" w:hAnsi="Times New Roman" w:cs="Times New Roman" w:eastAsia="Times New Roman" w:hint="default"/>
          <w:spacing w:val="-2"/>
        </w:rPr>
        <w:t>(</w:t>
      </w:r>
      <w:r>
        <w:rPr>
          <w:spacing w:val="-2"/>
        </w:rPr>
        <w:t>包括</w:t>
      </w:r>
      <w:r>
        <w:rPr/>
        <w:t> </w:t>
      </w:r>
      <w:r>
        <w:rPr>
          <w:spacing w:val="-2"/>
        </w:rPr>
        <w:t>单项金额重大和不重大的金融资产</w:t>
      </w:r>
      <w:r>
        <w:rPr>
          <w:rFonts w:ascii="Times New Roman" w:hAnsi="Times New Roman" w:cs="Times New Roman" w:eastAsia="Times New Roman" w:hint="default"/>
          <w:spacing w:val="-2"/>
        </w:rPr>
        <w:t>)</w:t>
      </w:r>
      <w:r>
        <w:rPr>
          <w:spacing w:val="-2"/>
        </w:rPr>
        <w:t>，包括在具有类似信用风险特征的金融资产组合中再进行减值测试。已</w:t>
      </w:r>
      <w:r>
        <w:rPr/>
        <w:t> 单项确认减值损失的金融资产，不包括在具有类似信用风险特征的金融资产组合中进行减值测试。</w:t>
      </w:r>
    </w:p>
    <w:p>
      <w:pPr>
        <w:pStyle w:val="BodyText"/>
        <w:spacing w:line="256" w:lineRule="auto" w:before="23"/>
        <w:ind w:left="574" w:right="0"/>
        <w:jc w:val="left"/>
      </w:pPr>
      <w:r>
        <w:rPr>
          <w:rFonts w:ascii="Times New Roman" w:hAnsi="Times New Roman" w:cs="Times New Roman" w:eastAsia="Times New Roman" w:hint="default"/>
        </w:rPr>
        <w:t>(1)</w:t>
      </w:r>
      <w:r>
        <w:rPr/>
        <w:t>持有至到期投资、贷款和应收款项减值</w:t>
      </w:r>
      <w:r>
        <w:rPr>
          <w:w w:val="99"/>
        </w:rPr>
        <w:t> </w:t>
      </w:r>
      <w:r>
        <w:rPr>
          <w:spacing w:val="-1"/>
        </w:rPr>
        <w:t>以成本或摊余成本计量的金融资产将其账面价值减记至预计未来现金流量现值，减记金额确认为减值</w:t>
      </w:r>
    </w:p>
    <w:p>
      <w:pPr>
        <w:pStyle w:val="BodyText"/>
        <w:spacing w:line="273" w:lineRule="auto" w:before="22"/>
        <w:ind w:left="154" w:right="1110"/>
        <w:jc w:val="both"/>
      </w:pPr>
      <w:r>
        <w:rPr/>
        <w:t>损失，计入当期损益；短期应收款项的预计未来现金流量与其现值相差很小的，在确定相关减值损失时， </w:t>
      </w:r>
      <w:r>
        <w:rPr>
          <w:spacing w:val="-1"/>
        </w:rPr>
        <w:t>不对其预计未来现金流量进行折现。金融资产在确认减值损失后，如有客观证据表明该金融资产价值已恢</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复，且客观上与确认该损失后发生的事项有关，原确认的减值损失予以转回，金融资产转回减值损失后的</w:t>
      </w:r>
      <w:r>
        <w:rPr>
          <w:spacing w:val="-83"/>
        </w:rPr>
        <w:t> </w:t>
      </w:r>
      <w:r>
        <w:rPr>
          <w:spacing w:val="-83"/>
        </w:rPr>
      </w:r>
      <w:r>
        <w:rPr/>
        <w:t>账面价值不超过假定不计提减值准备情况下该金融资产在转回日的摊余成本。</w:t>
      </w:r>
    </w:p>
    <w:p>
      <w:pPr>
        <w:pStyle w:val="BodyText"/>
        <w:spacing w:line="256" w:lineRule="auto"/>
        <w:ind w:left="574" w:right="1127"/>
        <w:jc w:val="left"/>
      </w:pPr>
      <w:r>
        <w:rPr>
          <w:rFonts w:ascii="Times New Roman" w:hAnsi="Times New Roman" w:cs="Times New Roman" w:eastAsia="Times New Roman" w:hint="default"/>
        </w:rPr>
        <w:t>(2)</w:t>
      </w:r>
      <w:r>
        <w:rPr/>
        <w:t>可供出售金融资产减值</w:t>
      </w:r>
      <w:r>
        <w:rPr>
          <w:w w:val="99"/>
        </w:rPr>
        <w:t> </w:t>
      </w:r>
      <w:r>
        <w:rPr/>
        <w:t>可供出售金融资产出现下列情形之一表明该资产发生减值：</w:t>
      </w:r>
      <w:r>
        <w:rPr>
          <w:rFonts w:ascii="Times New Roman" w:hAnsi="Times New Roman" w:cs="Times New Roman" w:eastAsia="Times New Roman" w:hint="default"/>
        </w:rPr>
        <w:t>1)</w:t>
      </w:r>
      <w:r>
        <w:rPr/>
        <w:t>发行方或债务人发生了严重财务困难；</w:t>
      </w:r>
    </w:p>
    <w:p>
      <w:pPr>
        <w:pStyle w:val="BodyText"/>
        <w:spacing w:line="261" w:lineRule="auto" w:before="5"/>
        <w:ind w:right="1131"/>
        <w:jc w:val="both"/>
      </w:pPr>
      <w:r>
        <w:rPr>
          <w:rFonts w:ascii="Times New Roman" w:hAnsi="Times New Roman" w:cs="Times New Roman" w:eastAsia="Times New Roman" w:hint="default"/>
        </w:rPr>
        <w:t>2)</w:t>
      </w:r>
      <w:r>
        <w:rPr/>
        <w:t>债务人违反了合同条款，如偿付利息或本金发生违约或逾期等；</w:t>
      </w:r>
      <w:r>
        <w:rPr>
          <w:rFonts w:ascii="Times New Roman" w:hAnsi="Times New Roman" w:cs="Times New Roman" w:eastAsia="Times New Roman" w:hint="default"/>
        </w:rPr>
        <w:t>3)</w:t>
      </w:r>
      <w:r>
        <w:rPr/>
        <w:t>债权人出于经济或法律等方面因素的</w:t>
      </w:r>
      <w:r>
        <w:rPr>
          <w:spacing w:val="-66"/>
        </w:rPr>
        <w:t> </w:t>
      </w:r>
      <w:r>
        <w:rPr>
          <w:spacing w:val="-66"/>
        </w:rPr>
      </w:r>
      <w:r>
        <w:rPr/>
        <w:t>考虑，对发生财务困难的债务人作出让步；</w:t>
      </w:r>
      <w:r>
        <w:rPr>
          <w:rFonts w:ascii="Times New Roman" w:hAnsi="Times New Roman" w:cs="Times New Roman" w:eastAsia="Times New Roman" w:hint="default"/>
        </w:rPr>
        <w:t>4)</w:t>
      </w:r>
      <w:r>
        <w:rPr/>
        <w:t>债务人很可能倒闭或进行其他财务重组；</w:t>
      </w:r>
      <w:r>
        <w:rPr>
          <w:rFonts w:ascii="Times New Roman" w:hAnsi="Times New Roman" w:cs="Times New Roman" w:eastAsia="Times New Roman" w:hint="default"/>
        </w:rPr>
        <w:t>5)</w:t>
      </w:r>
      <w:r>
        <w:rPr/>
        <w:t>因发行方发生重</w:t>
      </w:r>
      <w:r>
        <w:rPr>
          <w:spacing w:val="-64"/>
        </w:rPr>
        <w:t> </w:t>
      </w:r>
      <w:r>
        <w:rPr>
          <w:spacing w:val="-64"/>
        </w:rPr>
      </w:r>
      <w:r>
        <w:rPr/>
        <w:t>大财务困难，该可供出售金融资产无法在活跃市场继续交易；</w:t>
      </w:r>
      <w:r>
        <w:rPr>
          <w:rFonts w:ascii="Times New Roman" w:hAnsi="Times New Roman" w:cs="Times New Roman" w:eastAsia="Times New Roman" w:hint="default"/>
        </w:rPr>
        <w:t>6)</w:t>
      </w:r>
      <w:r>
        <w:rPr/>
        <w:t>无法辨认一组金融资产中的某项资产的现</w:t>
      </w:r>
      <w:r>
        <w:rPr>
          <w:spacing w:val="-97"/>
        </w:rPr>
        <w:t> </w:t>
      </w:r>
      <w:r>
        <w:rPr>
          <w:spacing w:val="-97"/>
        </w:rPr>
      </w:r>
      <w:r>
        <w:rPr>
          <w:spacing w:val="-1"/>
        </w:rPr>
        <w:t>金流量是否已经减少，但根据公开的数据对其进行总体评价后发现，该组金融资产自初始确认以来的预计</w:t>
      </w:r>
      <w:r>
        <w:rPr>
          <w:spacing w:val="-82"/>
        </w:rPr>
        <w:t> </w:t>
      </w:r>
      <w:r>
        <w:rPr>
          <w:spacing w:val="-82"/>
        </w:rPr>
      </w:r>
      <w:r>
        <w:rPr>
          <w:spacing w:val="-1"/>
        </w:rPr>
        <w:t>未来现金流量确已减少且可计量，如该组金融资产的债务人支付能力逐步恶化，或债务人所在国家或地区</w:t>
      </w:r>
      <w:r>
        <w:rPr>
          <w:spacing w:val="-82"/>
        </w:rPr>
        <w:t> </w:t>
      </w:r>
      <w:r>
        <w:rPr>
          <w:spacing w:val="-82"/>
        </w:rPr>
      </w:r>
      <w:r>
        <w:rPr/>
        <w:t>失业率提高，担保物在其所在地区的价格明显下降、所处行业不景气等；</w:t>
      </w:r>
      <w:r>
        <w:rPr>
          <w:rFonts w:ascii="Times New Roman" w:hAnsi="Times New Roman" w:cs="Times New Roman" w:eastAsia="Times New Roman" w:hint="default"/>
        </w:rPr>
        <w:t>7)</w:t>
      </w:r>
      <w:r>
        <w:rPr/>
        <w:t>权益工具发行方经营所处的技</w:t>
      </w:r>
      <w:r>
        <w:rPr>
          <w:spacing w:val="-97"/>
        </w:rPr>
        <w:t> </w:t>
      </w:r>
      <w:r>
        <w:rPr>
          <w:spacing w:val="-97"/>
        </w:rPr>
      </w:r>
      <w:r>
        <w:rPr/>
        <w:t>术、市场、经济或法律环境等发生重大不利变化，使权益工具投资人可能无法收回投资成本；</w:t>
      </w:r>
      <w:r>
        <w:rPr>
          <w:rFonts w:ascii="Times New Roman" w:hAnsi="Times New Roman" w:cs="Times New Roman" w:eastAsia="Times New Roman" w:hint="default"/>
        </w:rPr>
        <w:t>8)</w:t>
      </w:r>
      <w:r>
        <w:rPr/>
        <w:t>权益工具</w:t>
      </w:r>
      <w:r>
        <w:rPr>
          <w:spacing w:val="-96"/>
        </w:rPr>
        <w:t> </w:t>
      </w:r>
      <w:r>
        <w:rPr>
          <w:spacing w:val="-96"/>
        </w:rPr>
      </w:r>
      <w:r>
        <w:rPr/>
        <w:t>投资的公允价值发生严重或非暂时性下跌；</w:t>
      </w:r>
      <w:r>
        <w:rPr>
          <w:rFonts w:ascii="Times New Roman" w:hAnsi="Times New Roman" w:cs="Times New Roman" w:eastAsia="Times New Roman" w:hint="default"/>
        </w:rPr>
        <w:t>9)</w:t>
      </w:r>
      <w:r>
        <w:rPr/>
        <w:t>其他表明可供出售金融资产发生减值的客观依据。</w:t>
      </w:r>
    </w:p>
    <w:p>
      <w:pPr>
        <w:pStyle w:val="BodyText"/>
        <w:spacing w:line="273" w:lineRule="auto" w:before="0"/>
        <w:ind w:right="1132" w:firstLine="420"/>
        <w:jc w:val="both"/>
      </w:pPr>
      <w:r>
        <w:rPr>
          <w:spacing w:val="-1"/>
        </w:rPr>
        <w:t>当综合相关因素判断可供出售权益工具投资公允价值下跌是严重或非暂时性下跌时，表明该可供出售</w:t>
      </w:r>
      <w:r>
        <w:rPr/>
        <w:t> 权益工具投资发生减值。</w:t>
      </w:r>
    </w:p>
    <w:p>
      <w:pPr>
        <w:pStyle w:val="BodyText"/>
        <w:spacing w:line="273" w:lineRule="auto"/>
        <w:ind w:right="1130" w:firstLine="420"/>
        <w:jc w:val="both"/>
      </w:pPr>
      <w:r>
        <w:rPr>
          <w:spacing w:val="-1"/>
        </w:rPr>
        <w:t>可供出售金融资产发生减值时，将原计入资本公积的因公允价值下降形成的累计损失予以转出并计入</w:t>
      </w:r>
      <w:r>
        <w:rPr/>
        <w:t> </w:t>
      </w:r>
      <w:r>
        <w:rPr>
          <w:spacing w:val="-1"/>
        </w:rPr>
        <w:t>当期损益，该转出的累计损失为该资产初始取得成本扣除已收回本金和已摊销金额、当前公允价值和原已</w:t>
      </w:r>
      <w:r>
        <w:rPr>
          <w:spacing w:val="-80"/>
        </w:rPr>
        <w:t> </w:t>
      </w:r>
      <w:r>
        <w:rPr>
          <w:spacing w:val="-80"/>
        </w:rPr>
      </w:r>
      <w:r>
        <w:rPr/>
        <w:t>计入损益的减值损失后的余额。</w:t>
      </w:r>
    </w:p>
    <w:p>
      <w:pPr>
        <w:pStyle w:val="BodyText"/>
        <w:spacing w:line="273" w:lineRule="auto"/>
        <w:ind w:right="1131" w:firstLine="420"/>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pStyle w:val="BodyText"/>
        <w:spacing w:line="273" w:lineRule="auto"/>
        <w:ind w:right="1132" w:firstLine="420"/>
        <w:jc w:val="both"/>
      </w:pPr>
      <w:r>
        <w:rPr>
          <w:spacing w:val="-1"/>
        </w:rPr>
        <w:t>在活跃市场中没有报价且其公允价值不能可靠计量的权益工具投资，或与该权益工具挂钩并须通过交</w:t>
      </w:r>
      <w:r>
        <w:rPr/>
        <w:t> 付该权益工具结算的衍生金融资产的减值损失，不予转回。</w:t>
      </w:r>
    </w:p>
    <w:p>
      <w:pPr>
        <w:pStyle w:val="BodyText"/>
        <w:spacing w:line="240" w:lineRule="auto" w:before="8"/>
        <w:ind w:left="573" w:right="0"/>
        <w:jc w:val="left"/>
      </w:pPr>
      <w:r>
        <w:rPr>
          <w:rFonts w:ascii="Times New Roman" w:hAnsi="Times New Roman" w:cs="Times New Roman" w:eastAsia="Times New Roman" w:hint="default"/>
        </w:rPr>
        <w:t>7</w:t>
      </w:r>
      <w:r>
        <w:rPr/>
        <w:t>．本期将尚未到期的持有至到期投资重分类为可供出售金融资产，持有意图或能力发生改变的依据：</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7"/>
          <w:szCs w:val="27"/>
        </w:rPr>
      </w:pPr>
    </w:p>
    <w:p>
      <w:pPr>
        <w:pStyle w:val="Heading4"/>
        <w:spacing w:line="240" w:lineRule="auto"/>
        <w:ind w:left="153" w:right="0"/>
        <w:jc w:val="both"/>
        <w:rPr>
          <w:b w:val="0"/>
          <w:bCs w:val="0"/>
        </w:rPr>
      </w:pPr>
      <w:bookmarkStart w:name="11、应收款项" w:id="169"/>
      <w:bookmarkEnd w:id="169"/>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单项金额重大并单独计提坏账准备的应收款项" w:id="170"/>
      <w:bookmarkEnd w:id="17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4"/>
              <w:jc w:val="both"/>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或占应收账款账面余额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余额列前五位的其他应收 款或金额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或占其他应收款账面余额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 上的款项。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经单独进行减值测试有客观证据表明发生减值的，根据其未 来现金流量现值低于其账面价值的差额计提坏账准备；经单 独进行减值测试未发生减值的，将其划入具有类似信用风险 特征的若干组合计提坏账准备。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71"/>
      <w:bookmarkEnd w:id="17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32" w:hRule="exact"/>
        </w:trPr>
        <w:tc>
          <w:tcPr>
            <w:tcW w:w="4785" w:type="dxa"/>
            <w:tcBorders>
              <w:top w:val="nil" w:sz="6" w:space="0" w:color="auto"/>
              <w:left w:val="nil" w:sz="6" w:space="0" w:color="auto"/>
              <w:bottom w:val="single" w:sz="4" w:space="0" w:color="000000"/>
              <w:right w:val="nil" w:sz="6" w:space="0" w:color="auto"/>
            </w:tcBorders>
          </w:tcPr>
          <w:p>
            <w:pPr/>
          </w:p>
        </w:tc>
        <w:tc>
          <w:tcPr>
            <w:tcW w:w="47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pict>
          <v:group style="position:absolute;margin-left:55.200001pt;margin-top:-36.978271pt;width:485pt;height:.1pt;mso-position-horizontal-relative:page;mso-position-vertical-relative:paragraph;z-index:-855064" coordorigin="1104,-740" coordsize="9700,2">
            <v:shape style="position:absolute;left:1104;top:-740;width:9700;height:2" coordorigin="1104,-740" coordsize="9700,0" path="m1104,-740l10804,-740e" filled="false" stroked="true" strokeweight=".72pt" strokecolor="#000000">
              <v:path arrowok="t"/>
            </v:shape>
            <w10:wrap type="none"/>
          </v:group>
        </w:pict>
      </w: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60" w:lineRule="auto" w:before="116"/>
        <w:ind w:left="154" w:right="75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单项金额上重大但单独计提坏账准备的应收款项" w:id="172"/>
      <w:bookmarkEnd w:id="17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12、存货" w:id="173"/>
      <w:bookmarkEnd w:id="173"/>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154" w:right="1141" w:firstLine="420"/>
        <w:jc w:val="both"/>
      </w:pPr>
      <w:r>
        <w:rPr>
          <w:rFonts w:ascii="Times New Roman" w:hAnsi="Times New Roman" w:cs="Times New Roman" w:eastAsia="Times New Roman" w:hint="default"/>
        </w:rPr>
        <w:t>1</w:t>
      </w:r>
      <w:r>
        <w:rPr/>
        <w:t>．存货包括在日常活动中持有以备出售的产成品或商品、处在生产过程中的在产品、在生产过程或 提供劳务过程中耗用的材料和物料等。</w:t>
      </w:r>
    </w:p>
    <w:p>
      <w:pPr>
        <w:pStyle w:val="BodyText"/>
        <w:spacing w:line="256" w:lineRule="auto" w:before="22"/>
        <w:ind w:left="154" w:right="1141" w:firstLine="420"/>
        <w:jc w:val="both"/>
      </w:pPr>
      <w:r>
        <w:rPr>
          <w:rFonts w:ascii="Times New Roman" w:hAnsi="Times New Roman" w:cs="Times New Roman" w:eastAsia="Times New Roman" w:hint="default"/>
        </w:rPr>
        <w:t>2</w:t>
      </w:r>
      <w:r>
        <w:rPr/>
        <w:t>．企业取得存货按实际成本计量。外购存货的成本即为该存货的采购成本，通过进一步加工取得的 存货成本由采购成本和加工成本构成。</w:t>
      </w:r>
    </w:p>
    <w:p>
      <w:pPr>
        <w:pStyle w:val="BodyText"/>
        <w:spacing w:line="240" w:lineRule="auto" w:before="22"/>
        <w:ind w:left="574" w:right="0"/>
        <w:jc w:val="left"/>
      </w:pPr>
      <w:r>
        <w:rPr>
          <w:rFonts w:ascii="Times New Roman" w:hAnsi="Times New Roman" w:cs="Times New Roman" w:eastAsia="Times New Roman" w:hint="default"/>
        </w:rPr>
        <w:t>3</w:t>
      </w:r>
      <w:r>
        <w:rPr/>
        <w:t>．企业发出存货的成本计量采用月末一次加权平均法。</w:t>
      </w:r>
    </w:p>
    <w:p>
      <w:pPr>
        <w:pStyle w:val="BodyText"/>
        <w:spacing w:line="264" w:lineRule="auto" w:before="21"/>
        <w:ind w:left="574" w:right="6552"/>
        <w:jc w:val="left"/>
      </w:pPr>
      <w:r>
        <w:rPr>
          <w:rFonts w:ascii="Times New Roman" w:hAnsi="Times New Roman" w:cs="Times New Roman" w:eastAsia="Times New Roman" w:hint="default"/>
        </w:rPr>
        <w:t>4</w:t>
      </w:r>
      <w:r>
        <w:rPr/>
        <w:t>．低值易耗品和包装物的摊销方法 低值易耗品按照使用次数分次进行摊销。 包装物按照使用次数分次进行摊销。</w:t>
      </w:r>
    </w:p>
    <w:p>
      <w:pPr>
        <w:pStyle w:val="BodyText"/>
        <w:spacing w:line="271" w:lineRule="auto" w:before="16"/>
        <w:ind w:left="154" w:right="1130" w:firstLine="420"/>
        <w:jc w:val="both"/>
      </w:pPr>
      <w:r>
        <w:rPr>
          <w:rFonts w:ascii="Times New Roman" w:hAnsi="Times New Roman" w:cs="Times New Roman" w:eastAsia="Times New Roman" w:hint="default"/>
        </w:rPr>
        <w:t>5</w:t>
      </w:r>
      <w:r>
        <w:rPr/>
        <w:t>．资产负债表日，存货采用成本与可变现净值孰低计量，按照存货类别成本高于可变现净值的差额 </w:t>
      </w:r>
      <w:r>
        <w:rPr>
          <w:spacing w:val="-1"/>
        </w:rPr>
        <w:t>计提存货跌价准备。产成品、商品和用于出售的材料等直接用于出售的商品存货，在正常生产经营过程中</w:t>
      </w:r>
      <w:r>
        <w:rPr>
          <w:spacing w:val="-83"/>
        </w:rPr>
        <w:t> </w:t>
      </w:r>
      <w:r>
        <w:rPr>
          <w:spacing w:val="-83"/>
        </w:rPr>
      </w:r>
      <w:r>
        <w:rPr>
          <w:spacing w:val="-1"/>
        </w:rPr>
        <w:t>以该存货的估计售价减去估计的销售费用和相关税费后的金额确定其可变现净值；需要经过加工的材料存</w:t>
      </w:r>
      <w:r>
        <w:rPr>
          <w:spacing w:val="-81"/>
        </w:rPr>
        <w:t> </w:t>
      </w:r>
      <w:r>
        <w:rPr>
          <w:spacing w:val="-81"/>
        </w:rPr>
      </w:r>
      <w:r>
        <w:rPr>
          <w:spacing w:val="-1"/>
        </w:rPr>
        <w:t>货，在正常生产经营过程中以所生产的产成品的估计售价减去至完工时估计将要发生的成本、估计的销售</w:t>
      </w:r>
      <w:r>
        <w:rPr>
          <w:spacing w:val="-80"/>
        </w:rPr>
        <w:t> </w:t>
      </w:r>
      <w:r>
        <w:rPr>
          <w:spacing w:val="-80"/>
        </w:rPr>
      </w:r>
      <w:r>
        <w:rPr>
          <w:spacing w:val="-1"/>
        </w:rPr>
        <w:t>费用和相关税费后的金额确定其可变现净值；资产负债表日，同一项存货中一部分有合同价格约定、其他</w:t>
      </w:r>
      <w:r>
        <w:rPr>
          <w:spacing w:val="-83"/>
        </w:rPr>
        <w:t> </w:t>
      </w:r>
      <w:r>
        <w:rPr>
          <w:spacing w:val="-83"/>
        </w:rPr>
      </w:r>
      <w:r>
        <w:rPr>
          <w:spacing w:val="-1"/>
        </w:rPr>
        <w:t>部分不存在合同价格的，分别确定其可变现净值，并与其对应的成本进行比较，分别确定存货跌价准备的</w:t>
      </w:r>
      <w:r>
        <w:rPr>
          <w:spacing w:val="-83"/>
        </w:rPr>
        <w:t> </w:t>
      </w:r>
      <w:r>
        <w:rPr>
          <w:spacing w:val="-83"/>
        </w:rPr>
      </w:r>
      <w:r>
        <w:rPr/>
        <w:t>计提或转回的金额。</w:t>
      </w:r>
    </w:p>
    <w:p>
      <w:pPr>
        <w:pStyle w:val="BodyText"/>
        <w:spacing w:line="240" w:lineRule="auto" w:before="10"/>
        <w:ind w:left="574" w:right="0"/>
        <w:jc w:val="left"/>
      </w:pPr>
      <w:r>
        <w:rPr>
          <w:rFonts w:ascii="Times New Roman" w:hAnsi="Times New Roman" w:cs="Times New Roman" w:eastAsia="Times New Roman" w:hint="default"/>
        </w:rPr>
        <w:t>6</w:t>
      </w:r>
      <w:r>
        <w:rPr/>
        <w:t>．存货的盘存制度为永续盘存制。</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4"/>
        <w:spacing w:line="240" w:lineRule="auto" w:before="35"/>
        <w:ind w:left="153" w:right="0"/>
        <w:jc w:val="both"/>
        <w:rPr>
          <w:b w:val="0"/>
          <w:bCs w:val="0"/>
        </w:rPr>
      </w:pPr>
      <w:bookmarkStart w:name="13、划分为持有待售资产" w:id="174"/>
      <w:bookmarkEnd w:id="174"/>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4、长期股权投资" w:id="175"/>
      <w:bookmarkEnd w:id="17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4" w:right="0"/>
        <w:jc w:val="left"/>
      </w:pPr>
      <w:r>
        <w:rPr>
          <w:rFonts w:ascii="Times New Roman" w:hAnsi="Times New Roman" w:cs="Times New Roman" w:eastAsia="Times New Roman" w:hint="default"/>
        </w:rPr>
        <w:t>1</w:t>
      </w:r>
      <w:r>
        <w:rPr/>
        <w:t>．长期股权投资的投资成本的确定 </w:t>
      </w:r>
      <w:r>
        <w:rPr>
          <w:rFonts w:ascii="Times New Roman" w:hAnsi="Times New Roman" w:cs="Times New Roman" w:eastAsia="Times New Roman" w:hint="default"/>
          <w:spacing w:val="-2"/>
        </w:rPr>
        <w:t>(1)</w:t>
      </w:r>
      <w:r>
        <w:rPr>
          <w:spacing w:val="-2"/>
        </w:rPr>
        <w:t>同一控制下的企业合并形成的，合并方以支付现金、转让非现金资产、承担债务或发行权益性证券</w:t>
      </w:r>
    </w:p>
    <w:p>
      <w:pPr>
        <w:pStyle w:val="BodyText"/>
        <w:spacing w:line="273" w:lineRule="auto" w:before="5"/>
        <w:ind w:left="154" w:right="1132"/>
        <w:jc w:val="both"/>
      </w:pPr>
      <w:r>
        <w:rPr>
          <w:spacing w:val="-1"/>
        </w:rPr>
        <w:t>作为合并对价的，在合并日按取得被合并方所有者权益在最终控制方合并财务报表中的账面价值的份额作</w:t>
      </w:r>
      <w:r>
        <w:rPr>
          <w:spacing w:val="-81"/>
        </w:rPr>
        <w:t> </w:t>
      </w:r>
      <w:r>
        <w:rPr>
          <w:spacing w:val="-81"/>
        </w:rPr>
      </w:r>
      <w:r>
        <w:rPr>
          <w:spacing w:val="-1"/>
        </w:rPr>
        <w:t>为其初始投资成本。长期股权投资初始投资成本与支付的合并对价的账面价值或发行股份的面值总额之间</w:t>
      </w:r>
      <w:r>
        <w:rPr>
          <w:spacing w:val="-81"/>
        </w:rPr>
        <w:t> </w:t>
      </w:r>
      <w:r>
        <w:rPr>
          <w:spacing w:val="-81"/>
        </w:rPr>
      </w:r>
      <w:r>
        <w:rPr/>
        <w:t>的差额调整资本公积；资本公积不足冲减的，调整留存收益。</w:t>
      </w:r>
    </w:p>
    <w:p>
      <w:pPr>
        <w:pStyle w:val="BodyText"/>
        <w:spacing w:line="268" w:lineRule="auto"/>
        <w:ind w:left="154" w:right="1130" w:firstLine="420"/>
        <w:jc w:val="both"/>
      </w:pPr>
      <w:r>
        <w:rPr>
          <w:rFonts w:ascii="Times New Roman" w:hAnsi="Times New Roman" w:cs="Times New Roman" w:eastAsia="Times New Roman" w:hint="default"/>
          <w:spacing w:val="-2"/>
        </w:rPr>
        <w:t>(2)</w:t>
      </w:r>
      <w:r>
        <w:rPr>
          <w:spacing w:val="-2"/>
        </w:rPr>
        <w:t>非同一控制下的企业合并形成的，公司按照购买日确定的合并成本作为长期股权投资的初始投资成</w:t>
      </w:r>
      <w:r>
        <w:rPr>
          <w:w w:val="99"/>
        </w:rPr>
        <w:t> </w:t>
      </w:r>
      <w:r>
        <w:rPr>
          <w:spacing w:val="-1"/>
        </w:rPr>
        <w:t>本。合并成本为购买日购买方为取得对被购买方的控制权而付出的资产、发生或承担的负债以及发行的权</w:t>
      </w:r>
      <w:r>
        <w:rPr>
          <w:spacing w:val="-82"/>
        </w:rPr>
        <w:t> </w:t>
      </w:r>
      <w:r>
        <w:rPr>
          <w:spacing w:val="-82"/>
        </w:rPr>
      </w:r>
      <w:r>
        <w:rPr>
          <w:spacing w:val="-1"/>
        </w:rPr>
        <w:t>益性证券的公允价值。购买方为企业合并而发生的审计、法律服务、评估咨询等中介费用以及其他相关管</w:t>
      </w:r>
      <w:r>
        <w:rPr>
          <w:spacing w:val="-84"/>
        </w:rPr>
        <w:t> </w:t>
      </w:r>
      <w:r>
        <w:rPr>
          <w:spacing w:val="-84"/>
        </w:rPr>
      </w:r>
      <w:r>
        <w:rPr>
          <w:spacing w:val="-1"/>
        </w:rPr>
        <w:t>理费用于发生时计入当期损益；购买方作为合并对价发行的权益性证券或债务性证券的交易费用，计入权</w:t>
      </w:r>
      <w:r>
        <w:rPr>
          <w:spacing w:val="-81"/>
        </w:rPr>
        <w:t> </w:t>
      </w:r>
      <w:r>
        <w:rPr>
          <w:spacing w:val="-81"/>
        </w:rPr>
      </w:r>
      <w:r>
        <w:rPr>
          <w:spacing w:val="-1"/>
        </w:rPr>
        <w:t>益性证券或债务性证券的初始确认金额。本公司将合并协议约定的或有对价作为企业合并转移对价的一部</w:t>
      </w:r>
      <w:r>
        <w:rPr>
          <w:spacing w:val="-82"/>
        </w:rPr>
        <w:t> </w:t>
      </w:r>
      <w:r>
        <w:rPr>
          <w:spacing w:val="-82"/>
        </w:rPr>
      </w:r>
      <w:r>
        <w:rPr/>
        <w:t>分，按照其在购买日的公允价值计入企业合并成本。</w:t>
      </w:r>
    </w:p>
    <w:p>
      <w:pPr>
        <w:pStyle w:val="BodyText"/>
        <w:spacing w:line="264" w:lineRule="auto" w:before="12"/>
        <w:ind w:left="154" w:right="1128" w:firstLine="420"/>
        <w:jc w:val="both"/>
      </w:pPr>
      <w:r>
        <w:rPr>
          <w:spacing w:val="2"/>
        </w:rPr>
        <w:t>通过多次交易分步实现的非同一控制下企业合并，根据企业会计准则判断该多次交易是否属于</w:t>
      </w:r>
      <w:r>
        <w:rPr>
          <w:rFonts w:ascii="Times New Roman" w:hAnsi="Times New Roman" w:cs="Times New Roman" w:eastAsia="Times New Roman" w:hint="default"/>
          <w:spacing w:val="2"/>
        </w:rPr>
        <w:t>“</w:t>
      </w:r>
      <w:r>
        <w:rPr>
          <w:spacing w:val="2"/>
        </w:rPr>
        <w:t>一揽</w:t>
      </w:r>
      <w:r>
        <w:rPr>
          <w:spacing w:val="3"/>
        </w:rPr>
        <w:t> </w:t>
      </w:r>
      <w:r>
        <w:rPr/>
        <w:t>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w:t>
      </w:r>
      <w:r>
        <w:rPr>
          <w:spacing w:val="-85"/>
        </w:rPr>
        <w:t> </w:t>
      </w:r>
      <w:r>
        <w:rPr>
          <w:spacing w:val="-85"/>
        </w:rPr>
      </w:r>
      <w:r>
        <w:rPr/>
        <w:t>易</w:t>
      </w:r>
      <w:r>
        <w:rPr>
          <w:rFonts w:ascii="Times New Roman" w:hAnsi="Times New Roman" w:cs="Times New Roman" w:eastAsia="Times New Roman" w:hint="default"/>
        </w:rPr>
        <w:t>”</w:t>
      </w:r>
      <w:r>
        <w:rPr/>
        <w:t>的，在个别财务报表中，按照原持有被购买方的股权投资账面价值加上新增投资成本之和，作为改按</w:t>
      </w:r>
      <w:r>
        <w:rPr>
          <w:spacing w:val="-25"/>
        </w:rPr>
        <w:t> </w:t>
      </w:r>
      <w:r>
        <w:rPr>
          <w:spacing w:val="-25"/>
        </w:rPr>
      </w:r>
      <w:r>
        <w:rPr>
          <w:spacing w:val="-1"/>
        </w:rPr>
        <w:t>成本法核算的长期股权投资的初始投资成本；原持有的股权采用权益法核算的，相关其他综合收益暂不进</w:t>
      </w:r>
      <w:r>
        <w:rPr>
          <w:spacing w:val="-81"/>
        </w:rPr>
        <w:t> </w:t>
      </w:r>
      <w:r>
        <w:rPr>
          <w:spacing w:val="-81"/>
        </w:rPr>
      </w:r>
      <w:r>
        <w:rPr>
          <w:spacing w:val="-1"/>
        </w:rPr>
        <w:t>行会计处理；原持有股权投资为可供出售金融资产的，其公允价值与账面价值之间的差额，以及原计入其</w:t>
      </w:r>
      <w:r>
        <w:rPr>
          <w:spacing w:val="-83"/>
        </w:rPr>
        <w:t> </w:t>
      </w:r>
      <w:r>
        <w:rPr>
          <w:spacing w:val="-83"/>
        </w:rPr>
      </w:r>
      <w:r>
        <w:rPr/>
        <w:t>他综合收益的累计公允价值变动转入当期损益。</w:t>
      </w:r>
    </w:p>
    <w:p>
      <w:pPr>
        <w:pStyle w:val="BodyText"/>
        <w:spacing w:line="261" w:lineRule="auto" w:before="16"/>
        <w:ind w:right="1130" w:firstLine="420"/>
        <w:jc w:val="both"/>
      </w:pPr>
      <w:r>
        <w:rPr>
          <w:rFonts w:ascii="Times New Roman" w:hAnsi="Times New Roman" w:cs="Times New Roman" w:eastAsia="Times New Roman" w:hint="default"/>
          <w:spacing w:val="-2"/>
        </w:rPr>
        <w:t>(3)</w:t>
      </w:r>
      <w:r>
        <w:rPr>
          <w:spacing w:val="-2"/>
        </w:rPr>
        <w:t>除企业合并形成以外的：以支付现金取得的，按照实际支付的购买价款作为其初始投资成本；以发</w:t>
      </w:r>
      <w:r>
        <w:rPr>
          <w:w w:val="99"/>
        </w:rPr>
        <w:t> </w:t>
      </w:r>
      <w:r>
        <w:rPr>
          <w:spacing w:val="-1"/>
        </w:rPr>
        <w:t>行权益性证券取得的，按照发行权益性证券的公允价值作为其初始投资成本，与发行权益性证券直接相关</w:t>
      </w:r>
      <w:r>
        <w:rPr>
          <w:spacing w:val="-82"/>
        </w:rPr>
        <w:t> </w:t>
      </w:r>
      <w:r>
        <w:rPr>
          <w:spacing w:val="-82"/>
        </w:rPr>
      </w:r>
      <w:r>
        <w:rPr>
          <w:spacing w:val="-1"/>
        </w:rPr>
        <w:t>的费用，按照《企业会计准则第</w:t>
      </w:r>
      <w:r>
        <w:rPr>
          <w:rFonts w:ascii="Times New Roman" w:hAnsi="Times New Roman" w:cs="Times New Roman" w:eastAsia="Times New Roman" w:hint="default"/>
          <w:spacing w:val="-1"/>
        </w:rPr>
        <w:t>37</w:t>
      </w:r>
      <w:r>
        <w:rPr>
          <w:spacing w:val="-1"/>
        </w:rPr>
        <w:t>号</w:t>
      </w:r>
      <w:r>
        <w:rPr>
          <w:rFonts w:ascii="Times New Roman" w:hAnsi="Times New Roman" w:cs="Times New Roman" w:eastAsia="Times New Roman" w:hint="default"/>
          <w:spacing w:val="-1"/>
        </w:rPr>
        <w:t>——</w:t>
      </w:r>
      <w:r>
        <w:rPr>
          <w:spacing w:val="-1"/>
        </w:rPr>
        <w:t>金融工具列报》的有关规定确定；通过非货币性资产交换取得的</w:t>
      </w:r>
      <w:r>
        <w:rPr>
          <w:spacing w:val="-87"/>
        </w:rPr>
        <w:t> </w:t>
      </w:r>
      <w:r>
        <w:rPr>
          <w:spacing w:val="-87"/>
        </w:rPr>
      </w:r>
      <w:r>
        <w:rPr/>
        <w:t>长期股权投资，其初始投资成本按照《企业会计准则第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非货币性资产交换》的有关规定确定；通</w:t>
      </w:r>
      <w:r>
        <w:rPr>
          <w:spacing w:val="-29"/>
        </w:rPr>
        <w:t> </w:t>
      </w:r>
      <w:r>
        <w:rPr>
          <w:spacing w:val="-29"/>
        </w:rPr>
      </w:r>
      <w:r>
        <w:rPr>
          <w:spacing w:val="-1"/>
        </w:rPr>
        <w:t>过债务重组取得的长期股权投资，其初始投资成本按照《企业会计准则第</w:t>
      </w:r>
      <w:r>
        <w:rPr>
          <w:rFonts w:ascii="Times New Roman" w:hAnsi="Times New Roman" w:cs="Times New Roman" w:eastAsia="Times New Roman" w:hint="default"/>
          <w:spacing w:val="-1"/>
        </w:rPr>
        <w:t>12</w:t>
      </w:r>
      <w:r>
        <w:rPr>
          <w:spacing w:val="-1"/>
        </w:rPr>
        <w:t>号</w:t>
      </w:r>
      <w:r>
        <w:rPr>
          <w:rFonts w:ascii="Times New Roman" w:hAnsi="Times New Roman" w:cs="Times New Roman" w:eastAsia="Times New Roman" w:hint="default"/>
          <w:spacing w:val="-1"/>
        </w:rPr>
        <w:t>——</w:t>
      </w:r>
      <w:r>
        <w:rPr>
          <w:spacing w:val="-1"/>
        </w:rPr>
        <w:t>债务重组》的有关规定</w:t>
      </w:r>
      <w:r>
        <w:rPr>
          <w:spacing w:val="-85"/>
        </w:rPr>
        <w:t> </w:t>
      </w:r>
      <w:r>
        <w:rPr>
          <w:spacing w:val="-85"/>
        </w:rPr>
      </w:r>
      <w:r>
        <w:rPr/>
        <w:t>确定。</w:t>
      </w:r>
    </w:p>
    <w:p>
      <w:pPr>
        <w:pStyle w:val="BodyText"/>
        <w:spacing w:line="256" w:lineRule="auto" w:before="18"/>
        <w:ind w:left="573" w:right="0"/>
        <w:jc w:val="left"/>
      </w:pPr>
      <w:r>
        <w:rPr>
          <w:rFonts w:ascii="Times New Roman" w:hAnsi="Times New Roman" w:cs="Times New Roman" w:eastAsia="Times New Roman" w:hint="default"/>
        </w:rPr>
        <w:t>2</w:t>
      </w:r>
      <w:r>
        <w:rPr/>
        <w:t>．长期股权投资的后续计量及收益确认方法 </w:t>
      </w:r>
      <w:r>
        <w:rPr>
          <w:rFonts w:ascii="Times New Roman" w:hAnsi="Times New Roman" w:cs="Times New Roman" w:eastAsia="Times New Roman" w:hint="default"/>
          <w:spacing w:val="-2"/>
        </w:rPr>
        <w:t>(1)</w:t>
      </w:r>
      <w:r>
        <w:rPr>
          <w:spacing w:val="-2"/>
        </w:rPr>
        <w:t>对实施控制的长期股权投资采用成本法核算；对具有共同控制或重大影响的长期股权投资，采用权</w:t>
      </w:r>
    </w:p>
    <w:p>
      <w:pPr>
        <w:pStyle w:val="BodyText"/>
        <w:spacing w:line="240" w:lineRule="auto" w:before="5"/>
        <w:ind w:right="0"/>
        <w:jc w:val="both"/>
      </w:pPr>
      <w:r>
        <w:rPr/>
        <w:t>益法核算。</w:t>
      </w:r>
    </w:p>
    <w:p>
      <w:pPr>
        <w:pStyle w:val="BodyText"/>
        <w:spacing w:line="264" w:lineRule="auto" w:before="37"/>
        <w:ind w:left="154" w:right="1131" w:firstLine="420"/>
        <w:jc w:val="both"/>
      </w:pPr>
      <w:r>
        <w:rPr>
          <w:rFonts w:ascii="Times New Roman" w:hAnsi="Times New Roman" w:cs="Times New Roman" w:eastAsia="Times New Roman" w:hint="default"/>
          <w:spacing w:val="-2"/>
        </w:rPr>
        <w:t>(2)</w:t>
      </w:r>
      <w:r>
        <w:rPr>
          <w:spacing w:val="-2"/>
        </w:rPr>
        <w:t>采用成本法核算的长期股权投资按照初始投资成本计价。追加或收回投资应当调整长期股权投资的</w:t>
      </w:r>
      <w:r>
        <w:rPr>
          <w:w w:val="99"/>
        </w:rPr>
        <w:t> </w:t>
      </w:r>
      <w:r>
        <w:rPr>
          <w:spacing w:val="-1"/>
        </w:rPr>
        <w:t>成本。除取得投资时实际支付的价款或对价中包含的已宣告发放的现金股利或利润外，被投资单位宣告分</w:t>
      </w:r>
      <w:r>
        <w:rPr>
          <w:spacing w:val="-82"/>
        </w:rPr>
        <w:t> </w:t>
      </w:r>
      <w:r>
        <w:rPr>
          <w:spacing w:val="-82"/>
        </w:rPr>
      </w:r>
      <w:r>
        <w:rPr/>
        <w:t>派的现金股利或利润，确认为当期投资收益。</w:t>
      </w:r>
    </w:p>
    <w:p>
      <w:pPr>
        <w:pStyle w:val="BodyText"/>
        <w:spacing w:line="271" w:lineRule="auto" w:before="16"/>
        <w:ind w:left="154" w:right="1131" w:firstLine="420"/>
        <w:jc w:val="both"/>
      </w:pPr>
      <w:r>
        <w:rPr>
          <w:rFonts w:ascii="Times New Roman" w:hAnsi="Times New Roman" w:cs="Times New Roman" w:eastAsia="Times New Roman" w:hint="default"/>
          <w:spacing w:val="2"/>
        </w:rPr>
        <w:t>(3)</w:t>
      </w:r>
      <w:r>
        <w:rPr>
          <w:spacing w:val="2"/>
        </w:rPr>
        <w:t>采用权益法核算的长期股权投资的初始投资成本大于投资时应享有被投资单位可辨认净资产公允</w:t>
      </w:r>
      <w:r>
        <w:rPr>
          <w:w w:val="99"/>
        </w:rPr>
        <w:t> </w:t>
      </w:r>
      <w:r>
        <w:rPr>
          <w:spacing w:val="-1"/>
        </w:rPr>
        <w:t>价值份额的，不调整长期股权投资的初始投资成本；长期股权投资的初始投资成本小于投资时应享有被投</w:t>
      </w:r>
      <w:r>
        <w:rPr>
          <w:spacing w:val="-82"/>
        </w:rPr>
        <w:t> </w:t>
      </w:r>
      <w:r>
        <w:rPr>
          <w:spacing w:val="-82"/>
        </w:rPr>
      </w:r>
      <w:r>
        <w:rPr>
          <w:spacing w:val="-1"/>
        </w:rPr>
        <w:t>资单位可辨认净资产公允价值份额的，其差额应当计入当期损益，同时调整长期股权投资的成本。取得长</w:t>
      </w:r>
      <w:r>
        <w:rPr>
          <w:spacing w:val="-84"/>
        </w:rPr>
        <w:t> </w:t>
      </w:r>
      <w:r>
        <w:rPr>
          <w:spacing w:val="-84"/>
        </w:rPr>
      </w:r>
      <w:r>
        <w:rPr>
          <w:spacing w:val="-1"/>
        </w:rPr>
        <w:t>期股权投资后，按照应享有或应分担的被投资单位实现的净损益和其他综合收益的份额，分别确认投资收</w:t>
      </w:r>
      <w:r>
        <w:rPr>
          <w:spacing w:val="-82"/>
        </w:rPr>
        <w:t> </w:t>
      </w:r>
      <w:r>
        <w:rPr>
          <w:spacing w:val="-82"/>
        </w:rPr>
      </w:r>
      <w:r>
        <w:rPr>
          <w:spacing w:val="-1"/>
        </w:rPr>
        <w:t>益和其他综合收益，同时调整长期股权投资的账面价值；在确认应享有被投资单位净损益的份额时，以取</w:t>
      </w:r>
      <w:r>
        <w:rPr>
          <w:spacing w:val="-84"/>
        </w:rPr>
        <w:t> </w:t>
      </w:r>
      <w:r>
        <w:rPr>
          <w:spacing w:val="-84"/>
        </w:rPr>
      </w:r>
      <w:r>
        <w:rPr>
          <w:spacing w:val="-1"/>
        </w:rPr>
        <w:t>得投资时被投资单位各项可辨认资产等的公允价值为基础，对被投资单位的净利润进行调整后确认。按照</w:t>
      </w:r>
      <w:r>
        <w:rPr>
          <w:spacing w:val="-82"/>
        </w:rPr>
        <w:t> </w:t>
      </w:r>
      <w:r>
        <w:rPr>
          <w:spacing w:val="-82"/>
        </w:rPr>
      </w:r>
      <w:r>
        <w:rPr>
          <w:spacing w:val="-1"/>
        </w:rPr>
        <w:t>被投资单位宣告分派的利润或现金股利计算应享有的部分，相应减少长期股权投资的账面价值；对于被投</w:t>
      </w:r>
      <w:r>
        <w:rPr>
          <w:spacing w:val="-82"/>
        </w:rPr>
        <w:t> </w:t>
      </w:r>
      <w:r>
        <w:rPr>
          <w:spacing w:val="-82"/>
        </w:rPr>
      </w:r>
      <w:r>
        <w:rPr>
          <w:spacing w:val="-1"/>
        </w:rPr>
        <w:t>资单位除净损益、其他综合收益和利润分配以外所有者权益的其他变动，调整长期股权投资的账面价值并</w:t>
      </w:r>
      <w:r>
        <w:rPr>
          <w:spacing w:val="-82"/>
        </w:rPr>
        <w:t> </w:t>
      </w:r>
      <w:r>
        <w:rPr>
          <w:spacing w:val="-82"/>
        </w:rPr>
      </w:r>
      <w:r>
        <w:rPr>
          <w:spacing w:val="-1"/>
        </w:rPr>
        <w:t>计入所有者权益。被投资单位采用的会计政策及会计期间与公司不一致的，按照公司的会计政策及会计期</w:t>
      </w:r>
      <w:r>
        <w:rPr>
          <w:spacing w:val="-82"/>
        </w:rPr>
        <w:t> </w:t>
      </w:r>
      <w:r>
        <w:rPr>
          <w:spacing w:val="-82"/>
        </w:rPr>
      </w:r>
      <w:r>
        <w:rPr>
          <w:spacing w:val="-1"/>
        </w:rPr>
        <w:t>间对被投资单位的财务报表进行调整，并据以确认投资损益和其他综合收益等。公司与联营企业及合营企</w:t>
      </w:r>
      <w:r>
        <w:rPr>
          <w:spacing w:val="-82"/>
        </w:rPr>
        <w:t> </w:t>
      </w:r>
      <w:r>
        <w:rPr>
          <w:spacing w:val="-82"/>
        </w:rPr>
      </w:r>
      <w:r>
        <w:rPr/>
        <w:t>业之间发生的未实现内部交易损益予以抵销。</w:t>
      </w:r>
    </w:p>
    <w:p>
      <w:pPr>
        <w:spacing w:after="0" w:line="271"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6" w:lineRule="auto" w:before="35"/>
        <w:ind w:right="1131" w:firstLine="420"/>
        <w:jc w:val="both"/>
      </w:pPr>
      <w:r>
        <w:rPr>
          <w:rFonts w:ascii="Times New Roman" w:hAnsi="Times New Roman" w:cs="Times New Roman" w:eastAsia="Times New Roman" w:hint="default"/>
          <w:spacing w:val="-2"/>
        </w:rPr>
        <w:t>(4)</w:t>
      </w:r>
      <w:r>
        <w:rPr>
          <w:spacing w:val="-2"/>
        </w:rPr>
        <w:t>公司因追加投资等原因对非同一控制下的被投资单位实施控制的，在个别财务报表中，按照原持有</w:t>
      </w:r>
      <w:r>
        <w:rPr>
          <w:w w:val="99"/>
        </w:rPr>
        <w:t> </w:t>
      </w:r>
      <w:r>
        <w:rPr>
          <w:spacing w:val="-1"/>
        </w:rPr>
        <w:t>的股权投资账面价值加上新增投资成本之和，作为改按成本法核算的初始投资成本。购买日之前持有的股</w:t>
      </w:r>
      <w:r>
        <w:rPr>
          <w:spacing w:val="-82"/>
        </w:rPr>
        <w:t> </w:t>
      </w:r>
      <w:r>
        <w:rPr>
          <w:spacing w:val="-82"/>
        </w:rPr>
      </w:r>
      <w:r>
        <w:rPr>
          <w:spacing w:val="-1"/>
        </w:rPr>
        <w:t>权采用权益法核算的，相关其他综合收益在处置该项投资时采用与被投资单位直接处置相关资产或负债相</w:t>
      </w:r>
      <w:r>
        <w:rPr>
          <w:spacing w:val="-82"/>
        </w:rPr>
        <w:t> </w:t>
      </w:r>
      <w:r>
        <w:rPr>
          <w:spacing w:val="-82"/>
        </w:rPr>
      </w:r>
      <w:r>
        <w:rPr>
          <w:spacing w:val="-1"/>
        </w:rPr>
        <w:t>同的基础进行会计处理，因被投资方除净损益、其他综合收益和利润分配以外的其他所有者权益变动而确</w:t>
      </w:r>
      <w:r>
        <w:rPr>
          <w:spacing w:val="-82"/>
        </w:rPr>
        <w:t> </w:t>
      </w:r>
      <w:r>
        <w:rPr>
          <w:spacing w:val="-82"/>
        </w:rPr>
      </w:r>
      <w:r>
        <w:rPr>
          <w:spacing w:val="-1"/>
        </w:rPr>
        <w:t>认的所有者权益，在处置该项投资时相应转入处置期间的当期损益。其中，处置后的剩余股权采用成本法</w:t>
      </w:r>
      <w:r>
        <w:rPr>
          <w:spacing w:val="-84"/>
        </w:rPr>
        <w:t> </w:t>
      </w:r>
      <w:r>
        <w:rPr>
          <w:spacing w:val="-84"/>
        </w:rPr>
      </w:r>
      <w:r>
        <w:rPr>
          <w:spacing w:val="-1"/>
        </w:rPr>
        <w:t>或权益法核算的，其他综合收益和其他所有者权益按比例结转，处置后的剩余股权改按《企业会计准则第</w:t>
      </w:r>
      <w:r>
        <w:rPr>
          <w:spacing w:val="-84"/>
        </w:rPr>
        <w:t> </w:t>
      </w:r>
      <w:r>
        <w:rPr>
          <w:spacing w:val="-84"/>
        </w:rPr>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金融工具确认和计量》进行会计处理的，其他综合收益和其他所有者权益全部结转。购买日之前</w:t>
      </w:r>
      <w:r>
        <w:rPr>
          <w:spacing w:val="-85"/>
        </w:rPr>
        <w:t> </w:t>
      </w:r>
      <w:r>
        <w:rPr>
          <w:spacing w:val="-85"/>
        </w:rPr>
      </w:r>
      <w:r>
        <w:rPr>
          <w:spacing w:val="-1"/>
        </w:rPr>
        <w:t>持有的股权投资采用《企业会计准则第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金融工具确认和计量》进行会计处理的，原持有股权的公</w:t>
      </w:r>
      <w:r>
        <w:rPr>
          <w:spacing w:val="-84"/>
        </w:rPr>
        <w:t> </w:t>
      </w:r>
      <w:r>
        <w:rPr>
          <w:spacing w:val="-84"/>
        </w:rPr>
      </w:r>
      <w:r>
        <w:rPr>
          <w:spacing w:val="3"/>
        </w:rPr>
        <w:t>允价值与账面价值之间的差额以及原计入其他综合收益的累计公允价值变动全部转入改按成本法核算的</w:t>
      </w:r>
      <w:r>
        <w:rPr>
          <w:spacing w:val="-82"/>
        </w:rPr>
        <w:t> </w:t>
      </w:r>
      <w:r>
        <w:rPr>
          <w:spacing w:val="-82"/>
        </w:rPr>
      </w:r>
      <w:r>
        <w:rPr/>
        <w:t>当期投资收益。</w:t>
      </w:r>
    </w:p>
    <w:p>
      <w:pPr>
        <w:pStyle w:val="BodyText"/>
        <w:spacing w:line="264" w:lineRule="auto" w:before="14"/>
        <w:ind w:right="1131" w:firstLine="420"/>
        <w:jc w:val="both"/>
      </w:pPr>
      <w:r>
        <w:rPr>
          <w:rFonts w:ascii="Times New Roman" w:hAnsi="Times New Roman" w:cs="Times New Roman" w:eastAsia="Times New Roman" w:hint="default"/>
          <w:spacing w:val="-2"/>
        </w:rPr>
        <w:t>(5)</w:t>
      </w:r>
      <w:r>
        <w:rPr>
          <w:spacing w:val="-2"/>
        </w:rPr>
        <w:t>公司因处置部分股权投资或其他原因丧失了对原有子公司控制权的，在个别财务报表中，对于处置</w:t>
      </w:r>
      <w:r>
        <w:rPr>
          <w:w w:val="99"/>
        </w:rPr>
        <w:t> </w:t>
      </w:r>
      <w:r>
        <w:rPr/>
        <w:t>的股权按照《企业会计准则第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长期股权投资》的相关规定进行会计处理；处置后的剩余股权能够</w:t>
      </w:r>
      <w:r>
        <w:rPr>
          <w:spacing w:val="-34"/>
        </w:rPr>
        <w:t> </w:t>
      </w:r>
      <w:r>
        <w:rPr>
          <w:spacing w:val="-34"/>
        </w:rPr>
      </w:r>
      <w:r>
        <w:rPr>
          <w:spacing w:val="-1"/>
        </w:rPr>
        <w:t>对被投资单位实施共同控制或施加重大影响的，改按权益法核算，并对该剩余股权视同自取得时即采用权</w:t>
      </w:r>
      <w:r>
        <w:rPr>
          <w:spacing w:val="-82"/>
        </w:rPr>
        <w:t> </w:t>
      </w:r>
      <w:r>
        <w:rPr>
          <w:spacing w:val="-82"/>
        </w:rPr>
      </w:r>
      <w:r>
        <w:rPr>
          <w:spacing w:val="-1"/>
        </w:rPr>
        <w:t>益法核算进行调整；处置后的剩余股权不能对被投资单位实施共同控制或施加重大影响的，改按《企业会</w:t>
      </w:r>
      <w:r>
        <w:rPr>
          <w:spacing w:val="-84"/>
        </w:rPr>
        <w:t> </w:t>
      </w:r>
      <w:r>
        <w:rPr>
          <w:spacing w:val="-84"/>
        </w:rPr>
      </w:r>
      <w:r>
        <w:rPr>
          <w:spacing w:val="-1"/>
        </w:rPr>
        <w:t>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金融工具确认和计量》的有关规定进行会计处理，其在丧失控制之日的公允价值与账面</w:t>
      </w:r>
      <w:r>
        <w:rPr>
          <w:spacing w:val="-82"/>
        </w:rPr>
        <w:t> </w:t>
      </w:r>
      <w:r>
        <w:rPr>
          <w:spacing w:val="-82"/>
        </w:rPr>
      </w:r>
      <w:r>
        <w:rPr/>
        <w:t>价值间的差额计入当期损益。</w:t>
      </w:r>
    </w:p>
    <w:p>
      <w:pPr>
        <w:pStyle w:val="BodyText"/>
        <w:spacing w:line="256" w:lineRule="auto" w:before="16"/>
        <w:ind w:left="574" w:right="0"/>
        <w:jc w:val="left"/>
      </w:pPr>
      <w:r>
        <w:rPr>
          <w:rFonts w:ascii="Times New Roman" w:hAnsi="Times New Roman" w:cs="Times New Roman" w:eastAsia="Times New Roman" w:hint="default"/>
        </w:rPr>
        <w:t>3</w:t>
      </w:r>
      <w:r>
        <w:rPr/>
        <w:t>．确定对被投资单位具有共同控制、重大影响的依据 </w:t>
      </w:r>
      <w:r>
        <w:rPr>
          <w:spacing w:val="-1"/>
        </w:rPr>
        <w:t>按照相关约定对某项安排所共有的控制，并且该安排的相关活动必须经过分享控制权的参与方一致同</w:t>
      </w:r>
    </w:p>
    <w:p>
      <w:pPr>
        <w:pStyle w:val="BodyText"/>
        <w:spacing w:line="273" w:lineRule="auto" w:before="22"/>
        <w:ind w:left="154" w:right="1131"/>
        <w:jc w:val="both"/>
      </w:pPr>
      <w:r>
        <w:rPr>
          <w:spacing w:val="-1"/>
        </w:rPr>
        <w:t>意后才能决策，认定为共同控制；对被投资单位的财务和经营政策有参与决策的权力，但并不能够控制或</w:t>
      </w:r>
      <w:r>
        <w:rPr>
          <w:spacing w:val="-83"/>
        </w:rPr>
        <w:t> </w:t>
      </w:r>
      <w:r>
        <w:rPr>
          <w:spacing w:val="-83"/>
        </w:rPr>
      </w:r>
      <w:r>
        <w:rPr/>
        <w:t>者与其他方一起共同控制这些政策的制定的，认定为重大影响。</w:t>
      </w:r>
    </w:p>
    <w:p>
      <w:pPr>
        <w:pStyle w:val="BodyText"/>
        <w:spacing w:line="256" w:lineRule="auto"/>
        <w:ind w:left="574" w:right="0"/>
        <w:jc w:val="left"/>
      </w:pPr>
      <w:r>
        <w:rPr>
          <w:rFonts w:ascii="Times New Roman" w:hAnsi="Times New Roman" w:cs="Times New Roman" w:eastAsia="Times New Roman" w:hint="default"/>
        </w:rPr>
        <w:t>4</w:t>
      </w:r>
      <w:r>
        <w:rPr/>
        <w:t>．长期股权投资减值测试及减值准备计提方法 </w:t>
      </w:r>
      <w:r>
        <w:rPr>
          <w:spacing w:val="-1"/>
        </w:rPr>
        <w:t>资产负债表日，关注长期股权投资的账面价值是否大于享有被投资单位所有者权益账面价值的份额等</w:t>
      </w:r>
    </w:p>
    <w:p>
      <w:pPr>
        <w:pStyle w:val="BodyText"/>
        <w:spacing w:line="264" w:lineRule="auto" w:before="23"/>
        <w:ind w:left="154" w:right="1131"/>
        <w:jc w:val="both"/>
      </w:pPr>
      <w:r>
        <w:rPr/>
        <w:t>类似情况。出现类似情况时，按照《企业会计准则第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资产减值》对长期股权投资进行减值测试。</w:t>
      </w:r>
      <w:r>
        <w:rPr>
          <w:spacing w:val="-31"/>
        </w:rPr>
        <w:t> </w:t>
      </w:r>
      <w:r>
        <w:rPr>
          <w:spacing w:val="-31"/>
        </w:rPr>
      </w:r>
      <w:r>
        <w:rPr>
          <w:spacing w:val="-1"/>
        </w:rPr>
        <w:t>如果可收回金额的计量结果表明，该长期股权投资的可收回金额低于其账面价值的，将差额确认为减值损</w:t>
      </w:r>
      <w:r>
        <w:rPr>
          <w:spacing w:val="-81"/>
        </w:rPr>
        <w:t> </w:t>
      </w:r>
      <w:r>
        <w:rPr>
          <w:spacing w:val="-81"/>
        </w:rPr>
      </w:r>
      <w:r>
        <w:rPr/>
        <w:t>失，计提长期股权投资减值准备。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4"/>
        <w:ind w:right="0"/>
        <w:jc w:val="both"/>
        <w:rPr>
          <w:b w:val="0"/>
          <w:bCs w:val="0"/>
        </w:rPr>
      </w:pPr>
      <w:bookmarkStart w:name="15、投资性房地产" w:id="176"/>
      <w:bookmarkEnd w:id="17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1"/>
        <w:rPr>
          <w:rFonts w:ascii="宋体" w:hAnsi="宋体" w:cs="宋体" w:eastAsia="宋体" w:hint="default"/>
          <w:sz w:val="20"/>
          <w:szCs w:val="20"/>
        </w:rPr>
      </w:pPr>
    </w:p>
    <w:p>
      <w:pPr>
        <w:pStyle w:val="Heading4"/>
        <w:spacing w:line="240" w:lineRule="auto"/>
        <w:ind w:right="0"/>
        <w:jc w:val="both"/>
        <w:rPr>
          <w:b w:val="0"/>
          <w:bCs w:val="0"/>
        </w:rPr>
      </w:pPr>
      <w:bookmarkStart w:name="16、固定资产" w:id="177"/>
      <w:bookmarkEnd w:id="17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确认条件" w:id="178"/>
      <w:bookmarkEnd w:id="17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spacing w:line="307" w:lineRule="auto" w:before="0"/>
        <w:ind w:left="153" w:right="1129" w:firstLine="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．固定资产确认条件固定资产是指同时具有下列特征的有形资产：</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为生产商品、提供劳务、出租或经营管理持有的；</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pacing w:val="-3"/>
          <w:sz w:val="18"/>
          <w:szCs w:val="18"/>
        </w:rPr>
        <w:t>使用寿命超过一个会计年度。固定资产同时满足下列条件的予以确认：</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与该固定资产有关的经济利益很可能流入企业；</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pacing w:val="-2"/>
          <w:sz w:val="18"/>
          <w:szCs w:val="18"/>
        </w:rPr>
        <w:t>该固定资产的成本能够可靠地计量。与固定资产有关的后续支出，符合上述确认条件的，计入固定资产成本；不符合上述确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认条件的，发生时计入当期损益。</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．固定资产的初始计量固定资产按照成本进行初始计量</w:t>
      </w:r>
    </w:p>
    <w:p>
      <w:pPr>
        <w:spacing w:after="0" w:line="30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2）折旧方法" w:id="179"/>
      <w:bookmarkEnd w:id="17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4.75-4.50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19.00-18.00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19.00-18.00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19.00-18.00</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融资租入固定资产的认定依据、计价和折旧方法" w:id="180"/>
      <w:bookmarkEnd w:id="18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7、在建工程" w:id="181"/>
      <w:bookmarkEnd w:id="18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154" w:right="1141" w:firstLine="420"/>
        <w:jc w:val="both"/>
      </w:pPr>
      <w:r>
        <w:rPr>
          <w:rFonts w:ascii="Times New Roman" w:hAnsi="Times New Roman" w:cs="Times New Roman" w:eastAsia="Times New Roman" w:hint="default"/>
        </w:rPr>
        <w:t>1</w:t>
      </w:r>
      <w:r>
        <w:rPr/>
        <w:t>．在建工程同时满足经济利益很可能流入、成本能够可靠地计量则予以确认。在建工程按建造该项 资产达到预定可使用状态前所发生的实际成本计量。</w:t>
      </w:r>
    </w:p>
    <w:p>
      <w:pPr>
        <w:pStyle w:val="BodyText"/>
        <w:spacing w:line="264" w:lineRule="auto" w:before="22"/>
        <w:ind w:left="154" w:right="1131" w:firstLine="420"/>
        <w:jc w:val="both"/>
      </w:pPr>
      <w:r>
        <w:rPr>
          <w:rFonts w:ascii="Times New Roman" w:hAnsi="Times New Roman" w:cs="Times New Roman" w:eastAsia="Times New Roman" w:hint="default"/>
        </w:rPr>
        <w:t>2</w:t>
      </w:r>
      <w:r>
        <w:rPr/>
        <w:t>．在建工程达到预定可使用状态时，按工程实际成本转入固定资产。已达到预定可使用状态但尚未 </w:t>
      </w:r>
      <w:r>
        <w:rPr>
          <w:spacing w:val="-1"/>
        </w:rPr>
        <w:t>办理竣工结算的，先按估计价值转入固定资产，待办理竣工决算后再按实际成本调整原暂估价值，但不再</w:t>
      </w:r>
      <w:r>
        <w:rPr>
          <w:spacing w:val="-83"/>
        </w:rPr>
        <w:t> </w:t>
      </w:r>
      <w:r>
        <w:rPr>
          <w:spacing w:val="-83"/>
        </w:rPr>
      </w:r>
      <w:r>
        <w:rPr/>
        <w:t>调整原已计提的折旧。</w:t>
      </w:r>
    </w:p>
    <w:p>
      <w:pPr>
        <w:pStyle w:val="BodyText"/>
        <w:spacing w:line="256" w:lineRule="auto" w:before="16"/>
        <w:ind w:left="154" w:right="1141" w:firstLine="420"/>
        <w:jc w:val="both"/>
      </w:pPr>
      <w:r>
        <w:rPr>
          <w:rFonts w:ascii="Times New Roman" w:hAnsi="Times New Roman" w:cs="Times New Roman" w:eastAsia="Times New Roman" w:hint="default"/>
        </w:rPr>
        <w:t>3</w:t>
      </w:r>
      <w:r>
        <w:rPr/>
        <w:t>．资产负债表日，有迹象表明在建工程发生减值的，按单项资产的可收回金额低于其账面价值的差 额计提在建工程减值准备。上述资产减值损失一经确认，在以后会计期间不再转回。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1"/>
        <w:ind w:right="0"/>
        <w:jc w:val="left"/>
        <w:rPr>
          <w:b w:val="0"/>
          <w:bCs w:val="0"/>
        </w:rPr>
      </w:pPr>
      <w:bookmarkStart w:name="18、借款费用" w:id="182"/>
      <w:bookmarkEnd w:id="182"/>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jc w:val="left"/>
      </w:pPr>
      <w:r>
        <w:rPr>
          <w:rFonts w:ascii="Times New Roman" w:hAnsi="Times New Roman" w:cs="Times New Roman" w:eastAsia="Times New Roman" w:hint="default"/>
        </w:rPr>
        <w:t>1</w:t>
      </w:r>
      <w:r>
        <w:rPr/>
        <w:t>．借款费用资本化的确认原则 </w:t>
      </w:r>
      <w:r>
        <w:rPr>
          <w:spacing w:val="-1"/>
        </w:rPr>
        <w:t>公司发生的借款费用，可直接归属于符合资本化条件的资产的购建或者生产的，予以资本化，计入相</w:t>
      </w:r>
    </w:p>
    <w:p>
      <w:pPr>
        <w:pStyle w:val="BodyText"/>
        <w:spacing w:line="264" w:lineRule="auto" w:before="22"/>
        <w:ind w:left="573" w:right="1123" w:hanging="420"/>
        <w:jc w:val="left"/>
      </w:pPr>
      <w:r>
        <w:rPr/>
        <w:t>关资产成本；其他借款费用，在发生时根据其发生额确认为费用，计入当期损益。 </w:t>
      </w:r>
      <w:r>
        <w:rPr>
          <w:rFonts w:ascii="Times New Roman" w:hAnsi="Times New Roman" w:cs="Times New Roman" w:eastAsia="Times New Roman" w:hint="default"/>
        </w:rPr>
        <w:t>2</w:t>
      </w:r>
      <w:r>
        <w:rPr/>
        <w:t>．借款费用资本化期间 </w:t>
      </w:r>
      <w:r>
        <w:rPr>
          <w:rFonts w:ascii="Times New Roman" w:hAnsi="Times New Roman" w:cs="Times New Roman" w:eastAsia="Times New Roman" w:hint="default"/>
        </w:rPr>
        <w:t>(1)</w:t>
      </w:r>
      <w:r>
        <w:rPr/>
        <w:t>当同时满足下列条件时，开始资本化：</w:t>
      </w:r>
      <w:r>
        <w:rPr>
          <w:rFonts w:ascii="Times New Roman" w:hAnsi="Times New Roman" w:cs="Times New Roman" w:eastAsia="Times New Roman" w:hint="default"/>
        </w:rPr>
        <w:t>1)</w:t>
      </w:r>
      <w:r>
        <w:rPr/>
        <w:t>资产支出已经发生；</w:t>
      </w:r>
      <w:r>
        <w:rPr>
          <w:rFonts w:ascii="Times New Roman" w:hAnsi="Times New Roman" w:cs="Times New Roman" w:eastAsia="Times New Roman" w:hint="default"/>
        </w:rPr>
        <w:t>2)</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为使资产达</w:t>
      </w:r>
    </w:p>
    <w:p>
      <w:pPr>
        <w:pStyle w:val="BodyText"/>
        <w:spacing w:line="273" w:lineRule="exact" w:before="0"/>
        <w:ind w:right="0"/>
        <w:jc w:val="left"/>
      </w:pPr>
      <w:r>
        <w:rPr/>
        <w:t>到预定可使用或可销售状态所必要的购建或者生产活动已经开始。</w:t>
      </w:r>
    </w:p>
    <w:p>
      <w:pPr>
        <w:pStyle w:val="BodyText"/>
        <w:spacing w:line="256" w:lineRule="auto" w:before="37"/>
        <w:ind w:right="1132" w:firstLine="420"/>
        <w:jc w:val="both"/>
      </w:pPr>
      <w:r>
        <w:rPr>
          <w:rFonts w:ascii="Times New Roman" w:hAnsi="Times New Roman" w:cs="Times New Roman" w:eastAsia="Times New Roman" w:hint="default"/>
          <w:spacing w:val="-2"/>
        </w:rPr>
        <w:t>(2)</w:t>
      </w:r>
      <w:r>
        <w:rPr>
          <w:spacing w:val="-2"/>
        </w:rPr>
        <w:t>暂停资本化：若符合资本化条件的资产在购建或者生产过程中发生非正常中断，并且中断时间连续</w:t>
      </w:r>
      <w:r>
        <w:rPr>
          <w:w w:val="99"/>
        </w:rPr>
        <w:t> </w:t>
      </w:r>
      <w:r>
        <w:rPr/>
        <w:t>超过</w:t>
      </w:r>
      <w:r>
        <w:rPr>
          <w:rFonts w:ascii="Times New Roman" w:hAnsi="Times New Roman" w:cs="Times New Roman" w:eastAsia="Times New Roman" w:hint="default"/>
        </w:rPr>
        <w:t>3</w:t>
      </w:r>
      <w:r>
        <w:rPr/>
        <w:t>个月，暂停借款费用的资本化；中断期间发生的借款费用确认为当期费用，直至资产的购建或者生</w:t>
      </w:r>
      <w:r>
        <w:rPr>
          <w:spacing w:val="-34"/>
        </w:rPr>
        <w:t> </w:t>
      </w:r>
      <w:r>
        <w:rPr>
          <w:spacing w:val="-34"/>
        </w:rPr>
      </w:r>
      <w:r>
        <w:rPr/>
        <w:t>产活动重新开始。</w:t>
      </w:r>
    </w:p>
    <w:p>
      <w:pPr>
        <w:pStyle w:val="BodyText"/>
        <w:spacing w:line="256" w:lineRule="auto" w:before="22"/>
        <w:ind w:right="1132" w:firstLine="420"/>
        <w:jc w:val="both"/>
      </w:pPr>
      <w:r>
        <w:rPr>
          <w:rFonts w:ascii="Times New Roman" w:hAnsi="Times New Roman" w:cs="Times New Roman" w:eastAsia="Times New Roman" w:hint="default"/>
          <w:spacing w:val="-2"/>
        </w:rPr>
        <w:t>(3)</w:t>
      </w:r>
      <w:r>
        <w:rPr>
          <w:spacing w:val="-2"/>
        </w:rPr>
        <w:t>停止资本化：当所购建或者生产符合资本化条件的资产达到预定可使用或者可销售状态时，借款费</w:t>
      </w:r>
      <w:r>
        <w:rPr>
          <w:w w:val="99"/>
        </w:rPr>
        <w:t> </w:t>
      </w:r>
      <w:r>
        <w:rPr/>
        <w:t>用停止资本化。</w:t>
      </w:r>
    </w:p>
    <w:p>
      <w:pPr>
        <w:pStyle w:val="BodyText"/>
        <w:spacing w:line="256" w:lineRule="auto" w:before="22"/>
        <w:ind w:left="573" w:right="0"/>
        <w:jc w:val="left"/>
      </w:pPr>
      <w:r>
        <w:rPr>
          <w:rFonts w:ascii="Times New Roman" w:hAnsi="Times New Roman" w:cs="Times New Roman" w:eastAsia="Times New Roman" w:hint="default"/>
        </w:rPr>
        <w:t>3</w:t>
      </w:r>
      <w:r>
        <w:rPr/>
        <w:t>．借款费用资本化金额 </w:t>
      </w:r>
      <w:r>
        <w:rPr>
          <w:spacing w:val="-3"/>
        </w:rPr>
        <w:t>为购建或者生产符合资本化条件的资产而借入专门借款的，以专门借款当期实际发生的利息费用</w:t>
      </w:r>
      <w:r>
        <w:rPr>
          <w:rFonts w:ascii="Times New Roman" w:hAnsi="Times New Roman" w:cs="Times New Roman" w:eastAsia="Times New Roman" w:hint="default"/>
          <w:spacing w:val="-3"/>
        </w:rPr>
        <w:t>(</w:t>
      </w:r>
      <w:r>
        <w:rPr>
          <w:spacing w:val="-3"/>
        </w:rPr>
        <w:t>包括</w:t>
      </w:r>
    </w:p>
    <w:p>
      <w:pPr>
        <w:pStyle w:val="BodyText"/>
        <w:spacing w:line="264" w:lineRule="auto" w:before="5"/>
        <w:ind w:right="1130"/>
        <w:jc w:val="both"/>
      </w:pPr>
      <w:r>
        <w:rPr>
          <w:spacing w:val="-2"/>
        </w:rPr>
        <w:t>按照实际利率法确定的折价或溢价的摊销</w:t>
      </w:r>
      <w:r>
        <w:rPr>
          <w:rFonts w:ascii="Times New Roman" w:hAnsi="Times New Roman" w:cs="Times New Roman" w:eastAsia="Times New Roman" w:hint="default"/>
          <w:spacing w:val="-2"/>
        </w:rPr>
        <w:t>)</w:t>
      </w:r>
      <w:r>
        <w:rPr>
          <w:spacing w:val="-2"/>
        </w:rPr>
        <w:t>，减去将尚未动用的借款资金存入银行取得的利息收入或进行暂</w:t>
      </w:r>
      <w:r>
        <w:rPr/>
        <w:t> </w:t>
      </w:r>
      <w:r>
        <w:rPr>
          <w:spacing w:val="-1"/>
        </w:rPr>
        <w:t>时性投资取得的投资收益后的金额，确定应予资本化的利息金额；为购建或者生产符合资本化条件的资产</w:t>
      </w:r>
      <w:r>
        <w:rPr>
          <w:spacing w:val="-81"/>
        </w:rPr>
        <w:t> </w:t>
      </w:r>
      <w:r>
        <w:rPr>
          <w:spacing w:val="-81"/>
        </w:rPr>
      </w:r>
      <w:r>
        <w:rPr>
          <w:spacing w:val="-1"/>
        </w:rPr>
        <w:t>占用了一般借款的，根据累计资产支出超过专门借款的资产支出加权平均数乘以占用一般借款的资本化率</w:t>
      </w:r>
      <w:r>
        <w:rPr>
          <w:spacing w:val="-81"/>
        </w:rPr>
        <w:t> </w:t>
      </w:r>
      <w:r>
        <w:rPr>
          <w:spacing w:val="-81"/>
        </w:rPr>
      </w:r>
      <w:r>
        <w:rPr>
          <w:rFonts w:ascii="Times New Roman" w:hAnsi="Times New Roman" w:cs="Times New Roman" w:eastAsia="Times New Roman" w:hint="default"/>
        </w:rPr>
        <w:t>(</w:t>
      </w:r>
      <w:r>
        <w:rPr/>
        <w:t>加权平均利率</w:t>
      </w:r>
      <w:r>
        <w:rPr>
          <w:rFonts w:ascii="Times New Roman" w:hAnsi="Times New Roman" w:cs="Times New Roman" w:eastAsia="Times New Roman" w:hint="default"/>
        </w:rPr>
        <w:t>)</w:t>
      </w:r>
      <w:r>
        <w:rPr/>
        <w:t>，计算确定一般借款应予资本化的利息金额。在资本化期间内，每一会计期间的利息资本</w:t>
      </w:r>
      <w:r>
        <w:rPr>
          <w:spacing w:val="-66"/>
        </w:rPr>
        <w:t> </w:t>
      </w:r>
      <w:r>
        <w:rPr>
          <w:spacing w:val="-66"/>
        </w:rPr>
      </w:r>
      <w:r>
        <w:rPr>
          <w:spacing w:val="-1"/>
        </w:rPr>
        <w:t>化金额不超过当期相关借款实际发生的利息金额。外币专门借款本金及利息的汇兑差额，在资本化期间内</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予以资本化。专门借款发生的辅助费用，在所购建或生产的符合资本化条件的资产达到预定可使用或者可</w:t>
      </w:r>
      <w:r>
        <w:rPr>
          <w:spacing w:val="-81"/>
        </w:rPr>
        <w:t> </w:t>
      </w:r>
      <w:r>
        <w:rPr>
          <w:spacing w:val="-81"/>
        </w:rPr>
      </w:r>
      <w:r>
        <w:rPr>
          <w:spacing w:val="-1"/>
        </w:rPr>
        <w:t>销售状态之前发生的，予以资本化；在达到预定可使用或者可销售状态之后发生的，计入当期损益。一般</w:t>
      </w:r>
      <w:r>
        <w:rPr>
          <w:spacing w:val="-86"/>
        </w:rPr>
        <w:t> </w:t>
      </w:r>
      <w:r>
        <w:rPr>
          <w:spacing w:val="-86"/>
        </w:rPr>
      </w:r>
      <w:r>
        <w:rPr/>
        <w:t>借款发生的辅助费用，在发生时计入当期损益。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6"/>
        <w:ind w:left="153" w:right="0"/>
        <w:jc w:val="both"/>
        <w:rPr>
          <w:b w:val="0"/>
          <w:bCs w:val="0"/>
        </w:rPr>
      </w:pPr>
      <w:bookmarkStart w:name="19、生物资产" w:id="183"/>
      <w:bookmarkEnd w:id="183"/>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0、油气资产" w:id="184"/>
      <w:bookmarkEnd w:id="184"/>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1、无形资产" w:id="185"/>
      <w:bookmarkEnd w:id="185"/>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计价方法、使用寿命、减值测试" w:id="186"/>
      <w:bookmarkEnd w:id="18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BodyText"/>
        <w:spacing w:line="264" w:lineRule="auto" w:before="0"/>
        <w:ind w:left="574" w:right="7392"/>
        <w:jc w:val="left"/>
      </w:pPr>
      <w:r>
        <w:rPr>
          <w:rFonts w:ascii="Times New Roman" w:hAnsi="Times New Roman" w:cs="Times New Roman" w:eastAsia="Times New Roman" w:hint="default"/>
        </w:rPr>
        <w:t>1</w:t>
      </w:r>
      <w:r>
        <w:rPr/>
        <w:t>．无形资产的初始计量 无形资产按成本进行初始计量。 </w:t>
      </w:r>
      <w:r>
        <w:rPr>
          <w:rFonts w:ascii="Times New Roman" w:hAnsi="Times New Roman" w:cs="Times New Roman" w:eastAsia="Times New Roman" w:hint="default"/>
        </w:rPr>
        <w:t>2</w:t>
      </w:r>
      <w:r>
        <w:rPr/>
        <w:t>．无形资产使用寿命及摊销</w:t>
      </w:r>
    </w:p>
    <w:p>
      <w:pPr>
        <w:pStyle w:val="BodyText"/>
        <w:spacing w:line="273" w:lineRule="auto" w:before="0"/>
        <w:ind w:left="154" w:right="1017" w:firstLine="420"/>
        <w:jc w:val="left"/>
      </w:pPr>
      <w:r>
        <w:rPr>
          <w:spacing w:val="-3"/>
        </w:rPr>
        <w:t>根据无形资产的合同性权利或其他法定权利、同行业情况、历史经验、相关专家论证等综合因素判断，</w:t>
      </w:r>
      <w:r>
        <w:rPr/>
        <w:t> 能合理确定无形资产为公司带来经济利益期限的，作为使用寿命有限的无形资产；无法合理确定无形资产 为公司带来经济利益期限的，视为使用寿命不确定的无形资产。</w:t>
      </w:r>
    </w:p>
    <w:p>
      <w:pPr>
        <w:pStyle w:val="BodyText"/>
        <w:spacing w:line="256" w:lineRule="auto"/>
        <w:ind w:right="1129" w:firstLine="420"/>
        <w:jc w:val="both"/>
      </w:pPr>
      <w:r>
        <w:rPr>
          <w:spacing w:val="-2"/>
        </w:rPr>
        <w:t>对使用寿命有限的无形资产，估计其使用寿命时通常考虑以下因素：</w:t>
      </w:r>
      <w:r>
        <w:rPr>
          <w:rFonts w:ascii="Times New Roman" w:hAnsi="Times New Roman" w:cs="Times New Roman" w:eastAsia="Times New Roman" w:hint="default"/>
          <w:spacing w:val="-2"/>
        </w:rPr>
        <w:t>(1)</w:t>
      </w:r>
      <w:r>
        <w:rPr>
          <w:spacing w:val="-2"/>
        </w:rPr>
        <w:t>运用该资产生产的产品通常的</w:t>
      </w:r>
      <w:r>
        <w:rPr/>
        <w:t> </w:t>
      </w:r>
      <w:r>
        <w:rPr>
          <w:spacing w:val="-2"/>
        </w:rPr>
        <w:t>寿命周期、可获得的类似资产使用寿命的信息；</w:t>
      </w:r>
      <w:r>
        <w:rPr>
          <w:rFonts w:ascii="Times New Roman" w:hAnsi="Times New Roman" w:cs="Times New Roman" w:eastAsia="Times New Roman" w:hint="default"/>
          <w:spacing w:val="-2"/>
        </w:rPr>
        <w:t>(2)</w:t>
      </w:r>
      <w:r>
        <w:rPr>
          <w:spacing w:val="-2"/>
        </w:rPr>
        <w:t>技术、工艺等方面的现阶段情况及对未来发展趋势的估</w:t>
      </w:r>
      <w:r>
        <w:rPr>
          <w:spacing w:val="-68"/>
        </w:rPr>
        <w:t> </w:t>
      </w:r>
      <w:r>
        <w:rPr>
          <w:spacing w:val="-68"/>
        </w:rPr>
      </w:r>
      <w:r>
        <w:rPr/>
        <w:t>计；</w:t>
      </w:r>
      <w:r>
        <w:rPr>
          <w:rFonts w:ascii="Times New Roman" w:hAnsi="Times New Roman" w:cs="Times New Roman" w:eastAsia="Times New Roman" w:hint="default"/>
        </w:rPr>
        <w:t>(3)</w:t>
      </w:r>
      <w:r>
        <w:rPr/>
        <w:t>以该资产生产的产品或提供劳务的市场需求情况；</w:t>
      </w:r>
      <w:r>
        <w:rPr>
          <w:rFonts w:ascii="Times New Roman" w:hAnsi="Times New Roman" w:cs="Times New Roman" w:eastAsia="Times New Roman" w:hint="default"/>
        </w:rPr>
        <w:t>(4)</w:t>
      </w:r>
      <w:r>
        <w:rPr/>
        <w:t>现在或潜在的竞争者预期采取的行动；</w:t>
      </w:r>
      <w:r>
        <w:rPr>
          <w:rFonts w:ascii="Times New Roman" w:hAnsi="Times New Roman" w:cs="Times New Roman" w:eastAsia="Times New Roman" w:hint="default"/>
        </w:rPr>
        <w:t>(5)</w:t>
      </w:r>
      <w:r>
        <w:rPr/>
        <w:t>为</w:t>
      </w:r>
      <w:r>
        <w:rPr>
          <w:spacing w:val="-28"/>
        </w:rPr>
        <w:t> </w:t>
      </w:r>
      <w:r>
        <w:rPr>
          <w:spacing w:val="-2"/>
        </w:rPr>
        <w:t>维持该资产带来经济利益能力的预期维护支出，以及公司预计支付有关支出的能力；</w:t>
      </w:r>
      <w:r>
        <w:rPr>
          <w:rFonts w:ascii="Times New Roman" w:hAnsi="Times New Roman" w:cs="Times New Roman" w:eastAsia="Times New Roman" w:hint="default"/>
          <w:spacing w:val="-2"/>
        </w:rPr>
        <w:t>(6)</w:t>
      </w:r>
      <w:r>
        <w:rPr>
          <w:spacing w:val="-2"/>
        </w:rPr>
        <w:t>对该资产控制期限</w:t>
      </w:r>
      <w:r>
        <w:rPr>
          <w:spacing w:val="-66"/>
        </w:rPr>
        <w:t> </w:t>
      </w:r>
      <w:r>
        <w:rPr/>
        <w:t>的相关法律规定或类似限制，如特许使用期、租赁期等；</w:t>
      </w:r>
      <w:r>
        <w:rPr>
          <w:rFonts w:ascii="Times New Roman" w:hAnsi="Times New Roman" w:cs="Times New Roman" w:eastAsia="Times New Roman" w:hint="default"/>
        </w:rPr>
        <w:t>(7)</w:t>
      </w:r>
      <w:r>
        <w:rPr/>
        <w:t>与公司持有其他资产使用寿命的关联性等。</w:t>
      </w:r>
    </w:p>
    <w:p>
      <w:pPr>
        <w:pStyle w:val="BodyText"/>
        <w:spacing w:line="273" w:lineRule="auto" w:before="5"/>
        <w:ind w:right="1132" w:firstLine="420"/>
        <w:jc w:val="both"/>
      </w:pPr>
      <w:r>
        <w:rPr>
          <w:spacing w:val="-1"/>
        </w:rPr>
        <w:t>使用寿命有限的无形资产，在使用寿命内按照与该项无形资产有关的经济利益的预期实现方式系统合</w:t>
      </w:r>
      <w:r>
        <w:rPr/>
        <w:t> </w:t>
      </w:r>
      <w:r>
        <w:rPr>
          <w:spacing w:val="-1"/>
        </w:rPr>
        <w:t>理地摊销，无法可靠确定预期实现方式的，采用直线法摊销。使用寿命不确定的无形资产不予摊销，但每</w:t>
      </w:r>
      <w:r>
        <w:rPr>
          <w:spacing w:val="-86"/>
        </w:rPr>
        <w:t> </w:t>
      </w:r>
      <w:r>
        <w:rPr>
          <w:spacing w:val="-86"/>
        </w:rPr>
      </w:r>
      <w:r>
        <w:rPr/>
        <w:t>年均对该无形资产的使用寿命进行复核，并进行减值测试。</w:t>
      </w:r>
    </w:p>
    <w:p>
      <w:pPr>
        <w:pStyle w:val="BodyText"/>
        <w:spacing w:line="256" w:lineRule="auto"/>
        <w:ind w:left="574" w:right="0"/>
        <w:jc w:val="left"/>
      </w:pPr>
      <w:r>
        <w:rPr>
          <w:rFonts w:ascii="Times New Roman" w:hAnsi="Times New Roman" w:cs="Times New Roman" w:eastAsia="Times New Roman" w:hint="default"/>
        </w:rPr>
        <w:t>3</w:t>
      </w:r>
      <w:r>
        <w:rPr/>
        <w:t>．无形资产减值测试及减值准备计提方法 </w:t>
      </w:r>
      <w:r>
        <w:rPr>
          <w:spacing w:val="-1"/>
        </w:rPr>
        <w:t>资产负债表日，有迹象表明无形资产可能发生减值的，以单项资产为基础估计其可收回金额；难以对</w:t>
      </w:r>
    </w:p>
    <w:p>
      <w:pPr>
        <w:pStyle w:val="BodyText"/>
        <w:spacing w:line="273" w:lineRule="auto" w:before="22"/>
        <w:ind w:left="154" w:right="0"/>
        <w:jc w:val="left"/>
      </w:pPr>
      <w:r>
        <w:rPr>
          <w:spacing w:val="-1"/>
        </w:rPr>
        <w:t>单项资产的可收回金额进行估计的，以该资产所属的资产组为基础确定其可收回金额。因企业合并所形成</w:t>
      </w:r>
      <w:r>
        <w:rPr>
          <w:spacing w:val="-81"/>
        </w:rPr>
        <w:t> </w:t>
      </w:r>
      <w:r>
        <w:rPr>
          <w:spacing w:val="-81"/>
        </w:rPr>
      </w:r>
      <w:r>
        <w:rPr/>
        <w:t>的商誉和使用寿命不确定的无形资产，无论是否存在减值迹象，每年年末都进行减值测试。</w:t>
      </w:r>
    </w:p>
    <w:p>
      <w:pPr>
        <w:pStyle w:val="BodyText"/>
        <w:spacing w:line="268" w:lineRule="auto"/>
        <w:ind w:left="154" w:right="1131" w:firstLine="420"/>
        <w:jc w:val="both"/>
      </w:pPr>
      <w:r>
        <w:rPr>
          <w:spacing w:val="-1"/>
        </w:rPr>
        <w:t>单项资产的可收回金额低于其账面价值的，按单项资产的账面价值与可收回金额的差额计提相应的资</w:t>
      </w:r>
      <w:r>
        <w:rPr/>
        <w:t> </w:t>
      </w:r>
      <w:r>
        <w:rPr>
          <w:spacing w:val="-1"/>
        </w:rPr>
        <w:t>产减值准备。资产组的可收回金额低于其账面价值的，确认其相应的减值损失，减值损失金额先抵减分摊</w:t>
      </w:r>
      <w:r>
        <w:rPr>
          <w:spacing w:val="-83"/>
        </w:rPr>
        <w:t> </w:t>
      </w:r>
      <w:r>
        <w:rPr>
          <w:spacing w:val="-83"/>
        </w:rPr>
      </w:r>
      <w:r>
        <w:rPr>
          <w:spacing w:val="-1"/>
        </w:rPr>
        <w:t>至资产组中商誉的账面价值，再根据资产组中除商誉之外的其他各项资产的账面价值所占比重，按比例抵</w:t>
      </w:r>
      <w:r>
        <w:rPr>
          <w:spacing w:val="-81"/>
        </w:rPr>
        <w:t> </w:t>
      </w:r>
      <w:r>
        <w:rPr>
          <w:spacing w:val="-81"/>
        </w:rPr>
      </w:r>
      <w:r>
        <w:rPr/>
        <w:t>减其他各项资产的账面价值；以上资产账面价值的抵减，作为各单项资产</w:t>
      </w:r>
      <w:r>
        <w:rPr>
          <w:rFonts w:ascii="Times New Roman" w:hAnsi="Times New Roman" w:cs="Times New Roman" w:eastAsia="Times New Roman" w:hint="default"/>
        </w:rPr>
        <w:t>(</w:t>
      </w:r>
      <w:r>
        <w:rPr/>
        <w:t>包括商誉</w:t>
      </w:r>
      <w:r>
        <w:rPr>
          <w:rFonts w:ascii="Times New Roman" w:hAnsi="Times New Roman" w:cs="Times New Roman" w:eastAsia="Times New Roman" w:hint="default"/>
        </w:rPr>
        <w:t>)</w:t>
      </w:r>
      <w:r>
        <w:rPr/>
        <w:t>的减值损失，计提各</w:t>
      </w:r>
      <w:r>
        <w:rPr>
          <w:spacing w:val="-63"/>
        </w:rPr>
        <w:t> </w:t>
      </w:r>
      <w:r>
        <w:rPr>
          <w:spacing w:val="-63"/>
        </w:rPr>
      </w:r>
      <w:r>
        <w:rPr/>
        <w:t>单项资产的减值准备。上述资产减值损失一经确认，在以后会计期间不再转回。</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4"/>
        <w:spacing w:line="240" w:lineRule="auto"/>
        <w:ind w:right="0"/>
        <w:jc w:val="both"/>
        <w:rPr>
          <w:b w:val="0"/>
          <w:bCs w:val="0"/>
        </w:rPr>
      </w:pPr>
      <w:bookmarkStart w:name="（2）内部研究开发支出会计政策" w:id="187"/>
      <w:bookmarkEnd w:id="18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4" w:right="1092"/>
        <w:jc w:val="left"/>
      </w:pPr>
      <w:r>
        <w:rPr>
          <w:rFonts w:ascii="Times New Roman" w:hAnsi="Times New Roman" w:cs="Times New Roman" w:eastAsia="Times New Roman" w:hint="default"/>
        </w:rPr>
        <w:t>4</w:t>
      </w:r>
      <w:r>
        <w:rPr/>
        <w:t>．内部研究开发项目支出的确认和计量 内部研究开发项目的支出，区分为研究阶段支出和开发阶段支出。划分研究阶段和开发阶段的标准：</w:t>
      </w:r>
    </w:p>
    <w:p>
      <w:pPr>
        <w:pStyle w:val="BodyText"/>
        <w:spacing w:line="273" w:lineRule="auto" w:before="22"/>
        <w:ind w:left="154" w:right="0"/>
        <w:jc w:val="left"/>
      </w:pPr>
      <w:r>
        <w:rPr>
          <w:spacing w:val="-1"/>
        </w:rPr>
        <w:t>为获取新的技术和知识等进行的有计划的调查阶段，应确定为研究阶段，该阶段具有计划性和探索性等特</w:t>
      </w:r>
      <w:r>
        <w:rPr>
          <w:spacing w:val="-81"/>
        </w:rPr>
        <w:t> </w:t>
      </w:r>
      <w:r>
        <w:rPr>
          <w:spacing w:val="-81"/>
        </w:rPr>
      </w:r>
      <w:r>
        <w:rPr>
          <w:spacing w:val="-1"/>
        </w:rPr>
        <w:t>点；在进行商业性生产或使用前，将研究成果或其他知识应用于某项计划或设计，以生产出新的或具有实</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14"/>
        <w:jc w:val="left"/>
      </w:pPr>
      <w:r>
        <w:rPr>
          <w:spacing w:val="-1"/>
        </w:rPr>
        <w:t>质性改进的材料、装置、产品等阶段，应确定为开发阶段，该阶段具有针对性和形成成果的可能性较大等</w:t>
      </w:r>
      <w:r>
        <w:rPr>
          <w:spacing w:val="-86"/>
        </w:rPr>
        <w:t> </w:t>
      </w:r>
      <w:r>
        <w:rPr>
          <w:spacing w:val="-86"/>
        </w:rPr>
      </w:r>
      <w:r>
        <w:rPr/>
        <w:t>特点。</w:t>
      </w:r>
    </w:p>
    <w:p>
      <w:pPr>
        <w:pStyle w:val="BodyText"/>
        <w:spacing w:line="261" w:lineRule="auto"/>
        <w:ind w:right="1131" w:firstLine="420"/>
        <w:jc w:val="both"/>
      </w:pPr>
      <w:r>
        <w:rPr>
          <w:spacing w:val="-1"/>
        </w:rPr>
        <w:t>内部研究开发项目研究阶段的支出，于发生时计入当期损益。内部研究开发项目开发阶段的支出，同</w:t>
      </w:r>
      <w:r>
        <w:rPr/>
        <w:t> </w:t>
      </w:r>
      <w:r>
        <w:rPr>
          <w:spacing w:val="-2"/>
        </w:rPr>
        <w:t>时满足下列条件的，确认为无形资产：</w:t>
      </w:r>
      <w:r>
        <w:rPr>
          <w:rFonts w:ascii="Times New Roman" w:hAnsi="Times New Roman" w:cs="Times New Roman" w:eastAsia="Times New Roman" w:hint="default"/>
          <w:spacing w:val="-2"/>
        </w:rPr>
        <w:t>(1)</w:t>
      </w:r>
      <w:r>
        <w:rPr>
          <w:spacing w:val="-2"/>
        </w:rPr>
        <w:t>完成该无形资产以使其能够使用或出售在技术上具有可行性；</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spacing w:val="-2"/>
        </w:rPr>
        <w:t>具有完成该无形资产并使用或出售的意图；</w:t>
      </w:r>
      <w:r>
        <w:rPr>
          <w:rFonts w:ascii="Times New Roman" w:hAnsi="Times New Roman" w:cs="Times New Roman" w:eastAsia="Times New Roman" w:hint="default"/>
          <w:spacing w:val="-2"/>
        </w:rPr>
        <w:t>(3)</w:t>
      </w:r>
      <w:r>
        <w:rPr>
          <w:spacing w:val="-2"/>
        </w:rPr>
        <w:t>无形资产产生经济利益的方式，包括能够证明运用该无形资</w:t>
      </w:r>
      <w:r>
        <w:rPr>
          <w:spacing w:val="-66"/>
        </w:rPr>
        <w:t> </w:t>
      </w:r>
      <w:r>
        <w:rPr>
          <w:spacing w:val="-66"/>
        </w:rPr>
      </w:r>
      <w:r>
        <w:rPr>
          <w:spacing w:val="-2"/>
        </w:rPr>
        <w:t>产生产的产品存在市场或无形资产自身存在市场，无形资产将在内部使用的，可证明其有用性；</w:t>
      </w:r>
      <w:r>
        <w:rPr>
          <w:rFonts w:ascii="Times New Roman" w:hAnsi="Times New Roman" w:cs="Times New Roman" w:eastAsia="Times New Roman" w:hint="default"/>
          <w:spacing w:val="-2"/>
        </w:rPr>
        <w:t>(4)</w:t>
      </w:r>
      <w:r>
        <w:rPr>
          <w:spacing w:val="-2"/>
        </w:rPr>
        <w:t>有足够</w:t>
      </w:r>
      <w:r>
        <w:rPr>
          <w:spacing w:val="-68"/>
        </w:rPr>
        <w:t> </w:t>
      </w:r>
      <w:r>
        <w:rPr>
          <w:spacing w:val="-2"/>
        </w:rPr>
        <w:t>的技术、财务资源和其他资源支持，以完成该无形资产的开发，并有能力使用或出售该无形资产；</w:t>
      </w:r>
      <w:r>
        <w:rPr>
          <w:rFonts w:ascii="Times New Roman" w:hAnsi="Times New Roman" w:cs="Times New Roman" w:eastAsia="Times New Roman" w:hint="default"/>
          <w:spacing w:val="-2"/>
        </w:rPr>
        <w:t>(5)</w:t>
      </w:r>
      <w:r>
        <w:rPr>
          <w:spacing w:val="-2"/>
        </w:rPr>
        <w:t>归属</w:t>
      </w:r>
      <w:r>
        <w:rPr>
          <w:spacing w:val="-67"/>
        </w:rPr>
        <w:t> </w:t>
      </w:r>
      <w:r>
        <w:rPr/>
        <w:t>于该无形资产开发阶段的支出能够可靠地计量。</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ind w:left="153" w:right="0"/>
        <w:jc w:val="left"/>
        <w:rPr>
          <w:b w:val="0"/>
          <w:bCs w:val="0"/>
        </w:rPr>
      </w:pPr>
      <w:bookmarkStart w:name="22、长期资产减值" w:id="188"/>
      <w:bookmarkEnd w:id="188"/>
      <w:r>
        <w:rPr>
          <w:b w:val="0"/>
          <w:bCs w:val="0"/>
        </w:rPr>
      </w:r>
      <w:r>
        <w:rPr>
          <w:rFonts w:ascii="Times New Roman" w:hAnsi="Times New Roman" w:cs="Times New Roman" w:eastAsia="Times New Roman" w:hint="default"/>
        </w:rPr>
        <w:t>22</w:t>
      </w:r>
      <w:r>
        <w:rPr/>
        <w:t>、长期资产减值</w:t>
      </w:r>
      <w:r>
        <w:rPr>
          <w:b w:val="0"/>
          <w:bCs w:val="0"/>
        </w:rPr>
      </w:r>
    </w:p>
    <w:p>
      <w:pPr>
        <w:pStyle w:val="BodyText"/>
        <w:spacing w:line="590" w:lineRule="atLeast" w:before="23"/>
        <w:ind w:left="574" w:right="0" w:hanging="420"/>
        <w:jc w:val="left"/>
      </w:pPr>
      <w:bookmarkStart w:name="23、长期待摊费用" w:id="189"/>
      <w:bookmarkEnd w:id="189"/>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长期待摊费用按实际发生额入账，在受益期或规定的期限内分期平均摊销。如果长期待摊的费用项目</w:t>
      </w:r>
    </w:p>
    <w:p>
      <w:pPr>
        <w:pStyle w:val="BodyText"/>
        <w:spacing w:line="240" w:lineRule="auto" w:before="37"/>
        <w:ind w:left="154" w:right="0"/>
        <w:jc w:val="left"/>
      </w:pPr>
      <w:r>
        <w:rPr/>
        <w:t>不能使以后会计期间受益则将尚未摊销的该项目的摊余价值全部转入当期损益。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left="153" w:right="0"/>
        <w:jc w:val="left"/>
        <w:rPr>
          <w:b w:val="0"/>
          <w:bCs w:val="0"/>
        </w:rPr>
      </w:pPr>
      <w:bookmarkStart w:name="24、职工薪酬" w:id="190"/>
      <w:bookmarkEnd w:id="190"/>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74" w:right="0" w:hanging="420"/>
        <w:jc w:val="left"/>
        <w:rPr>
          <w:rFonts w:ascii="宋体" w:hAnsi="宋体" w:cs="宋体" w:eastAsia="宋体" w:hint="default"/>
          <w:sz w:val="21"/>
          <w:szCs w:val="21"/>
        </w:rPr>
      </w:pPr>
      <w:bookmarkStart w:name="（1）短期薪酬的会计处理方法" w:id="191"/>
      <w:bookmarkEnd w:id="1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公司在职工为其提供服务的会计期间，将实际发生的短期薪酬确认为负债，并计入当期损益，或根据</w:t>
      </w:r>
    </w:p>
    <w:p>
      <w:pPr>
        <w:pStyle w:val="BodyText"/>
        <w:spacing w:line="240" w:lineRule="auto" w:before="37"/>
        <w:ind w:left="154" w:right="0"/>
        <w:jc w:val="left"/>
      </w:pPr>
      <w:r>
        <w:rPr/>
        <w:t>其他相关会计准则要求或允许计入资产成本。</w:t>
      </w:r>
    </w:p>
    <w:p>
      <w:pPr>
        <w:spacing w:line="240" w:lineRule="auto" w:before="11"/>
        <w:rPr>
          <w:rFonts w:ascii="宋体" w:hAnsi="宋体" w:cs="宋体" w:eastAsia="宋体" w:hint="default"/>
          <w:sz w:val="26"/>
          <w:szCs w:val="26"/>
        </w:rPr>
      </w:pPr>
    </w:p>
    <w:p>
      <w:pPr>
        <w:spacing w:line="590" w:lineRule="atLeast" w:before="0"/>
        <w:ind w:left="574" w:right="0" w:hanging="420"/>
        <w:jc w:val="left"/>
        <w:rPr>
          <w:rFonts w:ascii="宋体" w:hAnsi="宋体" w:cs="宋体" w:eastAsia="宋体" w:hint="default"/>
          <w:sz w:val="21"/>
          <w:szCs w:val="21"/>
        </w:rPr>
      </w:pPr>
      <w:bookmarkStart w:name="（2）离职后福利的会计处理方法" w:id="192"/>
      <w:bookmarkEnd w:id="1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公司对员工的离职后福利采取设定提存计划的形式。设定提存计划指由公司向单独主体缴存固定费用</w:t>
      </w:r>
    </w:p>
    <w:p>
      <w:pPr>
        <w:pStyle w:val="BodyText"/>
        <w:spacing w:line="273" w:lineRule="auto" w:before="37"/>
        <w:ind w:left="154" w:right="1131"/>
        <w:jc w:val="both"/>
      </w:pPr>
      <w:r>
        <w:rPr>
          <w:spacing w:val="-1"/>
        </w:rPr>
        <w:t>后，不再承担进一步支付义务的离职后福利计划。对于设定提存计划，公司根据在资产负债表日为换取职</w:t>
      </w:r>
      <w:r>
        <w:rPr>
          <w:spacing w:val="-83"/>
        </w:rPr>
        <w:t> </w:t>
      </w:r>
      <w:r>
        <w:rPr>
          <w:spacing w:val="-83"/>
        </w:rPr>
      </w:r>
      <w:r>
        <w:rPr>
          <w:spacing w:val="-1"/>
        </w:rPr>
        <w:t>工在会计期间提供的服务而应向单独主体缴存的提存金，确认为职工薪酬负债，并计人当期损益或相关资</w:t>
      </w:r>
      <w:r>
        <w:rPr>
          <w:spacing w:val="-81"/>
        </w:rPr>
        <w:t> </w:t>
      </w:r>
      <w:r>
        <w:rPr>
          <w:spacing w:val="-81"/>
        </w:rPr>
      </w:r>
      <w:r>
        <w:rPr/>
        <w:t>产成本。</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both"/>
        <w:rPr>
          <w:b w:val="0"/>
          <w:bCs w:val="0"/>
        </w:rPr>
      </w:pPr>
      <w:bookmarkStart w:name="（3）辞退福利的会计处理方法" w:id="193"/>
      <w:bookmarkEnd w:id="19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4）其他长期职工福利的会计处理方法" w:id="194"/>
      <w:bookmarkEnd w:id="19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both"/>
        <w:rPr>
          <w:b w:val="0"/>
          <w:bCs w:val="0"/>
        </w:rPr>
      </w:pPr>
      <w:bookmarkStart w:name="25、预计负债" w:id="195"/>
      <w:bookmarkEnd w:id="195"/>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6、股份支付" w:id="196"/>
      <w:bookmarkEnd w:id="196"/>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7、优先股、永续债等其他金融工具" w:id="197"/>
      <w:bookmarkEnd w:id="197"/>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28、收入" w:id="198"/>
      <w:bookmarkEnd w:id="198"/>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1014"/>
        <w:jc w:val="left"/>
      </w:pPr>
      <w:r>
        <w:rPr>
          <w:rFonts w:ascii="Times New Roman" w:hAnsi="Times New Roman" w:cs="Times New Roman" w:eastAsia="Times New Roman" w:hint="default"/>
        </w:rPr>
        <w:t>1</w:t>
      </w:r>
      <w:r>
        <w:rPr/>
        <w:t>．销售商品 </w:t>
      </w:r>
      <w:r>
        <w:rPr>
          <w:spacing w:val="-2"/>
        </w:rPr>
        <w:t>商品销售收入同时满足下列条件时予以确认：</w:t>
      </w:r>
      <w:r>
        <w:rPr>
          <w:rFonts w:ascii="Times New Roman" w:hAnsi="Times New Roman" w:cs="Times New Roman" w:eastAsia="Times New Roman" w:hint="default"/>
          <w:spacing w:val="-2"/>
        </w:rPr>
        <w:t>(1)</w:t>
      </w:r>
      <w:r>
        <w:rPr>
          <w:spacing w:val="-2"/>
        </w:rPr>
        <w:t>公司已将商品所有权上的主要风险和报酬转移给购买</w:t>
      </w:r>
    </w:p>
    <w:p>
      <w:pPr>
        <w:pStyle w:val="BodyText"/>
        <w:spacing w:line="256" w:lineRule="auto" w:before="5"/>
        <w:ind w:right="1130"/>
        <w:jc w:val="both"/>
      </w:pPr>
      <w:r>
        <w:rPr>
          <w:spacing w:val="-2"/>
        </w:rPr>
        <w:t>方；</w:t>
      </w:r>
      <w:r>
        <w:rPr>
          <w:rFonts w:ascii="Times New Roman" w:hAnsi="Times New Roman" w:cs="Times New Roman" w:eastAsia="Times New Roman" w:hint="default"/>
          <w:spacing w:val="-2"/>
        </w:rPr>
        <w:t>(2)</w:t>
      </w:r>
      <w:r>
        <w:rPr>
          <w:spacing w:val="-2"/>
        </w:rPr>
        <w:t>公司既没有保留与所有权相联系的继续管理权，也没有对已售出的商品实施有效控制；</w:t>
      </w:r>
      <w:r>
        <w:rPr>
          <w:rFonts w:ascii="Times New Roman" w:hAnsi="Times New Roman" w:cs="Times New Roman" w:eastAsia="Times New Roman" w:hint="default"/>
          <w:spacing w:val="-2"/>
        </w:rPr>
        <w:t>(3)</w:t>
      </w:r>
      <w:r>
        <w:rPr>
          <w:spacing w:val="-2"/>
        </w:rPr>
        <w:t>收入的金</w:t>
      </w:r>
      <w:r>
        <w:rPr>
          <w:spacing w:val="-98"/>
        </w:rPr>
        <w:t> </w:t>
      </w:r>
      <w:r>
        <w:rPr>
          <w:spacing w:val="-2"/>
        </w:rPr>
        <w:t>额能够可靠地计量；</w:t>
      </w:r>
      <w:r>
        <w:rPr>
          <w:rFonts w:ascii="Times New Roman" w:hAnsi="Times New Roman" w:cs="Times New Roman" w:eastAsia="Times New Roman" w:hint="default"/>
          <w:spacing w:val="-2"/>
        </w:rPr>
        <w:t>(4)</w:t>
      </w:r>
      <w:r>
        <w:rPr>
          <w:spacing w:val="-2"/>
        </w:rPr>
        <w:t>相关的经济利益很可能流入企业；</w:t>
      </w:r>
      <w:r>
        <w:rPr>
          <w:rFonts w:ascii="Times New Roman" w:hAnsi="Times New Roman" w:cs="Times New Roman" w:eastAsia="Times New Roman" w:hint="default"/>
          <w:spacing w:val="-2"/>
        </w:rPr>
        <w:t>(5)</w:t>
      </w:r>
      <w:r>
        <w:rPr>
          <w:spacing w:val="-2"/>
        </w:rPr>
        <w:t>相关的已发生或将发生的成本能够可靠地计量</w:t>
      </w:r>
      <w:r>
        <w:rPr>
          <w:spacing w:val="-97"/>
        </w:rPr>
        <w:t> </w:t>
      </w:r>
      <w:r>
        <w:rPr/>
        <w:t>时。</w:t>
      </w:r>
    </w:p>
    <w:p>
      <w:pPr>
        <w:pStyle w:val="BodyText"/>
        <w:spacing w:line="256" w:lineRule="auto" w:before="22"/>
        <w:ind w:left="573" w:right="1014"/>
        <w:jc w:val="left"/>
      </w:pPr>
      <w:r>
        <w:rPr>
          <w:rFonts w:ascii="Times New Roman" w:hAnsi="Times New Roman" w:cs="Times New Roman" w:eastAsia="Times New Roman" w:hint="default"/>
        </w:rPr>
        <w:t>2</w:t>
      </w:r>
      <w:r>
        <w:rPr/>
        <w:t>．提供劳务 </w:t>
      </w:r>
      <w:r>
        <w:rPr>
          <w:spacing w:val="-3"/>
        </w:rPr>
        <w:t>在资产负债表日提供劳务交易的结果能够可靠估计的</w:t>
      </w:r>
      <w:r>
        <w:rPr>
          <w:rFonts w:ascii="Times New Roman" w:hAnsi="Times New Roman" w:cs="Times New Roman" w:eastAsia="Times New Roman" w:hint="default"/>
          <w:spacing w:val="-3"/>
        </w:rPr>
        <w:t>(</w:t>
      </w:r>
      <w:r>
        <w:rPr>
          <w:spacing w:val="-3"/>
        </w:rPr>
        <w:t>同时满足收入的金额能够可靠地计量、相关经济</w:t>
      </w:r>
    </w:p>
    <w:p>
      <w:pPr>
        <w:pStyle w:val="BodyText"/>
        <w:spacing w:line="256" w:lineRule="auto" w:before="5"/>
        <w:ind w:left="154" w:right="1132"/>
        <w:jc w:val="both"/>
      </w:pPr>
      <w:r>
        <w:rPr>
          <w:spacing w:val="-3"/>
        </w:rPr>
        <w:t>利益很可能流入、交易的完工进度能够可靠地确定、交易中已发生和将发生的成本能够可靠地计量</w:t>
      </w:r>
      <w:r>
        <w:rPr>
          <w:rFonts w:ascii="Times New Roman" w:hAnsi="Times New Roman" w:cs="Times New Roman" w:eastAsia="Times New Roman" w:hint="default"/>
          <w:spacing w:val="-3"/>
        </w:rPr>
        <w:t>)</w:t>
      </w:r>
      <w:r>
        <w:rPr>
          <w:spacing w:val="-3"/>
        </w:rPr>
        <w:t>，采用</w:t>
      </w:r>
      <w:r>
        <w:rPr>
          <w:spacing w:val="-59"/>
        </w:rPr>
        <w:t> </w:t>
      </w:r>
      <w:r>
        <w:rPr>
          <w:spacing w:val="-59"/>
        </w:rPr>
      </w:r>
      <w:r>
        <w:rPr/>
        <w:t>完工百分比法确认提供劳务收入，并按已完工作的测量结果确定提供劳务交易的完工进度。</w:t>
      </w:r>
    </w:p>
    <w:p>
      <w:pPr>
        <w:pStyle w:val="BodyText"/>
        <w:spacing w:line="273" w:lineRule="auto" w:before="22"/>
        <w:ind w:left="154" w:right="1110" w:firstLine="420"/>
        <w:jc w:val="both"/>
      </w:pPr>
      <w:r>
        <w:rPr>
          <w:spacing w:val="-1"/>
        </w:rPr>
        <w:t>在资产负债表日提供劳务交易结果不能够可靠估计的，分别下列情况处理：若已经发生的劳务成本预</w:t>
      </w:r>
      <w:r>
        <w:rPr/>
        <w:t> </w:t>
      </w:r>
      <w:r>
        <w:rPr>
          <w:spacing w:val="-1"/>
        </w:rPr>
        <w:t>计能够得到补偿的，按照已经发生的劳务成本金额确认提供劳务收入，并按相同金额结转劳务成本；若已</w:t>
      </w:r>
      <w:r>
        <w:rPr>
          <w:spacing w:val="-83"/>
        </w:rPr>
        <w:t> </w:t>
      </w:r>
      <w:r>
        <w:rPr>
          <w:spacing w:val="-83"/>
        </w:rPr>
      </w:r>
      <w:r>
        <w:rPr/>
        <w:t>经发生的劳务成本预计不能够得到补偿的，将已经发生的劳务成本计入当期损益，不确认提供劳务收入。</w:t>
      </w:r>
    </w:p>
    <w:p>
      <w:pPr>
        <w:pStyle w:val="BodyText"/>
        <w:spacing w:line="256" w:lineRule="auto"/>
        <w:ind w:left="574" w:right="0"/>
        <w:jc w:val="left"/>
      </w:pPr>
      <w:r>
        <w:rPr>
          <w:rFonts w:ascii="Times New Roman" w:hAnsi="Times New Roman" w:cs="Times New Roman" w:eastAsia="Times New Roman" w:hint="default"/>
        </w:rPr>
        <w:t>3</w:t>
      </w:r>
      <w:r>
        <w:rPr/>
        <w:t>．让渡资产使用权 </w:t>
      </w:r>
      <w:r>
        <w:rPr>
          <w:spacing w:val="-1"/>
        </w:rPr>
        <w:t>让渡资产使用权在同时满足相关的经济利益很可能流入、收入的金额能够可靠地计量时，确认让渡资</w:t>
      </w:r>
    </w:p>
    <w:p>
      <w:pPr>
        <w:pStyle w:val="BodyText"/>
        <w:spacing w:line="273" w:lineRule="auto" w:before="22"/>
        <w:ind w:left="154" w:right="1131"/>
        <w:jc w:val="both"/>
      </w:pPr>
      <w:r>
        <w:rPr>
          <w:spacing w:val="-1"/>
        </w:rPr>
        <w:t>产使用权的收入。利息收入金额，按照他人使用本企业货币资金的时间和实际利率计算确定；使用费收入</w:t>
      </w:r>
      <w:r>
        <w:rPr>
          <w:spacing w:val="-83"/>
        </w:rPr>
        <w:t> </w:t>
      </w:r>
      <w:r>
        <w:rPr>
          <w:spacing w:val="-83"/>
        </w:rPr>
      </w:r>
      <w:r>
        <w:rPr/>
        <w:t>金额，按照有关合同或协议约定的收费时间和方法计算确定。</w:t>
      </w:r>
    </w:p>
    <w:p>
      <w:pPr>
        <w:pStyle w:val="BodyText"/>
        <w:spacing w:line="256" w:lineRule="auto"/>
        <w:ind w:left="574" w:right="1014"/>
        <w:jc w:val="left"/>
      </w:pPr>
      <w:r>
        <w:rPr>
          <w:rFonts w:ascii="Times New Roman" w:hAnsi="Times New Roman" w:cs="Times New Roman" w:eastAsia="Times New Roman" w:hint="default"/>
        </w:rPr>
        <w:t>4</w:t>
      </w:r>
      <w:r>
        <w:rPr/>
        <w:t>．建造合同 </w:t>
      </w:r>
      <w:r>
        <w:rPr>
          <w:rFonts w:ascii="Times New Roman" w:hAnsi="Times New Roman" w:cs="Times New Roman" w:eastAsia="Times New Roman" w:hint="default"/>
          <w:spacing w:val="-2"/>
        </w:rPr>
        <w:t>(1)</w:t>
      </w:r>
      <w:r>
        <w:rPr>
          <w:spacing w:val="-2"/>
        </w:rPr>
        <w:t>建造合同的结果在资产负债表日能够可靠估计的，根据完工百分比法确认合同收入和合同费用。建</w:t>
      </w:r>
    </w:p>
    <w:p>
      <w:pPr>
        <w:pStyle w:val="BodyText"/>
        <w:spacing w:line="273" w:lineRule="auto" w:before="5"/>
        <w:ind w:left="154" w:right="1131"/>
        <w:jc w:val="both"/>
      </w:pPr>
      <w:r>
        <w:rPr>
          <w:spacing w:val="-1"/>
        </w:rPr>
        <w:t>造合同的结果在资产负债表日不能够可靠估计的，若合同成本能够收回的，合同收入根据能够收回的实际</w:t>
      </w:r>
      <w:r>
        <w:rPr>
          <w:spacing w:val="-81"/>
        </w:rPr>
        <w:t> </w:t>
      </w:r>
      <w:r>
        <w:rPr>
          <w:spacing w:val="-81"/>
        </w:rPr>
      </w:r>
      <w:r>
        <w:rPr>
          <w:spacing w:val="-1"/>
        </w:rPr>
        <w:t>合同成本予以确认，合同成本在其发生的当期确认为合同费用；若合同成本不可能收回的，在发生时立即</w:t>
      </w:r>
      <w:r>
        <w:rPr>
          <w:spacing w:val="-83"/>
        </w:rPr>
        <w:t> </w:t>
      </w:r>
      <w:r>
        <w:rPr>
          <w:spacing w:val="-83"/>
        </w:rPr>
      </w:r>
      <w:r>
        <w:rPr/>
        <w:t>确认为合同费用，不确认合同收入。</w:t>
      </w:r>
    </w:p>
    <w:p>
      <w:pPr>
        <w:pStyle w:val="BodyText"/>
        <w:spacing w:line="266" w:lineRule="auto"/>
        <w:ind w:left="154" w:right="1130" w:firstLine="420"/>
        <w:jc w:val="both"/>
      </w:pPr>
      <w:r>
        <w:rPr>
          <w:rFonts w:ascii="Times New Roman" w:hAnsi="Times New Roman" w:cs="Times New Roman" w:eastAsia="Times New Roman" w:hint="default"/>
          <w:spacing w:val="-2"/>
        </w:rPr>
        <w:t>(2)</w:t>
      </w:r>
      <w:r>
        <w:rPr>
          <w:spacing w:val="-2"/>
        </w:rPr>
        <w:t>固定造价合同同时满足下列条件表明其结果能够可靠估计：合同总收入能够可靠计量、与合同相关</w:t>
      </w:r>
      <w:r>
        <w:rPr>
          <w:w w:val="99"/>
        </w:rPr>
        <w:t> </w:t>
      </w:r>
      <w:r>
        <w:rPr>
          <w:spacing w:val="-1"/>
        </w:rPr>
        <w:t>的经济利益很可能流入、实际发生的合同成本能够清楚地区分和可靠地计量、合同完工进度和为完成合同</w:t>
      </w:r>
      <w:r>
        <w:rPr>
          <w:spacing w:val="-82"/>
        </w:rPr>
        <w:t> </w:t>
      </w:r>
      <w:r>
        <w:rPr>
          <w:spacing w:val="-82"/>
        </w:rPr>
      </w:r>
      <w:r>
        <w:rPr>
          <w:spacing w:val="-1"/>
        </w:rPr>
        <w:t>尚需发生的成本能够可靠地计量。成本加成合同同时满足下列条件表明其结果能够可靠估计：与合同相关</w:t>
      </w:r>
      <w:r>
        <w:rPr>
          <w:spacing w:val="-81"/>
        </w:rPr>
        <w:t> </w:t>
      </w:r>
      <w:r>
        <w:rPr>
          <w:spacing w:val="-81"/>
        </w:rPr>
      </w:r>
      <w:r>
        <w:rPr/>
        <w:t>的经济利益很可能流入；实际发生的合同成本能够清楚地区分和可靠地计量。</w:t>
      </w:r>
    </w:p>
    <w:p>
      <w:pPr>
        <w:spacing w:before="2"/>
        <w:ind w:left="574" w:right="0" w:firstLine="0"/>
        <w:jc w:val="left"/>
        <w:rPr>
          <w:rFonts w:ascii="宋体" w:hAnsi="宋体" w:cs="宋体" w:eastAsia="宋体" w:hint="default"/>
          <w:sz w:val="22"/>
          <w:szCs w:val="22"/>
        </w:rPr>
      </w:pPr>
      <w:r>
        <w:rPr>
          <w:rFonts w:ascii="Times New Roman" w:hAnsi="Times New Roman" w:cs="Times New Roman" w:eastAsia="Times New Roman" w:hint="default"/>
          <w:i/>
          <w:sz w:val="21"/>
          <w:szCs w:val="21"/>
        </w:rPr>
        <w:t>(3)</w:t>
      </w:r>
      <w:r>
        <w:rPr>
          <w:rFonts w:ascii="宋体" w:hAnsi="宋体" w:cs="宋体" w:eastAsia="宋体" w:hint="default"/>
          <w:i/>
          <w:sz w:val="22"/>
          <w:szCs w:val="22"/>
        </w:rPr>
        <w:t>确定合同完工进度的方法为累计实际发生的合同成本占合同预计总成本的比例。</w:t>
      </w:r>
      <w:r>
        <w:rPr>
          <w:rFonts w:ascii="宋体" w:hAnsi="宋体" w:cs="宋体" w:eastAsia="宋体" w:hint="default"/>
          <w:sz w:val="22"/>
          <w:szCs w:val="22"/>
        </w:rPr>
      </w:r>
    </w:p>
    <w:p>
      <w:pPr>
        <w:pStyle w:val="BodyText"/>
        <w:spacing w:line="256" w:lineRule="auto" w:before="21"/>
        <w:ind w:right="1132" w:firstLine="420"/>
        <w:jc w:val="both"/>
      </w:pPr>
      <w:r>
        <w:rPr>
          <w:rFonts w:ascii="Times New Roman" w:hAnsi="Times New Roman" w:cs="Times New Roman" w:eastAsia="Times New Roman" w:hint="default"/>
          <w:spacing w:val="-2"/>
        </w:rPr>
        <w:t>(4)</w:t>
      </w:r>
      <w:r>
        <w:rPr>
          <w:spacing w:val="-2"/>
        </w:rPr>
        <w:t>资产负债表日，合同预计总成本超过合同总收入的，将预计损失确认为当期费用。执行中的建造合</w:t>
      </w:r>
      <w:r>
        <w:rPr>
          <w:w w:val="99"/>
        </w:rPr>
        <w:t> </w:t>
      </w:r>
      <w:r>
        <w:rPr/>
        <w:t>同，按其差额计提存货跌价准备；待执行的亏损合同，按其差额确认预计负债。</w:t>
      </w:r>
    </w:p>
    <w:p>
      <w:pPr>
        <w:spacing w:after="0" w:line="25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both"/>
        <w:rPr>
          <w:b w:val="0"/>
          <w:bCs w:val="0"/>
        </w:rPr>
      </w:pPr>
      <w:bookmarkStart w:name="29、政府补助" w:id="199"/>
      <w:bookmarkEnd w:id="199"/>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与资产相关的政府补助判断依据及会计处理方法" w:id="200"/>
      <w:bookmarkEnd w:id="200"/>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right="1132" w:firstLine="420"/>
        <w:jc w:val="both"/>
      </w:pPr>
      <w:r>
        <w:rPr>
          <w:rFonts w:ascii="Times New Roman" w:hAnsi="Times New Roman" w:cs="Times New Roman" w:eastAsia="Times New Roman" w:hint="default"/>
        </w:rPr>
        <w:t>1</w:t>
      </w:r>
      <w:r>
        <w:rPr/>
        <w:t>．政府补助在同时满足下列两个条件时予以确认：</w:t>
      </w:r>
      <w:r>
        <w:rPr>
          <w:rFonts w:ascii="Times New Roman" w:hAnsi="Times New Roman" w:cs="Times New Roman" w:eastAsia="Times New Roman" w:hint="default"/>
        </w:rPr>
        <w:t>(1)</w:t>
      </w:r>
      <w:r>
        <w:rPr/>
        <w:t>能够满足政府补助所附条件；</w:t>
      </w:r>
      <w:r>
        <w:rPr>
          <w:rFonts w:ascii="Times New Roman" w:hAnsi="Times New Roman" w:cs="Times New Roman" w:eastAsia="Times New Roman" w:hint="default"/>
        </w:rPr>
        <w:t>(2)</w:t>
      </w:r>
      <w:r>
        <w:rPr/>
        <w:t>能够收到政府 补助。</w:t>
      </w:r>
    </w:p>
    <w:p>
      <w:pPr>
        <w:pStyle w:val="BodyText"/>
        <w:spacing w:line="256" w:lineRule="auto" w:before="22"/>
        <w:ind w:right="1139" w:firstLine="420"/>
        <w:jc w:val="both"/>
      </w:pPr>
      <w:r>
        <w:rPr>
          <w:rFonts w:ascii="Times New Roman" w:hAnsi="Times New Roman" w:cs="Times New Roman" w:eastAsia="Times New Roman" w:hint="default"/>
        </w:rPr>
        <w:t>2</w:t>
      </w:r>
      <w:r>
        <w:rPr/>
        <w:t>．政府补助为货币性资产的，按收到或应收的金额计量；为非货币性资产的，按公允价值计量；公 允价值不能可靠取得的，按名义金额计量。</w:t>
      </w:r>
    </w:p>
    <w:p>
      <w:pPr>
        <w:pStyle w:val="BodyText"/>
        <w:spacing w:line="256" w:lineRule="auto" w:before="22"/>
        <w:ind w:left="573" w:right="0"/>
        <w:jc w:val="left"/>
      </w:pPr>
      <w:r>
        <w:rPr>
          <w:rFonts w:ascii="Times New Roman" w:hAnsi="Times New Roman" w:cs="Times New Roman" w:eastAsia="Times New Roman" w:hint="default"/>
        </w:rPr>
        <w:t>3</w:t>
      </w:r>
      <w:r>
        <w:rPr/>
        <w:t>．政府补助分为与资产相关的政府补助和与收益相关的政府补助。 </w:t>
      </w:r>
      <w:r>
        <w:rPr>
          <w:spacing w:val="-1"/>
        </w:rPr>
        <w:t>公司取得的用于构建或以其他方式形成长期资产的政府补助，划分为与资产相关的政府补助；公司取</w:t>
      </w:r>
    </w:p>
    <w:p>
      <w:pPr>
        <w:pStyle w:val="BodyText"/>
        <w:spacing w:line="273" w:lineRule="auto" w:before="22"/>
        <w:ind w:right="1130"/>
        <w:jc w:val="both"/>
      </w:pPr>
      <w:r>
        <w:rPr>
          <w:spacing w:val="-1"/>
        </w:rPr>
        <w:t>得的用于补偿以后期间或已经发生的费用或损失的政府补助，划分为与收益相关的政府补助；公司取得的</w:t>
      </w:r>
      <w:r>
        <w:rPr>
          <w:spacing w:val="-81"/>
        </w:rPr>
        <w:t> </w:t>
      </w:r>
      <w:r>
        <w:rPr>
          <w:spacing w:val="-81"/>
        </w:rPr>
      </w:r>
      <w:r>
        <w:rPr>
          <w:spacing w:val="-1"/>
        </w:rPr>
        <w:t>既用于设备等长期资产的购置，也用于人工费、购买服务费、管理费等费用化支出的补偿的政府补助，属</w:t>
      </w:r>
      <w:r>
        <w:rPr>
          <w:spacing w:val="-85"/>
        </w:rPr>
        <w:t> </w:t>
      </w:r>
      <w:r>
        <w:rPr>
          <w:spacing w:val="-85"/>
        </w:rPr>
      </w:r>
      <w:r>
        <w:rPr>
          <w:spacing w:val="-1"/>
        </w:rPr>
        <w:t>于与资产和收益均相关的政府补助，需要将其分解为与资产相关的部分和与收益相关的部分，分别进行会</w:t>
      </w:r>
      <w:r>
        <w:rPr>
          <w:spacing w:val="-80"/>
        </w:rPr>
        <w:t> </w:t>
      </w:r>
      <w:r>
        <w:rPr>
          <w:spacing w:val="-80"/>
        </w:rPr>
      </w:r>
      <w:r>
        <w:rPr/>
        <w:t>计处理，若无法区分，则将整项政府补助归类为与收益相关的政府补助。</w:t>
      </w:r>
    </w:p>
    <w:p>
      <w:pPr>
        <w:pStyle w:val="BodyText"/>
        <w:spacing w:line="261" w:lineRule="auto"/>
        <w:ind w:right="1131" w:firstLine="420"/>
        <w:jc w:val="both"/>
      </w:pPr>
      <w:r>
        <w:rPr>
          <w:spacing w:val="-1"/>
        </w:rPr>
        <w:t>公司取得与资产相关的政府补助，确认为递延收益，并在相关资产使用寿命内平均分配，计入当期损</w:t>
      </w:r>
      <w:r>
        <w:rPr/>
        <w:t> </w:t>
      </w:r>
      <w:r>
        <w:rPr>
          <w:spacing w:val="-2"/>
        </w:rPr>
        <w:t>益。公司取得与收益相关的政府补助，分别下列情况进行处理：</w:t>
      </w:r>
      <w:r>
        <w:rPr>
          <w:rFonts w:ascii="Times New Roman" w:hAnsi="Times New Roman" w:cs="Times New Roman" w:eastAsia="Times New Roman" w:hint="default"/>
          <w:spacing w:val="-2"/>
        </w:rPr>
        <w:t>(1)</w:t>
      </w:r>
      <w:r>
        <w:rPr>
          <w:spacing w:val="-2"/>
        </w:rPr>
        <w:t>用于补偿公司以后期间的相关费用或损</w:t>
      </w:r>
      <w:r>
        <w:rPr>
          <w:spacing w:val="-68"/>
        </w:rPr>
        <w:t> </w:t>
      </w:r>
      <w:r>
        <w:rPr>
          <w:spacing w:val="-2"/>
        </w:rPr>
        <w:t>失的，确认为递延收益，并在确认相关费用的期间计入当期损益；</w:t>
      </w:r>
      <w:r>
        <w:rPr>
          <w:rFonts w:ascii="Times New Roman" w:hAnsi="Times New Roman" w:cs="Times New Roman" w:eastAsia="Times New Roman" w:hint="default"/>
          <w:spacing w:val="-2"/>
        </w:rPr>
        <w:t>(2)</w:t>
      </w:r>
      <w:r>
        <w:rPr>
          <w:spacing w:val="-2"/>
        </w:rPr>
        <w:t>用于补偿企业已发生的相关费用或损</w:t>
      </w:r>
      <w:r>
        <w:rPr>
          <w:spacing w:val="-68"/>
        </w:rPr>
        <w:t> </w:t>
      </w:r>
      <w:r>
        <w:rPr/>
        <w:t>失的，直接计入当期损益。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ind w:left="153" w:right="0"/>
        <w:jc w:val="both"/>
        <w:rPr>
          <w:b w:val="0"/>
          <w:bCs w:val="0"/>
        </w:rPr>
      </w:pPr>
      <w:bookmarkStart w:name="（2）与收益相关的政府补助判断依据及会计处理方法" w:id="201"/>
      <w:bookmarkEnd w:id="201"/>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both"/>
        <w:rPr>
          <w:b w:val="0"/>
          <w:bCs w:val="0"/>
        </w:rPr>
      </w:pPr>
      <w:bookmarkStart w:name="30、递延所得税资产/递延所得税负债" w:id="202"/>
      <w:bookmarkEnd w:id="202"/>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31" w:firstLine="420"/>
        <w:jc w:val="both"/>
      </w:pPr>
      <w:r>
        <w:rPr>
          <w:rFonts w:ascii="Times New Roman" w:hAnsi="Times New Roman" w:cs="Times New Roman" w:eastAsia="Times New Roman" w:hint="default"/>
        </w:rPr>
        <w:t>1</w:t>
      </w:r>
      <w:r>
        <w:rPr/>
        <w:t>．根据资产、负债的账面价值与其计税基础之间的差额</w:t>
      </w:r>
      <w:r>
        <w:rPr>
          <w:rFonts w:ascii="Times New Roman" w:hAnsi="Times New Roman" w:cs="Times New Roman" w:eastAsia="Times New Roman" w:hint="default"/>
        </w:rPr>
        <w:t>(</w:t>
      </w:r>
      <w:r>
        <w:rPr/>
        <w:t>未作为资产和负债确认的项目按照税法规定 </w:t>
      </w:r>
      <w:r>
        <w:rPr>
          <w:spacing w:val="-2"/>
        </w:rPr>
        <w:t>可以确定其计税基础的，该计税基础与其账面数之间的差额</w:t>
      </w:r>
      <w:r>
        <w:rPr>
          <w:rFonts w:ascii="Times New Roman" w:hAnsi="Times New Roman" w:cs="Times New Roman" w:eastAsia="Times New Roman" w:hint="default"/>
          <w:spacing w:val="-2"/>
        </w:rPr>
        <w:t>)</w:t>
      </w:r>
      <w:r>
        <w:rPr>
          <w:spacing w:val="-2"/>
        </w:rPr>
        <w:t>，按照预期收回该资产或清偿该负债期间的适</w:t>
      </w:r>
      <w:r>
        <w:rPr/>
        <w:t> 用税率计算确认递延所得税资产或递延所得税负债。</w:t>
      </w:r>
    </w:p>
    <w:p>
      <w:pPr>
        <w:pStyle w:val="BodyText"/>
        <w:spacing w:line="264" w:lineRule="auto" w:before="22"/>
        <w:ind w:left="154" w:right="1131" w:firstLine="420"/>
        <w:jc w:val="both"/>
      </w:pPr>
      <w:r>
        <w:rPr>
          <w:rFonts w:ascii="Times New Roman" w:hAnsi="Times New Roman" w:cs="Times New Roman" w:eastAsia="Times New Roman" w:hint="default"/>
        </w:rPr>
        <w:t>2</w:t>
      </w:r>
      <w:r>
        <w:rPr/>
        <w:t>．确认递延所得税资产以很可能取得用来抵扣可抵扣暂时性差异的应纳税所得额为限。资产负债表 </w:t>
      </w:r>
      <w:r>
        <w:rPr>
          <w:spacing w:val="-1"/>
        </w:rPr>
        <w:t>日，有确凿证据表明未来期间很可能获得足够的应纳税所得额用来抵扣可抵扣暂时性差异的，确认以前会</w:t>
      </w:r>
      <w:r>
        <w:rPr>
          <w:spacing w:val="-81"/>
        </w:rPr>
        <w:t> </w:t>
      </w:r>
      <w:r>
        <w:rPr>
          <w:spacing w:val="-81"/>
        </w:rPr>
      </w:r>
      <w:r>
        <w:rPr/>
        <w:t>计期间未确认的递延所得税资产。</w:t>
      </w:r>
    </w:p>
    <w:p>
      <w:pPr>
        <w:pStyle w:val="BodyText"/>
        <w:spacing w:line="264" w:lineRule="auto" w:before="16"/>
        <w:ind w:left="154" w:right="1131" w:firstLine="420"/>
        <w:jc w:val="both"/>
      </w:pPr>
      <w:r>
        <w:rPr>
          <w:rFonts w:ascii="Times New Roman" w:hAnsi="Times New Roman" w:cs="Times New Roman" w:eastAsia="Times New Roman" w:hint="default"/>
        </w:rPr>
        <w:t>3</w:t>
      </w:r>
      <w:r>
        <w:rPr/>
        <w:t>．资产负债表日，对递延所得税资产的账面价值进行复核，如果未来期间很可能无法获得足够的应 </w:t>
      </w:r>
      <w:r>
        <w:rPr>
          <w:spacing w:val="-1"/>
        </w:rPr>
        <w:t>纳税所得额用以抵扣递延所得税资产的利益，则减记递延所得税资产的账面价值。在很可能获得足够的应</w:t>
      </w:r>
      <w:r>
        <w:rPr>
          <w:spacing w:val="-81"/>
        </w:rPr>
        <w:t> </w:t>
      </w:r>
      <w:r>
        <w:rPr>
          <w:spacing w:val="-81"/>
        </w:rPr>
      </w:r>
      <w:r>
        <w:rPr/>
        <w:t>纳税所得额时，转回减记的金额。</w:t>
      </w:r>
    </w:p>
    <w:p>
      <w:pPr>
        <w:pStyle w:val="BodyText"/>
        <w:spacing w:line="256" w:lineRule="auto" w:before="16"/>
        <w:ind w:left="154" w:right="1132"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t>公司当期所得税和递延所得税作为所得税费用或收益计入当期损益，但不包括下列情况产生的所得 税：</w:t>
      </w:r>
      <w:r>
        <w:rPr>
          <w:rFonts w:ascii="Times New Roman" w:hAnsi="Times New Roman" w:cs="Times New Roman" w:eastAsia="Times New Roman" w:hint="default"/>
        </w:rPr>
        <w:t>(1)</w:t>
      </w:r>
      <w:r>
        <w:rPr/>
        <w:t>企业合并；</w:t>
      </w:r>
      <w:r>
        <w:rPr>
          <w:rFonts w:ascii="Times New Roman" w:hAnsi="Times New Roman" w:cs="Times New Roman" w:eastAsia="Times New Roman" w:hint="default"/>
        </w:rPr>
        <w:t>(2)</w:t>
      </w:r>
      <w:r>
        <w:rPr/>
        <w:t>直接在所有者权益中确认的交易或者事项。</w:t>
      </w:r>
    </w:p>
    <w:p>
      <w:pPr>
        <w:pStyle w:val="BodyText"/>
        <w:spacing w:line="256" w:lineRule="auto" w:before="5"/>
        <w:ind w:left="154" w:right="1134" w:firstLine="420"/>
        <w:jc w:val="both"/>
      </w:pPr>
      <w:r>
        <w:rPr>
          <w:rFonts w:ascii="Times New Roman" w:hAnsi="Times New Roman" w:cs="Times New Roman" w:eastAsia="Times New Roman" w:hint="default"/>
        </w:rPr>
        <w:t>5.</w:t>
      </w:r>
      <w:r>
        <w:rPr/>
        <w:t>当拥有以净额结算的法定权利，且意图以净额结算或取得资产、清偿负债同时进行时，本公司当期 所得税资产及当期所得税负债以抵销后的净额列报。</w:t>
      </w:r>
    </w:p>
    <w:p>
      <w:pPr>
        <w:pStyle w:val="BodyText"/>
        <w:spacing w:line="273" w:lineRule="auto" w:before="22"/>
        <w:ind w:left="154" w:right="1131" w:firstLine="420"/>
        <w:jc w:val="both"/>
      </w:pPr>
      <w:r>
        <w:rPr>
          <w:spacing w:val="-1"/>
        </w:rPr>
        <w:t>当拥有以净额结算当期所得税资产及当期所得税负债的法定权利，且递延所得税资产及递延所得税负</w:t>
      </w:r>
      <w:r>
        <w:rPr/>
        <w:t> </w:t>
      </w: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债或是同时取得资产、清偿负债时，本公司递延所得税资产及递延所得税负债以抵销后的净额列报。</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31、租赁" w:id="203"/>
      <w:bookmarkEnd w:id="203"/>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经营租赁的会计处理方法" w:id="204"/>
      <w:bookmarkEnd w:id="20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6"/>
          <w:szCs w:val="26"/>
        </w:rPr>
      </w:pPr>
    </w:p>
    <w:p>
      <w:pPr>
        <w:pStyle w:val="BodyText"/>
        <w:spacing w:line="273" w:lineRule="auto" w:before="0"/>
        <w:ind w:left="154" w:right="1131" w:firstLine="420"/>
        <w:jc w:val="both"/>
      </w:pPr>
      <w:r>
        <w:rPr>
          <w:spacing w:val="-1"/>
        </w:rPr>
        <w:t>出租人：在租赁期内各个期间按照直线法将收取的租金确认计入当期损益。发生的初始直接费用，直</w:t>
      </w:r>
      <w:r>
        <w:rPr/>
        <w:t> 接计入当期损益。</w:t>
      </w:r>
    </w:p>
    <w:p>
      <w:pPr>
        <w:pStyle w:val="BodyText"/>
        <w:spacing w:line="273" w:lineRule="auto"/>
        <w:ind w:left="154" w:right="1131" w:firstLine="420"/>
        <w:jc w:val="both"/>
      </w:pPr>
      <w:r>
        <w:rPr>
          <w:spacing w:val="-1"/>
        </w:rPr>
        <w:t>承租人：在租赁期内各个期间按照直线法将租金支出计入相关资产成本或当期损益；发生的初始直接</w:t>
      </w:r>
      <w:r>
        <w:rPr/>
        <w:t> 费用，直接计入当期损益。</w:t>
      </w:r>
    </w:p>
    <w:p>
      <w:pPr>
        <w:spacing w:line="240" w:lineRule="auto" w:before="8"/>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2）融资租赁的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出租人：在租赁期开始日本公司按最低租赁收款额与初始直接费用之和作为应收融资租赁款的入账价</w:t>
      </w:r>
    </w:p>
    <w:p>
      <w:pPr>
        <w:pStyle w:val="BodyText"/>
        <w:spacing w:line="273" w:lineRule="auto" w:before="37"/>
        <w:ind w:left="154" w:right="0"/>
        <w:jc w:val="left"/>
      </w:pPr>
      <w:r>
        <w:rPr>
          <w:spacing w:val="-1"/>
        </w:rPr>
        <w:t>值，同时记录未担保余值；将最低租赁收款额、初始直接费用及未担保余值之和与其现值之和的差额确认</w:t>
      </w:r>
      <w:r>
        <w:rPr>
          <w:spacing w:val="-83"/>
        </w:rPr>
        <w:t> </w:t>
      </w:r>
      <w:r>
        <w:rPr>
          <w:spacing w:val="-83"/>
        </w:rPr>
      </w:r>
      <w:r>
        <w:rPr/>
        <w:t>为未实现融资收益。未实现融资收益在租赁期内各个期间采用实际利率法计算确认当期的融资收入。</w:t>
      </w:r>
    </w:p>
    <w:p>
      <w:pPr>
        <w:pStyle w:val="BodyText"/>
        <w:spacing w:line="273" w:lineRule="auto"/>
        <w:ind w:right="1131" w:firstLine="420"/>
        <w:jc w:val="both"/>
      </w:pPr>
      <w:r>
        <w:rPr>
          <w:spacing w:val="-1"/>
        </w:rPr>
        <w:t>承租人：在租赁期开始日本公司将租赁资产公允价值与最低租赁付款额现值两者中较低者作为租入资</w:t>
      </w:r>
      <w:r>
        <w:rPr/>
        <w:t> </w:t>
      </w:r>
      <w:r>
        <w:rPr>
          <w:spacing w:val="-1"/>
        </w:rPr>
        <w:t>产的入账价值，将最低租赁付款额作为长期应付款的入账价值，其差额作为未确认融资费用。初始直接费</w:t>
      </w:r>
      <w:r>
        <w:rPr>
          <w:spacing w:val="-83"/>
        </w:rPr>
        <w:t> </w:t>
      </w:r>
      <w:r>
        <w:rPr>
          <w:spacing w:val="-83"/>
        </w:rPr>
      </w:r>
      <w:r>
        <w:rPr>
          <w:spacing w:val="-1"/>
        </w:rPr>
        <w:t>用计入租入资产价值。未确认融资费用在租赁期内各个期间采用实际利率法计算确认当期的融资费用。本</w:t>
      </w:r>
      <w:r>
        <w:rPr>
          <w:spacing w:val="-81"/>
        </w:rPr>
        <w:t> </w:t>
      </w:r>
      <w:r>
        <w:rPr>
          <w:spacing w:val="-81"/>
        </w:rPr>
      </w:r>
      <w:r>
        <w:rPr/>
        <w:t>公司采用与自有固定资产相一致的折旧政策计提租赁资产折旧。</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153" w:right="0"/>
        <w:jc w:val="left"/>
        <w:rPr>
          <w:b w:val="0"/>
          <w:bCs w:val="0"/>
        </w:rPr>
      </w:pPr>
      <w:bookmarkStart w:name="32、其他重要的会计政策和会计估计" w:id="206"/>
      <w:bookmarkEnd w:id="206"/>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33、重要会计政策和会计估计变更" w:id="207"/>
      <w:bookmarkEnd w:id="207"/>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重要会计政策变更" w:id="208"/>
      <w:bookmarkEnd w:id="20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89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年实施财政部当年度最新修 订的企业会计准则及相关具体规定，并 对</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年的比较财务报表进行了重新表</w:t>
            </w:r>
          </w:p>
          <w:p>
            <w:pPr>
              <w:pStyle w:val="TableParagraph"/>
              <w:spacing w:line="312" w:lineRule="auto" w:before="5"/>
              <w:ind w:left="22" w:right="23"/>
              <w:jc w:val="left"/>
              <w:rPr>
                <w:rFonts w:ascii="宋体" w:hAnsi="宋体" w:cs="宋体" w:eastAsia="宋体" w:hint="default"/>
                <w:sz w:val="18"/>
                <w:szCs w:val="18"/>
              </w:rPr>
            </w:pPr>
            <w:r>
              <w:rPr>
                <w:rFonts w:ascii="宋体" w:hAnsi="宋体" w:cs="宋体" w:eastAsia="宋体" w:hint="default"/>
                <w:spacing w:val="-4"/>
                <w:sz w:val="18"/>
                <w:szCs w:val="18"/>
              </w:rPr>
              <w:t>述。根据最新修订的《企业会计准则第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长期股权投资》，本公司将持有的</w:t>
            </w:r>
            <w:r>
              <w:rPr>
                <w:rFonts w:ascii="宋体" w:hAnsi="宋体" w:cs="宋体" w:eastAsia="宋体" w:hint="default"/>
                <w:sz w:val="18"/>
                <w:szCs w:val="18"/>
              </w:rPr>
              <w:t> 不具有控制、共同控制、重大影响且公 允价值不能可靠计量的股权投资，作为 按成本计量的可供出售金融资产核算， 不作为长期股权投资核算。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本会计政策变更业经公司第二届董事会 第二十八次会议审议通过。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76" w:lineRule="exact"/>
        <w:ind w:left="576" w:right="0"/>
        <w:jc w:val="left"/>
        <w:rPr>
          <w:b w:val="0"/>
          <w:bCs w:val="0"/>
        </w:rPr>
      </w:pPr>
      <w:r>
        <w:rPr>
          <w:rFonts w:ascii="Times New Roman" w:hAnsi="Times New Roman" w:cs="Times New Roman" w:eastAsia="Times New Roman" w:hint="default"/>
        </w:rPr>
        <w:t>1</w:t>
      </w:r>
      <w:r>
        <w:rPr/>
        <w:t>．会计政策变更</w:t>
      </w:r>
      <w:r>
        <w:rPr>
          <w:b w:val="0"/>
          <w:bCs w:val="0"/>
        </w:rPr>
      </w:r>
    </w:p>
    <w:p>
      <w:pPr>
        <w:pStyle w:val="BodyText"/>
        <w:spacing w:line="261" w:lineRule="auto" w:before="21"/>
        <w:ind w:right="1131" w:firstLine="420"/>
        <w:jc w:val="both"/>
      </w:pPr>
      <w:r>
        <w:rPr>
          <w:spacing w:val="-1"/>
        </w:rPr>
        <w:t>本公司</w:t>
      </w:r>
      <w:r>
        <w:rPr>
          <w:rFonts w:ascii="Times New Roman" w:hAnsi="Times New Roman" w:cs="Times New Roman" w:eastAsia="Times New Roman" w:hint="default"/>
          <w:spacing w:val="-1"/>
        </w:rPr>
        <w:t>2014</w:t>
      </w:r>
      <w:r>
        <w:rPr>
          <w:spacing w:val="-1"/>
        </w:rPr>
        <w:t>年实施财政部当年度最新修订的企业会计准则及相关具体规定，并对</w:t>
      </w:r>
      <w:r>
        <w:rPr>
          <w:rFonts w:ascii="Times New Roman" w:hAnsi="Times New Roman" w:cs="Times New Roman" w:eastAsia="Times New Roman" w:hint="default"/>
          <w:spacing w:val="-1"/>
        </w:rPr>
        <w:t>2013</w:t>
      </w:r>
      <w:r>
        <w:rPr>
          <w:spacing w:val="-1"/>
        </w:rPr>
        <w:t>年的比较财务报</w:t>
      </w:r>
      <w:r>
        <w:rPr/>
        <w:t> 表进行了重新表述。根据最新修订的《企业会计准则第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长期股权投资》，本公司将持有的不具有</w:t>
      </w:r>
      <w:r>
        <w:rPr>
          <w:spacing w:val="-29"/>
        </w:rPr>
        <w:t> </w:t>
      </w:r>
      <w:r>
        <w:rPr>
          <w:spacing w:val="-29"/>
        </w:rPr>
      </w:r>
      <w:r>
        <w:rPr>
          <w:spacing w:val="-1"/>
        </w:rPr>
        <w:t>控制、共同控制、重大影响且公允价值不能可靠计量的股权投资，作为按成本计量的可供出售金融资产核</w:t>
      </w:r>
      <w:r>
        <w:rPr>
          <w:spacing w:val="-83"/>
        </w:rPr>
        <w:t> </w:t>
      </w:r>
      <w:r>
        <w:rPr>
          <w:spacing w:val="-83"/>
        </w:rPr>
      </w:r>
      <w:r>
        <w:rPr>
          <w:spacing w:val="-1"/>
        </w:rPr>
        <w:t>算，不作为长期股权投资核算。本公司对该项会计政策变更采用追溯调整法，</w:t>
      </w:r>
      <w:r>
        <w:rPr>
          <w:rFonts w:ascii="Times New Roman" w:hAnsi="Times New Roman" w:cs="Times New Roman" w:eastAsia="Times New Roman" w:hint="default"/>
          <w:spacing w:val="-1"/>
        </w:rPr>
        <w:t>2013</w:t>
      </w:r>
      <w:r>
        <w:rPr>
          <w:spacing w:val="-1"/>
        </w:rPr>
        <w:t>年度的比较财务报表已</w:t>
      </w:r>
    </w:p>
    <w:p>
      <w:pPr>
        <w:spacing w:after="0" w:line="261"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0"/>
        <w:jc w:val="left"/>
      </w:pPr>
      <w:r>
        <w:rPr>
          <w:spacing w:val="15"/>
        </w:rPr>
        <w:t>重新表述，调整减少</w:t>
      </w:r>
      <w:r>
        <w:rPr>
          <w:spacing w:val="-8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2"/>
        </w:rPr>
        <w:t> </w:t>
      </w:r>
      <w:r>
        <w:rPr>
          <w:spacing w:val="15"/>
        </w:rPr>
        <w:t>年末长期股权投资</w:t>
      </w:r>
      <w:r>
        <w:rPr>
          <w:spacing w:val="-83"/>
        </w:rPr>
        <w:t> </w:t>
      </w:r>
      <w:r>
        <w:rPr>
          <w:rFonts w:ascii="Times New Roman" w:hAnsi="Times New Roman" w:cs="Times New Roman" w:eastAsia="Times New Roman" w:hint="default"/>
        </w:rPr>
        <w:t>95,760,000.00</w:t>
      </w:r>
      <w:r>
        <w:rPr>
          <w:rFonts w:ascii="Times New Roman" w:hAnsi="Times New Roman" w:cs="Times New Roman" w:eastAsia="Times New Roman" w:hint="default"/>
          <w:spacing w:val="-31"/>
        </w:rPr>
        <w:t> </w:t>
      </w:r>
      <w:r>
        <w:rPr>
          <w:spacing w:val="8"/>
        </w:rPr>
        <w:t>元，</w:t>
      </w:r>
      <w:r>
        <w:rPr>
          <w:spacing w:val="-85"/>
        </w:rPr>
        <w:t> </w:t>
      </w:r>
      <w:r>
        <w:rPr>
          <w:spacing w:val="13"/>
        </w:rPr>
        <w:t>调整增加</w:t>
      </w:r>
      <w:r>
        <w:rPr>
          <w:spacing w:val="-8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1"/>
        </w:rPr>
        <w:t> </w:t>
      </w:r>
      <w:r>
        <w:rPr>
          <w:spacing w:val="15"/>
        </w:rPr>
        <w:t>年末可供出售金融资产</w:t>
      </w:r>
      <w:r>
        <w:rPr>
          <w:spacing w:val="-100"/>
        </w:rPr>
        <w:t> </w:t>
      </w:r>
      <w:r>
        <w:rPr>
          <w:spacing w:val="-100"/>
        </w:rPr>
      </w:r>
      <w:r>
        <w:rPr>
          <w:rFonts w:ascii="Times New Roman" w:hAnsi="Times New Roman" w:cs="Times New Roman" w:eastAsia="Times New Roman" w:hint="default"/>
        </w:rPr>
        <w:t>95,760,000.00</w:t>
      </w:r>
      <w:r>
        <w:rPr/>
        <w:t>元。本会计政策变更业经公司第二届董事会第二十八次会议审议通过。</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4"/>
        <w:spacing w:line="240" w:lineRule="auto"/>
        <w:ind w:left="153" w:right="0"/>
        <w:jc w:val="left"/>
        <w:rPr>
          <w:b w:val="0"/>
          <w:bCs w:val="0"/>
        </w:rPr>
      </w:pPr>
      <w:bookmarkStart w:name="（2）重要会计估计变更" w:id="209"/>
      <w:bookmarkEnd w:id="20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4、其他" w:id="210"/>
      <w:bookmarkEnd w:id="210"/>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税项" w:id="211"/>
      <w:bookmarkEnd w:id="211"/>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12"/>
      <w:bookmarkEnd w:id="212"/>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7"/>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的税率计缴；出口货物实行</w:t>
            </w:r>
            <w:r>
              <w:rPr>
                <w:rFonts w:ascii="Times New Roman" w:hAnsi="Times New Roman" w:cs="Times New Roman" w:eastAsia="Times New Roman" w:hint="default"/>
                <w:sz w:val="18"/>
                <w:szCs w:val="18"/>
              </w:rPr>
              <w:t>"</w:t>
            </w:r>
            <w:r>
              <w:rPr>
                <w:rFonts w:ascii="宋体" w:hAnsi="宋体" w:cs="宋体" w:eastAsia="宋体" w:hint="default"/>
                <w:sz w:val="18"/>
                <w:szCs w:val="18"/>
              </w:rPr>
              <w:t>免、 抵、退</w:t>
            </w:r>
            <w:r>
              <w:rPr>
                <w:rFonts w:ascii="Times New Roman" w:hAnsi="Times New Roman" w:cs="Times New Roman" w:eastAsia="Times New Roman" w:hint="default"/>
                <w:sz w:val="18"/>
                <w:szCs w:val="18"/>
              </w:rPr>
              <w:t>"</w:t>
            </w:r>
            <w:r>
              <w:rPr>
                <w:rFonts w:ascii="宋体" w:hAnsi="宋体" w:cs="宋体" w:eastAsia="宋体" w:hint="default"/>
                <w:sz w:val="18"/>
                <w:szCs w:val="18"/>
              </w:rPr>
              <w:t>税政策，退税率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16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；子公司江西宏磊铜业有限公司按应</w:t>
            </w:r>
            <w:r>
              <w:rPr>
                <w:rFonts w:ascii="宋体" w:hAnsi="宋体" w:cs="宋体" w:eastAsia="宋体" w:hint="default"/>
                <w:w w:val="99"/>
                <w:sz w:val="18"/>
                <w:szCs w:val="18"/>
              </w:rPr>
              <w:t> </w:t>
            </w:r>
            <w:r>
              <w:rPr>
                <w:rFonts w:ascii="宋体" w:hAnsi="宋体" w:cs="宋体" w:eastAsia="宋体" w:hint="default"/>
                <w:sz w:val="18"/>
                <w:szCs w:val="18"/>
              </w:rPr>
              <w:t>缴流转税税额的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213"/>
      <w:bookmarkEnd w:id="21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其他" w:id="214"/>
      <w:bookmarkEnd w:id="214"/>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left="153" w:right="0"/>
        <w:jc w:val="left"/>
        <w:rPr>
          <w:b w:val="0"/>
          <w:bCs w:val="0"/>
        </w:rPr>
      </w:pPr>
      <w:bookmarkStart w:name="七、合并财务报表项目注释" w:id="215"/>
      <w:bookmarkEnd w:id="215"/>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货币资金" w:id="216"/>
      <w:bookmarkEnd w:id="21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74,918.75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264,830.28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14,768,432.95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250,100,694.77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143,380,023.06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432,174,149.27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158,223,374.76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682,539,674.32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left="573" w:right="0"/>
        <w:jc w:val="left"/>
      </w:pPr>
      <w:r>
        <w:rPr>
          <w:rFonts w:ascii="Times New Roman" w:hAnsi="Times New Roman" w:cs="Times New Roman" w:eastAsia="Times New Roman" w:hint="default"/>
        </w:rPr>
        <w:t>((2)</w:t>
      </w:r>
      <w:r>
        <w:rPr/>
        <w:t>期末其他货币资金余额中包括银行承兑汇票保证金、信用证保证金共计</w:t>
      </w:r>
      <w:r>
        <w:rPr>
          <w:rFonts w:ascii="Times New Roman" w:hAnsi="Times New Roman" w:cs="Times New Roman" w:eastAsia="Times New Roman" w:hint="default"/>
        </w:rPr>
        <w:t>143,209,131.65</w:t>
      </w:r>
      <w:r>
        <w:rPr/>
        <w:t>元。</w:t>
      </w:r>
      <w:r>
        <w:rPr>
          <w:w w:val="99"/>
        </w:rPr>
        <w:t> </w:t>
      </w:r>
      <w:r>
        <w:rPr>
          <w:rFonts w:ascii="Times New Roman" w:hAnsi="Times New Roman" w:cs="Times New Roman" w:eastAsia="Times New Roman" w:hint="default"/>
          <w:spacing w:val="5"/>
        </w:rPr>
        <w:t>(3)</w:t>
      </w:r>
      <w:r>
        <w:rPr>
          <w:spacing w:val="5"/>
        </w:rPr>
        <w:t>本公司光大银行上海市中支行的银行账户</w:t>
      </w:r>
      <w:r>
        <w:rPr>
          <w:rFonts w:ascii="Times New Roman" w:hAnsi="Times New Roman" w:cs="Times New Roman" w:eastAsia="Times New Roman" w:hint="default"/>
          <w:spacing w:val="5"/>
        </w:rPr>
        <w:t>(</w:t>
      </w:r>
      <w:r>
        <w:rPr>
          <w:spacing w:val="5"/>
        </w:rPr>
        <w:t>账号</w:t>
      </w:r>
      <w:r>
        <w:rPr>
          <w:rFonts w:ascii="Times New Roman" w:hAnsi="Times New Roman" w:cs="Times New Roman" w:eastAsia="Times New Roman" w:hint="default"/>
          <w:spacing w:val="5"/>
        </w:rPr>
        <w:t>76330188000208635)</w:t>
      </w:r>
      <w:r>
        <w:rPr>
          <w:spacing w:val="5"/>
        </w:rPr>
        <w:t>被冻结，该账户期末余额为</w:t>
      </w:r>
    </w:p>
    <w:p>
      <w:pPr>
        <w:pStyle w:val="BodyText"/>
        <w:spacing w:line="240" w:lineRule="auto" w:before="5"/>
        <w:ind w:right="0"/>
        <w:jc w:val="left"/>
      </w:pPr>
      <w:r>
        <w:rPr>
          <w:rFonts w:ascii="Times New Roman" w:hAnsi="Times New Roman" w:cs="Times New Roman" w:eastAsia="Times New Roman" w:hint="default"/>
          <w:spacing w:val="3"/>
        </w:rPr>
        <w:t>223.75</w:t>
      </w:r>
      <w:r>
        <w:rPr>
          <w:spacing w:val="3"/>
        </w:rPr>
        <w:t>元；工商银行上海真南路支行的银行账户</w:t>
      </w:r>
      <w:r>
        <w:rPr>
          <w:rFonts w:ascii="Times New Roman" w:hAnsi="Times New Roman" w:cs="Times New Roman" w:eastAsia="Times New Roman" w:hint="default"/>
          <w:spacing w:val="3"/>
        </w:rPr>
        <w:t>(</w:t>
      </w:r>
      <w:r>
        <w:rPr>
          <w:spacing w:val="3"/>
        </w:rPr>
        <w:t>账号</w:t>
      </w:r>
      <w:r>
        <w:rPr>
          <w:rFonts w:ascii="Times New Roman" w:hAnsi="Times New Roman" w:cs="Times New Roman" w:eastAsia="Times New Roman" w:hint="default"/>
          <w:spacing w:val="3"/>
        </w:rPr>
        <w:t>1001151219000064437)</w:t>
      </w:r>
      <w:r>
        <w:rPr>
          <w:spacing w:val="3"/>
        </w:rPr>
        <w:t>被冻结，该账户期末余额为</w:t>
      </w:r>
    </w:p>
    <w:p>
      <w:pPr>
        <w:pStyle w:val="BodyText"/>
        <w:spacing w:line="240" w:lineRule="auto" w:before="21"/>
        <w:ind w:right="0"/>
        <w:jc w:val="left"/>
      </w:pPr>
      <w:r>
        <w:rPr>
          <w:rFonts w:ascii="Times New Roman" w:hAnsi="Times New Roman" w:cs="Times New Roman" w:eastAsia="Times New Roman" w:hint="default"/>
        </w:rPr>
        <w:t>24,568.79</w:t>
      </w:r>
      <w:r>
        <w:rPr/>
        <w:t>元；建设银行上海光明支行的银行账户</w:t>
      </w:r>
      <w:r>
        <w:rPr>
          <w:rFonts w:ascii="Times New Roman" w:hAnsi="Times New Roman" w:cs="Times New Roman" w:eastAsia="Times New Roman" w:hint="default"/>
        </w:rPr>
        <w:t>(</w:t>
      </w:r>
      <w:r>
        <w:rPr/>
        <w:t>账号</w:t>
      </w:r>
      <w:r>
        <w:rPr>
          <w:rFonts w:ascii="Times New Roman" w:hAnsi="Times New Roman" w:cs="Times New Roman" w:eastAsia="Times New Roman" w:hint="default"/>
        </w:rPr>
        <w:t>31001930619052505067)</w:t>
      </w:r>
      <w:r>
        <w:rPr/>
        <w:t>被冻结，该账户期末余额为</w:t>
      </w:r>
    </w:p>
    <w:p>
      <w:pPr>
        <w:pStyle w:val="BodyText"/>
        <w:spacing w:line="240" w:lineRule="auto" w:before="21"/>
        <w:ind w:left="154" w:right="0"/>
        <w:jc w:val="left"/>
      </w:pPr>
      <w:r>
        <w:rPr>
          <w:rFonts w:ascii="Times New Roman" w:hAnsi="Times New Roman" w:cs="Times New Roman" w:eastAsia="Times New Roman" w:hint="default"/>
        </w:rPr>
        <w:t>34,911.79</w:t>
      </w:r>
      <w:r>
        <w:rPr/>
        <w:t>元。</w:t>
      </w:r>
    </w:p>
    <w:p>
      <w:pPr>
        <w:pStyle w:val="BodyText"/>
        <w:spacing w:line="256" w:lineRule="auto" w:before="21"/>
        <w:ind w:left="154" w:right="0" w:firstLine="420"/>
        <w:jc w:val="left"/>
      </w:pPr>
      <w:r>
        <w:rPr/>
        <w:t>本公司子公司江西宏磊公司中国银行鹰潭市分行营业部的银行账户</w:t>
      </w:r>
      <w:r>
        <w:rPr>
          <w:rFonts w:ascii="Times New Roman" w:hAnsi="Times New Roman" w:cs="Times New Roman" w:eastAsia="Times New Roman" w:hint="default"/>
        </w:rPr>
        <w:t>(</w:t>
      </w:r>
      <w:r>
        <w:rPr/>
        <w:t>账号</w:t>
      </w:r>
      <w:r>
        <w:rPr>
          <w:rFonts w:ascii="Times New Roman" w:hAnsi="Times New Roman" w:cs="Times New Roman" w:eastAsia="Times New Roman" w:hint="default"/>
        </w:rPr>
        <w:t>190204753840)</w:t>
      </w:r>
      <w:r>
        <w:rPr/>
        <w:t>被冻结，该账</w:t>
      </w:r>
      <w:r>
        <w:rPr>
          <w:spacing w:val="1"/>
        </w:rPr>
        <w:t> </w:t>
      </w:r>
      <w:r>
        <w:rPr/>
        <w:t>户期末余额为</w:t>
      </w:r>
      <w:r>
        <w:rPr>
          <w:rFonts w:ascii="Times New Roman" w:hAnsi="Times New Roman" w:cs="Times New Roman" w:eastAsia="Times New Roman" w:hint="default"/>
        </w:rPr>
        <w:t>81,722.36</w:t>
      </w:r>
      <w:r>
        <w:rPr/>
        <w:t>元。</w:t>
      </w:r>
    </w:p>
    <w:p>
      <w:pPr>
        <w:pStyle w:val="BodyText"/>
        <w:spacing w:line="256" w:lineRule="auto" w:before="5"/>
        <w:ind w:right="0" w:firstLine="420"/>
        <w:jc w:val="left"/>
      </w:pPr>
      <w:r>
        <w:rPr/>
        <w:t>本公司子公司浙江宏天公司建设银行诸暨分行的银行账户</w:t>
      </w:r>
      <w:r>
        <w:rPr>
          <w:rFonts w:ascii="Times New Roman" w:hAnsi="Times New Roman" w:cs="Times New Roman" w:eastAsia="Times New Roman" w:hint="default"/>
        </w:rPr>
        <w:t>(</w:t>
      </w:r>
      <w:r>
        <w:rPr/>
        <w:t>账号</w:t>
      </w:r>
      <w:r>
        <w:rPr>
          <w:rFonts w:ascii="Times New Roman" w:hAnsi="Times New Roman" w:cs="Times New Roman" w:eastAsia="Times New Roman" w:hint="default"/>
        </w:rPr>
        <w:t>33001656335053004299)</w:t>
      </w:r>
      <w:r>
        <w:rPr/>
        <w:t>被冻结，该账</w:t>
      </w:r>
      <w:r>
        <w:rPr>
          <w:spacing w:val="1"/>
        </w:rPr>
        <w:t> </w:t>
      </w:r>
      <w:r>
        <w:rPr/>
        <w:t>户余额为</w:t>
      </w:r>
      <w:r>
        <w:rPr>
          <w:rFonts w:ascii="Times New Roman" w:hAnsi="Times New Roman" w:cs="Times New Roman" w:eastAsia="Times New Roman" w:hint="default"/>
        </w:rPr>
        <w:t>16,664.15</w:t>
      </w:r>
      <w:r>
        <w:rPr/>
        <w:t>元。</w:t>
      </w:r>
    </w:p>
    <w:p>
      <w:pPr>
        <w:spacing w:line="240" w:lineRule="auto" w:before="3"/>
        <w:rPr>
          <w:rFonts w:ascii="宋体" w:hAnsi="宋体" w:cs="宋体" w:eastAsia="宋体" w:hint="default"/>
          <w:sz w:val="24"/>
          <w:szCs w:val="24"/>
        </w:rPr>
      </w:pPr>
    </w:p>
    <w:p>
      <w:pPr>
        <w:pStyle w:val="BodyText"/>
        <w:spacing w:line="256" w:lineRule="auto" w:before="0"/>
        <w:ind w:left="574" w:right="1127"/>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期末其他货币资金余额中包括银行承兑汇票保证金、信用证保证金共计</w:t>
      </w:r>
      <w:r>
        <w:rPr>
          <w:rFonts w:ascii="Times New Roman" w:hAnsi="Times New Roman" w:cs="Times New Roman" w:eastAsia="Times New Roman" w:hint="default"/>
        </w:rPr>
        <w:t>143,209,131.65</w:t>
      </w:r>
      <w:r>
        <w:rPr/>
        <w:t>元。</w:t>
      </w:r>
      <w:r>
        <w:rPr>
          <w:w w:val="99"/>
        </w:rPr>
        <w:t> </w:t>
      </w:r>
      <w:r>
        <w:rPr>
          <w:rFonts w:ascii="Times New Roman" w:hAnsi="Times New Roman" w:cs="Times New Roman" w:eastAsia="Times New Roman" w:hint="default"/>
        </w:rPr>
        <w:t>(3)</w:t>
      </w:r>
      <w:r>
        <w:rPr/>
        <w:t>本公司子公司江西宏磊铜业有限公司在中国银行鹰潭市分行营业部的银行账户</w:t>
      </w:r>
      <w:r>
        <w:rPr>
          <w:rFonts w:ascii="Times New Roman" w:hAnsi="Times New Roman" w:cs="Times New Roman" w:eastAsia="Times New Roman" w:hint="default"/>
        </w:rPr>
        <w:t>(</w:t>
      </w:r>
      <w:r>
        <w:rPr/>
        <w:t>账号</w:t>
      </w:r>
      <w:r>
        <w:rPr>
          <w:rFonts w:ascii="Times New Roman" w:hAnsi="Times New Roman" w:cs="Times New Roman" w:eastAsia="Times New Roman" w:hint="default"/>
        </w:rPr>
        <w:t>190204753840)</w:t>
      </w:r>
    </w:p>
    <w:p>
      <w:pPr>
        <w:pStyle w:val="BodyText"/>
        <w:spacing w:line="240" w:lineRule="auto" w:before="5"/>
        <w:ind w:right="0"/>
        <w:jc w:val="left"/>
      </w:pPr>
      <w:r>
        <w:rPr/>
        <w:t>被冻结，该账户期末余额为</w:t>
      </w:r>
      <w:r>
        <w:rPr>
          <w:rFonts w:ascii="Times New Roman" w:hAnsi="Times New Roman" w:cs="Times New Roman" w:eastAsia="Times New Roman" w:hint="default"/>
        </w:rPr>
        <w:t>81,722.36</w:t>
      </w:r>
      <w:r>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left="153" w:right="0"/>
        <w:jc w:val="left"/>
        <w:rPr>
          <w:b w:val="0"/>
          <w:bCs w:val="0"/>
        </w:rPr>
      </w:pPr>
      <w:bookmarkStart w:name="2、以公允价值计量且其变动计入当期损益的金融资产" w:id="217"/>
      <w:bookmarkEnd w:id="217"/>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3、衍生金融资产" w:id="218"/>
      <w:bookmarkEnd w:id="218"/>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4、应收票据" w:id="219"/>
      <w:bookmarkEnd w:id="219"/>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应收票据分类列示" w:id="220"/>
      <w:bookmarkEnd w:id="22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18"/>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2,889,287.10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2,889,287.10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公司已质押的应收票据" w:id="221"/>
      <w:bookmarkEnd w:id="221"/>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期末公司已背书或贴现且在资产负债表日尚未到期的应收票据" w:id="222"/>
      <w:bookmarkEnd w:id="222"/>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期末公司因出票人未履约而将其转应收账款的票据" w:id="223"/>
      <w:bookmarkEnd w:id="223"/>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5、应收账款" w:id="224"/>
      <w:bookmarkEnd w:id="224"/>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225"/>
      <w:bookmarkEnd w:id="22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609,180,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807.26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21,207,4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66.38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587,973,3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40.88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587,665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,705.00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20,292,55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567,373,14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9.97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1,146,73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1,146,73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610,327,</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544.51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22,354,2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03.63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3.66%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587,973,3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40.88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587,665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,705.00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20,292,55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5.03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3.45%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567,373,14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9.97</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after="0"/>
        <w:jc w:val="left"/>
        <w:rPr>
          <w:rFonts w:ascii="宋体" w:hAnsi="宋体" w:cs="宋体" w:eastAsia="宋体" w:hint="default"/>
          <w:sz w:val="18"/>
          <w:szCs w:val="18"/>
        </w:rPr>
        <w:sectPr>
          <w:footerReference w:type="default" r:id="rId19"/>
          <w:pgSz w:w="11910" w:h="16840"/>
          <w:pgMar w:footer="979" w:header="747" w:top="1060" w:bottom="1160" w:left="980" w:right="0"/>
          <w:pgNumType w:start="101"/>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line="338"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596,231,855.16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17,886,955.66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97.87%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596,231,855.16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17,886,955.66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97.87%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7,796,575.68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779,657.57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3,162,095.98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948,628.80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1,990,280.44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1,592,224.35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609,180,807.26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21,207,466.38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2）本期计提、收回或转回的坏账准备情况" w:id="226"/>
      <w:bookmarkEnd w:id="22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spacing w:line="338" w:lineRule="auto" w:before="44"/>
        <w:ind w:left="153" w:right="-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1,331,872.15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4,224,411.64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2"/>
          <w:sz w:val="18"/>
          <w:szCs w:val="18"/>
        </w:rPr>
        <w:t> </w:t>
      </w:r>
      <w:r>
        <w:rPr>
          <w:rFonts w:ascii="宋体" w:hAnsi="宋体" w:cs="宋体" w:eastAsia="宋体" w:hint="default"/>
          <w:sz w:val="18"/>
          <w:szCs w:val="18"/>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076" w:space="1754"/>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实际核销的应收账款情况" w:id="227"/>
      <w:bookmarkEnd w:id="22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按欠款方归集的期末余额前五吊的应收账款情况" w:id="228"/>
      <w:bookmarkEnd w:id="22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383" w:type="dxa"/>
        <w:tblLayout w:type="fixed"/>
        <w:tblCellMar>
          <w:top w:w="0" w:type="dxa"/>
          <w:left w:w="0" w:type="dxa"/>
          <w:bottom w:w="0" w:type="dxa"/>
          <w:right w:w="0" w:type="dxa"/>
        </w:tblCellMar>
        <w:tblLook w:val="01E0"/>
      </w:tblPr>
      <w:tblGrid>
        <w:gridCol w:w="2103"/>
        <w:gridCol w:w="2747"/>
        <w:gridCol w:w="1653"/>
        <w:gridCol w:w="863"/>
        <w:gridCol w:w="1513"/>
      </w:tblGrid>
      <w:tr>
        <w:trPr>
          <w:trHeight w:val="502" w:hRule="exact"/>
        </w:trPr>
        <w:tc>
          <w:tcPr>
            <w:tcW w:w="2103"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747" w:type="dxa"/>
            <w:tcBorders>
              <w:top w:val="nil" w:sz="6" w:space="0" w:color="auto"/>
              <w:left w:val="nil" w:sz="6" w:space="0" w:color="auto"/>
              <w:bottom w:val="nil" w:sz="6" w:space="0" w:color="auto"/>
              <w:right w:val="nil" w:sz="6" w:space="0" w:color="auto"/>
            </w:tcBorders>
          </w:tcPr>
          <w:p>
            <w:pPr>
              <w:pStyle w:val="TableParagraph"/>
              <w:spacing w:line="180" w:lineRule="exact"/>
              <w:ind w:left="118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53" w:type="dxa"/>
            <w:tcBorders>
              <w:top w:val="nil" w:sz="6" w:space="0" w:color="auto"/>
              <w:left w:val="nil" w:sz="6" w:space="0" w:color="auto"/>
              <w:bottom w:val="nil" w:sz="6" w:space="0" w:color="auto"/>
              <w:right w:val="nil" w:sz="6" w:space="0" w:color="auto"/>
            </w:tcBorders>
          </w:tcPr>
          <w:p>
            <w:pPr>
              <w:pStyle w:val="TableParagraph"/>
              <w:spacing w:line="180" w:lineRule="exact"/>
              <w:ind w:left="48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63" w:type="dxa"/>
            <w:tcBorders>
              <w:top w:val="nil" w:sz="6" w:space="0" w:color="auto"/>
              <w:left w:val="nil" w:sz="6" w:space="0" w:color="auto"/>
              <w:bottom w:val="nil" w:sz="6" w:space="0" w:color="auto"/>
              <w:right w:val="nil" w:sz="6" w:space="0" w:color="auto"/>
            </w:tcBorders>
          </w:tcPr>
          <w:p>
            <w:pPr>
              <w:pStyle w:val="TableParagraph"/>
              <w:spacing w:line="180" w:lineRule="exact"/>
              <w:ind w:left="45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13" w:type="dxa"/>
            <w:tcBorders>
              <w:top w:val="nil" w:sz="6" w:space="0" w:color="auto"/>
              <w:left w:val="nil" w:sz="6" w:space="0" w:color="auto"/>
              <w:bottom w:val="nil" w:sz="6" w:space="0" w:color="auto"/>
              <w:right w:val="nil" w:sz="6" w:space="0" w:color="auto"/>
            </w:tcBorders>
          </w:tcPr>
          <w:p>
            <w:pPr>
              <w:pStyle w:val="TableParagraph"/>
              <w:spacing w:line="180" w:lineRule="exact"/>
              <w:ind w:left="52" w:right="0"/>
              <w:jc w:val="left"/>
              <w:rPr>
                <w:rFonts w:ascii="宋体" w:hAnsi="宋体" w:cs="宋体" w:eastAsia="宋体" w:hint="default"/>
                <w:sz w:val="18"/>
                <w:szCs w:val="18"/>
              </w:rPr>
            </w:pPr>
            <w:r>
              <w:rPr>
                <w:rFonts w:ascii="宋体" w:hAnsi="宋体" w:cs="宋体" w:eastAsia="宋体" w:hint="default"/>
                <w:sz w:val="18"/>
                <w:szCs w:val="18"/>
              </w:rPr>
              <w:t>占应收账款总额</w:t>
            </w:r>
          </w:p>
          <w:p>
            <w:pPr>
              <w:pStyle w:val="TableParagraph"/>
              <w:spacing w:line="240" w:lineRule="auto" w:before="76"/>
              <w:ind w:left="5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3"/>
          <w:szCs w:val="3"/>
        </w:rPr>
      </w:pPr>
      <w:r>
        <w:rPr/>
        <w:pict>
          <v:group style="position:absolute;margin-left:55.200001pt;margin-top:55.619984pt;width:485pt;height:.1pt;mso-position-horizontal-relative:page;mso-position-vertical-relative:page;z-index:-85501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83" w:type="dxa"/>
        <w:tblLayout w:type="fixed"/>
        <w:tblCellMar>
          <w:top w:w="0" w:type="dxa"/>
          <w:left w:w="0" w:type="dxa"/>
          <w:bottom w:w="0" w:type="dxa"/>
          <w:right w:w="0" w:type="dxa"/>
        </w:tblCellMar>
        <w:tblLook w:val="01E0"/>
      </w:tblPr>
      <w:tblGrid>
        <w:gridCol w:w="2394"/>
        <w:gridCol w:w="2454"/>
        <w:gridCol w:w="1720"/>
        <w:gridCol w:w="1426"/>
        <w:gridCol w:w="1086"/>
      </w:tblGrid>
      <w:tr>
        <w:trPr>
          <w:trHeight w:val="664" w:hRule="exact"/>
        </w:trPr>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33"/>
              <w:jc w:val="center"/>
              <w:rPr>
                <w:rFonts w:ascii="Times New Roman" w:hAnsi="Times New Roman" w:cs="Times New Roman" w:eastAsia="Times New Roman" w:hint="default"/>
                <w:sz w:val="18"/>
                <w:szCs w:val="18"/>
              </w:rPr>
            </w:pPr>
            <w:r>
              <w:rPr>
                <w:rFonts w:ascii="Times New Roman"/>
                <w:sz w:val="18"/>
              </w:rPr>
              <w:t>218,025,000.00</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198"/>
              <w:jc w:val="right"/>
              <w:rPr>
                <w:rFonts w:ascii="Times New Roman" w:hAnsi="Times New Roman" w:cs="Times New Roman" w:eastAsia="Times New Roman" w:hint="default"/>
                <w:sz w:val="18"/>
                <w:szCs w:val="18"/>
              </w:rPr>
            </w:pPr>
            <w:r>
              <w:rPr>
                <w:rFonts w:ascii="Times New Roman"/>
                <w:sz w:val="18"/>
              </w:rPr>
              <w:t>35.72</w:t>
            </w:r>
          </w:p>
        </w:tc>
      </w:tr>
      <w:tr>
        <w:trPr>
          <w:trHeight w:val="332" w:hRule="exact"/>
        </w:trPr>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00"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8"/>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center"/>
              <w:rPr>
                <w:rFonts w:ascii="Times New Roman" w:hAnsi="Times New Roman" w:cs="Times New Roman" w:eastAsia="Times New Roman" w:hint="default"/>
                <w:sz w:val="18"/>
                <w:szCs w:val="18"/>
              </w:rPr>
            </w:pPr>
            <w:r>
              <w:rPr>
                <w:rFonts w:ascii="Times New Roman"/>
                <w:sz w:val="18"/>
              </w:rPr>
              <w:t>173,007,359.06</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Times New Roman" w:hAnsi="Times New Roman" w:cs="Times New Roman" w:eastAsia="Times New Roman" w:hint="default"/>
                <w:sz w:val="18"/>
                <w:szCs w:val="18"/>
              </w:rPr>
            </w:pPr>
            <w:r>
              <w:rPr>
                <w:rFonts w:ascii="Times New Roman"/>
                <w:sz w:val="18"/>
              </w:rPr>
              <w:t>28.35</w:t>
            </w:r>
          </w:p>
        </w:tc>
      </w:tr>
      <w:tr>
        <w:trPr>
          <w:trHeight w:val="332" w:hRule="exact"/>
        </w:trPr>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00"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8"/>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6" w:right="0"/>
              <w:jc w:val="center"/>
              <w:rPr>
                <w:rFonts w:ascii="Times New Roman" w:hAnsi="Times New Roman" w:cs="Times New Roman" w:eastAsia="Times New Roman" w:hint="default"/>
                <w:sz w:val="18"/>
                <w:szCs w:val="18"/>
              </w:rPr>
            </w:pPr>
            <w:r>
              <w:rPr>
                <w:rFonts w:ascii="Times New Roman"/>
                <w:sz w:val="18"/>
              </w:rPr>
              <w:t>99,277,499.99</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Times New Roman" w:hAnsi="Times New Roman" w:cs="Times New Roman" w:eastAsia="Times New Roman" w:hint="default"/>
                <w:sz w:val="18"/>
                <w:szCs w:val="18"/>
              </w:rPr>
            </w:pPr>
            <w:r>
              <w:rPr>
                <w:rFonts w:ascii="Times New Roman"/>
                <w:sz w:val="18"/>
              </w:rPr>
              <w:t>16.27</w:t>
            </w:r>
          </w:p>
        </w:tc>
      </w:tr>
      <w:tr>
        <w:trPr>
          <w:trHeight w:val="332" w:hRule="exact"/>
        </w:trPr>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00"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8"/>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6" w:right="0"/>
              <w:jc w:val="center"/>
              <w:rPr>
                <w:rFonts w:ascii="Times New Roman" w:hAnsi="Times New Roman" w:cs="Times New Roman" w:eastAsia="Times New Roman" w:hint="default"/>
                <w:sz w:val="18"/>
                <w:szCs w:val="18"/>
              </w:rPr>
            </w:pPr>
            <w:r>
              <w:rPr>
                <w:rFonts w:ascii="Times New Roman"/>
                <w:sz w:val="18"/>
              </w:rPr>
              <w:t>29,925,000.00</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Times New Roman" w:hAnsi="Times New Roman" w:cs="Times New Roman" w:eastAsia="Times New Roman" w:hint="default"/>
                <w:sz w:val="18"/>
                <w:szCs w:val="18"/>
              </w:rPr>
            </w:pPr>
            <w:r>
              <w:rPr>
                <w:rFonts w:ascii="Times New Roman"/>
                <w:sz w:val="18"/>
              </w:rPr>
              <w:t>4.90</w:t>
            </w:r>
          </w:p>
        </w:tc>
      </w:tr>
      <w:tr>
        <w:trPr>
          <w:trHeight w:val="333" w:hRule="exact"/>
        </w:trPr>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00"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8"/>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6" w:right="0"/>
              <w:jc w:val="center"/>
              <w:rPr>
                <w:rFonts w:ascii="Times New Roman" w:hAnsi="Times New Roman" w:cs="Times New Roman" w:eastAsia="Times New Roman" w:hint="default"/>
                <w:sz w:val="18"/>
                <w:szCs w:val="18"/>
              </w:rPr>
            </w:pPr>
            <w:r>
              <w:rPr>
                <w:rFonts w:ascii="Times New Roman"/>
                <w:sz w:val="18"/>
              </w:rPr>
              <w:t>19,000,000.00</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Times New Roman" w:hAnsi="Times New Roman" w:cs="Times New Roman" w:eastAsia="Times New Roman" w:hint="default"/>
                <w:sz w:val="18"/>
                <w:szCs w:val="18"/>
              </w:rPr>
            </w:pPr>
            <w:r>
              <w:rPr>
                <w:rFonts w:ascii="Times New Roman"/>
                <w:sz w:val="18"/>
              </w:rPr>
              <w:t>3.11</w:t>
            </w:r>
          </w:p>
        </w:tc>
      </w:tr>
      <w:tr>
        <w:trPr>
          <w:trHeight w:val="259" w:hRule="exact"/>
        </w:trPr>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00"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54"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539,234,859.05</w:t>
            </w:r>
            <w:r>
              <w:rPr>
                <w:rFonts w:ascii="Times New Roman"/>
                <w:sz w:val="18"/>
              </w:rPr>
            </w:r>
          </w:p>
        </w:tc>
        <w:tc>
          <w:tcPr>
            <w:tcW w:w="1426"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88.35</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Heading4"/>
        <w:spacing w:line="240" w:lineRule="auto" w:before="35"/>
        <w:ind w:right="0"/>
        <w:jc w:val="left"/>
        <w:rPr>
          <w:b w:val="0"/>
          <w:bCs w:val="0"/>
        </w:rPr>
      </w:pPr>
      <w:bookmarkStart w:name="（5）因金融资产转移而终止确认的应收账款" w:id="229"/>
      <w:bookmarkEnd w:id="22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转移应收账款且继续涉入形成的资产、负债金额" w:id="230"/>
      <w:bookmarkEnd w:id="23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预付款项" w:id="231"/>
      <w:bookmarkEnd w:id="231"/>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32"/>
      <w:bookmarkEnd w:id="23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417,850,420.96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209,782,605.80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960,606.41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8,206,831.36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8,212,446.09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245,638.22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425,988.05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180,146.42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427,449,461.51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218,415,221.80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按预付对象归集的期末余额前五吊的预付款情况" w:id="233"/>
      <w:bookmarkEnd w:id="23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383" w:type="dxa"/>
        <w:tblLayout w:type="fixed"/>
        <w:tblCellMar>
          <w:top w:w="0" w:type="dxa"/>
          <w:left w:w="0" w:type="dxa"/>
          <w:bottom w:w="0" w:type="dxa"/>
          <w:right w:w="0" w:type="dxa"/>
        </w:tblCellMar>
        <w:tblLook w:val="01E0"/>
      </w:tblPr>
      <w:tblGrid>
        <w:gridCol w:w="2213"/>
        <w:gridCol w:w="2645"/>
        <w:gridCol w:w="1647"/>
        <w:gridCol w:w="984"/>
        <w:gridCol w:w="1376"/>
      </w:tblGrid>
      <w:tr>
        <w:trPr>
          <w:trHeight w:val="271"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45" w:type="dxa"/>
            <w:tcBorders>
              <w:top w:val="nil" w:sz="6" w:space="0" w:color="auto"/>
              <w:left w:val="nil" w:sz="6" w:space="0" w:color="auto"/>
              <w:bottom w:val="nil" w:sz="6" w:space="0" w:color="auto"/>
              <w:right w:val="nil" w:sz="6" w:space="0" w:color="auto"/>
            </w:tcBorders>
          </w:tcPr>
          <w:p>
            <w:pPr>
              <w:pStyle w:val="TableParagraph"/>
              <w:spacing w:line="210" w:lineRule="exact"/>
              <w:ind w:right="210"/>
              <w:jc w:val="right"/>
              <w:rPr>
                <w:rFonts w:ascii="宋体" w:hAnsi="宋体" w:cs="宋体" w:eastAsia="宋体" w:hint="default"/>
                <w:sz w:val="21"/>
                <w:szCs w:val="21"/>
              </w:rPr>
            </w:pPr>
            <w:r>
              <w:rPr>
                <w:rFonts w:ascii="宋体" w:hAnsi="宋体" w:cs="宋体" w:eastAsia="宋体" w:hint="default"/>
                <w:sz w:val="21"/>
                <w:szCs w:val="21"/>
              </w:rPr>
              <w:t>与本公司关系</w:t>
            </w:r>
          </w:p>
        </w:tc>
        <w:tc>
          <w:tcPr>
            <w:tcW w:w="1647" w:type="dxa"/>
            <w:tcBorders>
              <w:top w:val="nil" w:sz="6" w:space="0" w:color="auto"/>
              <w:left w:val="nil" w:sz="6" w:space="0" w:color="auto"/>
              <w:bottom w:val="nil" w:sz="6" w:space="0" w:color="auto"/>
              <w:right w:val="nil" w:sz="6" w:space="0" w:color="auto"/>
            </w:tcBorders>
          </w:tcPr>
          <w:p>
            <w:pPr>
              <w:pStyle w:val="TableParagraph"/>
              <w:spacing w:line="210" w:lineRule="exact"/>
              <w:ind w:right="121"/>
              <w:jc w:val="right"/>
              <w:rPr>
                <w:rFonts w:ascii="宋体" w:hAnsi="宋体" w:cs="宋体" w:eastAsia="宋体" w:hint="default"/>
                <w:sz w:val="21"/>
                <w:szCs w:val="21"/>
              </w:rPr>
            </w:pPr>
            <w:r>
              <w:rPr>
                <w:rFonts w:ascii="宋体" w:hAnsi="宋体" w:cs="宋体" w:eastAsia="宋体" w:hint="default"/>
                <w:sz w:val="21"/>
                <w:szCs w:val="21"/>
              </w:rPr>
              <w:t>期末数</w:t>
            </w:r>
          </w:p>
        </w:tc>
        <w:tc>
          <w:tcPr>
            <w:tcW w:w="984" w:type="dxa"/>
            <w:tcBorders>
              <w:top w:val="nil" w:sz="6" w:space="0" w:color="auto"/>
              <w:left w:val="nil" w:sz="6" w:space="0" w:color="auto"/>
              <w:bottom w:val="nil" w:sz="6" w:space="0" w:color="auto"/>
              <w:right w:val="nil" w:sz="6" w:space="0" w:color="auto"/>
            </w:tcBorders>
          </w:tcPr>
          <w:p>
            <w:pPr>
              <w:pStyle w:val="TableParagraph"/>
              <w:spacing w:line="210" w:lineRule="exact"/>
              <w:ind w:right="124"/>
              <w:jc w:val="right"/>
              <w:rPr>
                <w:rFonts w:ascii="宋体" w:hAnsi="宋体" w:cs="宋体" w:eastAsia="宋体" w:hint="default"/>
                <w:sz w:val="21"/>
                <w:szCs w:val="21"/>
              </w:rPr>
            </w:pPr>
            <w:r>
              <w:rPr>
                <w:rFonts w:ascii="宋体" w:hAnsi="宋体" w:cs="宋体" w:eastAsia="宋体" w:hint="default"/>
                <w:sz w:val="21"/>
                <w:szCs w:val="21"/>
              </w:rPr>
              <w:t>账龄</w:t>
            </w:r>
          </w:p>
        </w:tc>
        <w:tc>
          <w:tcPr>
            <w:tcW w:w="1376" w:type="dxa"/>
            <w:tcBorders>
              <w:top w:val="nil" w:sz="6" w:space="0" w:color="auto"/>
              <w:left w:val="nil" w:sz="6" w:space="0" w:color="auto"/>
              <w:bottom w:val="nil" w:sz="6" w:space="0" w:color="auto"/>
              <w:right w:val="nil" w:sz="6" w:space="0" w:color="auto"/>
            </w:tcBorders>
          </w:tcPr>
          <w:p>
            <w:pPr>
              <w:pStyle w:val="TableParagraph"/>
              <w:spacing w:line="210" w:lineRule="exact"/>
              <w:ind w:right="198"/>
              <w:jc w:val="righ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38"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71" w:lineRule="exact"/>
              <w:ind w:left="200"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645" w:type="dxa"/>
            <w:tcBorders>
              <w:top w:val="nil" w:sz="6" w:space="0" w:color="auto"/>
              <w:left w:val="nil" w:sz="6" w:space="0" w:color="auto"/>
              <w:bottom w:val="nil" w:sz="6" w:space="0" w:color="auto"/>
              <w:right w:val="nil" w:sz="6" w:space="0" w:color="auto"/>
            </w:tcBorders>
          </w:tcPr>
          <w:p>
            <w:pPr>
              <w:pStyle w:val="TableParagraph"/>
              <w:spacing w:line="271" w:lineRule="exact"/>
              <w:ind w:right="209"/>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0"/>
              <w:jc w:val="right"/>
              <w:rPr>
                <w:rFonts w:ascii="Times New Roman" w:hAnsi="Times New Roman" w:cs="Times New Roman" w:eastAsia="Times New Roman" w:hint="default"/>
                <w:sz w:val="21"/>
                <w:szCs w:val="21"/>
              </w:rPr>
            </w:pPr>
            <w:r>
              <w:rPr>
                <w:rFonts w:ascii="Times New Roman"/>
                <w:spacing w:val="-1"/>
                <w:sz w:val="21"/>
              </w:rPr>
              <w:t>182,764,375.24</w:t>
            </w:r>
          </w:p>
        </w:tc>
        <w:tc>
          <w:tcPr>
            <w:tcW w:w="984" w:type="dxa"/>
            <w:tcBorders>
              <w:top w:val="nil" w:sz="6" w:space="0" w:color="auto"/>
              <w:left w:val="nil" w:sz="6" w:space="0" w:color="auto"/>
              <w:bottom w:val="nil" w:sz="6" w:space="0" w:color="auto"/>
              <w:right w:val="nil" w:sz="6" w:space="0" w:color="auto"/>
            </w:tcBorders>
          </w:tcPr>
          <w:p>
            <w:pPr>
              <w:pStyle w:val="TableParagraph"/>
              <w:spacing w:line="286" w:lineRule="exact"/>
              <w:ind w:right="123"/>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376" w:type="dxa"/>
            <w:tcBorders>
              <w:top w:val="nil" w:sz="6" w:space="0" w:color="auto"/>
              <w:left w:val="nil" w:sz="6" w:space="0" w:color="auto"/>
              <w:bottom w:val="nil" w:sz="6" w:space="0" w:color="auto"/>
              <w:right w:val="nil" w:sz="6" w:space="0" w:color="auto"/>
            </w:tcBorders>
          </w:tcPr>
          <w:p>
            <w:pPr>
              <w:pStyle w:val="TableParagraph"/>
              <w:spacing w:line="271" w:lineRule="exact"/>
              <w:ind w:right="198"/>
              <w:jc w:val="right"/>
              <w:rPr>
                <w:rFonts w:ascii="宋体" w:hAnsi="宋体" w:cs="宋体" w:eastAsia="宋体" w:hint="default"/>
                <w:sz w:val="21"/>
                <w:szCs w:val="21"/>
              </w:rPr>
            </w:pPr>
            <w:r>
              <w:rPr>
                <w:rFonts w:ascii="宋体" w:hAnsi="宋体" w:cs="宋体" w:eastAsia="宋体" w:hint="default"/>
                <w:sz w:val="21"/>
                <w:szCs w:val="21"/>
              </w:rPr>
              <w:t>预付货款</w:t>
            </w:r>
          </w:p>
        </w:tc>
      </w:tr>
      <w:tr>
        <w:trPr>
          <w:trHeight w:val="332"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00" w:right="0"/>
              <w:jc w:val="left"/>
              <w:rPr>
                <w:rFonts w:ascii="MS Gothic" w:hAnsi="MS Gothic" w:cs="MS Gothic" w:eastAsia="MS Gothic" w:hint="default"/>
                <w:sz w:val="18"/>
                <w:szCs w:val="18"/>
              </w:rPr>
            </w:pPr>
            <w:r>
              <w:rPr>
                <w:rFonts w:ascii="MS Gothic" w:hAnsi="MS Gothic" w:cs="MS Gothic" w:eastAsia="MS Gothic" w:hint="default"/>
                <w:sz w:val="18"/>
                <w:szCs w:val="18"/>
              </w:rPr>
              <w:t>ｿｻｶ</w:t>
            </w:r>
          </w:p>
        </w:tc>
        <w:tc>
          <w:tcPr>
            <w:tcW w:w="2645" w:type="dxa"/>
            <w:tcBorders>
              <w:top w:val="nil" w:sz="6" w:space="0" w:color="auto"/>
              <w:left w:val="nil" w:sz="6" w:space="0" w:color="auto"/>
              <w:bottom w:val="nil" w:sz="6" w:space="0" w:color="auto"/>
              <w:right w:val="nil" w:sz="6" w:space="0" w:color="auto"/>
            </w:tcBorders>
          </w:tcPr>
          <w:p>
            <w:pPr>
              <w:pStyle w:val="TableParagraph"/>
              <w:spacing w:line="265" w:lineRule="exact"/>
              <w:ind w:right="209"/>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0"/>
              <w:jc w:val="right"/>
              <w:rPr>
                <w:rFonts w:ascii="Times New Roman" w:hAnsi="Times New Roman" w:cs="Times New Roman" w:eastAsia="Times New Roman" w:hint="default"/>
                <w:sz w:val="21"/>
                <w:szCs w:val="21"/>
              </w:rPr>
            </w:pPr>
            <w:r>
              <w:rPr>
                <w:rFonts w:ascii="Times New Roman"/>
                <w:sz w:val="21"/>
              </w:rPr>
              <w:t>79,104,719.33</w:t>
            </w:r>
          </w:p>
        </w:tc>
        <w:tc>
          <w:tcPr>
            <w:tcW w:w="984" w:type="dxa"/>
            <w:tcBorders>
              <w:top w:val="nil" w:sz="6" w:space="0" w:color="auto"/>
              <w:left w:val="nil" w:sz="6" w:space="0" w:color="auto"/>
              <w:bottom w:val="nil" w:sz="6" w:space="0" w:color="auto"/>
              <w:right w:val="nil" w:sz="6" w:space="0" w:color="auto"/>
            </w:tcBorders>
          </w:tcPr>
          <w:p>
            <w:pPr>
              <w:pStyle w:val="TableParagraph"/>
              <w:spacing w:line="281" w:lineRule="exact"/>
              <w:ind w:right="123"/>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376" w:type="dxa"/>
            <w:tcBorders>
              <w:top w:val="nil" w:sz="6" w:space="0" w:color="auto"/>
              <w:left w:val="nil" w:sz="6" w:space="0" w:color="auto"/>
              <w:bottom w:val="nil" w:sz="6" w:space="0" w:color="auto"/>
              <w:right w:val="nil" w:sz="6" w:space="0" w:color="auto"/>
            </w:tcBorders>
          </w:tcPr>
          <w:p>
            <w:pPr>
              <w:pStyle w:val="TableParagraph"/>
              <w:spacing w:line="265" w:lineRule="exact"/>
              <w:ind w:right="198"/>
              <w:jc w:val="right"/>
              <w:rPr>
                <w:rFonts w:ascii="宋体" w:hAnsi="宋体" w:cs="宋体" w:eastAsia="宋体" w:hint="default"/>
                <w:sz w:val="21"/>
                <w:szCs w:val="21"/>
              </w:rPr>
            </w:pPr>
            <w:r>
              <w:rPr>
                <w:rFonts w:ascii="宋体" w:hAnsi="宋体" w:cs="宋体" w:eastAsia="宋体" w:hint="default"/>
                <w:sz w:val="21"/>
                <w:szCs w:val="21"/>
              </w:rPr>
              <w:t>预付货款</w:t>
            </w:r>
          </w:p>
        </w:tc>
      </w:tr>
      <w:tr>
        <w:trPr>
          <w:trHeight w:val="332"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00" w:right="0"/>
              <w:jc w:val="left"/>
              <w:rPr>
                <w:rFonts w:ascii="MS Gothic" w:hAnsi="MS Gothic" w:cs="MS Gothic" w:eastAsia="MS Gothic" w:hint="default"/>
                <w:sz w:val="18"/>
                <w:szCs w:val="18"/>
              </w:rPr>
            </w:pPr>
            <w:r>
              <w:rPr>
                <w:rFonts w:ascii="MS Gothic" w:hAnsi="MS Gothic" w:cs="MS Gothic" w:eastAsia="MS Gothic" w:hint="default"/>
                <w:sz w:val="18"/>
                <w:szCs w:val="18"/>
              </w:rPr>
              <w:t>ｿｻﾈ</w:t>
            </w:r>
          </w:p>
        </w:tc>
        <w:tc>
          <w:tcPr>
            <w:tcW w:w="2645" w:type="dxa"/>
            <w:tcBorders>
              <w:top w:val="nil" w:sz="6" w:space="0" w:color="auto"/>
              <w:left w:val="nil" w:sz="6" w:space="0" w:color="auto"/>
              <w:bottom w:val="nil" w:sz="6" w:space="0" w:color="auto"/>
              <w:right w:val="nil" w:sz="6" w:space="0" w:color="auto"/>
            </w:tcBorders>
          </w:tcPr>
          <w:p>
            <w:pPr>
              <w:pStyle w:val="TableParagraph"/>
              <w:spacing w:line="265" w:lineRule="exact"/>
              <w:ind w:right="209"/>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0"/>
              <w:jc w:val="right"/>
              <w:rPr>
                <w:rFonts w:ascii="Times New Roman" w:hAnsi="Times New Roman" w:cs="Times New Roman" w:eastAsia="Times New Roman" w:hint="default"/>
                <w:sz w:val="21"/>
                <w:szCs w:val="21"/>
              </w:rPr>
            </w:pPr>
            <w:r>
              <w:rPr>
                <w:rFonts w:ascii="Times New Roman"/>
                <w:sz w:val="21"/>
              </w:rPr>
              <w:t>34,000,000.00</w:t>
            </w:r>
          </w:p>
        </w:tc>
        <w:tc>
          <w:tcPr>
            <w:tcW w:w="984" w:type="dxa"/>
            <w:tcBorders>
              <w:top w:val="nil" w:sz="6" w:space="0" w:color="auto"/>
              <w:left w:val="nil" w:sz="6" w:space="0" w:color="auto"/>
              <w:bottom w:val="nil" w:sz="6" w:space="0" w:color="auto"/>
              <w:right w:val="nil" w:sz="6" w:space="0" w:color="auto"/>
            </w:tcBorders>
          </w:tcPr>
          <w:p>
            <w:pPr>
              <w:pStyle w:val="TableParagraph"/>
              <w:spacing w:line="281" w:lineRule="exact"/>
              <w:ind w:right="123"/>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376" w:type="dxa"/>
            <w:tcBorders>
              <w:top w:val="nil" w:sz="6" w:space="0" w:color="auto"/>
              <w:left w:val="nil" w:sz="6" w:space="0" w:color="auto"/>
              <w:bottom w:val="nil" w:sz="6" w:space="0" w:color="auto"/>
              <w:right w:val="nil" w:sz="6" w:space="0" w:color="auto"/>
            </w:tcBorders>
          </w:tcPr>
          <w:p>
            <w:pPr>
              <w:pStyle w:val="TableParagraph"/>
              <w:spacing w:line="265" w:lineRule="exact"/>
              <w:ind w:right="198"/>
              <w:jc w:val="right"/>
              <w:rPr>
                <w:rFonts w:ascii="宋体" w:hAnsi="宋体" w:cs="宋体" w:eastAsia="宋体" w:hint="default"/>
                <w:sz w:val="21"/>
                <w:szCs w:val="21"/>
              </w:rPr>
            </w:pPr>
            <w:r>
              <w:rPr>
                <w:rFonts w:ascii="宋体" w:hAnsi="宋体" w:cs="宋体" w:eastAsia="宋体" w:hint="default"/>
                <w:sz w:val="21"/>
                <w:szCs w:val="21"/>
              </w:rPr>
              <w:t>预付货款</w:t>
            </w:r>
          </w:p>
        </w:tc>
      </w:tr>
      <w:tr>
        <w:trPr>
          <w:trHeight w:val="332"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2645" w:type="dxa"/>
            <w:tcBorders>
              <w:top w:val="nil" w:sz="6" w:space="0" w:color="auto"/>
              <w:left w:val="nil" w:sz="6" w:space="0" w:color="auto"/>
              <w:bottom w:val="nil" w:sz="6" w:space="0" w:color="auto"/>
              <w:right w:val="nil" w:sz="6" w:space="0" w:color="auto"/>
            </w:tcBorders>
          </w:tcPr>
          <w:p>
            <w:pPr>
              <w:pStyle w:val="TableParagraph"/>
              <w:spacing w:line="265" w:lineRule="exact"/>
              <w:ind w:right="209"/>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0"/>
              <w:jc w:val="right"/>
              <w:rPr>
                <w:rFonts w:ascii="Times New Roman" w:hAnsi="Times New Roman" w:cs="Times New Roman" w:eastAsia="Times New Roman" w:hint="default"/>
                <w:sz w:val="21"/>
                <w:szCs w:val="21"/>
              </w:rPr>
            </w:pPr>
            <w:r>
              <w:rPr>
                <w:rFonts w:ascii="Times New Roman"/>
                <w:sz w:val="21"/>
              </w:rPr>
              <w:t>28,693,375.15</w:t>
            </w:r>
          </w:p>
        </w:tc>
        <w:tc>
          <w:tcPr>
            <w:tcW w:w="984" w:type="dxa"/>
            <w:tcBorders>
              <w:top w:val="nil" w:sz="6" w:space="0" w:color="auto"/>
              <w:left w:val="nil" w:sz="6" w:space="0" w:color="auto"/>
              <w:bottom w:val="nil" w:sz="6" w:space="0" w:color="auto"/>
              <w:right w:val="nil" w:sz="6" w:space="0" w:color="auto"/>
            </w:tcBorders>
          </w:tcPr>
          <w:p>
            <w:pPr>
              <w:pStyle w:val="TableParagraph"/>
              <w:spacing w:line="281" w:lineRule="exact"/>
              <w:ind w:right="123"/>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376" w:type="dxa"/>
            <w:tcBorders>
              <w:top w:val="nil" w:sz="6" w:space="0" w:color="auto"/>
              <w:left w:val="nil" w:sz="6" w:space="0" w:color="auto"/>
              <w:bottom w:val="nil" w:sz="6" w:space="0" w:color="auto"/>
              <w:right w:val="nil" w:sz="6" w:space="0" w:color="auto"/>
            </w:tcBorders>
          </w:tcPr>
          <w:p>
            <w:pPr>
              <w:pStyle w:val="TableParagraph"/>
              <w:spacing w:line="265" w:lineRule="exact"/>
              <w:ind w:right="198"/>
              <w:jc w:val="right"/>
              <w:rPr>
                <w:rFonts w:ascii="宋体" w:hAnsi="宋体" w:cs="宋体" w:eastAsia="宋体" w:hint="default"/>
                <w:sz w:val="21"/>
                <w:szCs w:val="21"/>
              </w:rPr>
            </w:pPr>
            <w:r>
              <w:rPr>
                <w:rFonts w:ascii="宋体" w:hAnsi="宋体" w:cs="宋体" w:eastAsia="宋体" w:hint="default"/>
                <w:sz w:val="21"/>
                <w:szCs w:val="21"/>
              </w:rPr>
              <w:t>预付货款</w:t>
            </w:r>
          </w:p>
        </w:tc>
      </w:tr>
      <w:tr>
        <w:trPr>
          <w:trHeight w:val="332"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645" w:type="dxa"/>
            <w:tcBorders>
              <w:top w:val="nil" w:sz="6" w:space="0" w:color="auto"/>
              <w:left w:val="nil" w:sz="6" w:space="0" w:color="auto"/>
              <w:bottom w:val="nil" w:sz="6" w:space="0" w:color="auto"/>
              <w:right w:val="nil" w:sz="6" w:space="0" w:color="auto"/>
            </w:tcBorders>
          </w:tcPr>
          <w:p>
            <w:pPr>
              <w:pStyle w:val="TableParagraph"/>
              <w:spacing w:line="265" w:lineRule="exact"/>
              <w:ind w:right="209"/>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0"/>
              <w:jc w:val="right"/>
              <w:rPr>
                <w:rFonts w:ascii="Times New Roman" w:hAnsi="Times New Roman" w:cs="Times New Roman" w:eastAsia="Times New Roman" w:hint="default"/>
                <w:sz w:val="21"/>
                <w:szCs w:val="21"/>
              </w:rPr>
            </w:pPr>
            <w:r>
              <w:rPr>
                <w:rFonts w:ascii="Times New Roman"/>
                <w:sz w:val="21"/>
              </w:rPr>
              <w:t>25,106,497.75</w:t>
            </w:r>
          </w:p>
        </w:tc>
        <w:tc>
          <w:tcPr>
            <w:tcW w:w="984" w:type="dxa"/>
            <w:tcBorders>
              <w:top w:val="nil" w:sz="6" w:space="0" w:color="auto"/>
              <w:left w:val="nil" w:sz="6" w:space="0" w:color="auto"/>
              <w:bottom w:val="nil" w:sz="6" w:space="0" w:color="auto"/>
              <w:right w:val="nil" w:sz="6" w:space="0" w:color="auto"/>
            </w:tcBorders>
          </w:tcPr>
          <w:p>
            <w:pPr>
              <w:pStyle w:val="TableParagraph"/>
              <w:spacing w:line="281" w:lineRule="exact"/>
              <w:ind w:right="123"/>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376" w:type="dxa"/>
            <w:tcBorders>
              <w:top w:val="nil" w:sz="6" w:space="0" w:color="auto"/>
              <w:left w:val="nil" w:sz="6" w:space="0" w:color="auto"/>
              <w:bottom w:val="nil" w:sz="6" w:space="0" w:color="auto"/>
              <w:right w:val="nil" w:sz="6" w:space="0" w:color="auto"/>
            </w:tcBorders>
          </w:tcPr>
          <w:p>
            <w:pPr>
              <w:pStyle w:val="TableParagraph"/>
              <w:spacing w:line="265" w:lineRule="exact"/>
              <w:ind w:right="198"/>
              <w:jc w:val="right"/>
              <w:rPr>
                <w:rFonts w:ascii="宋体" w:hAnsi="宋体" w:cs="宋体" w:eastAsia="宋体" w:hint="default"/>
                <w:sz w:val="21"/>
                <w:szCs w:val="21"/>
              </w:rPr>
            </w:pPr>
            <w:r>
              <w:rPr>
                <w:rFonts w:ascii="宋体" w:hAnsi="宋体" w:cs="宋体" w:eastAsia="宋体" w:hint="default"/>
                <w:sz w:val="21"/>
                <w:szCs w:val="21"/>
              </w:rPr>
              <w:t>预付货款</w:t>
            </w:r>
          </w:p>
        </w:tc>
      </w:tr>
      <w:tr>
        <w:trPr>
          <w:trHeight w:val="277"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645"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0"/>
              <w:jc w:val="right"/>
              <w:rPr>
                <w:rFonts w:ascii="Times New Roman" w:hAnsi="Times New Roman" w:cs="Times New Roman" w:eastAsia="Times New Roman" w:hint="default"/>
                <w:sz w:val="21"/>
                <w:szCs w:val="21"/>
              </w:rPr>
            </w:pPr>
            <w:r>
              <w:rPr>
                <w:rFonts w:ascii="Times New Roman"/>
                <w:sz w:val="21"/>
              </w:rPr>
            </w:r>
            <w:r>
              <w:rPr>
                <w:rFonts w:ascii="Times New Roman"/>
                <w:spacing w:val="-1"/>
                <w:sz w:val="21"/>
                <w:u w:val="single" w:color="000000"/>
              </w:rPr>
              <w:t>349,668,967.47</w:t>
            </w:r>
            <w:r>
              <w:rPr>
                <w:rFonts w:ascii="Times New Roman"/>
                <w:spacing w:val="-1"/>
                <w:sz w:val="21"/>
              </w:rPr>
            </w:r>
          </w:p>
        </w:tc>
        <w:tc>
          <w:tcPr>
            <w:tcW w:w="984"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b/>
          <w:bCs/>
          <w:sz w:val="28"/>
          <w:szCs w:val="2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right="0"/>
        <w:jc w:val="left"/>
      </w:pPr>
      <w:r>
        <w:rPr/>
        <w:t>期末无预付持有本公司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表决权股份的股东单位款项。</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4"/>
        <w:spacing w:line="240" w:lineRule="auto" w:before="35"/>
        <w:ind w:left="153" w:right="0"/>
        <w:jc w:val="left"/>
        <w:rPr>
          <w:b w:val="0"/>
          <w:bCs w:val="0"/>
        </w:rPr>
      </w:pPr>
      <w:bookmarkStart w:name="7、应收利息" w:id="234"/>
      <w:bookmarkEnd w:id="234"/>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应收利息分类" w:id="235"/>
      <w:bookmarkEnd w:id="235"/>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重要逾期利息" w:id="236"/>
      <w:bookmarkEnd w:id="236"/>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8、应收股利" w:id="237"/>
      <w:bookmarkEnd w:id="237"/>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股利" w:id="238"/>
      <w:bookmarkEnd w:id="238"/>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的账龄超过1年的应收股利" w:id="239"/>
      <w:bookmarkEnd w:id="239"/>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9、其他应收款" w:id="240"/>
      <w:bookmarkEnd w:id="240"/>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其他应收款分类披露" w:id="241"/>
      <w:bookmarkEnd w:id="24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27,418,1</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97.97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857,545.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26,560,65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170,371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,134.35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5,111,134.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165,260,00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0.32</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60"/>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7,006,0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6,305,400.0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27,418,1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97.97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857,545.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26,560,65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177,377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,134.35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5,811,734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171,565,40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0.32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26,918,197.97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807,545.94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98.18%</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27,418,197.97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857,545.94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本期计提、收回或转回的坏账准备情况" w:id="242"/>
      <w:bookmarkEnd w:id="24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015" w:space="381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实际核销的其他应收款情况" w:id="243"/>
      <w:bookmarkEnd w:id="24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4）其他应收款按款项性质分类情况" w:id="244"/>
      <w:bookmarkEnd w:id="24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27,418,197.97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177,377,134.35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27,418,197.97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177,377,134.35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按欠款方归集的期末余额前五吊的其他应收款情况" w:id="245"/>
      <w:bookmarkEnd w:id="24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诸暨市财务开发公 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浙江神鹰集团诸暨 休闲服饰有限公司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浙江科鑫机械制造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罗中平</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赵旦</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27,220,000.00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99.27%</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涉及政府补助的应收款项" w:id="246"/>
      <w:bookmarkEnd w:id="246"/>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因金融资产转移而终止确认的其他应收款" w:id="247"/>
      <w:bookmarkEnd w:id="247"/>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转移其他应收款且继续涉入形成的资产、负债金额" w:id="248"/>
      <w:bookmarkEnd w:id="248"/>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10、存货" w:id="249"/>
      <w:bookmarkEnd w:id="249"/>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存货分类" w:id="250"/>
      <w:bookmarkEnd w:id="25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1368"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287,425,068.88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1,167,150.40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286,257,918.48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210,805,765.86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210,805,765.86</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37,274,669.17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5,096,532.18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32,178,136.99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52,798,164.12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1,099,629.03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51,698,535.09</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207,571,729.80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31,765,174.24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175,806,555.56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182,075,118.82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1,535,574.98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180,539,543.84</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9,076,558.31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9,076,558.31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5,023,684.79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5,023,684.79</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1,031,463.90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1,031,463.90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186,700.94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186,700.94</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596,421.15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81,068.33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515,352.82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596,421.15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596,421.15</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542,975,911.21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38,109,925.15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504,865,986.06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451,485,855.68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2,635,204.01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448,850,651.67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存货跌价准备" w:id="251"/>
      <w:bookmarkEnd w:id="25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1,167,150.40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1,167,150.40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1,099,629.03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4,115,713.32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118,810.17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5,096,532.18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1,535,574.98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31,457,770.90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1,228,171.64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31,765,174.24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81,068.33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81,068.33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2,635,204.01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36,821,702.95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1,346,981.81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38,109,925.15</w:t>
            </w:r>
          </w:p>
        </w:tc>
      </w:tr>
    </w:tbl>
    <w:p>
      <w:pPr>
        <w:pStyle w:val="BodyText"/>
        <w:spacing w:line="276" w:lineRule="exact" w:before="0"/>
        <w:ind w:left="154" w:right="0" w:firstLine="42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原材料、在产品、委托加工物资按照在正常生产经营过程中以所生产的产成品的估计售价减去至</w:t>
      </w:r>
    </w:p>
    <w:p>
      <w:pPr>
        <w:pStyle w:val="BodyText"/>
        <w:spacing w:line="273" w:lineRule="auto" w:before="21"/>
        <w:ind w:left="154" w:right="0"/>
        <w:jc w:val="left"/>
      </w:pPr>
      <w:r>
        <w:rPr>
          <w:spacing w:val="-1"/>
        </w:rPr>
        <w:t>完工时估计将要发生的成本、估计的销售费用和相关税费后的金额确定其可变现净值，并按照原材料、在</w:t>
      </w:r>
      <w:r>
        <w:rPr>
          <w:spacing w:val="-83"/>
        </w:rPr>
        <w:t> </w:t>
      </w:r>
      <w:r>
        <w:rPr>
          <w:spacing w:val="-83"/>
        </w:rPr>
      </w:r>
      <w:r>
        <w:rPr/>
        <w:t>产品、委托加工物资的成本高于可变现净值的差额计提其存货跌价准备。</w:t>
      </w:r>
    </w:p>
    <w:p>
      <w:pPr>
        <w:pStyle w:val="BodyText"/>
        <w:spacing w:line="256" w:lineRule="auto"/>
        <w:ind w:left="154" w:right="0" w:firstLine="420"/>
        <w:jc w:val="left"/>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2]</w:t>
      </w:r>
      <w:r>
        <w:rPr>
          <w:spacing w:val="-2"/>
        </w:rPr>
        <w:t>以库存商品的估计售价减去估计的销售费用和相关税费后的金额确定其可变现净值，按照库存商</w:t>
      </w:r>
      <w:r>
        <w:rPr>
          <w:w w:val="99"/>
        </w:rPr>
        <w:t> </w:t>
      </w:r>
      <w:r>
        <w:rPr/>
        <w:t>品成本高于可变现净值的差额计提其存货跌价准备。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0"/>
        <w:jc w:val="left"/>
        <w:rPr>
          <w:b w:val="0"/>
          <w:bCs w:val="0"/>
        </w:rPr>
      </w:pPr>
      <w:bookmarkStart w:name="（3）存货期末余额含有借款费用资本化金额的说明" w:id="252"/>
      <w:bookmarkEnd w:id="252"/>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期末建造合同形成的已完工未结算资产情况" w:id="253"/>
      <w:bookmarkEnd w:id="253"/>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11、划分为持有待售的资产" w:id="254"/>
      <w:bookmarkEnd w:id="254"/>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12、一年内到期的非流动资产" w:id="255"/>
      <w:bookmarkEnd w:id="255"/>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13、其他流动资产" w:id="256"/>
      <w:bookmarkEnd w:id="256"/>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6,950,895.79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1,075,145.96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14,661,200.36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6,950,895.79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15,736,346.32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14、可供出售金融资产" w:id="257"/>
      <w:bookmarkEnd w:id="257"/>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可供出售金融资产情况" w:id="258"/>
      <w:bookmarkEnd w:id="258"/>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按公允价值计量的可供出售金融资产" w:id="259"/>
      <w:bookmarkEnd w:id="259"/>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0"/>
        <w:gridCol w:w="1916"/>
        <w:gridCol w:w="1915"/>
        <w:gridCol w:w="1914"/>
        <w:gridCol w:w="1915"/>
      </w:tblGrid>
      <w:tr>
        <w:trPr>
          <w:trHeight w:val="714"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11" w:right="27"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期末按成本计量的可供出售金融资产" w:id="260"/>
      <w:bookmarkEnd w:id="260"/>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诸暨市宏 润小额贷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95,760,000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95,760,000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款有限公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报告期内可供出售金融资产减值的变动情况" w:id="261"/>
      <w:bookmarkEnd w:id="261"/>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2"/>
        <w:gridCol w:w="1327"/>
        <w:gridCol w:w="1329"/>
        <w:gridCol w:w="1327"/>
        <w:gridCol w:w="1327"/>
        <w:gridCol w:w="1329"/>
        <w:gridCol w:w="1327"/>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5" w:right="75"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7"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可供出售权益工具期末公允价值严重下跌或非暂时性下跌但未计提减值准备的相关说" w:id="262"/>
      <w:bookmarkEnd w:id="262"/>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026" w:firstLine="420"/>
        <w:jc w:val="both"/>
      </w:pPr>
      <w:r>
        <w:rPr/>
        <w:t>根据</w:t>
      </w:r>
      <w:r>
        <w:rPr>
          <w:rFonts w:ascii="Times New Roman" w:hAnsi="Times New Roman" w:cs="Times New Roman" w:eastAsia="Times New Roman" w:hint="default"/>
        </w:rPr>
        <w:t>2013</w:t>
      </w:r>
      <w:r>
        <w:rPr/>
        <w:t>年</w:t>
      </w:r>
      <w:r>
        <w:rPr>
          <w:spacing w:val="14"/>
        </w:rPr>
        <w:t> </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日本公司与上海江铜营销有限公司签订的《股权质押合同》，本公司将持有的诸 暨市宏润小额贷款有限公司</w:t>
      </w:r>
      <w:r>
        <w:rPr>
          <w:rFonts w:ascii="Times New Roman" w:hAnsi="Times New Roman" w:cs="Times New Roman" w:eastAsia="Times New Roman" w:hint="default"/>
        </w:rPr>
        <w:t>14%</w:t>
      </w:r>
      <w:r>
        <w:rPr/>
        <w:t>股权出质给上海江铜营销有限公司，用以担保公司与其因购销</w:t>
      </w:r>
      <w:r>
        <w:rPr>
          <w:rFonts w:ascii="Times New Roman" w:hAnsi="Times New Roman" w:cs="Times New Roman" w:eastAsia="Times New Roman" w:hint="default"/>
        </w:rPr>
        <w:t>(</w:t>
      </w:r>
      <w:r>
        <w:rPr/>
        <w:t>期限为</w:t>
      </w:r>
      <w:r>
        <w:rPr>
          <w:rFonts w:ascii="Times New Roman" w:hAnsi="Times New Roman" w:cs="Times New Roman" w:eastAsia="Times New Roman" w:hint="default"/>
        </w:rPr>
        <w:t>2012 </w:t>
      </w:r>
      <w:r>
        <w:rPr>
          <w:spacing w:val="-2"/>
        </w:rPr>
        <w:t>年至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w:t>
      </w:r>
      <w:r>
        <w:rPr>
          <w:spacing w:val="-2"/>
        </w:rPr>
        <w:t>所形成的债权</w:t>
      </w:r>
      <w:r>
        <w:rPr>
          <w:rFonts w:ascii="Times New Roman" w:hAnsi="Times New Roman" w:cs="Times New Roman" w:eastAsia="Times New Roman" w:hint="default"/>
          <w:spacing w:val="-2"/>
        </w:rPr>
        <w:t>(</w:t>
      </w:r>
      <w:r>
        <w:rPr>
          <w:spacing w:val="-2"/>
        </w:rPr>
        <w:t>最高额不超过</w:t>
      </w:r>
      <w:r>
        <w:rPr>
          <w:rFonts w:ascii="Times New Roman" w:hAnsi="Times New Roman" w:cs="Times New Roman" w:eastAsia="Times New Roman" w:hint="default"/>
          <w:spacing w:val="-2"/>
        </w:rPr>
        <w:t>13,000</w:t>
      </w:r>
      <w:r>
        <w:rPr>
          <w:spacing w:val="-2"/>
        </w:rPr>
        <w:t>万元</w:t>
      </w:r>
      <w:r>
        <w:rPr>
          <w:rFonts w:ascii="Times New Roman" w:hAnsi="Times New Roman" w:cs="Times New Roman" w:eastAsia="Times New Roman" w:hint="default"/>
          <w:spacing w:val="-2"/>
        </w:rPr>
        <w:t>)</w:t>
      </w:r>
      <w:r>
        <w:rPr>
          <w:spacing w:val="-2"/>
        </w:rPr>
        <w:t>。本公司已于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日办妥股权出质登记手续。</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4"/>
        <w:spacing w:line="240" w:lineRule="auto"/>
        <w:ind w:left="153" w:right="0"/>
        <w:jc w:val="left"/>
        <w:rPr>
          <w:b w:val="0"/>
          <w:bCs w:val="0"/>
        </w:rPr>
      </w:pPr>
      <w:bookmarkStart w:name="15、持有至到期投资" w:id="263"/>
      <w:bookmarkEnd w:id="263"/>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持有至到期投资情况" w:id="264"/>
      <w:bookmarkEnd w:id="264"/>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重要的持有至到期投资" w:id="265"/>
      <w:bookmarkEnd w:id="265"/>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本期重分类的持有至到期投资" w:id="266"/>
      <w:bookmarkEnd w:id="266"/>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16、长期应收款" w:id="267"/>
      <w:bookmarkEnd w:id="267"/>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268"/>
      <w:bookmarkEnd w:id="268"/>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因金融资产转移而终止确认的长期应收款" w:id="269"/>
      <w:bookmarkEnd w:id="269"/>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转移长期应收款且继续涉入形成的资产、负债金额" w:id="270"/>
      <w:bookmarkEnd w:id="270"/>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17、长期股权投资" w:id="271"/>
      <w:bookmarkEnd w:id="271"/>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18、投资性房地产" w:id="272"/>
      <w:bookmarkEnd w:id="272"/>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73"/>
      <w:bookmarkEnd w:id="27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采用公允价值计量模式的投资性房地产" w:id="274"/>
      <w:bookmarkEnd w:id="27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未办妥产权证书的投资性房地产情况" w:id="275"/>
      <w:bookmarkEnd w:id="275"/>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9、固定资产" w:id="276"/>
      <w:bookmarkEnd w:id="276"/>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固定资产情况" w:id="277"/>
      <w:bookmarkEnd w:id="27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92,846,660.51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351,282,587.15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13,041,521.37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7,719,308.27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3,763,860.48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468,653,937.78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1,156,301.59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13,418.80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1,169,720.39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86,495.73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13,418.80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99,914.53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1,069,805.86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1,069,805.86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2,983,404.55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2,406,146.00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5,389,550.55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2,983,404.55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2,406,146.00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5,389,550.55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92,846,660.51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352,438,888.74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10,071,535.62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5,313,162.27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3,763,860.48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464,434,107.62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23,504,271.83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98,784,491.21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9,164,419.30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6,797,101.07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2,987,368.38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141,237,651.79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4,376,844.79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31,354,368.35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1,101,873.65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166,742.79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194,296.54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37,194,126.12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2,668,695.99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2,286,659.80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4,955,355.79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27,881,116.62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130,138,859.56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7,597,596.96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4,677,184.06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3,181,664.92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173,476,422.12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1"/>
        <w:gridCol w:w="1207"/>
        <w:gridCol w:w="1197"/>
        <w:gridCol w:w="1196"/>
        <w:gridCol w:w="1195"/>
        <w:gridCol w:w="1286"/>
        <w:gridCol w:w="1367"/>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64,965,543.89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222,300,029.18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2,473,938.66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635,978.21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582,195.56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290,957,685.50</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69,342,388.68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252,498,095.94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3,877,102.07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922,207.20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776,492.10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327,416,285.99</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78"/>
      <w:bookmarkEnd w:id="27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通过融资租赁租入的固定资产情况" w:id="279"/>
      <w:bookmarkEnd w:id="279"/>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通过经营租赁租出的固定资产" w:id="280"/>
      <w:bookmarkEnd w:id="280"/>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未办妥产权证书的固定资产情况" w:id="281"/>
      <w:bookmarkEnd w:id="281"/>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0" w:firstLine="420"/>
        <w:jc w:val="left"/>
      </w:pPr>
      <w:r>
        <w:rPr/>
        <w:t>（</w:t>
      </w:r>
      <w:r>
        <w:rPr>
          <w:rFonts w:ascii="Times New Roman" w:hAnsi="Times New Roman" w:cs="Times New Roman" w:eastAsia="Times New Roman" w:hint="default"/>
        </w:rPr>
        <w:t>1</w:t>
      </w:r>
      <w:r>
        <w:rPr/>
        <w:t>）本期折旧额</w:t>
      </w:r>
      <w:r>
        <w:rPr>
          <w:rFonts w:ascii="Times New Roman" w:hAnsi="Times New Roman" w:cs="Times New Roman" w:eastAsia="Times New Roman" w:hint="default"/>
        </w:rPr>
        <w:t>37,194,126.12</w:t>
      </w:r>
      <w:r>
        <w:rPr/>
        <w:t>元。本期增加中由在建工程中转入的固定资产原值</w:t>
      </w:r>
      <w:r>
        <w:rPr>
          <w:rFonts w:ascii="Times New Roman" w:hAnsi="Times New Roman" w:cs="Times New Roman" w:eastAsia="Times New Roman" w:hint="default"/>
        </w:rPr>
        <w:t>1,069,805.86</w:t>
      </w:r>
      <w:r>
        <w:rPr/>
        <w:t>元。期 末已提足折旧仍继续使用的固定资产原值</w:t>
      </w:r>
      <w:r>
        <w:rPr>
          <w:rFonts w:ascii="Times New Roman" w:hAnsi="Times New Roman" w:cs="Times New Roman" w:eastAsia="Times New Roman" w:hint="default"/>
        </w:rPr>
        <w:t>43,926,534.86</w:t>
      </w:r>
      <w:r>
        <w:rPr/>
        <w:t>元。</w:t>
      </w:r>
    </w:p>
    <w:p>
      <w:pPr>
        <w:pStyle w:val="BodyText"/>
        <w:spacing w:line="256" w:lineRule="auto" w:before="5"/>
        <w:ind w:left="573" w:right="3508"/>
        <w:jc w:val="left"/>
      </w:pPr>
      <w:r>
        <w:rPr>
          <w:rFonts w:ascii="Times New Roman" w:hAnsi="Times New Roman" w:cs="Times New Roman" w:eastAsia="Times New Roman" w:hint="default"/>
        </w:rPr>
        <w:t>(2)</w:t>
      </w:r>
      <w:r>
        <w:rPr/>
        <w:t>期末未发现固定资产存在明显减值迹象，故未计提减值准备。</w:t>
      </w:r>
      <w:r>
        <w:rPr>
          <w:w w:val="99"/>
        </w:rPr>
        <w:t> </w:t>
      </w:r>
      <w:r>
        <w:rPr>
          <w:rFonts w:ascii="Times New Roman" w:hAnsi="Times New Roman" w:cs="Times New Roman" w:eastAsia="Times New Roman" w:hint="default"/>
        </w:rPr>
        <w:t>(3)</w:t>
      </w:r>
      <w:r>
        <w:rPr/>
        <w:t>期末用于借款抵押的固定资产，详见本财务报表附注九</w:t>
      </w:r>
      <w:r>
        <w:rPr>
          <w:rFonts w:ascii="Times New Roman" w:hAnsi="Times New Roman" w:cs="Times New Roman" w:eastAsia="Times New Roman" w:hint="default"/>
        </w:rPr>
        <w:t>(</w:t>
      </w:r>
      <w:r>
        <w:rPr/>
        <w:t>一</w:t>
      </w:r>
      <w:r>
        <w:rPr>
          <w:rFonts w:ascii="Times New Roman" w:hAnsi="Times New Roman" w:cs="Times New Roman" w:eastAsia="Times New Roman" w:hint="default"/>
        </w:rPr>
        <w:t>)3(2)</w:t>
      </w:r>
      <w:r>
        <w:rPr/>
        <w:t>之说明。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7"/>
          <w:szCs w:val="27"/>
        </w:rPr>
      </w:pPr>
    </w:p>
    <w:p>
      <w:pPr>
        <w:pStyle w:val="Heading4"/>
        <w:spacing w:line="240" w:lineRule="auto"/>
        <w:ind w:left="153" w:right="0"/>
        <w:jc w:val="left"/>
        <w:rPr>
          <w:b w:val="0"/>
          <w:bCs w:val="0"/>
        </w:rPr>
      </w:pPr>
      <w:bookmarkStart w:name="20、在建工程" w:id="282"/>
      <w:bookmarkEnd w:id="282"/>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建工程情况" w:id="283"/>
      <w:bookmarkEnd w:id="28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30,822.11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30,822.11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23,933.49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23,933.49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宏天新厂区厂房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18,038,351.25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18,038,351.25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14,910,271.49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14,910,271.49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吨高效节能 高翅片铜管项目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9,999,071.92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9,999,071.92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7,077,037.94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7,077,037.94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28,068,245.28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28,068,245.28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22,011,242.92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22,011,242.92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284"/>
      <w:bookmarkEnd w:id="28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宏天新 厂区厂 房工程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14,910,2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71.49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3,128,07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18,038,3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51.25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90.20%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p>
            <w:pPr>
              <w:pStyle w:val="TableParagraph"/>
              <w:spacing w:line="319" w:lineRule="auto" w:before="61"/>
              <w:ind w:left="22" w:right="159"/>
              <w:jc w:val="both"/>
              <w:rPr>
                <w:rFonts w:ascii="宋体" w:hAnsi="宋体" w:cs="宋体" w:eastAsia="宋体" w:hint="default"/>
                <w:sz w:val="18"/>
                <w:szCs w:val="18"/>
              </w:rPr>
            </w:pPr>
            <w:r>
              <w:rPr>
                <w:rFonts w:ascii="宋体" w:hAnsi="宋体" w:cs="宋体" w:eastAsia="宋体" w:hint="default"/>
                <w:sz w:val="18"/>
                <w:szCs w:val="18"/>
              </w:rPr>
              <w:t>高效节 能高翅 片铜管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3,780.00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7,077,03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2,922,03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3.98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9,999,07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26.46%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9"/>
              <w:jc w:val="left"/>
              <w:rPr>
                <w:rFonts w:ascii="宋体" w:hAnsi="宋体" w:cs="宋体" w:eastAsia="宋体" w:hint="default"/>
                <w:sz w:val="18"/>
                <w:szCs w:val="18"/>
              </w:rPr>
            </w:pPr>
            <w:r>
              <w:rPr>
                <w:rFonts w:ascii="宋体" w:hAnsi="宋体" w:cs="宋体" w:eastAsia="宋体" w:hint="default"/>
                <w:sz w:val="18"/>
                <w:szCs w:val="18"/>
              </w:rPr>
              <w:t>其他零 星工程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23,933.4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6,888.62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30,822.1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113"/>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万吨高 性能铜 及铜合 金杆材 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万吨节 能环保 型特种 漆包线</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663,105.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663,105.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5,780.00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22,011,2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42.92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7,126,80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1,069,80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5.86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28,068,2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45.28</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在建工程减值准备情况" w:id="285"/>
      <w:bookmarkEnd w:id="285"/>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4" w:right="0"/>
        <w:jc w:val="left"/>
      </w:pPr>
      <w:r>
        <w:rPr/>
        <w:t>期末未发现在建工程存在明显减值迹象，故未计提减值准备。</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before="35"/>
        <w:ind w:left="153" w:right="0"/>
        <w:jc w:val="left"/>
        <w:rPr>
          <w:b w:val="0"/>
          <w:bCs w:val="0"/>
        </w:rPr>
      </w:pPr>
      <w:bookmarkStart w:name="21、工程物资" w:id="286"/>
      <w:bookmarkEnd w:id="286"/>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522,314.38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717,695.86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522,314.38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717,695.86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74" w:right="0"/>
        <w:jc w:val="left"/>
      </w:pPr>
      <w:r>
        <w:rPr/>
        <w:t>期末未发现工程物资存在明显减值迹象，故未计提减值准备。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left="153" w:right="0"/>
        <w:jc w:val="left"/>
        <w:rPr>
          <w:b w:val="0"/>
          <w:bCs w:val="0"/>
        </w:rPr>
      </w:pPr>
      <w:bookmarkStart w:name="22、固定资产清理" w:id="287"/>
      <w:bookmarkEnd w:id="287"/>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23、生产性生物资产" w:id="288"/>
      <w:bookmarkEnd w:id="288"/>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采用成本计量模式的生产性生物资产" w:id="289"/>
      <w:bookmarkEnd w:id="289"/>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采用公允价值计量模式的生产性生物资产" w:id="290"/>
      <w:bookmarkEnd w:id="290"/>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4、油气资产" w:id="291"/>
      <w:bookmarkEnd w:id="291"/>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5、无形资产" w:id="292"/>
      <w:bookmarkEnd w:id="292"/>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93"/>
      <w:bookmarkEnd w:id="29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28" w:right="0"/>
              <w:jc w:val="left"/>
              <w:rPr>
                <w:rFonts w:ascii="Times New Roman" w:hAnsi="Times New Roman" w:cs="Times New Roman" w:eastAsia="Times New Roman" w:hint="default"/>
                <w:sz w:val="18"/>
                <w:szCs w:val="18"/>
              </w:rPr>
            </w:pPr>
            <w:r>
              <w:rPr>
                <w:rFonts w:ascii="Times New Roman"/>
                <w:sz w:val="18"/>
              </w:rPr>
              <w:t>95,834,625.94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2" w:right="0"/>
              <w:jc w:val="left"/>
              <w:rPr>
                <w:rFonts w:ascii="Times New Roman" w:hAnsi="Times New Roman" w:cs="Times New Roman" w:eastAsia="Times New Roman" w:hint="default"/>
                <w:sz w:val="18"/>
                <w:szCs w:val="18"/>
              </w:rPr>
            </w:pPr>
            <w:r>
              <w:rPr>
                <w:rFonts w:ascii="Times New Roman"/>
                <w:sz w:val="18"/>
              </w:rPr>
              <w:t>95,834,625.94</w:t>
            </w: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95,834,625.94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95,834,625.94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5,085,505.30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5,085,505.30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1,931,437.35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1,931,437.35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1,931,437.35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1,931,437.35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7,016,942.65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7,016,942.65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88,817,683.29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88,817,683.29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90,749,120.64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90,749,120.64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2）未办妥产权证书的土地使用权情况" w:id="294"/>
      <w:bookmarkEnd w:id="294"/>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73" w:right="0"/>
        <w:jc w:val="left"/>
      </w:pPr>
      <w:r>
        <w:rPr/>
        <w:t>（</w:t>
      </w:r>
      <w:r>
        <w:rPr>
          <w:rFonts w:ascii="Times New Roman" w:hAnsi="Times New Roman" w:cs="Times New Roman" w:eastAsia="Times New Roman" w:hint="default"/>
        </w:rPr>
        <w:t>1</w:t>
      </w:r>
      <w:r>
        <w:rPr/>
        <w:t>）本期摊销额</w:t>
      </w:r>
      <w:r>
        <w:rPr>
          <w:rFonts w:ascii="Times New Roman" w:hAnsi="Times New Roman" w:cs="Times New Roman" w:eastAsia="Times New Roman" w:hint="default"/>
        </w:rPr>
        <w:t>1,931,437.35</w:t>
      </w:r>
      <w:r>
        <w:rPr/>
        <w:t>元。</w:t>
      </w:r>
    </w:p>
    <w:p>
      <w:pPr>
        <w:pStyle w:val="BodyText"/>
        <w:spacing w:line="240" w:lineRule="auto" w:before="21"/>
        <w:ind w:left="573" w:right="0"/>
        <w:jc w:val="left"/>
      </w:pPr>
      <w:r>
        <w:rPr>
          <w:rFonts w:ascii="Times New Roman" w:hAnsi="Times New Roman" w:cs="Times New Roman" w:eastAsia="Times New Roman" w:hint="default"/>
          <w:spacing w:val="-3"/>
        </w:rPr>
        <w:t>(2)</w:t>
      </w:r>
      <w:r>
        <w:rPr>
          <w:spacing w:val="-3"/>
        </w:rPr>
        <w:t>期末用于抵押的无形资产原值为</w:t>
      </w:r>
      <w:r>
        <w:rPr>
          <w:rFonts w:ascii="Times New Roman" w:hAnsi="Times New Roman" w:cs="Times New Roman" w:eastAsia="Times New Roman" w:hint="default"/>
          <w:spacing w:val="-3"/>
        </w:rPr>
        <w:t>95,834,625.94</w:t>
      </w:r>
      <w:r>
        <w:rPr>
          <w:spacing w:val="-3"/>
        </w:rPr>
        <w:t>元，详见本财务报表附注九</w:t>
      </w:r>
      <w:r>
        <w:rPr>
          <w:rFonts w:ascii="Times New Roman" w:hAnsi="Times New Roman" w:cs="Times New Roman" w:eastAsia="Times New Roman" w:hint="default"/>
          <w:spacing w:val="-3"/>
        </w:rPr>
        <w:t>(</w:t>
      </w:r>
      <w:r>
        <w:rPr>
          <w:spacing w:val="-3"/>
        </w:rPr>
        <w:t>一</w:t>
      </w:r>
      <w:r>
        <w:rPr>
          <w:rFonts w:ascii="Times New Roman" w:hAnsi="Times New Roman" w:cs="Times New Roman" w:eastAsia="Times New Roman" w:hint="default"/>
          <w:spacing w:val="-3"/>
        </w:rPr>
        <w:t>)3(2)</w:t>
      </w:r>
      <w:r>
        <w:rPr>
          <w:spacing w:val="-3"/>
        </w:rPr>
        <w:t>、十</w:t>
      </w:r>
      <w:r>
        <w:rPr>
          <w:rFonts w:ascii="Times New Roman" w:hAnsi="Times New Roman" w:cs="Times New Roman" w:eastAsia="Times New Roman" w:hint="default"/>
          <w:spacing w:val="-3"/>
        </w:rPr>
        <w:t>(</w:t>
      </w:r>
      <w:r>
        <w:rPr>
          <w:spacing w:val="-3"/>
        </w:rPr>
        <w:t>一</w:t>
      </w:r>
      <w:r>
        <w:rPr>
          <w:rFonts w:ascii="Times New Roman" w:hAnsi="Times New Roman" w:cs="Times New Roman" w:eastAsia="Times New Roman" w:hint="default"/>
          <w:spacing w:val="-3"/>
        </w:rPr>
        <w:t>)(2)</w:t>
      </w:r>
      <w:r>
        <w:rPr>
          <w:spacing w:val="-3"/>
        </w:rPr>
        <w:t>之说明。</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Heading4"/>
        <w:spacing w:line="240" w:lineRule="auto"/>
        <w:ind w:right="0"/>
        <w:jc w:val="left"/>
        <w:rPr>
          <w:b w:val="0"/>
          <w:bCs w:val="0"/>
        </w:rPr>
      </w:pPr>
      <w:bookmarkStart w:name="26、开发支出" w:id="295"/>
      <w:bookmarkEnd w:id="295"/>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27、商誉" w:id="296"/>
      <w:bookmarkEnd w:id="296"/>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97"/>
      <w:bookmarkEnd w:id="29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浙江宏天铜业有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1,559,926.38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1,559,926.38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1,559,926.38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1,559,926.38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298"/>
      <w:bookmarkEnd w:id="29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浙江宏天铜业有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1,559,926.38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1,559,926.38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1,559,926.38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1,559,926.38</w:t>
            </w:r>
          </w:p>
        </w:tc>
      </w:tr>
    </w:tbl>
    <w:p>
      <w:pPr>
        <w:spacing w:line="360" w:lineRule="auto" w:before="51"/>
        <w:ind w:left="154" w:right="6072"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28、长期待摊费用" w:id="299"/>
      <w:bookmarkEnd w:id="299"/>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29、递延所得税资产/递延所得税负债" w:id="300"/>
      <w:bookmarkEnd w:id="300"/>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未经抵销的递延所得税资产" w:id="301"/>
      <w:bookmarkEnd w:id="30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57,622,133.39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14,405,533.34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22,927,759.08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5,731,939.77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57,622,133.39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14,405,533.34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22,927,759.08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5,731,939.77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302"/>
      <w:bookmarkEnd w:id="30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303"/>
      <w:bookmarkEnd w:id="30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26" w:right="0"/>
              <w:jc w:val="left"/>
              <w:rPr>
                <w:rFonts w:ascii="Times New Roman" w:hAnsi="Times New Roman" w:cs="Times New Roman" w:eastAsia="Times New Roman" w:hint="default"/>
                <w:sz w:val="18"/>
                <w:szCs w:val="18"/>
              </w:rPr>
            </w:pPr>
            <w:r>
              <w:rPr>
                <w:rFonts w:ascii="Times New Roman"/>
                <w:sz w:val="18"/>
              </w:rPr>
              <w:t>57,622,133.39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14,405,533.34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22,927,759.04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5,731,939.77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304"/>
      <w:bookmarkEnd w:id="30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9,309,541.33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5,811,734.03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60,881,037.65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10,006,608.87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70,190,578.98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15,818,342.90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305"/>
      <w:bookmarkEnd w:id="305"/>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10,006,608.87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4" w:right="0"/>
              <w:jc w:val="left"/>
              <w:rPr>
                <w:rFonts w:ascii="Times New Roman" w:hAnsi="Times New Roman" w:cs="Times New Roman" w:eastAsia="Times New Roman" w:hint="default"/>
                <w:sz w:val="18"/>
                <w:szCs w:val="18"/>
              </w:rPr>
            </w:pPr>
            <w:r>
              <w:rPr>
                <w:rFonts w:ascii="Times New Roman"/>
                <w:sz w:val="18"/>
              </w:rPr>
              <w:t>10,006,608.87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50,874,428.78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2"/>
        <w:gridCol w:w="2396"/>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60,881,037.65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10,006,608.87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30、其他非流动资产" w:id="306"/>
      <w:bookmarkEnd w:id="306"/>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5,848,469.06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2,802,194.76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5,848,469.06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2,802,194.76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31、短期借款" w:id="307"/>
      <w:bookmarkEnd w:id="307"/>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308"/>
      <w:bookmarkEnd w:id="30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525,928,030.26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273,443,562.77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抵押及保证借款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338,550,000.00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989,378,030.26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470,943,562.77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已逾期未偿还的短期借款情况" w:id="309"/>
      <w:bookmarkEnd w:id="309"/>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47,538,030.26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中国银行股份有限公司 鹰潭市分行</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中国银行股份有限公司 鹰潭市分行</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中国银行股份有限公司 鹰潭市分行</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中国银行股份有限公司 鹰潭市分行</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1,938,030.26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47,538,030.26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154" w:right="0" w:firstLine="420"/>
        <w:jc w:val="left"/>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1]</w:t>
      </w:r>
      <w:r>
        <w:rPr>
          <w:spacing w:val="-2"/>
        </w:rPr>
        <w:t>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与</w:t>
      </w:r>
      <w:r>
        <w:rPr>
          <w:rFonts w:ascii="Times New Roman" w:hAnsi="Times New Roman" w:cs="Times New Roman" w:eastAsia="Times New Roman" w:hint="default"/>
          <w:spacing w:val="-2"/>
        </w:rPr>
        <w:t>31</w:t>
      </w:r>
      <w:r>
        <w:rPr>
          <w:spacing w:val="-2"/>
        </w:rPr>
        <w:t>日，本公司子公司江西宏磊铜业有限公司因资金紧张，未按期偿还已到期的银</w:t>
      </w:r>
      <w:r>
        <w:rPr>
          <w:w w:val="99"/>
        </w:rPr>
        <w:t> </w:t>
      </w:r>
      <w:r>
        <w:rPr/>
        <w:t>行借款</w:t>
      </w:r>
      <w:r>
        <w:rPr>
          <w:rFonts w:ascii="Times New Roman" w:hAnsi="Times New Roman" w:cs="Times New Roman" w:eastAsia="Times New Roman" w:hint="default"/>
        </w:rPr>
        <w:t>4,000</w:t>
      </w:r>
      <w:r>
        <w:rPr/>
        <w:t>万元，逾期期间按年利率</w:t>
      </w:r>
      <w:r>
        <w:rPr>
          <w:rFonts w:ascii="Times New Roman" w:hAnsi="Times New Roman" w:cs="Times New Roman" w:eastAsia="Times New Roman" w:hint="default"/>
        </w:rPr>
        <w:t>9%</w:t>
      </w:r>
      <w:r>
        <w:rPr/>
        <w:t>计息。</w:t>
      </w:r>
    </w:p>
    <w:p>
      <w:pPr>
        <w:pStyle w:val="BodyText"/>
        <w:spacing w:line="256" w:lineRule="auto" w:before="5"/>
        <w:ind w:left="154" w:right="1026" w:firstLine="420"/>
        <w:jc w:val="both"/>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2]</w:t>
      </w:r>
      <w:r>
        <w:rPr>
          <w:spacing w:val="2"/>
        </w:rPr>
        <w:t>本公司子公司江西宏磊铜业有限公司于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日向中国银行鹰潭市分行申请开立两份面</w:t>
      </w:r>
      <w:r>
        <w:rPr>
          <w:w w:val="99"/>
        </w:rPr>
        <w:t> </w:t>
      </w:r>
      <w:r>
        <w:rPr/>
        <w:t>值分别为</w:t>
      </w:r>
      <w:r>
        <w:rPr>
          <w:rFonts w:ascii="Times New Roman" w:hAnsi="Times New Roman" w:cs="Times New Roman" w:eastAsia="Times New Roman" w:hint="default"/>
        </w:rPr>
        <w:t>8,000,000.00</w:t>
      </w:r>
      <w:r>
        <w:rPr/>
        <w:t>元和</w:t>
      </w:r>
      <w:r>
        <w:rPr>
          <w:rFonts w:ascii="Times New Roman" w:hAnsi="Times New Roman" w:cs="Times New Roman" w:eastAsia="Times New Roman" w:hint="default"/>
        </w:rPr>
        <w:t>6,280,000.00</w:t>
      </w:r>
      <w:r>
        <w:rPr/>
        <w:t>元的银行承兑汇票，用于支付江阴乐圩国际贸易有限公司铜材款，</w:t>
      </w:r>
      <w:r>
        <w:rPr>
          <w:spacing w:val="-37"/>
        </w:rPr>
        <w:t> </w:t>
      </w:r>
      <w:r>
        <w:rPr>
          <w:spacing w:val="-37"/>
        </w:rPr>
      </w:r>
      <w:r>
        <w:rPr/>
        <w:t>银行承兑汇票到期日为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与</w:t>
      </w:r>
      <w:r>
        <w:rPr>
          <w:rFonts w:ascii="Times New Roman" w:hAnsi="Times New Roman" w:cs="Times New Roman" w:eastAsia="Times New Roman" w:hint="default"/>
        </w:rPr>
        <w:t>31</w:t>
      </w:r>
      <w:r>
        <w:rPr/>
        <w:t>日，江西宏磊铜业有限公司实际已兑付银行承</w:t>
      </w:r>
      <w:r>
        <w:rPr>
          <w:spacing w:val="-35"/>
        </w:rPr>
        <w:t> </w:t>
      </w:r>
      <w:r>
        <w:rPr>
          <w:spacing w:val="-35"/>
        </w:rPr>
      </w:r>
      <w:r>
        <w:rPr>
          <w:spacing w:val="-1"/>
        </w:rPr>
        <w:t>兑汇票</w:t>
      </w:r>
      <w:r>
        <w:rPr>
          <w:rFonts w:ascii="Times New Roman" w:hAnsi="Times New Roman" w:cs="Times New Roman" w:eastAsia="Times New Roman" w:hint="default"/>
          <w:spacing w:val="-1"/>
        </w:rPr>
        <w:t>6,741,969.74</w:t>
      </w:r>
      <w:r>
        <w:rPr>
          <w:spacing w:val="-1"/>
        </w:rPr>
        <w:t>元，剩余</w:t>
      </w:r>
      <w:r>
        <w:rPr>
          <w:rFonts w:ascii="Times New Roman" w:hAnsi="Times New Roman" w:cs="Times New Roman" w:eastAsia="Times New Roman" w:hint="default"/>
          <w:spacing w:val="-1"/>
        </w:rPr>
        <w:t>7,538,030.26</w:t>
      </w:r>
      <w:r>
        <w:rPr>
          <w:spacing w:val="-1"/>
        </w:rPr>
        <w:t>元尚未支付，转入短期借款核算，逾期期间按年利率</w:t>
      </w:r>
      <w:r>
        <w:rPr>
          <w:rFonts w:ascii="Times New Roman" w:hAnsi="Times New Roman" w:cs="Times New Roman" w:eastAsia="Times New Roman" w:hint="default"/>
          <w:spacing w:val="-1"/>
        </w:rPr>
        <w:t>18.00%</w:t>
      </w:r>
      <w:r>
        <w:rPr>
          <w:spacing w:val="-1"/>
        </w:rPr>
        <w:t>计息。</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7"/>
          <w:szCs w:val="27"/>
        </w:rPr>
      </w:pPr>
    </w:p>
    <w:p>
      <w:pPr>
        <w:pStyle w:val="Heading4"/>
        <w:spacing w:line="240" w:lineRule="auto"/>
        <w:ind w:right="0"/>
        <w:jc w:val="left"/>
        <w:rPr>
          <w:b w:val="0"/>
          <w:bCs w:val="0"/>
        </w:rPr>
      </w:pPr>
      <w:bookmarkStart w:name="32、以公允价值计量且其变动计入当期损益的金融负债" w:id="310"/>
      <w:bookmarkEnd w:id="310"/>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33、衍生金融负债" w:id="311"/>
      <w:bookmarkEnd w:id="311"/>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4、应付票据" w:id="312"/>
      <w:bookmarkEnd w:id="312"/>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719,950,000.00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719,950,000.00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357,320,000.00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35、应付账款" w:id="313"/>
      <w:bookmarkEnd w:id="313"/>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账款列示" w:id="314"/>
      <w:bookmarkEnd w:id="31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53,644,431.47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60,663,141.27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53,644,431.47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60,663,141.27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应付账款" w:id="315"/>
      <w:bookmarkEnd w:id="31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上海巴依贸易有限公司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1,363,799.66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材料款未结算</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东莞市冠标电工机械有限公司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945,275.68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江阴乐圩国际贸易有限公司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东莞市太阳线缆设备有限公司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755,710.04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袁州区洪江乡和平塑料经营部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413,681.52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4,278,466.90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4" w:right="0"/>
        <w:jc w:val="left"/>
      </w:pPr>
      <w:r>
        <w:rPr/>
        <w:t>期末无应付持有本公司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表决权股份的股东单位或关联方款项情况。</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left="153" w:right="0"/>
        <w:jc w:val="left"/>
        <w:rPr>
          <w:b w:val="0"/>
          <w:bCs w:val="0"/>
        </w:rPr>
      </w:pPr>
      <w:bookmarkStart w:name="36、预收款项" w:id="316"/>
      <w:bookmarkEnd w:id="316"/>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317"/>
      <w:bookmarkEnd w:id="31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3,991,761.64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10,735,489.74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3,991,761.64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10,735,489.74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318"/>
      <w:bookmarkEnd w:id="31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17"/>
        <w:gridCol w:w="3166"/>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期末建造合同形成的已结算未完工项目情况" w:id="319"/>
      <w:bookmarkEnd w:id="319"/>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37、应付职工薪酬" w:id="320"/>
      <w:bookmarkEnd w:id="320"/>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321"/>
      <w:bookmarkEnd w:id="32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5,550,379.12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32,017,477.28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32,086,980.93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5,480,875.47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1,831,254.61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1,831,254.61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5,550,379.12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33,848,731.89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33,918,235.54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5,480,875.47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322"/>
      <w:bookmarkEnd w:id="32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5,046,526.78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29,020,511.64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28,817,978.10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5,249,060.32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436,548.13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436,548.13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1,281,401.70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1,281,401.70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974,902.79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974,902.79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211,844.11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211,844.11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94,654.80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94,654.80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820,703.00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820,703.00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503,852.34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458,312.81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231,815.15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5,550,379.12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32,017,477.28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32,086,980.93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5,480,875.47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323"/>
      <w:bookmarkEnd w:id="32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1,595,832.68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1,595,832.68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235,421.93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235,421.93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1,831,254.61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1,831,254.61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38、应交税费" w:id="324"/>
      <w:bookmarkEnd w:id="324"/>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49,695.03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417,206.30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384,631.25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28,931,921.16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25,441,097.91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749,188.64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101,756.03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62,232.72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22,710.22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48,082.30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599,457.27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214,875.42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1,167,466.50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863,487.00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248,962.38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47,501.38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13,029.79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31,667.57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8,686.52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3,955,247.03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573,683.05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35,321,409.52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28,611,175.95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39、应付利息" w:id="325"/>
      <w:bookmarkEnd w:id="325"/>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4,261,223.11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909,651.22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4,261,223.11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909,651.22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中国银行股份有限公司鹰潭市分行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2,358,153.95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宋体" w:hAnsi="宋体" w:cs="宋体" w:eastAsia="宋体" w:hint="default"/>
                <w:sz w:val="18"/>
                <w:szCs w:val="18"/>
              </w:rPr>
              <w:t>逾期原因详见本财务报表附注六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之说明。</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2,358,153.95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74"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逾期原因详见本财务报表附注六</w:t>
      </w:r>
      <w:r>
        <w:rPr>
          <w:rFonts w:ascii="Times New Roman" w:hAnsi="Times New Roman" w:cs="Times New Roman" w:eastAsia="Times New Roman" w:hint="default"/>
        </w:rPr>
        <w:t>17</w:t>
      </w:r>
      <w:r>
        <w:rPr/>
        <w:t>之说明。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Heading4"/>
        <w:spacing w:line="240" w:lineRule="auto"/>
        <w:ind w:right="0"/>
        <w:jc w:val="left"/>
        <w:rPr>
          <w:b w:val="0"/>
          <w:bCs w:val="0"/>
        </w:rPr>
      </w:pPr>
      <w:bookmarkStart w:name="40、应付股利" w:id="326"/>
      <w:bookmarkEnd w:id="326"/>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5,411,744.99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2,144,454.00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5,411,744.99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2,144,454.00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41、其他应付款" w:id="327"/>
      <w:bookmarkEnd w:id="327"/>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其他应付款" w:id="328"/>
      <w:bookmarkEnd w:id="32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722,387.72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269,581.18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11,044,186.87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2,991,968.90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11,044,186.87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其他应付款" w:id="329"/>
      <w:bookmarkEnd w:id="32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left="574" w:right="2247"/>
        <w:jc w:val="left"/>
      </w:pPr>
      <w:r>
        <w:rPr>
          <w:rFonts w:ascii="Times New Roman" w:hAnsi="Times New Roman" w:cs="Times New Roman" w:eastAsia="Times New Roman" w:hint="default"/>
        </w:rPr>
        <w:t>(2)</w:t>
      </w:r>
      <w:r>
        <w:rPr/>
        <w:t>期末无其他应付持有本公司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表决权股份的股东单位或关联方款项情况。</w:t>
      </w:r>
      <w:r>
        <w:rPr>
          <w:w w:val="99"/>
        </w:rPr>
        <w:t> </w:t>
      </w:r>
      <w:r>
        <w:rPr>
          <w:rFonts w:ascii="Times New Roman" w:hAnsi="Times New Roman" w:cs="Times New Roman" w:eastAsia="Times New Roman" w:hint="default"/>
        </w:rPr>
        <w:t>(3)</w:t>
      </w:r>
      <w:r>
        <w:rPr/>
        <w:t>期末无账龄超过</w:t>
      </w:r>
      <w:r>
        <w:rPr>
          <w:rFonts w:ascii="Times New Roman" w:hAnsi="Times New Roman" w:cs="Times New Roman" w:eastAsia="Times New Roman" w:hint="default"/>
        </w:rPr>
        <w:t>1</w:t>
      </w:r>
      <w:r>
        <w:rPr/>
        <w:t>年的大额其他应付款。</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left="153" w:right="0"/>
        <w:jc w:val="left"/>
        <w:rPr>
          <w:b w:val="0"/>
          <w:bCs w:val="0"/>
        </w:rPr>
      </w:pPr>
      <w:bookmarkStart w:name="42、划分为持有待售的负债" w:id="330"/>
      <w:bookmarkEnd w:id="330"/>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43、一年内到期的非流动负债" w:id="331"/>
      <w:bookmarkEnd w:id="331"/>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44、其他流动负债" w:id="332"/>
      <w:bookmarkEnd w:id="332"/>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45、长期借款" w:id="333"/>
      <w:bookmarkEnd w:id="333"/>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334"/>
      <w:bookmarkEnd w:id="33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52"/>
        <w:ind w:left="15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46、应付债券" w:id="335"/>
      <w:bookmarkEnd w:id="335"/>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债券" w:id="336"/>
      <w:bookmarkEnd w:id="336"/>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债券的增减变动（上包括划分为金融负债的优先股、永续债等其他金融工具）" w:id="337"/>
      <w:bookmarkEnd w:id="337"/>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可转换公司债券的转股条件、转股时间说明" w:id="338"/>
      <w:bookmarkEnd w:id="338"/>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划分为金融负债的其他金融工具说明" w:id="339"/>
      <w:bookmarkEnd w:id="339"/>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60"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17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2"/>
        <w:ind w:left="15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47、长期应付款" w:id="340"/>
      <w:bookmarkEnd w:id="340"/>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长期应付款" w:id="341"/>
      <w:bookmarkEnd w:id="34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莱茵达国际租赁有限公司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45,415,196.44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48、长期应付职工薪酬" w:id="342"/>
      <w:bookmarkEnd w:id="342"/>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长期应付职工薪酬表" w:id="343"/>
      <w:bookmarkEnd w:id="343"/>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设定受益计划变动情况" w:id="344"/>
      <w:bookmarkEnd w:id="344"/>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2"/>
        <w:ind w:left="153" w:right="355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9、专项应付款" w:id="345"/>
      <w:bookmarkEnd w:id="345"/>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50、预计负债" w:id="346"/>
      <w:bookmarkEnd w:id="346"/>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1、递延收益" w:id="347"/>
      <w:bookmarkEnd w:id="347"/>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102,160,377.18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13,641,807.07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90,048,570.11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102,160,377.18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13,641,807.07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90,048,570.11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万吨废杂铜连 铸连轧低氧铜杆 资源综合利用项 目政府补助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6,270,000.00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耐冷媒漆包线项 目政府补助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774,000.00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万吨节能环保 型特种漆包线建 设项目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1,377,000.00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搬迁补助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95,116,377.18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12,570,807.07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82,545,570.11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102,160,377.18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13,641,807.07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90,048,570.11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left="154" w:right="1130" w:firstLine="420"/>
        <w:jc w:val="both"/>
      </w:pPr>
      <w:r>
        <w:rPr>
          <w:rFonts w:ascii="Times New Roman" w:hAnsi="Times New Roman" w:cs="Times New Roman" w:eastAsia="Times New Roman" w:hint="default"/>
        </w:rPr>
        <w:t>1)</w:t>
      </w:r>
      <w:r>
        <w:rPr/>
        <w:t>根据浙江省经济贸易委员会浙经贸资源</w:t>
      </w:r>
      <w:r>
        <w:rPr>
          <w:rFonts w:ascii="Times New Roman" w:hAnsi="Times New Roman" w:cs="Times New Roman" w:eastAsia="Times New Roman" w:hint="default"/>
        </w:rPr>
        <w:t>[2008]405 </w:t>
      </w:r>
      <w:r>
        <w:rPr/>
        <w:t>号文，本公司于 </w:t>
      </w:r>
      <w:r>
        <w:rPr>
          <w:rFonts w:ascii="Times New Roman" w:hAnsi="Times New Roman" w:cs="Times New Roman" w:eastAsia="Times New Roman" w:hint="default"/>
        </w:rPr>
        <w:t>2009</w:t>
      </w:r>
      <w:r>
        <w:rPr>
          <w:rFonts w:ascii="Times New Roman" w:hAnsi="Times New Roman" w:cs="Times New Roman" w:eastAsia="Times New Roman" w:hint="default"/>
          <w:spacing w:val="20"/>
        </w:rPr>
        <w:t> </w:t>
      </w:r>
      <w:r>
        <w:rPr/>
        <w:t>年收到</w:t>
      </w:r>
      <w:r>
        <w:rPr>
          <w:rFonts w:ascii="Times New Roman" w:hAnsi="Times New Roman" w:cs="Times New Roman" w:eastAsia="Times New Roman" w:hint="default"/>
        </w:rPr>
        <w:t>5</w:t>
      </w:r>
      <w:r>
        <w:rPr/>
        <w:t>万吨废杂铜连铸连</w:t>
      </w:r>
      <w:r>
        <w:rPr>
          <w:w w:val="99"/>
        </w:rPr>
        <w:t> </w:t>
      </w:r>
      <w:r>
        <w:rPr/>
        <w:t>轧低氧铜杆综合利用项目专项补助 </w:t>
      </w:r>
      <w:r>
        <w:rPr>
          <w:rFonts w:ascii="Times New Roman" w:hAnsi="Times New Roman" w:cs="Times New Roman" w:eastAsia="Times New Roman" w:hint="default"/>
          <w:spacing w:val="-4"/>
        </w:rPr>
        <w:t>660.00</w:t>
      </w:r>
      <w:r>
        <w:rPr>
          <w:spacing w:val="-4"/>
        </w:rPr>
        <w:t>万元，</w:t>
      </w:r>
      <w:r>
        <w:rPr>
          <w:rFonts w:ascii="Times New Roman" w:hAnsi="Times New Roman" w:cs="Times New Roman" w:eastAsia="Times New Roman" w:hint="default"/>
          <w:spacing w:val="-4"/>
        </w:rPr>
        <w:t>2013</w:t>
      </w:r>
      <w:r>
        <w:rPr>
          <w:spacing w:val="-4"/>
        </w:rPr>
        <w:t>年该项目完成验收，该补助款按资产预计使用年限</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w w:val="99"/>
        </w:rPr>
        <w:t> </w:t>
      </w:r>
      <w:r>
        <w:rPr/>
        <w:t>年平均分摊计入当期损益，本期摊销金额</w:t>
      </w:r>
      <w:r>
        <w:rPr>
          <w:rFonts w:ascii="Times New Roman" w:hAnsi="Times New Roman" w:cs="Times New Roman" w:eastAsia="Times New Roman" w:hint="default"/>
        </w:rPr>
        <w:t>66.00</w:t>
      </w:r>
      <w:r>
        <w:rPr/>
        <w:t>万元，期末余额</w:t>
      </w:r>
      <w:r>
        <w:rPr>
          <w:rFonts w:ascii="Times New Roman" w:hAnsi="Times New Roman" w:cs="Times New Roman" w:eastAsia="Times New Roman" w:hint="default"/>
        </w:rPr>
        <w:t>561.00</w:t>
      </w:r>
      <w:r>
        <w:rPr/>
        <w:t>万元。</w:t>
      </w:r>
    </w:p>
    <w:p>
      <w:pPr>
        <w:pStyle w:val="BodyText"/>
        <w:spacing w:line="256" w:lineRule="auto" w:before="5"/>
        <w:ind w:right="1093" w:firstLine="420"/>
        <w:jc w:val="both"/>
      </w:pPr>
      <w:r>
        <w:rPr>
          <w:rFonts w:ascii="Times New Roman" w:hAnsi="Times New Roman" w:cs="Times New Roman" w:eastAsia="Times New Roman" w:hint="default"/>
        </w:rPr>
        <w:t>2)</w:t>
      </w:r>
      <w:r>
        <w:rPr/>
        <w:t>根据江西鹰潭市发改委及市经贸委鹰发改工字</w:t>
      </w:r>
      <w:r>
        <w:rPr>
          <w:rFonts w:ascii="Times New Roman" w:hAnsi="Times New Roman" w:cs="Times New Roman" w:eastAsia="Times New Roman" w:hint="default"/>
        </w:rPr>
        <w:t>[2009]74</w:t>
      </w:r>
      <w:r>
        <w:rPr/>
        <w:t>号文和江西省财政厅赣财企</w:t>
      </w:r>
      <w:r>
        <w:rPr>
          <w:rFonts w:ascii="Times New Roman" w:hAnsi="Times New Roman" w:cs="Times New Roman" w:eastAsia="Times New Roman" w:hint="default"/>
        </w:rPr>
        <w:t>[2009]179</w:t>
      </w:r>
      <w:r>
        <w:rPr>
          <w:rFonts w:ascii="Times New Roman" w:hAnsi="Times New Roman" w:cs="Times New Roman" w:eastAsia="Times New Roman" w:hint="default"/>
          <w:spacing w:val="30"/>
        </w:rPr>
        <w:t> </w:t>
      </w:r>
      <w:r>
        <w:rPr/>
        <w:t>号文，</w:t>
      </w:r>
      <w:r>
        <w:rPr>
          <w:w w:val="99"/>
        </w:rPr>
        <w:t> </w:t>
      </w:r>
      <w:r>
        <w:rPr/>
        <w:t>子公司江西宏磊铜业有限公司于 </w:t>
      </w:r>
      <w:r>
        <w:rPr>
          <w:rFonts w:ascii="Times New Roman" w:hAnsi="Times New Roman" w:cs="Times New Roman" w:eastAsia="Times New Roman" w:hint="default"/>
        </w:rPr>
        <w:t>2009 </w:t>
      </w:r>
      <w:r>
        <w:rPr/>
        <w:t>年收到耐冷媒漆包线项目补助 </w:t>
      </w:r>
      <w:r>
        <w:rPr>
          <w:rFonts w:ascii="Times New Roman" w:hAnsi="Times New Roman" w:cs="Times New Roman" w:eastAsia="Times New Roman" w:hint="default"/>
        </w:rPr>
        <w:t>129.00</w:t>
      </w:r>
      <w:r>
        <w:rPr>
          <w:rFonts w:ascii="Times New Roman" w:hAnsi="Times New Roman" w:cs="Times New Roman" w:eastAsia="Times New Roman" w:hint="default"/>
          <w:spacing w:val="24"/>
        </w:rPr>
        <w:t> </w:t>
      </w:r>
      <w:r>
        <w:rPr>
          <w:spacing w:val="-8"/>
        </w:rPr>
        <w:t>万元，该项目已完成验收，该</w:t>
      </w:r>
    </w:p>
    <w:p>
      <w:pPr>
        <w:pStyle w:val="BodyText"/>
        <w:spacing w:line="240" w:lineRule="auto" w:before="5"/>
        <w:ind w:left="154" w:right="0"/>
        <w:jc w:val="left"/>
      </w:pPr>
      <w:r>
        <w:rPr/>
        <w:t>补助款按资产预计使用年限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年平均分摊转入当期损益</w:t>
      </w:r>
      <w:r>
        <w:rPr>
          <w:rFonts w:ascii="Times New Roman" w:hAnsi="Times New Roman" w:cs="Times New Roman" w:eastAsia="Times New Roman" w:hint="default"/>
        </w:rPr>
        <w:t>,</w:t>
      </w:r>
      <w:r>
        <w:rPr/>
        <w:t>本期摊销金额</w:t>
      </w:r>
      <w:r>
        <w:rPr>
          <w:rFonts w:ascii="Times New Roman" w:hAnsi="Times New Roman" w:cs="Times New Roman" w:eastAsia="Times New Roman" w:hint="default"/>
        </w:rPr>
        <w:t>25.80</w:t>
      </w:r>
      <w:r>
        <w:rPr/>
        <w:t>万元，期末余额</w:t>
      </w:r>
      <w:r>
        <w:rPr>
          <w:rFonts w:ascii="Times New Roman" w:hAnsi="Times New Roman" w:cs="Times New Roman" w:eastAsia="Times New Roman" w:hint="default"/>
        </w:rPr>
        <w:t>51.60</w:t>
      </w:r>
      <w:r>
        <w:rPr/>
        <w:t>万元。</w:t>
      </w:r>
    </w:p>
    <w:p>
      <w:pPr>
        <w:pStyle w:val="BodyText"/>
        <w:spacing w:line="256" w:lineRule="auto" w:before="21"/>
        <w:ind w:right="1130" w:firstLine="420"/>
        <w:jc w:val="both"/>
      </w:pPr>
      <w:r>
        <w:rPr>
          <w:rFonts w:ascii="Times New Roman" w:hAnsi="Times New Roman" w:cs="Times New Roman" w:eastAsia="Times New Roman" w:hint="default"/>
          <w:spacing w:val="-1"/>
        </w:rPr>
        <w:t>3)</w:t>
      </w:r>
      <w:r>
        <w:rPr>
          <w:spacing w:val="-1"/>
        </w:rPr>
        <w:t>根据诸暨市经信局诸经信</w:t>
      </w:r>
      <w:r>
        <w:rPr>
          <w:rFonts w:ascii="Times New Roman" w:hAnsi="Times New Roman" w:cs="Times New Roman" w:eastAsia="Times New Roman" w:hint="default"/>
          <w:spacing w:val="-1"/>
        </w:rPr>
        <w:t>[2014]10</w:t>
      </w:r>
      <w:r>
        <w:rPr>
          <w:spacing w:val="-1"/>
        </w:rPr>
        <w:t>号文，本公司本期收到诸暨市财政局拨付的</w:t>
      </w:r>
      <w:r>
        <w:rPr>
          <w:rFonts w:ascii="Times New Roman" w:hAnsi="Times New Roman" w:cs="Times New Roman" w:eastAsia="Times New Roman" w:hint="default"/>
          <w:spacing w:val="-1"/>
        </w:rPr>
        <w:t>3</w:t>
      </w:r>
      <w:r>
        <w:rPr>
          <w:spacing w:val="-1"/>
        </w:rPr>
        <w:t>万吨节能环保型特种</w:t>
      </w:r>
      <w:r>
        <w:rPr>
          <w:w w:val="99"/>
        </w:rPr>
        <w:t> </w:t>
      </w:r>
      <w:r>
        <w:rPr/>
        <w:t>漆包线建设项目专项资金</w:t>
      </w:r>
      <w:r>
        <w:rPr>
          <w:rFonts w:ascii="Times New Roman" w:hAnsi="Times New Roman" w:cs="Times New Roman" w:eastAsia="Times New Roman" w:hint="default"/>
        </w:rPr>
        <w:t>153.00</w:t>
      </w:r>
      <w:r>
        <w:rPr/>
        <w:t>万元，该补助款按资产预计使用年限</w:t>
      </w:r>
      <w:r>
        <w:rPr>
          <w:rFonts w:ascii="Times New Roman" w:hAnsi="Times New Roman" w:cs="Times New Roman" w:eastAsia="Times New Roman" w:hint="default"/>
        </w:rPr>
        <w:t>10</w:t>
      </w:r>
      <w:r>
        <w:rPr>
          <w:rFonts w:ascii="Times New Roman" w:hAnsi="Times New Roman" w:cs="Times New Roman" w:eastAsia="Times New Roman" w:hint="default"/>
          <w:spacing w:val="-19"/>
        </w:rPr>
        <w:t> </w:t>
      </w:r>
      <w:r>
        <w:rPr/>
        <w:t>年平均分摊转入当期损益，本期摊</w:t>
      </w:r>
      <w:r>
        <w:rPr>
          <w:w w:val="99"/>
        </w:rPr>
        <w:t> </w:t>
      </w:r>
      <w:r>
        <w:rPr/>
        <w:t>销金额未</w:t>
      </w:r>
      <w:r>
        <w:rPr>
          <w:rFonts w:ascii="Times New Roman" w:hAnsi="Times New Roman" w:cs="Times New Roman" w:eastAsia="Times New Roman" w:hint="default"/>
        </w:rPr>
        <w:t>15.30</w:t>
      </w:r>
      <w:r>
        <w:rPr/>
        <w:t>万元，期末余额</w:t>
      </w:r>
      <w:r>
        <w:rPr>
          <w:rFonts w:ascii="Times New Roman" w:hAnsi="Times New Roman" w:cs="Times New Roman" w:eastAsia="Times New Roman" w:hint="default"/>
        </w:rPr>
        <w:t>137.70</w:t>
      </w:r>
      <w:r>
        <w:rPr/>
        <w:t>万元。</w:t>
      </w:r>
    </w:p>
    <w:p>
      <w:pPr>
        <w:pStyle w:val="BodyText"/>
        <w:spacing w:line="264" w:lineRule="auto" w:before="5"/>
        <w:ind w:right="1127" w:firstLine="420"/>
        <w:jc w:val="both"/>
      </w:pPr>
      <w:r>
        <w:rPr>
          <w:rFonts w:ascii="Times New Roman" w:hAnsi="Times New Roman" w:cs="Times New Roman" w:eastAsia="Times New Roman" w:hint="default"/>
          <w:spacing w:val="-2"/>
          <w:w w:val="99"/>
        </w:rPr>
        <w:t>4)</w:t>
      </w:r>
      <w:r>
        <w:rPr>
          <w:spacing w:val="-2"/>
          <w:w w:val="99"/>
        </w:rPr>
        <w:t>根据</w:t>
      </w:r>
      <w:r>
        <w:rPr>
          <w:rFonts w:ascii="Times New Roman" w:hAnsi="Times New Roman" w:cs="Times New Roman" w:eastAsia="Times New Roman" w:hint="default"/>
          <w:spacing w:val="-2"/>
          <w:w w:val="99"/>
        </w:rPr>
        <w:t>2013</w:t>
      </w:r>
      <w:r>
        <w:rPr>
          <w:spacing w:val="-2"/>
          <w:w w:val="99"/>
        </w:rPr>
        <w:t>年</w:t>
      </w:r>
      <w:r>
        <w:rPr>
          <w:rFonts w:ascii="Times New Roman" w:hAnsi="Times New Roman" w:cs="Times New Roman" w:eastAsia="Times New Roman" w:hint="default"/>
          <w:spacing w:val="-2"/>
          <w:w w:val="99"/>
        </w:rPr>
        <w:t>4</w:t>
      </w:r>
      <w:r>
        <w:rPr>
          <w:spacing w:val="-2"/>
          <w:w w:val="99"/>
        </w:rPr>
        <w:t>月</w:t>
      </w:r>
      <w:r>
        <w:rPr>
          <w:rFonts w:ascii="Times New Roman" w:hAnsi="Times New Roman" w:cs="Times New Roman" w:eastAsia="Times New Roman" w:hint="default"/>
          <w:spacing w:val="-2"/>
          <w:w w:val="99"/>
        </w:rPr>
        <w:t>18</w:t>
      </w:r>
      <w:r>
        <w:rPr>
          <w:spacing w:val="-2"/>
          <w:w w:val="99"/>
        </w:rPr>
        <w:t>日子公司浙江宏天铜业有限公司与诸暨市大唐镇人民政府、诸暨市人民政府土地储</w:t>
      </w:r>
      <w:r>
        <w:rPr>
          <w:w w:val="99"/>
        </w:rPr>
        <w:t> </w:t>
      </w:r>
      <w:r>
        <w:rPr>
          <w:spacing w:val="-2"/>
        </w:rPr>
        <w:t>备中心签订《土地房屋征收补偿安置协议》，子公司浙江宏天铜业有限公司因厂区搬迁获得</w:t>
      </w:r>
      <w:r>
        <w:rPr>
          <w:rFonts w:ascii="Times New Roman" w:hAnsi="Times New Roman" w:cs="Times New Roman" w:eastAsia="Times New Roman" w:hint="default"/>
          <w:spacing w:val="-2"/>
        </w:rPr>
        <w:t>425,931,847.00</w:t>
      </w:r>
      <w:r>
        <w:rPr>
          <w:rFonts w:ascii="Times New Roman" w:hAnsi="Times New Roman" w:cs="Times New Roman" w:eastAsia="Times New Roman" w:hint="default"/>
          <w:spacing w:val="-21"/>
        </w:rPr>
        <w:t> </w:t>
      </w:r>
      <w:r>
        <w:rPr/>
        <w:t>元拆迁补助。该拆迁补助中的</w:t>
      </w:r>
      <w:r>
        <w:rPr>
          <w:rFonts w:ascii="Times New Roman" w:hAnsi="Times New Roman" w:cs="Times New Roman" w:eastAsia="Times New Roman" w:hint="default"/>
        </w:rPr>
        <w:t>316,314,350.00</w:t>
      </w:r>
      <w:r>
        <w:rPr/>
        <w:t>元已作为资产处置收益，剩余</w:t>
      </w:r>
      <w:r>
        <w:rPr>
          <w:rFonts w:ascii="Times New Roman" w:hAnsi="Times New Roman" w:cs="Times New Roman" w:eastAsia="Times New Roman" w:hint="default"/>
        </w:rPr>
        <w:t>109,617,497.00</w:t>
      </w:r>
      <w:r>
        <w:rPr/>
        <w:t>元作为政府补助</w:t>
      </w:r>
      <w:r>
        <w:rPr>
          <w:spacing w:val="-35"/>
        </w:rPr>
        <w:t> </w:t>
      </w:r>
      <w:r>
        <w:rPr>
          <w:spacing w:val="-35"/>
        </w:rPr>
      </w:r>
      <w:r>
        <w:rPr>
          <w:spacing w:val="-1"/>
        </w:rPr>
        <w:t>在递延收益核算，其中：用于弥补拆迁过程中发生的搬迁费用和停工损失的，按相同金额从拆迁补助转入</w:t>
      </w:r>
      <w:r>
        <w:rPr>
          <w:spacing w:val="-84"/>
        </w:rPr>
        <w:t> </w:t>
      </w:r>
      <w:r>
        <w:rPr>
          <w:spacing w:val="-84"/>
        </w:rPr>
      </w:r>
      <w:r>
        <w:rPr>
          <w:spacing w:val="-1"/>
        </w:rPr>
        <w:t>营业外收入，作为与收益相关的政府补助；拆迁补助款扣除上述与收益相关的政府补助后的余额，作为政</w:t>
      </w:r>
      <w:r>
        <w:rPr>
          <w:spacing w:val="-84"/>
        </w:rPr>
        <w:t> </w:t>
      </w:r>
      <w:r>
        <w:rPr>
          <w:spacing w:val="-84"/>
        </w:rPr>
      </w:r>
      <w:r>
        <w:rPr>
          <w:spacing w:val="-1"/>
        </w:rPr>
        <w:t>府对浙江宏天铜业有限公司用于购置新厂区支付的补助，确认为与资产相关的政府补助，在相关资产使用</w:t>
      </w:r>
      <w:r>
        <w:rPr>
          <w:spacing w:val="-82"/>
        </w:rPr>
        <w:t> </w:t>
      </w:r>
      <w:r>
        <w:rPr>
          <w:spacing w:val="-82"/>
        </w:rPr>
      </w:r>
      <w:r>
        <w:rPr/>
        <w:t>寿命内平均分摊计入损益。</w:t>
      </w:r>
      <w:r>
        <w:rPr>
          <w:rFonts w:ascii="Times New Roman" w:hAnsi="Times New Roman" w:cs="Times New Roman" w:eastAsia="Times New Roman" w:hint="default"/>
        </w:rPr>
        <w:t>2013</w:t>
      </w:r>
      <w:r>
        <w:rPr/>
        <w:t>年已确认与收益相关的政府补助</w:t>
      </w:r>
      <w:r>
        <w:rPr>
          <w:rFonts w:ascii="Times New Roman" w:hAnsi="Times New Roman" w:cs="Times New Roman" w:eastAsia="Times New Roman" w:hint="default"/>
        </w:rPr>
        <w:t>14,501,119.82</w:t>
      </w:r>
      <w:r>
        <w:rPr/>
        <w:t>元，</w:t>
      </w:r>
      <w:r>
        <w:rPr>
          <w:rFonts w:ascii="Times New Roman" w:hAnsi="Times New Roman" w:cs="Times New Roman" w:eastAsia="Times New Roman" w:hint="default"/>
        </w:rPr>
        <w:t>2013</w:t>
      </w:r>
      <w:r>
        <w:rPr/>
        <w:t>年末拆迁补助余额</w:t>
      </w:r>
      <w:r>
        <w:rPr>
          <w:spacing w:val="-78"/>
        </w:rPr>
        <w:t> </w:t>
      </w:r>
      <w:r>
        <w:rPr>
          <w:spacing w:val="-78"/>
        </w:rPr>
      </w:r>
      <w:r>
        <w:rPr/>
        <w:t>为</w:t>
      </w:r>
      <w:r>
        <w:rPr>
          <w:rFonts w:ascii="Times New Roman" w:hAnsi="Times New Roman" w:cs="Times New Roman" w:eastAsia="Times New Roman" w:hint="default"/>
        </w:rPr>
        <w:t>95,116,377.18</w:t>
      </w:r>
      <w:r>
        <w:rPr/>
        <w:t>元。本期浙江宏天铜业有限公司搬迁过程发生搬迁费用和停工损失金额</w:t>
      </w:r>
      <w:r>
        <w:rPr>
          <w:rFonts w:ascii="Times New Roman" w:hAnsi="Times New Roman" w:cs="Times New Roman" w:eastAsia="Times New Roman" w:hint="default"/>
        </w:rPr>
        <w:t>12,570,807.07</w:t>
      </w:r>
      <w:r>
        <w:rPr/>
        <w:t>元，</w:t>
      </w:r>
      <w:r>
        <w:rPr>
          <w:spacing w:val="-24"/>
        </w:rPr>
        <w:t> </w:t>
      </w:r>
      <w:r>
        <w:rPr/>
        <w:t>公司从递延收益转入营业外收入，作为与收益相关的政府补助，期末搬迁补助余额为</w:t>
      </w:r>
      <w:r>
        <w:rPr>
          <w:rFonts w:ascii="Times New Roman" w:hAnsi="Times New Roman" w:cs="Times New Roman" w:eastAsia="Times New Roman" w:hint="default"/>
        </w:rPr>
        <w:t>82,545,570.11</w:t>
      </w:r>
      <w:r>
        <w:rPr/>
        <w:t>元。</w:t>
      </w:r>
    </w:p>
    <w:p>
      <w:pPr>
        <w:spacing w:after="0" w:line="264"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52、其他非流动负债" w:id="348"/>
      <w:bookmarkEnd w:id="348"/>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53、股本" w:id="349"/>
      <w:bookmarkEnd w:id="349"/>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168,910,000.00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50,673,000.00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50,673,000.00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219,583,000.00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1016" w:firstLine="420"/>
        <w:jc w:val="left"/>
      </w:pPr>
      <w:r>
        <w:rPr/>
        <w:t>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日召开的</w:t>
      </w:r>
      <w:r>
        <w:rPr>
          <w:rFonts w:ascii="Times New Roman" w:hAnsi="Times New Roman" w:cs="Times New Roman" w:eastAsia="Times New Roman" w:hint="default"/>
        </w:rPr>
        <w:t>2013</w:t>
      </w:r>
      <w:r>
        <w:rPr/>
        <w:t>年度股东大会决议，公司以资本公积金向全体股东每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股，增加 </w:t>
      </w:r>
      <w:r>
        <w:rPr>
          <w:spacing w:val="-5"/>
        </w:rPr>
        <w:t>股本</w:t>
      </w:r>
      <w:r>
        <w:rPr>
          <w:rFonts w:ascii="Times New Roman" w:hAnsi="Times New Roman" w:cs="Times New Roman" w:eastAsia="Times New Roman" w:hint="default"/>
          <w:spacing w:val="-5"/>
        </w:rPr>
        <w:t>5,067.30</w:t>
      </w:r>
      <w:r>
        <w:rPr>
          <w:spacing w:val="-5"/>
        </w:rPr>
        <w:t>万元，转增后公司注册资本为</w:t>
      </w:r>
      <w:r>
        <w:rPr/>
        <w:t> </w:t>
      </w:r>
      <w:r>
        <w:rPr>
          <w:rFonts w:ascii="Times New Roman" w:hAnsi="Times New Roman" w:cs="Times New Roman" w:eastAsia="Times New Roman" w:hint="default"/>
        </w:rPr>
        <w:t>21,958.30</w:t>
      </w:r>
      <w:r>
        <w:rPr>
          <w:rFonts w:ascii="Times New Roman" w:hAnsi="Times New Roman" w:cs="Times New Roman" w:eastAsia="Times New Roman" w:hint="default"/>
          <w:spacing w:val="41"/>
        </w:rPr>
        <w:t> </w:t>
      </w:r>
      <w:r>
        <w:rPr>
          <w:spacing w:val="-4"/>
        </w:rPr>
        <w:t>万元。本公司已于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25</w:t>
      </w:r>
      <w:r>
        <w:rPr>
          <w:spacing w:val="-4"/>
        </w:rPr>
        <w:t>日办妥工商变更登记。</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left="153" w:right="0"/>
        <w:jc w:val="left"/>
        <w:rPr>
          <w:b w:val="0"/>
          <w:bCs w:val="0"/>
        </w:rPr>
      </w:pPr>
      <w:bookmarkStart w:name="54、其他权益工具" w:id="350"/>
      <w:bookmarkEnd w:id="350"/>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期末发行在外的优先股、永续债等其他金融工具基本情况" w:id="351"/>
      <w:bookmarkEnd w:id="351"/>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期末发行在外的优先股、永续债等金融工具变动情况表" w:id="352"/>
      <w:bookmarkEnd w:id="352"/>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3" w:right="463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left="153" w:right="0"/>
        <w:jc w:val="left"/>
        <w:rPr>
          <w:b w:val="0"/>
          <w:bCs w:val="0"/>
        </w:rPr>
      </w:pPr>
      <w:bookmarkStart w:name="55、资本公积" w:id="353"/>
      <w:bookmarkEnd w:id="353"/>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559,666,353.25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50,673,000.00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508,993,353.25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559,666,353.25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50,673,000.00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508,993,353.25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90"/>
        <w:ind w:right="1016" w:firstLine="420"/>
        <w:jc w:val="left"/>
      </w:pPr>
      <w:r>
        <w:rPr/>
        <w:t>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日召开的</w:t>
      </w:r>
      <w:r>
        <w:rPr>
          <w:rFonts w:ascii="Times New Roman" w:hAnsi="Times New Roman" w:cs="Times New Roman" w:eastAsia="Times New Roman" w:hint="default"/>
        </w:rPr>
        <w:t>2013</w:t>
      </w:r>
      <w:r>
        <w:rPr/>
        <w:t>年度股东大会决议，公司以资本公积金向全体股东每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股，增加 </w:t>
      </w:r>
      <w:r>
        <w:rPr>
          <w:spacing w:val="-5"/>
        </w:rPr>
        <w:t>股本</w:t>
      </w:r>
      <w:r>
        <w:rPr>
          <w:rFonts w:ascii="Times New Roman" w:hAnsi="Times New Roman" w:cs="Times New Roman" w:eastAsia="Times New Roman" w:hint="default"/>
          <w:spacing w:val="-5"/>
        </w:rPr>
        <w:t>5,067.30</w:t>
      </w:r>
      <w:r>
        <w:rPr>
          <w:spacing w:val="-5"/>
        </w:rPr>
        <w:t>万元，转增后公司注册资本为</w:t>
      </w:r>
      <w:r>
        <w:rPr/>
        <w:t> </w:t>
      </w:r>
      <w:r>
        <w:rPr>
          <w:rFonts w:ascii="Times New Roman" w:hAnsi="Times New Roman" w:cs="Times New Roman" w:eastAsia="Times New Roman" w:hint="default"/>
        </w:rPr>
        <w:t>21,958.30</w:t>
      </w:r>
      <w:r>
        <w:rPr>
          <w:rFonts w:ascii="Times New Roman" w:hAnsi="Times New Roman" w:cs="Times New Roman" w:eastAsia="Times New Roman" w:hint="default"/>
          <w:spacing w:val="41"/>
        </w:rPr>
        <w:t> </w:t>
      </w:r>
      <w:r>
        <w:rPr>
          <w:spacing w:val="-4"/>
        </w:rPr>
        <w:t>万元。本公司已于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25</w:t>
      </w:r>
      <w:r>
        <w:rPr>
          <w:spacing w:val="-4"/>
        </w:rPr>
        <w:t>日办妥工商变更登记。</w:t>
      </w:r>
    </w:p>
    <w:p>
      <w:pPr>
        <w:spacing w:after="0" w:line="25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56、库存股" w:id="354"/>
      <w:bookmarkEnd w:id="354"/>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7、其他综合收益" w:id="355"/>
      <w:bookmarkEnd w:id="355"/>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1"/>
        <w:gridCol w:w="935"/>
        <w:gridCol w:w="936"/>
        <w:gridCol w:w="935"/>
        <w:gridCol w:w="799"/>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58、专项储备" w:id="356"/>
      <w:bookmarkEnd w:id="356"/>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9、盈余公积" w:id="357"/>
      <w:bookmarkEnd w:id="357"/>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28,207,833.52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28,207,833.52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28,207,833.52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28,207,833.52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0、未分配利润" w:id="358"/>
      <w:bookmarkEnd w:id="358"/>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296,041,977.54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231,942,451.95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296,041,977.54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231,942,451.95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-47,749,752.94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75,083,156.38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2,537,699.04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15,201,900.00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8,445,931.75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233,090,324.60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296,041,977.54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61、营业收入和营业成本" w:id="359"/>
      <w:bookmarkEnd w:id="359"/>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4,634,289,684.62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4,568,803,552.50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3,720,412,073.11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3,707,136,261.64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169,114.61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15,239.09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611,311.71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22,176.03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4,634,458,799.23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4,568,818,791.59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3,721,023,384.82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3,707,158,437.67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2、营业税金及附加" w:id="360"/>
      <w:bookmarkEnd w:id="360"/>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35,655.75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399,631.25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60,153.06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624,144.38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36,054.86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366,037.77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24,036.56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244,025.20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155,900.23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1,633,838.60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63、销售费用" w:id="361"/>
      <w:bookmarkEnd w:id="361"/>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1,241,260.23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6,781,669.12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1,970,204.58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5,412,162.99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77,415.09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1,366,070.75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937,452.06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436,662.28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752,498.67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306,533.08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1,293,886.62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4,090,871.26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16,543,740.21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64、管理费用" w:id="362"/>
      <w:bookmarkEnd w:id="362"/>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22,973,118.33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21,473,822.19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各项税费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6,259,072.27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6,472,775.90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2,200,986.32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4,013,630.13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15,444,574.88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7,658,388.80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4,885,732.34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2,882,544.30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1,931,437.35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1,430,601.22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3,456,239.79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5,809,643.24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1,227,791.48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2,907,002.15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5,876,524.69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61,285,954.91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55,617,930.47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65、财务费用" w:id="363"/>
      <w:bookmarkEnd w:id="363"/>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75,816,351.48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50,924,339.07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36,919,293.05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-30,218,989.75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174,790.07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698,199.16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3,886,980.61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12,342,359.77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633,316.00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43,592,145.11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33,745,908.25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66、资产减值损失" w:id="364"/>
      <w:bookmarkEnd w:id="364"/>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-2,892,539.49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-8,009,859.52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36,821,702.95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2,635,204.01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33,929,163.46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-5,374,655.51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67、公允价值变动收益" w:id="365"/>
      <w:bookmarkEnd w:id="365"/>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68、投资收益" w:id="366"/>
      <w:bookmarkEnd w:id="366"/>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8,400,000.00</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69、营业外收入" w:id="367"/>
      <w:bookmarkEnd w:id="367"/>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3"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95,594.80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208,846,358.12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95,594.80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95,594.80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208,846,358.12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95,594.80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14,080,507.15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20,612,659.82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14,080,507.15</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14,176,101.95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229,459,017.94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14,176,101.95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搬迁补助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12,570,807.15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14,501,119.82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万吨废杂铜连铸连轧低氧铜 杆资源综合利用项目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耐冷媒漆包线项目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万吨节能环保型特种漆包线 建设项目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诸暨市大唐镇人民政府奖励 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诸暨财政局人才奖励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博士后工作站建站补助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其他科技补助及专利奖励费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5,193,540.00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14,080,507.15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20,612,659.82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70、营业外支出" w:id="368"/>
      <w:bookmarkEnd w:id="368"/>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2,087,637.37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2,923.09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2,087,637.37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2,923.09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4,913,088.49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3,866,188.84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3,103,181.77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1,358,452.97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8,040,193.35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7,312,279.18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223,923.09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71、所得税费用" w:id="369"/>
      <w:bookmarkEnd w:id="369"/>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70"/>
      <w:bookmarkEnd w:id="37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4,740,545.31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38,423,048.46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-8,673,593.57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-1,672,665.88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-3,933,048.26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36,750,382.58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71"/>
      <w:bookmarkEnd w:id="37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-62,878,118.73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-15,719,529.68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992.00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292,430.40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-1,258,443.89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14,851,502.91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36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损的影响</w:t>
            </w:r>
          </w:p>
        </w:tc>
        <w:tc>
          <w:tcPr>
            <w:tcW w:w="4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-3,933,048.26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72、其他综合收益" w:id="372"/>
      <w:bookmarkEnd w:id="372"/>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3、现金流量表项目" w:id="373"/>
      <w:bookmarkEnd w:id="373"/>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收到的其他与经营活动有关的现金" w:id="374"/>
      <w:bookmarkEnd w:id="37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收到承兑汇票及信用证保证金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1,556,393,656.20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392,442,072.00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1,063,145,501.58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2,229,247,418.56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30,687,217.52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6,711,307.67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438,700.00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5,523,540.00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83,512.49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2,650,665,075.30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2,634,007,850.72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支付的其他与经营活动有关的现金" w:id="375"/>
      <w:bookmarkEnd w:id="37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支付承兑汇票及信用证保证金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1,267,807,229.25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431,795,558.60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1,411,720,803.85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1,747,036,865.54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27,567,884.85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29,161,667.10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188,465.55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13,151,803.35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2,707,284,383.50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2,221,145,894.59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收到的其他与投资活动有关的现金" w:id="376"/>
      <w:bookmarkEnd w:id="37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收回资金拆借款及相关利息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118,481,250.00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收到的技改补助资金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浙江宏天公司收到诸暨市政府搬迁补偿 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109,617,497.00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收回浙江省诸暨市宏磊建材厂往来款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115,066,818.49</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代收浙江省诸暨市宏磊建材厂搬迁补偿 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71,748,153.00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120,011,250.00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296,432,468.49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377"/>
      <w:bookmarkEnd w:id="37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支出资金拆借款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支付浙江省诸暨市宏磊建材厂往来款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114,983,306.00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代付浙江省诸暨市宏磊建材厂搬迁补偿 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71,748,153.00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186,731,459.00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收到的其他与筹资活动有关的现金" w:id="378"/>
      <w:bookmarkEnd w:id="37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217,919,843.63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217,919,843.63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支付的其他与筹资活动有关的现金" w:id="379"/>
      <w:bookmarkEnd w:id="37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支付莱茵达国际租赁公司剩余租赁款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45,415,196.44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45,415,196.44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362.98999pt;width:151.25pt;height:20.7pt;mso-position-horizontal-relative:page;mso-position-vertical-relative:page;z-index:-854968" coordorigin="4467,7260" coordsize="3025,414">
            <v:group style="position:absolute;left:4478;top:7271;width:2;height:392" coordorigin="4478,7271" coordsize="2,392">
              <v:shape style="position:absolute;left:4478;top:7271;width:2;height:392" coordorigin="4478,7271" coordsize="0,392" path="m4478,7271l4478,7662e" filled="false" stroked="true" strokeweight="1.140pt" strokecolor="#ffffff">
                <v:path arrowok="t"/>
              </v:shape>
            </v:group>
            <v:group style="position:absolute;left:4490;top:7271;width:3002;height:392" coordorigin="4490,7271" coordsize="3002,392">
              <v:shape style="position:absolute;left:4490;top:7271;width:3002;height:392" coordorigin="4490,7271" coordsize="3002,392" path="m4490,7662l7491,7662,7491,7271,4490,7271,4490,7662xe" filled="true" fillcolor="#ffffff" stroked="false">
                <v:path arrowok="t"/>
                <v:fill type="solid"/>
              </v:shape>
            </v:group>
            <w10:wrap type="none"/>
          </v:group>
        </w:pict>
      </w:r>
    </w:p>
    <w:p>
      <w:pPr>
        <w:pStyle w:val="Heading4"/>
        <w:spacing w:line="240" w:lineRule="auto" w:before="35"/>
        <w:ind w:left="153" w:right="0"/>
        <w:jc w:val="left"/>
        <w:rPr>
          <w:b w:val="0"/>
          <w:bCs w:val="0"/>
        </w:rPr>
      </w:pPr>
      <w:bookmarkStart w:name="74、现金流量表补充资料" w:id="380"/>
      <w:bookmarkEnd w:id="380"/>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现金流量表补充资料" w:id="381"/>
      <w:bookmarkEnd w:id="38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-58,945,070.47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105,494,541.31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32,582,181.65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-5,374,655.51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37,194,126.12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28,164,888.04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1,931,437.35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1,430,601.22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-92,671.71</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-206,758,720.75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65,840,593.16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51,622,538.23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-8,400,000.00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-8,400,000.00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81" w:right="0"/>
              <w:jc w:val="left"/>
              <w:rPr>
                <w:rFonts w:ascii="Times New Roman" w:hAnsi="Times New Roman" w:cs="Times New Roman" w:eastAsia="Times New Roman" w:hint="default"/>
                <w:sz w:val="18"/>
                <w:szCs w:val="18"/>
              </w:rPr>
            </w:pPr>
            <w:r>
              <w:rPr>
                <w:rFonts w:ascii="Times New Roman"/>
                <w:sz w:val="18"/>
              </w:rPr>
              <w:t>-8,673,593.57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-1,672,665.88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-91,490,055.53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-72,269,669.46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-42,284,563.13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406,175,811.39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-780,616,721.68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-235,435,835.32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-852,954,337.81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62,976,833.27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14,846,777.56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250,744,115.72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05" w:right="0"/>
              <w:jc w:val="left"/>
              <w:rPr>
                <w:rFonts w:ascii="Times New Roman" w:hAnsi="Times New Roman" w:cs="Times New Roman" w:eastAsia="Times New Roman" w:hint="default"/>
                <w:sz w:val="18"/>
                <w:szCs w:val="18"/>
              </w:rPr>
            </w:pPr>
            <w:r>
              <w:rPr>
                <w:rFonts w:ascii="Times New Roman"/>
                <w:sz w:val="18"/>
              </w:rPr>
              <w:t>250,744,115.72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19,932,141.47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-235,897,338.16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230,811,974.25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82"/>
      <w:bookmarkEnd w:id="38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3）本期收到的处置子公司的现金净额" w:id="383"/>
      <w:bookmarkEnd w:id="38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1132" w:firstLine="420"/>
        <w:jc w:val="both"/>
      </w:pPr>
      <w:r>
        <w:rPr>
          <w:rFonts w:ascii="Times New Roman" w:hAnsi="Times New Roman" w:cs="Times New Roman" w:eastAsia="Times New Roman" w:hint="default"/>
        </w:rPr>
        <w:t>2014</w:t>
      </w:r>
      <w:r>
        <w:rPr/>
        <w:t>年度现金流量表中现金期末数为</w:t>
      </w:r>
      <w:r>
        <w:rPr>
          <w:rFonts w:ascii="Times New Roman" w:hAnsi="Times New Roman" w:cs="Times New Roman" w:eastAsia="Times New Roman" w:hint="default"/>
        </w:rPr>
        <w:t>14,846,777.56</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日资产负债表中货币资金期末数 为</w:t>
      </w:r>
      <w:r>
        <w:rPr>
          <w:rFonts w:ascii="Times New Roman" w:hAnsi="Times New Roman" w:cs="Times New Roman" w:eastAsia="Times New Roman" w:hint="default"/>
        </w:rPr>
        <w:t>158,223,374.76</w:t>
      </w:r>
      <w:r>
        <w:rPr/>
        <w:t>元，差额</w:t>
      </w:r>
      <w:r>
        <w:rPr>
          <w:rFonts w:ascii="Times New Roman" w:hAnsi="Times New Roman" w:cs="Times New Roman" w:eastAsia="Times New Roman" w:hint="default"/>
        </w:rPr>
        <w:t>143,376,597.20</w:t>
      </w:r>
      <w:r>
        <w:rPr/>
        <w:t>元，系现金流量表现金期末数扣除了不符合现金及现金等价物标</w:t>
      </w:r>
      <w:r>
        <w:rPr>
          <w:spacing w:val="-40"/>
        </w:rPr>
        <w:t> </w:t>
      </w:r>
      <w:r>
        <w:rPr>
          <w:spacing w:val="-40"/>
        </w:rPr>
      </w:r>
      <w:r>
        <w:rPr/>
        <w:t>准的银行承兑汇票及信用证保证金</w:t>
      </w:r>
      <w:r>
        <w:rPr>
          <w:rFonts w:ascii="Times New Roman" w:hAnsi="Times New Roman" w:cs="Times New Roman" w:eastAsia="Times New Roman" w:hint="default"/>
        </w:rPr>
        <w:t>143,209,131.65</w:t>
      </w:r>
      <w:r>
        <w:rPr/>
        <w:t>元及受冻结的银行存款</w:t>
      </w:r>
      <w:r>
        <w:rPr>
          <w:rFonts w:ascii="Times New Roman" w:hAnsi="Times New Roman" w:cs="Times New Roman" w:eastAsia="Times New Roman" w:hint="default"/>
        </w:rPr>
        <w:t>167,465.55</w:t>
      </w:r>
      <w:r>
        <w:rPr/>
        <w:t>元。</w:t>
      </w:r>
    </w:p>
    <w:p>
      <w:pPr>
        <w:pStyle w:val="BodyText"/>
        <w:spacing w:line="256" w:lineRule="auto" w:before="5"/>
        <w:ind w:left="154" w:right="1132" w:firstLine="420"/>
        <w:jc w:val="both"/>
      </w:pPr>
      <w:r>
        <w:rPr>
          <w:rFonts w:ascii="Times New Roman" w:hAnsi="Times New Roman" w:cs="Times New Roman" w:eastAsia="Times New Roman" w:hint="default"/>
          <w:spacing w:val="-2"/>
        </w:rPr>
        <w:t>2013</w:t>
      </w:r>
      <w:r>
        <w:rPr>
          <w:spacing w:val="-2"/>
        </w:rPr>
        <w:t>年度现金流量表中现金期末数为</w:t>
      </w:r>
      <w:r>
        <w:rPr>
          <w:rFonts w:ascii="Times New Roman" w:hAnsi="Times New Roman" w:cs="Times New Roman" w:eastAsia="Times New Roman" w:hint="default"/>
          <w:spacing w:val="-2"/>
        </w:rPr>
        <w:t>250,744,115.72</w:t>
      </w:r>
      <w:r>
        <w:rPr>
          <w:spacing w:val="-2"/>
        </w:rPr>
        <w:t>元，</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日资产负债表中货币资金期末数</w:t>
      </w:r>
      <w:r>
        <w:rPr/>
        <w:t> 为</w:t>
      </w:r>
      <w:r>
        <w:rPr>
          <w:rFonts w:ascii="Times New Roman" w:hAnsi="Times New Roman" w:cs="Times New Roman" w:eastAsia="Times New Roman" w:hint="default"/>
        </w:rPr>
        <w:t>682,539,674.32</w:t>
      </w:r>
      <w:r>
        <w:rPr/>
        <w:t>元，差额</w:t>
      </w:r>
      <w:r>
        <w:rPr>
          <w:rFonts w:ascii="Times New Roman" w:hAnsi="Times New Roman" w:cs="Times New Roman" w:eastAsia="Times New Roman" w:hint="default"/>
        </w:rPr>
        <w:t>431,795,558.60</w:t>
      </w:r>
      <w:r>
        <w:rPr/>
        <w:t>元，系现金流量表现金期末数扣除了不符合现金及现金等价物标</w:t>
      </w:r>
      <w:r>
        <w:rPr>
          <w:spacing w:val="-40"/>
        </w:rPr>
        <w:t> </w:t>
      </w:r>
      <w:r>
        <w:rPr>
          <w:spacing w:val="-40"/>
        </w:rPr>
      </w:r>
      <w:r>
        <w:rPr/>
        <w:t>准的银行承兑汇票保证金及信用证保证金</w:t>
      </w:r>
      <w:r>
        <w:rPr>
          <w:rFonts w:ascii="Times New Roman" w:hAnsi="Times New Roman" w:cs="Times New Roman" w:eastAsia="Times New Roman" w:hint="default"/>
        </w:rPr>
        <w:t>431,795,558.60</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7"/>
          <w:szCs w:val="27"/>
        </w:rPr>
      </w:pPr>
    </w:p>
    <w:p>
      <w:pPr>
        <w:pStyle w:val="Heading4"/>
        <w:spacing w:line="240" w:lineRule="auto"/>
        <w:ind w:left="153" w:right="0"/>
        <w:jc w:val="left"/>
        <w:rPr>
          <w:b w:val="0"/>
          <w:bCs w:val="0"/>
        </w:rPr>
      </w:pPr>
      <w:bookmarkStart w:name="（4）现金和现金等价物的构成" w:id="384"/>
      <w:bookmarkEnd w:id="38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14,846,777.56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250,744,115.72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74,918.75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264,830.28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14,600,967.40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250,100,694.77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170,891.41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378,590.67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14,846,777.56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250,744,115.72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132" w:firstLine="420"/>
        <w:jc w:val="both"/>
      </w:pPr>
      <w:r>
        <w:rPr>
          <w:rFonts w:ascii="Times New Roman" w:hAnsi="Times New Roman" w:cs="Times New Roman" w:eastAsia="Times New Roman" w:hint="default"/>
        </w:rPr>
        <w:t>2014</w:t>
      </w:r>
      <w:r>
        <w:rPr/>
        <w:t>年度现金流量表中现金期末数为</w:t>
      </w:r>
      <w:r>
        <w:rPr>
          <w:rFonts w:ascii="Times New Roman" w:hAnsi="Times New Roman" w:cs="Times New Roman" w:eastAsia="Times New Roman" w:hint="default"/>
        </w:rPr>
        <w:t>14,846,777.56</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日资产负债表中货币资金期末数 为</w:t>
      </w:r>
      <w:r>
        <w:rPr>
          <w:rFonts w:ascii="Times New Roman" w:hAnsi="Times New Roman" w:cs="Times New Roman" w:eastAsia="Times New Roman" w:hint="default"/>
        </w:rPr>
        <w:t>158,223,374.76</w:t>
      </w:r>
      <w:r>
        <w:rPr/>
        <w:t>元，差额</w:t>
      </w:r>
      <w:r>
        <w:rPr>
          <w:rFonts w:ascii="Times New Roman" w:hAnsi="Times New Roman" w:cs="Times New Roman" w:eastAsia="Times New Roman" w:hint="default"/>
        </w:rPr>
        <w:t>143,376,597.20</w:t>
      </w:r>
      <w:r>
        <w:rPr/>
        <w:t>元，系现金流量表现金期末数扣除了不符合现金及现金等价物标</w:t>
      </w:r>
      <w:r>
        <w:rPr>
          <w:spacing w:val="-40"/>
        </w:rPr>
        <w:t> </w:t>
      </w:r>
      <w:r>
        <w:rPr>
          <w:spacing w:val="-40"/>
        </w:rPr>
      </w:r>
      <w:r>
        <w:rPr/>
        <w:t>准的银行承兑汇票及信用证保证金</w:t>
      </w:r>
      <w:r>
        <w:rPr>
          <w:rFonts w:ascii="Times New Roman" w:hAnsi="Times New Roman" w:cs="Times New Roman" w:eastAsia="Times New Roman" w:hint="default"/>
        </w:rPr>
        <w:t>143,209,131.65</w:t>
      </w:r>
      <w:r>
        <w:rPr/>
        <w:t>元及受冻结的银行存款</w:t>
      </w:r>
      <w:r>
        <w:rPr>
          <w:rFonts w:ascii="Times New Roman" w:hAnsi="Times New Roman" w:cs="Times New Roman" w:eastAsia="Times New Roman" w:hint="default"/>
        </w:rPr>
        <w:t>167,465.55</w:t>
      </w:r>
      <w:r>
        <w:rPr/>
        <w:t>元。</w:t>
      </w:r>
    </w:p>
    <w:p>
      <w:pPr>
        <w:pStyle w:val="BodyText"/>
        <w:spacing w:line="256" w:lineRule="auto" w:before="5"/>
        <w:ind w:left="154" w:right="1132" w:firstLine="420"/>
        <w:jc w:val="both"/>
      </w:pPr>
      <w:r>
        <w:rPr>
          <w:rFonts w:ascii="Times New Roman" w:hAnsi="Times New Roman" w:cs="Times New Roman" w:eastAsia="Times New Roman" w:hint="default"/>
          <w:spacing w:val="-2"/>
        </w:rPr>
        <w:t>2013</w:t>
      </w:r>
      <w:r>
        <w:rPr>
          <w:spacing w:val="-2"/>
        </w:rPr>
        <w:t>年度现金流量表中现金期末数为</w:t>
      </w:r>
      <w:r>
        <w:rPr>
          <w:rFonts w:ascii="Times New Roman" w:hAnsi="Times New Roman" w:cs="Times New Roman" w:eastAsia="Times New Roman" w:hint="default"/>
          <w:spacing w:val="-2"/>
        </w:rPr>
        <w:t>250,744,115.72</w:t>
      </w:r>
      <w:r>
        <w:rPr>
          <w:spacing w:val="-2"/>
        </w:rPr>
        <w:t>元，</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日资产负债表中货币资金期末数</w:t>
      </w:r>
      <w:r>
        <w:rPr/>
        <w:t> 为</w:t>
      </w:r>
      <w:r>
        <w:rPr>
          <w:rFonts w:ascii="Times New Roman" w:hAnsi="Times New Roman" w:cs="Times New Roman" w:eastAsia="Times New Roman" w:hint="default"/>
        </w:rPr>
        <w:t>682,539,674.32</w:t>
      </w:r>
      <w:r>
        <w:rPr/>
        <w:t>元，差额</w:t>
      </w:r>
      <w:r>
        <w:rPr>
          <w:rFonts w:ascii="Times New Roman" w:hAnsi="Times New Roman" w:cs="Times New Roman" w:eastAsia="Times New Roman" w:hint="default"/>
        </w:rPr>
        <w:t>431,795,558.60</w:t>
      </w:r>
      <w:r>
        <w:rPr/>
        <w:t>元，系现金流量表现金期末数扣除了不符合现金及现金等价物标</w:t>
      </w:r>
      <w:r>
        <w:rPr>
          <w:spacing w:val="-40"/>
        </w:rPr>
        <w:t> </w:t>
      </w:r>
      <w:r>
        <w:rPr>
          <w:spacing w:val="-40"/>
        </w:rPr>
      </w:r>
      <w:r>
        <w:rPr/>
        <w:t>准的银行承兑汇票保证金及信用证保证金</w:t>
      </w:r>
      <w:r>
        <w:rPr>
          <w:rFonts w:ascii="Times New Roman" w:hAnsi="Times New Roman" w:cs="Times New Roman" w:eastAsia="Times New Roman" w:hint="default"/>
        </w:rPr>
        <w:t>431,795,558.60</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7"/>
          <w:szCs w:val="27"/>
        </w:rPr>
      </w:pPr>
    </w:p>
    <w:p>
      <w:pPr>
        <w:pStyle w:val="Heading4"/>
        <w:spacing w:line="240" w:lineRule="auto"/>
        <w:ind w:left="153" w:right="0"/>
        <w:jc w:val="left"/>
        <w:rPr>
          <w:b w:val="0"/>
          <w:bCs w:val="0"/>
        </w:rPr>
      </w:pPr>
      <w:bookmarkStart w:name="75、所有者权益变动表项目注释" w:id="385"/>
      <w:bookmarkEnd w:id="385"/>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76、所有权或使用权受到限制的资产" w:id="386"/>
      <w:bookmarkEnd w:id="386"/>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143,367,222.49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承兑汇票及信用证保证金、冻结</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92,347,600.00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52,076,889.20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87,655,058.12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95,760,000.00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471,206,769.81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77、外币货币性项目" w:id="387"/>
      <w:bookmarkEnd w:id="387"/>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外币货币性项目" w:id="388"/>
      <w:bookmarkEnd w:id="38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8,594.66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6.1260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52,651.06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7.8390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59" w:lineRule="auto"/>
        <w:ind w:left="153" w:right="0"/>
        <w:jc w:val="left"/>
        <w:rPr>
          <w:b w:val="0"/>
          <w:bCs w:val="0"/>
        </w:rPr>
      </w:pPr>
      <w:bookmarkStart w:name="（2）境外经营实体说明，包括对于重要的境外经营实体，应披露其境外主要经营地、记账" w:id="389"/>
      <w:bookmarkEnd w:id="38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78、套期" w:id="390"/>
      <w:bookmarkEnd w:id="390"/>
      <w:r>
        <w:rPr>
          <w:b w:val="0"/>
          <w:bCs w:val="0"/>
        </w:rPr>
      </w: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79、其他" w:id="391"/>
      <w:bookmarkEnd w:id="391"/>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2"/>
      <w:bookmarkEnd w:id="392"/>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3"/>
      <w:bookmarkEnd w:id="39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left="153" w:right="0"/>
        <w:jc w:val="left"/>
        <w:rPr>
          <w:b w:val="0"/>
          <w:bCs w:val="0"/>
        </w:rPr>
      </w:pPr>
      <w:bookmarkStart w:name="（1）本期发生的非同一控制下企业合并" w:id="394"/>
      <w:bookmarkEnd w:id="39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2"/>
        <w:gridCol w:w="1064"/>
        <w:gridCol w:w="1064"/>
        <w:gridCol w:w="1064"/>
        <w:gridCol w:w="1064"/>
        <w:gridCol w:w="1064"/>
        <w:gridCol w:w="1062"/>
        <w:gridCol w:w="1062"/>
        <w:gridCol w:w="1051"/>
      </w:tblGrid>
      <w:tr>
        <w:trPr>
          <w:trHeight w:val="382"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4" w:right="0"/>
              <w:jc w:val="left"/>
              <w:rPr>
                <w:rFonts w:ascii="宋体" w:hAnsi="宋体" w:cs="宋体" w:eastAsia="宋体" w:hint="default"/>
                <w:sz w:val="18"/>
                <w:szCs w:val="18"/>
              </w:rPr>
            </w:pPr>
            <w:r>
              <w:rPr>
                <w:rFonts w:ascii="宋体" w:hAnsi="宋体" w:cs="宋体" w:eastAsia="宋体" w:hint="default"/>
                <w:sz w:val="18"/>
                <w:szCs w:val="18"/>
              </w:rPr>
              <w:t>被购买方名</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7" w:right="0"/>
              <w:jc w:val="left"/>
              <w:rPr>
                <w:rFonts w:ascii="宋体" w:hAnsi="宋体" w:cs="宋体" w:eastAsia="宋体" w:hint="default"/>
                <w:sz w:val="18"/>
                <w:szCs w:val="18"/>
              </w:rPr>
            </w:pPr>
            <w:r>
              <w:rPr>
                <w:rFonts w:ascii="宋体" w:hAnsi="宋体" w:cs="宋体" w:eastAsia="宋体" w:hint="default"/>
                <w:sz w:val="18"/>
                <w:szCs w:val="18"/>
              </w:rPr>
              <w:t>股权取得时</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7" w:right="0"/>
              <w:jc w:val="left"/>
              <w:rPr>
                <w:rFonts w:ascii="宋体" w:hAnsi="宋体" w:cs="宋体" w:eastAsia="宋体" w:hint="default"/>
                <w:sz w:val="18"/>
                <w:szCs w:val="18"/>
              </w:rPr>
            </w:pPr>
            <w:r>
              <w:rPr>
                <w:rFonts w:ascii="宋体" w:hAnsi="宋体" w:cs="宋体" w:eastAsia="宋体" w:hint="default"/>
                <w:sz w:val="18"/>
                <w:szCs w:val="18"/>
              </w:rPr>
              <w:t>股权取得成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6" w:right="0"/>
              <w:jc w:val="left"/>
              <w:rPr>
                <w:rFonts w:ascii="宋体" w:hAnsi="宋体" w:cs="宋体" w:eastAsia="宋体" w:hint="default"/>
                <w:sz w:val="18"/>
                <w:szCs w:val="18"/>
              </w:rPr>
            </w:pPr>
            <w:r>
              <w:rPr>
                <w:rFonts w:ascii="宋体" w:hAnsi="宋体" w:cs="宋体" w:eastAsia="宋体" w:hint="default"/>
                <w:sz w:val="18"/>
                <w:szCs w:val="18"/>
              </w:rPr>
              <w:t>股权取得比</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7" w:right="0"/>
              <w:jc w:val="left"/>
              <w:rPr>
                <w:rFonts w:ascii="宋体" w:hAnsi="宋体" w:cs="宋体" w:eastAsia="宋体" w:hint="default"/>
                <w:sz w:val="18"/>
                <w:szCs w:val="18"/>
              </w:rPr>
            </w:pPr>
            <w:r>
              <w:rPr>
                <w:rFonts w:ascii="宋体" w:hAnsi="宋体" w:cs="宋体" w:eastAsia="宋体" w:hint="default"/>
                <w:sz w:val="18"/>
                <w:szCs w:val="18"/>
              </w:rPr>
              <w:t>股权取得方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5" w:right="0"/>
              <w:jc w:val="left"/>
              <w:rPr>
                <w:rFonts w:ascii="宋体" w:hAnsi="宋体" w:cs="宋体" w:eastAsia="宋体" w:hint="default"/>
                <w:sz w:val="18"/>
                <w:szCs w:val="18"/>
              </w:rPr>
            </w:pPr>
            <w:r>
              <w:rPr>
                <w:rFonts w:ascii="宋体" w:hAnsi="宋体" w:cs="宋体" w:eastAsia="宋体" w:hint="default"/>
                <w:sz w:val="18"/>
                <w:szCs w:val="18"/>
              </w:rPr>
              <w:t>购买日的确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5" w:right="0"/>
              <w:jc w:val="left"/>
              <w:rPr>
                <w:rFonts w:ascii="宋体" w:hAnsi="宋体" w:cs="宋体" w:eastAsia="宋体" w:hint="default"/>
                <w:sz w:val="18"/>
                <w:szCs w:val="18"/>
              </w:rPr>
            </w:pPr>
            <w:r>
              <w:rPr>
                <w:rFonts w:ascii="宋体" w:hAnsi="宋体" w:cs="宋体" w:eastAsia="宋体" w:hint="default"/>
                <w:sz w:val="18"/>
                <w:szCs w:val="18"/>
              </w:rPr>
              <w:t>购买日至期</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5" w:right="0"/>
              <w:jc w:val="left"/>
              <w:rPr>
                <w:rFonts w:ascii="宋体" w:hAnsi="宋体" w:cs="宋体" w:eastAsia="宋体" w:hint="default"/>
                <w:sz w:val="18"/>
                <w:szCs w:val="18"/>
              </w:rPr>
            </w:pPr>
            <w:r>
              <w:rPr>
                <w:rFonts w:ascii="宋体" w:hAnsi="宋体" w:cs="宋体" w:eastAsia="宋体" w:hint="default"/>
                <w:sz w:val="18"/>
                <w:szCs w:val="18"/>
              </w:rPr>
              <w:t>购买日至期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5" w:right="0"/>
              <w:jc w:val="left"/>
              <w:rPr>
                <w:rFonts w:ascii="宋体" w:hAnsi="宋体" w:cs="宋体" w:eastAsia="宋体" w:hint="default"/>
                <w:sz w:val="18"/>
                <w:szCs w:val="18"/>
              </w:rPr>
            </w:pPr>
            <w:r>
              <w:rPr>
                <w:rFonts w:ascii="宋体" w:hAnsi="宋体" w:cs="宋体" w:eastAsia="宋体" w:hint="default"/>
                <w:sz w:val="18"/>
                <w:szCs w:val="18"/>
              </w:rPr>
              <w:t>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5" w:right="74" w:hanging="180"/>
              <w:jc w:val="left"/>
              <w:rPr>
                <w:rFonts w:ascii="宋体" w:hAnsi="宋体" w:cs="宋体" w:eastAsia="宋体" w:hint="default"/>
                <w:sz w:val="18"/>
                <w:szCs w:val="18"/>
              </w:rPr>
            </w:pPr>
            <w:r>
              <w:rPr>
                <w:rFonts w:ascii="宋体" w:hAnsi="宋体" w:cs="宋体" w:eastAsia="宋体" w:hint="default"/>
                <w:sz w:val="18"/>
                <w:szCs w:val="18"/>
              </w:rPr>
              <w:t>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65" w:right="63" w:hanging="90"/>
              <w:jc w:val="left"/>
              <w:rPr>
                <w:rFonts w:ascii="宋体" w:hAnsi="宋体" w:cs="宋体" w:eastAsia="宋体" w:hint="default"/>
                <w:sz w:val="18"/>
                <w:szCs w:val="18"/>
              </w:rPr>
            </w:pPr>
            <w:r>
              <w:rPr>
                <w:rFonts w:ascii="宋体" w:hAnsi="宋体" w:cs="宋体" w:eastAsia="宋体" w:hint="default"/>
                <w:sz w:val="18"/>
                <w:szCs w:val="18"/>
              </w:rPr>
              <w:t>末被购买方 的净利润</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both"/>
        <w:rPr>
          <w:b w:val="0"/>
          <w:bCs w:val="0"/>
        </w:rPr>
      </w:pPr>
      <w:bookmarkStart w:name="（2）合并成本及商誉" w:id="395"/>
      <w:bookmarkEnd w:id="39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6"/>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3）被购买方于购买日可辨认资产、负债" w:id="396"/>
      <w:bookmarkEnd w:id="39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spacing w:line="360" w:lineRule="auto" w:before="0"/>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397"/>
      <w:bookmarkEnd w:id="39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5"/>
          <w:szCs w:val="25"/>
        </w:rPr>
      </w:pPr>
    </w:p>
    <w:p>
      <w:pPr>
        <w:pStyle w:val="Heading4"/>
        <w:spacing w:line="240" w:lineRule="auto"/>
        <w:ind w:left="153" w:right="0"/>
        <w:jc w:val="both"/>
        <w:rPr>
          <w:b w:val="0"/>
          <w:bCs w:val="0"/>
        </w:rPr>
      </w:pPr>
      <w:bookmarkStart w:name="（5）购买日或合并当期期末无法合理确定合并对价或被购买方可辨认资产、负债公允价值" w:id="398"/>
      <w:bookmarkEnd w:id="39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6）其他说明" w:id="399"/>
      <w:bookmarkEnd w:id="399"/>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2、同一控制下企业合并" w:id="400"/>
      <w:bookmarkEnd w:id="400"/>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本期发生的同一控制下企业合并" w:id="401"/>
      <w:bookmarkEnd w:id="401"/>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2）合并成本" w:id="402"/>
      <w:bookmarkEnd w:id="402"/>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3）合并日被合并方资产、负债的账面价值" w:id="403"/>
      <w:bookmarkEnd w:id="403"/>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7513"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
        <w:rPr>
          <w:rFonts w:ascii="宋体" w:hAnsi="宋体" w:cs="宋体" w:eastAsia="宋体" w:hint="default"/>
          <w:sz w:val="20"/>
          <w:szCs w:val="20"/>
        </w:rPr>
      </w:pPr>
    </w:p>
    <w:p>
      <w:pPr>
        <w:pStyle w:val="Heading4"/>
        <w:spacing w:line="240" w:lineRule="auto"/>
        <w:ind w:left="153" w:right="0"/>
        <w:jc w:val="left"/>
        <w:rPr>
          <w:b w:val="0"/>
          <w:bCs w:val="0"/>
        </w:rPr>
      </w:pPr>
      <w:bookmarkStart w:name="3、反向购买" w:id="404"/>
      <w:bookmarkEnd w:id="404"/>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left="153" w:right="0"/>
        <w:jc w:val="left"/>
        <w:rPr>
          <w:b w:val="0"/>
          <w:bCs w:val="0"/>
        </w:rPr>
      </w:pPr>
      <w:bookmarkStart w:name="4、处置子公司" w:id="405"/>
      <w:bookmarkEnd w:id="405"/>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6"/>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其他原因的合并范围变动" w:id="406"/>
      <w:bookmarkEnd w:id="406"/>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53" w:right="8052" w:firstLine="0"/>
        <w:jc w:val="left"/>
        <w:rPr>
          <w:rFonts w:ascii="宋体" w:hAnsi="宋体" w:cs="宋体" w:eastAsia="宋体" w:hint="default"/>
          <w:sz w:val="21"/>
          <w:szCs w:val="21"/>
        </w:rPr>
      </w:pPr>
      <w:bookmarkStart w:name="6、其他" w:id="407"/>
      <w:bookmarkEnd w:id="40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8"/>
      <w:bookmarkEnd w:id="408"/>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9"/>
      <w:bookmarkEnd w:id="409"/>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left="153" w:right="0"/>
        <w:jc w:val="left"/>
        <w:rPr>
          <w:b w:val="0"/>
          <w:bCs w:val="0"/>
        </w:rPr>
      </w:pPr>
      <w:bookmarkStart w:name="（1）企业集团的构成" w:id="410"/>
      <w:bookmarkEnd w:id="41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line="360" w:lineRule="auto" w:before="51"/>
        <w:ind w:left="15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7"/>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2）重要的非全资子公司" w:id="411"/>
      <w:bookmarkEnd w:id="41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3" w:right="6433"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
        <w:rPr>
          <w:rFonts w:ascii="宋体" w:hAnsi="宋体" w:cs="宋体" w:eastAsia="宋体" w:hint="default"/>
          <w:sz w:val="20"/>
          <w:szCs w:val="20"/>
        </w:rPr>
      </w:pPr>
    </w:p>
    <w:p>
      <w:pPr>
        <w:pStyle w:val="Heading4"/>
        <w:spacing w:line="240" w:lineRule="auto"/>
        <w:ind w:left="153" w:right="0"/>
        <w:jc w:val="left"/>
        <w:rPr>
          <w:b w:val="0"/>
          <w:bCs w:val="0"/>
        </w:rPr>
      </w:pPr>
      <w:bookmarkStart w:name="（3）重要非全资子公司的主要财务信息" w:id="412"/>
      <w:bookmarkEnd w:id="41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4）使用企业集团资产和清偿企业集团债务的重大限制" w:id="413"/>
      <w:bookmarkEnd w:id="413"/>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5）向纳入合并财务报表范围的结构化主体提供的财务支持或其他支持" w:id="414"/>
      <w:bookmarkEnd w:id="414"/>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2、在子公司的所有者权益份额发生变化且仍控制子公司的交易" w:id="415"/>
      <w:bookmarkEnd w:id="41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416"/>
      <w:bookmarkEnd w:id="41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交易对于少数股东权益及归属于母公司所有者权益的影响" w:id="417"/>
      <w:bookmarkEnd w:id="41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418"/>
      <w:bookmarkEnd w:id="41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19"/>
      <w:bookmarkEnd w:id="41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要合营企业的主要财务信息" w:id="420"/>
      <w:bookmarkEnd w:id="420"/>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3）重要联营企业的主要财务信息" w:id="421"/>
      <w:bookmarkEnd w:id="421"/>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4）上重要的合营企业和联营企业的汇总财务信息" w:id="422"/>
      <w:bookmarkEnd w:id="422"/>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5）合营企业或联营企业向本公司转移资金的能力存在重大限制的说明" w:id="423"/>
      <w:bookmarkEnd w:id="423"/>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6）合营企业或联营企业发生的超额亏损" w:id="424"/>
      <w:bookmarkEnd w:id="424"/>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7）与合营企业投资相关的未确认承诺" w:id="425"/>
      <w:bookmarkEnd w:id="425"/>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8）与合营企业或联营企业投资相关的或有负债" w:id="426"/>
      <w:bookmarkEnd w:id="426"/>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4、重要的共同经营" w:id="427"/>
      <w:bookmarkEnd w:id="427"/>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1"/>
        <w:ind w:left="15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5、在未纳入合并财务报表范围的结构化主体中的权益" w:id="428"/>
      <w:bookmarkEnd w:id="428"/>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2"/>
        <w:spacing w:line="477" w:lineRule="auto" w:before="35"/>
        <w:ind w:left="153" w:right="7692"/>
        <w:jc w:val="left"/>
        <w:rPr>
          <w:b w:val="0"/>
          <w:bCs w:val="0"/>
        </w:rPr>
      </w:pPr>
      <w:bookmarkStart w:name="6、其他" w:id="429"/>
      <w:bookmarkEnd w:id="429"/>
      <w:r>
        <w:rPr>
          <w:b w:val="0"/>
          <w:bCs w:val="0"/>
        </w:rPr>
      </w: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bookmarkStart w:name="十、与金融工具相关的风险" w:id="430"/>
      <w:bookmarkEnd w:id="430"/>
      <w:r>
        <w:rPr>
          <w:spacing w:val="1"/>
          <w:w w:val="99"/>
          <w:sz w:val="21"/>
          <w:szCs w:val="21"/>
        </w:rPr>
      </w:r>
      <w:r>
        <w:rPr>
          <w:w w:val="95"/>
        </w:rPr>
        <w:t>十、与金融工具相关的风险</w:t>
      </w:r>
      <w:r>
        <w:rPr>
          <w:spacing w:val="18"/>
          <w:w w:val="95"/>
        </w:rPr>
        <w:t> </w:t>
      </w:r>
      <w:r>
        <w:rPr>
          <w:spacing w:val="18"/>
          <w:w w:val="95"/>
        </w:rPr>
      </w:r>
      <w:bookmarkStart w:name="十一、公允价值的披露" w:id="431"/>
      <w:bookmarkEnd w:id="431"/>
      <w:r>
        <w:rPr/>
        <w:t>十一、公允价值的披露</w:t>
      </w:r>
      <w:r>
        <w:rPr>
          <w:b w:val="0"/>
          <w:bCs w:val="0"/>
        </w:rPr>
      </w:r>
    </w:p>
    <w:p>
      <w:pPr>
        <w:pStyle w:val="Heading4"/>
        <w:spacing w:line="240" w:lineRule="auto" w:before="84"/>
        <w:ind w:left="153" w:right="0"/>
        <w:jc w:val="left"/>
        <w:rPr>
          <w:b w:val="0"/>
          <w:bCs w:val="0"/>
        </w:rPr>
      </w:pPr>
      <w:bookmarkStart w:name="1、以公允价值计量的资产和负债的期末公允价值" w:id="432"/>
      <w:bookmarkEnd w:id="43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持续和非持续第一层次公允价值计量项目市价的确定依据" w:id="433"/>
      <w:bookmarkEnd w:id="433"/>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持续和非持续第二层次公允价值计量项目，采用的估值技术和重要参数的定性及定量信" w:id="434"/>
      <w:bookmarkEnd w:id="434"/>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持续和非持续第三层次公允价值计量项目，采用的估值技术和重要参数的定性及定量信" w:id="435"/>
      <w:bookmarkEnd w:id="435"/>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上可观察参数" w:id="436"/>
      <w:bookmarkEnd w:id="436"/>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437"/>
      <w:bookmarkEnd w:id="437"/>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本期内发生的估值技术变更及变更原因" w:id="438"/>
      <w:bookmarkEnd w:id="438"/>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上以公允价值计量的金融资产和金融负债的公允价值情况" w:id="439"/>
      <w:bookmarkEnd w:id="439"/>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052" w:firstLine="0"/>
        <w:jc w:val="left"/>
        <w:rPr>
          <w:rFonts w:ascii="宋体" w:hAnsi="宋体" w:cs="宋体" w:eastAsia="宋体" w:hint="default"/>
          <w:sz w:val="21"/>
          <w:szCs w:val="21"/>
        </w:rPr>
      </w:pPr>
      <w:bookmarkStart w:name="9、其他" w:id="440"/>
      <w:bookmarkEnd w:id="440"/>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1"/>
      <w:bookmarkEnd w:id="44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2"/>
      <w:bookmarkEnd w:id="442"/>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60" w:lineRule="auto" w:before="51"/>
        <w:ind w:left="154" w:right="859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 其他说明：</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2、本企业的子公司情况" w:id="443"/>
      <w:bookmarkEnd w:id="443"/>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3、本企业合营和联营企业情况" w:id="444"/>
      <w:bookmarkEnd w:id="444"/>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4、其他关联方情况" w:id="445"/>
      <w:bookmarkEnd w:id="44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控股股东之妹，对公司持股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控股股东之弟，对公司持股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金敏燕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控股股东之女，对公司持股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控股股东之子，对公司持股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浙江宏磊控股集团有限公司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受控股股东戚建萍控制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浙江宏磊东南房地产开发有限公司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受控股股东戚建萍控制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遵义宏磊房地产开发有限公司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受控股股东戚建萍控制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浙江宏森园林建设有限公司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受控股股东戚建萍控制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浙江诸暨东都房地产开发有限公司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受控股股东戚建萍控制</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5、关联交易情况" w:id="446"/>
      <w:bookmarkEnd w:id="44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447"/>
      <w:bookmarkEnd w:id="44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关联受托管理/承包及委托管理/出包情况" w:id="448"/>
      <w:bookmarkEnd w:id="448"/>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338" w:lineRule="auto" w:before="52"/>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5" w:space="628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关联租赁情况" w:id="449"/>
      <w:bookmarkEnd w:id="449"/>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关联担保情况" w:id="450"/>
      <w:bookmarkEnd w:id="450"/>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浙江大东南集团有限公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浙江大东南集团有限公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浙江宏磊东南房产开发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浙江宏磊东南房产开发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浙江宏磊东南房产开发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7"/>
              <w:jc w:val="center"/>
              <w:rPr>
                <w:rFonts w:ascii="宋体" w:hAnsi="宋体" w:cs="宋体" w:eastAsia="宋体" w:hint="default"/>
                <w:sz w:val="18"/>
                <w:szCs w:val="18"/>
              </w:rPr>
            </w:pPr>
            <w:r>
              <w:rPr>
                <w:rFonts w:ascii="宋体" w:hAnsi="宋体" w:cs="宋体" w:eastAsia="宋体" w:hint="default"/>
                <w:sz w:val="18"/>
                <w:szCs w:val="18"/>
              </w:rPr>
              <w:t>浙江宏磊东南房产开发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浙江宏磊东南房产开发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浙江宏磊东南房产开发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浙江宏磊东南房产开发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戚建萍、金磊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戚建萍、金磊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戚建萍、金磊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戚建萍、金磊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戚建萍、金磊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戚建萍、金磊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浙江宏磊控股集团有限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浙江宏磊控股集团有限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浙江宏磊控股集团有限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浙江宏磊控股集团有限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浙江宏磊控股集团有限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戚建萍、金磊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戚建萍、金磊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戚建萍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1,164,508,000.00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56" w:lineRule="auto" w:before="90"/>
        <w:ind w:left="154" w:right="0" w:firstLine="420"/>
        <w:jc w:val="left"/>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1]</w:t>
      </w:r>
      <w:r>
        <w:rPr>
          <w:spacing w:val="-2"/>
        </w:rPr>
        <w:t>同时由子公司江西宏磊铜业有限公司以其拥有的房屋建筑物及土地使用权提供抵押担保，并由浙</w:t>
      </w:r>
      <w:r>
        <w:rPr>
          <w:w w:val="99"/>
        </w:rPr>
        <w:t> </w:t>
      </w:r>
      <w:r>
        <w:rPr/>
        <w:t>江洁丽雅纺织集团有限公司及浙江科鑫机械有限公司提供保证担保。</w:t>
      </w:r>
    </w:p>
    <w:p>
      <w:pPr>
        <w:pStyle w:val="BodyText"/>
        <w:spacing w:line="256" w:lineRule="auto" w:before="22"/>
        <w:ind w:left="154" w:right="0" w:firstLine="420"/>
        <w:jc w:val="left"/>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2]</w:t>
      </w:r>
      <w:r>
        <w:rPr>
          <w:spacing w:val="-2"/>
        </w:rPr>
        <w:t>同时由子公司浙江宏天铜业有限公司以其拥有的土地使用权提供抵押担保，并由浙江瑞远机床有</w:t>
      </w:r>
      <w:r>
        <w:rPr>
          <w:w w:val="99"/>
        </w:rPr>
        <w:t> </w:t>
      </w:r>
      <w:r>
        <w:rPr/>
        <w:t>限公司提供保证担保。</w:t>
      </w:r>
    </w:p>
    <w:p>
      <w:pPr>
        <w:pStyle w:val="BodyText"/>
        <w:spacing w:line="256" w:lineRule="auto" w:before="22"/>
        <w:ind w:left="573" w:right="1688"/>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3]</w:t>
      </w:r>
      <w:r>
        <w:rPr/>
        <w:t>同时由子公司江西宏磊铜业有限公司以其拥有的房屋建筑物及土地使用权提供抵押担保。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4]</w:t>
      </w:r>
      <w:r>
        <w:rPr/>
        <w:t>同时由浙江瑞远机床有限公司提供保证担保。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5]</w:t>
      </w:r>
      <w:r>
        <w:rPr/>
        <w:t>同时由子公司江西宏磊铜业有限公司以其拥有的房屋建筑物及土地使用权提供抵押担保。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6]</w:t>
      </w:r>
      <w:r>
        <w:rPr/>
        <w:t>同时由本公司以拥有的土地使用权提供最高额抵押担保。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7]</w:t>
      </w:r>
      <w:r>
        <w:rPr/>
        <w:t>同时由浙江大东南集团有限公司提供保证担保。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8]</w:t>
      </w:r>
      <w:r>
        <w:rPr/>
        <w:t>同时由浙江大东南集团有限公司提供保证担保。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9]</w:t>
      </w:r>
      <w:r>
        <w:rPr/>
        <w:t>同时由浙江大东南集团有限公司提供保证担保。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10]</w:t>
      </w:r>
      <w:r>
        <w:rPr/>
        <w:t>同时由浙江东方环保设备有限公司提供保证担保。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11]</w:t>
      </w:r>
      <w:r>
        <w:rPr/>
        <w:t>同时由浙江中兴人防设备有限公司提供保证担保。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12]</w:t>
      </w:r>
      <w:r>
        <w:rPr/>
        <w:t>同时由浙江大东南集团有限公司提供保证担保。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13]</w:t>
      </w:r>
      <w:r>
        <w:rPr/>
        <w:t>同时由本公司以拥有的土地使用权提供最高额抵押担保。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14]</w:t>
      </w:r>
      <w:r>
        <w:rPr/>
        <w:t>同时由本公司以拥有的土地使用权提供最高额抵押担保。</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73"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15]</w:t>
      </w:r>
      <w:r>
        <w:rPr/>
        <w:t>同时由本公司以拥有的土地使用权提供最高额抵押担保。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16]</w:t>
      </w:r>
      <w:r>
        <w:rPr/>
        <w:t>同时由浙江大东南集团有限公司提供保证担保。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17]</w:t>
      </w:r>
      <w:r>
        <w:rPr/>
        <w:t>同时由遵义宏磊房地产开发有限公司以其拥有的土地使用权提供抵押担保。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18]</w:t>
      </w:r>
      <w:r>
        <w:rPr/>
        <w:t>同时由遵义宏磊房地产开发有限公司以其拥有的土地使用权提供抵押担保。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19]</w:t>
      </w:r>
      <w:r>
        <w:rPr/>
        <w:t>同时由遵义宏磊房地产开发有限公司以其拥有的土地使用权提供抵押担保。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20]</w:t>
      </w:r>
      <w:r>
        <w:rPr/>
        <w:t>同时由浙江省诸暨市宏磊建材厂以其拥有的土地使用权提供抵押担保。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21]</w:t>
      </w:r>
      <w:r>
        <w:rPr/>
        <w:t>同时由遵义宏磊房地产开发有限公司以其拥有的土地使用权提供抵押担保。</w:t>
      </w:r>
      <w:r>
        <w:rPr>
          <w:w w:val="99"/>
        </w:rPr>
        <w:t> </w:t>
      </w: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22]</w:t>
      </w:r>
      <w:r>
        <w:rPr>
          <w:spacing w:val="-2"/>
        </w:rPr>
        <w:t>同时由金磊以其拥有的房屋建筑物产权提供抵押担保，由戚建生以其拥有本公司的</w:t>
      </w:r>
      <w:r>
        <w:rPr>
          <w:rFonts w:ascii="Times New Roman" w:hAnsi="Times New Roman" w:cs="Times New Roman" w:eastAsia="Times New Roman" w:hint="default"/>
          <w:spacing w:val="-2"/>
        </w:rPr>
        <w:t>100</w:t>
      </w:r>
      <w:r>
        <w:rPr>
          <w:spacing w:val="-2"/>
        </w:rPr>
        <w:t>万股份提</w:t>
      </w:r>
    </w:p>
    <w:p>
      <w:pPr>
        <w:pStyle w:val="BodyText"/>
        <w:spacing w:line="259" w:lineRule="auto" w:before="5"/>
        <w:ind w:left="573" w:right="1163" w:hanging="420"/>
        <w:jc w:val="left"/>
      </w:pPr>
      <w:r>
        <w:rPr/>
        <w:t>供质押担保，并由浙江洁丽雅纺织集团有限公司提供保证担保。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23]</w:t>
      </w:r>
      <w:r>
        <w:rPr/>
        <w:t>同时由本公司以拥有的存货提供质押担保，并由子公司江西宏磊铜业有限公司提供保证担保。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24]</w:t>
      </w:r>
      <w:r>
        <w:rPr/>
        <w:t>同时由本公司以拥有的存货提供质押担保，并由子公司江西宏磊铜业有限公司提供保证担保。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25]</w:t>
      </w:r>
      <w:r>
        <w:rPr/>
        <w:t>同时由本公司以拥有的存货提供质押担保，并由子公司江西宏磊铜业有限公司提供保证担保。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26]</w:t>
      </w:r>
      <w:r>
        <w:rPr/>
        <w:t>同时由本公司以拥有的存货提供质押担保，并由子公司江西宏磊铜业有限公司提供保证担保。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27]</w:t>
      </w:r>
      <w:r>
        <w:rPr/>
        <w:t>同时由本公司以拥有的土地使用权提供最高额抵押担保。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28]</w:t>
      </w:r>
      <w:r>
        <w:rPr/>
        <w:t>同时由浙江大东南集团有限公司提供保证担保。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29]</w:t>
      </w:r>
      <w:r>
        <w:rPr/>
        <w:t>由本公司及浙江宏磊控股集团有限公司提供</w:t>
      </w:r>
      <w:r>
        <w:rPr>
          <w:rFonts w:ascii="Times New Roman" w:hAnsi="Times New Roman" w:cs="Times New Roman" w:eastAsia="Times New Roman" w:hint="default"/>
        </w:rPr>
        <w:t>4300</w:t>
      </w:r>
      <w:r>
        <w:rPr/>
        <w:t>万元保证担保。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30]</w:t>
      </w:r>
      <w:r>
        <w:rPr/>
        <w:t>同时由本公司及浙江宏磊控股集团有限公司提供</w:t>
      </w:r>
      <w:r>
        <w:rPr>
          <w:rFonts w:ascii="Times New Roman" w:hAnsi="Times New Roman" w:cs="Times New Roman" w:eastAsia="Times New Roman" w:hint="default"/>
        </w:rPr>
        <w:t>5000</w:t>
      </w:r>
      <w:r>
        <w:rPr/>
        <w:t>万元保证担保。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31]</w:t>
      </w:r>
      <w:r>
        <w:rPr/>
        <w:t>同时由本公司以拥有的房屋建筑物及土地使用权提供抵押担保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32]</w:t>
      </w:r>
      <w:r>
        <w:rPr/>
        <w:t>由金磊以其拥有的房屋建筑物产权提供抵押担保。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33]</w:t>
      </w:r>
      <w:r>
        <w:rPr/>
        <w:t>由金磊以其拥有的房屋建筑物产权提供抵押担保。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34]</w:t>
      </w:r>
      <w:r>
        <w:rPr/>
        <w:t>由戚建萍以其拥有的房屋建筑物产权提供抵押担保。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35]</w:t>
      </w:r>
      <w:r>
        <w:rPr/>
        <w:t>同时由遵义宏磊房地产开发有限公司以其拥有的土地使用权提供抵押担保。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36]</w:t>
      </w:r>
      <w:r>
        <w:rPr/>
        <w:t>同时由遵义宏磊房地产开发有限公司以其拥有的土地使用权提供抵押担保。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37]</w:t>
      </w:r>
      <w:r>
        <w:rPr/>
        <w:t>同时由本公司、浙江宏磊控股集团有限公司提供保证担保。</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6"/>
          <w:szCs w:val="26"/>
        </w:rPr>
      </w:pPr>
    </w:p>
    <w:p>
      <w:pPr>
        <w:pStyle w:val="Heading4"/>
        <w:spacing w:line="240" w:lineRule="auto"/>
        <w:ind w:left="153" w:right="0"/>
        <w:jc w:val="left"/>
        <w:rPr>
          <w:b w:val="0"/>
          <w:bCs w:val="0"/>
        </w:rPr>
      </w:pPr>
      <w:bookmarkStart w:name="（5）关联方资金拆借" w:id="451"/>
      <w:bookmarkEnd w:id="451"/>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浙江宏磊东南房地产开 发有限公司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浙江诸暨东都房地产开 发有限公司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8"/>
              <w:jc w:val="left"/>
              <w:rPr>
                <w:rFonts w:ascii="宋体" w:hAnsi="宋体" w:cs="宋体" w:eastAsia="宋体" w:hint="default"/>
                <w:sz w:val="18"/>
                <w:szCs w:val="18"/>
              </w:rPr>
            </w:pPr>
            <w:r>
              <w:rPr>
                <w:rFonts w:ascii="宋体" w:hAnsi="宋体" w:cs="宋体" w:eastAsia="宋体" w:hint="default"/>
                <w:sz w:val="18"/>
                <w:szCs w:val="18"/>
              </w:rPr>
              <w:t>浙江宏森园林建设有限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浙江宏磊控股集团有限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104,831,301.02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关联方资产转让、债务重组情况" w:id="452"/>
      <w:bookmarkEnd w:id="452"/>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7）关键管理人员报酬" w:id="453"/>
      <w:bookmarkEnd w:id="453"/>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关键管理人员人数报酬总额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1,373,300.00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其他关联交易" w:id="454"/>
      <w:bookmarkEnd w:id="454"/>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关联方应收应付款项" w:id="455"/>
      <w:bookmarkEnd w:id="45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456"/>
      <w:bookmarkEnd w:id="45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457"/>
      <w:bookmarkEnd w:id="45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458"/>
      <w:bookmarkEnd w:id="458"/>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59"/>
      <w:bookmarkEnd w:id="45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0"/>
      <w:bookmarkEnd w:id="460"/>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1"/>
      <w:bookmarkEnd w:id="46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以权益结算的股份支付情况" w:id="462"/>
      <w:bookmarkEnd w:id="46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3、以现金结算的股份支付情况" w:id="463"/>
      <w:bookmarkEnd w:id="46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股份支付的修改、终止情况" w:id="464"/>
      <w:bookmarkEnd w:id="464"/>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052" w:firstLine="0"/>
        <w:jc w:val="left"/>
        <w:rPr>
          <w:rFonts w:ascii="宋体" w:hAnsi="宋体" w:cs="宋体" w:eastAsia="宋体" w:hint="default"/>
          <w:sz w:val="21"/>
          <w:szCs w:val="21"/>
        </w:rPr>
      </w:pPr>
      <w:bookmarkStart w:name="5、其他" w:id="465"/>
      <w:bookmarkEnd w:id="46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6"/>
      <w:bookmarkEnd w:id="46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67"/>
      <w:bookmarkEnd w:id="467"/>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或有事项" w:id="468"/>
      <w:bookmarkEnd w:id="46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469"/>
      <w:bookmarkEnd w:id="46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公司没有需要披露的重要或有事项，也应予以说明" w:id="470"/>
      <w:bookmarkEnd w:id="47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3" w:right="7692" w:firstLine="0"/>
        <w:jc w:val="left"/>
        <w:rPr>
          <w:rFonts w:ascii="宋体" w:hAnsi="宋体" w:cs="宋体" w:eastAsia="宋体" w:hint="default"/>
          <w:sz w:val="21"/>
          <w:szCs w:val="21"/>
        </w:rPr>
      </w:pPr>
      <w:bookmarkStart w:name="3、其他" w:id="471"/>
      <w:bookmarkEnd w:id="47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2"/>
      <w:bookmarkEnd w:id="47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3"/>
      <w:bookmarkEnd w:id="473"/>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利润分配情况" w:id="474"/>
      <w:bookmarkEnd w:id="47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3、销售退回" w:id="475"/>
      <w:bookmarkEnd w:id="475"/>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7696" w:firstLine="0"/>
        <w:jc w:val="left"/>
        <w:rPr>
          <w:rFonts w:ascii="宋体" w:hAnsi="宋体" w:cs="宋体" w:eastAsia="宋体" w:hint="default"/>
          <w:sz w:val="21"/>
          <w:szCs w:val="21"/>
        </w:rPr>
      </w:pPr>
      <w:bookmarkStart w:name="4、其他资产负债表日后事项说明" w:id="476"/>
      <w:bookmarkEnd w:id="47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77"/>
      <w:bookmarkEnd w:id="477"/>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78"/>
      <w:bookmarkEnd w:id="47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3"/>
        <w:ind w:left="153" w:right="0"/>
        <w:jc w:val="left"/>
        <w:rPr>
          <w:b w:val="0"/>
          <w:bCs w:val="0"/>
        </w:rPr>
      </w:pPr>
      <w:bookmarkStart w:name="（1）追溯重述法" w:id="479"/>
      <w:bookmarkEnd w:id="479"/>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来适用法" w:id="480"/>
      <w:bookmarkEnd w:id="480"/>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债务重组" w:id="481"/>
      <w:bookmarkEnd w:id="481"/>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482"/>
      <w:bookmarkEnd w:id="482"/>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83"/>
      <w:bookmarkEnd w:id="483"/>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其他资产置换" w:id="484"/>
      <w:bookmarkEnd w:id="484"/>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485"/>
      <w:bookmarkEnd w:id="485"/>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486"/>
      <w:bookmarkEnd w:id="486"/>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6、分部信息" w:id="487"/>
      <w:bookmarkEnd w:id="487"/>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分部的确定依据与会计政策" w:id="488"/>
      <w:bookmarkEnd w:id="488"/>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2）报告分部的财务信息" w:id="489"/>
      <w:bookmarkEnd w:id="48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3）公司无报告分部的，或者上能披露各报告分部的资产总额和负债总额的，应说明原因" w:id="490"/>
      <w:bookmarkEnd w:id="490"/>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4）其他说明" w:id="491"/>
      <w:bookmarkEnd w:id="491"/>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7、其他对投资者决策有影响的重要交易和事项" w:id="492"/>
      <w:bookmarkEnd w:id="492"/>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6433" w:firstLine="0"/>
        <w:jc w:val="left"/>
        <w:rPr>
          <w:rFonts w:ascii="宋体" w:hAnsi="宋体" w:cs="宋体" w:eastAsia="宋体" w:hint="default"/>
          <w:sz w:val="21"/>
          <w:szCs w:val="21"/>
        </w:rPr>
      </w:pPr>
      <w:bookmarkStart w:name="8、其他" w:id="493"/>
      <w:bookmarkEnd w:id="49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4"/>
      <w:bookmarkEnd w:id="49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95"/>
      <w:bookmarkEnd w:id="495"/>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left="153" w:right="0"/>
        <w:jc w:val="left"/>
        <w:rPr>
          <w:b w:val="0"/>
          <w:bCs w:val="0"/>
        </w:rPr>
      </w:pPr>
      <w:bookmarkStart w:name="（1）应收账款分类披露" w:id="496"/>
      <w:bookmarkEnd w:id="49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605,211,</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005.04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20,439,3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84.01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584,771,6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21.03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445,182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,931.54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14,930,91</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2.93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430,252,01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8.61</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605,211,</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005.04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20,439,3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84.01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3.38%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584,771,6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21.03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445,182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,931.54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14,930,91</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2.93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3.35%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430,252,01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8.61</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57" w:lineRule="auto" w:before="117"/>
        <w:ind w:left="15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9"/>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595,312,192.17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17,859,365.77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98.36%</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6,923,829.20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692,382.92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984,703.23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295,410.97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1,990,280.44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1,592,224.35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605,211,005.04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20,439,384.01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60" w:lineRule="auto" w:before="26"/>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本期计提、收回或转回的坏账准备情况" w:id="497"/>
      <w:bookmarkEnd w:id="49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015" w:space="38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实际核销的应收账款情况" w:id="498"/>
      <w:bookmarkEnd w:id="49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按欠款方归集的期末余额前五吊的应收账款情况" w:id="499"/>
      <w:bookmarkEnd w:id="49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383" w:type="dxa"/>
        <w:tblLayout w:type="fixed"/>
        <w:tblCellMar>
          <w:top w:w="0" w:type="dxa"/>
          <w:left w:w="0" w:type="dxa"/>
          <w:bottom w:w="0" w:type="dxa"/>
          <w:right w:w="0" w:type="dxa"/>
        </w:tblCellMar>
        <w:tblLook w:val="01E0"/>
      </w:tblPr>
      <w:tblGrid>
        <w:gridCol w:w="2124"/>
        <w:gridCol w:w="2510"/>
        <w:gridCol w:w="1665"/>
        <w:gridCol w:w="997"/>
        <w:gridCol w:w="1514"/>
      </w:tblGrid>
      <w:tr>
        <w:trPr>
          <w:trHeight w:val="573"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10" w:type="dxa"/>
            <w:tcBorders>
              <w:top w:val="nil" w:sz="6" w:space="0" w:color="auto"/>
              <w:left w:val="nil" w:sz="6" w:space="0" w:color="auto"/>
              <w:bottom w:val="nil" w:sz="6" w:space="0" w:color="auto"/>
              <w:right w:val="nil" w:sz="6" w:space="0" w:color="auto"/>
            </w:tcBorders>
          </w:tcPr>
          <w:p>
            <w:pPr>
              <w:pStyle w:val="TableParagraph"/>
              <w:spacing w:line="180" w:lineRule="exact"/>
              <w:ind w:right="225"/>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665" w:type="dxa"/>
            <w:tcBorders>
              <w:top w:val="nil" w:sz="6" w:space="0" w:color="auto"/>
              <w:left w:val="nil" w:sz="6" w:space="0" w:color="auto"/>
              <w:bottom w:val="nil" w:sz="6" w:space="0" w:color="auto"/>
              <w:right w:val="nil" w:sz="6" w:space="0" w:color="auto"/>
            </w:tcBorders>
          </w:tcPr>
          <w:p>
            <w:pPr>
              <w:pStyle w:val="TableParagraph"/>
              <w:spacing w:line="180" w:lineRule="exact"/>
              <w:ind w:right="312"/>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997"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宋体" w:hAnsi="宋体" w:cs="宋体" w:eastAsia="宋体" w:hint="default"/>
                <w:sz w:val="18"/>
                <w:szCs w:val="18"/>
              </w:rPr>
            </w:pPr>
            <w:r>
              <w:rPr>
                <w:rFonts w:ascii="宋体" w:hAnsi="宋体" w:cs="宋体" w:eastAsia="宋体" w:hint="default"/>
                <w:sz w:val="18"/>
                <w:szCs w:val="18"/>
              </w:rPr>
              <w:t>账龄</w:t>
            </w:r>
          </w:p>
        </w:tc>
        <w:tc>
          <w:tcPr>
            <w:tcW w:w="1514" w:type="dxa"/>
            <w:tcBorders>
              <w:top w:val="nil" w:sz="6" w:space="0" w:color="auto"/>
              <w:left w:val="nil" w:sz="6" w:space="0" w:color="auto"/>
              <w:bottom w:val="nil" w:sz="6" w:space="0" w:color="auto"/>
              <w:right w:val="nil" w:sz="6" w:space="0" w:color="auto"/>
            </w:tcBorders>
          </w:tcPr>
          <w:p>
            <w:pPr>
              <w:pStyle w:val="TableParagraph"/>
              <w:spacing w:line="180" w:lineRule="exact"/>
              <w:ind w:left="52" w:right="0"/>
              <w:jc w:val="left"/>
              <w:rPr>
                <w:rFonts w:ascii="宋体" w:hAnsi="宋体" w:cs="宋体" w:eastAsia="宋体" w:hint="default"/>
                <w:sz w:val="18"/>
                <w:szCs w:val="18"/>
              </w:rPr>
            </w:pPr>
            <w:r>
              <w:rPr>
                <w:rFonts w:ascii="宋体" w:hAnsi="宋体" w:cs="宋体" w:eastAsia="宋体" w:hint="default"/>
                <w:sz w:val="18"/>
                <w:szCs w:val="18"/>
              </w:rPr>
              <w:t>占应收账款总额</w:t>
            </w:r>
          </w:p>
          <w:p>
            <w:pPr>
              <w:pStyle w:val="TableParagraph"/>
              <w:spacing w:line="240" w:lineRule="auto" w:before="76"/>
              <w:ind w:left="5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p>
        </w:tc>
      </w:tr>
      <w:tr>
        <w:trPr>
          <w:trHeight w:val="332"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2"/>
              <w:jc w:val="right"/>
              <w:rPr>
                <w:rFonts w:ascii="Times New Roman" w:hAnsi="Times New Roman" w:cs="Times New Roman" w:eastAsia="Times New Roman" w:hint="default"/>
                <w:sz w:val="18"/>
                <w:szCs w:val="18"/>
              </w:rPr>
            </w:pPr>
            <w:r>
              <w:rPr>
                <w:rFonts w:ascii="Times New Roman"/>
                <w:spacing w:val="-1"/>
                <w:sz w:val="18"/>
              </w:rPr>
              <w:t>218,025,000.00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Times New Roman" w:hAnsi="Times New Roman" w:cs="Times New Roman" w:eastAsia="Times New Roman" w:hint="default"/>
                <w:sz w:val="18"/>
                <w:szCs w:val="18"/>
              </w:rPr>
            </w:pPr>
            <w:r>
              <w:rPr>
                <w:rFonts w:ascii="Times New Roman"/>
                <w:sz w:val="18"/>
              </w:rPr>
              <w:t>36.02</w:t>
            </w:r>
          </w:p>
        </w:tc>
      </w:tr>
      <w:tr>
        <w:trPr>
          <w:trHeight w:val="332"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2"/>
              <w:jc w:val="right"/>
              <w:rPr>
                <w:rFonts w:ascii="Times New Roman" w:hAnsi="Times New Roman" w:cs="Times New Roman" w:eastAsia="Times New Roman" w:hint="default"/>
                <w:sz w:val="18"/>
                <w:szCs w:val="18"/>
              </w:rPr>
            </w:pPr>
            <w:r>
              <w:rPr>
                <w:rFonts w:ascii="Times New Roman"/>
                <w:spacing w:val="-1"/>
                <w:sz w:val="18"/>
              </w:rPr>
              <w:t>173,007,359.06</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Times New Roman" w:hAnsi="Times New Roman" w:cs="Times New Roman" w:eastAsia="Times New Roman" w:hint="default"/>
                <w:sz w:val="18"/>
                <w:szCs w:val="18"/>
              </w:rPr>
            </w:pPr>
            <w:r>
              <w:rPr>
                <w:rFonts w:ascii="Times New Roman"/>
                <w:sz w:val="18"/>
              </w:rPr>
              <w:t>28.59</w:t>
            </w:r>
          </w:p>
        </w:tc>
      </w:tr>
      <w:tr>
        <w:trPr>
          <w:trHeight w:val="332"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2"/>
              <w:jc w:val="right"/>
              <w:rPr>
                <w:rFonts w:ascii="Times New Roman" w:hAnsi="Times New Roman" w:cs="Times New Roman" w:eastAsia="Times New Roman" w:hint="default"/>
                <w:sz w:val="18"/>
                <w:szCs w:val="18"/>
              </w:rPr>
            </w:pPr>
            <w:r>
              <w:rPr>
                <w:rFonts w:ascii="Times New Roman"/>
                <w:spacing w:val="-1"/>
                <w:sz w:val="18"/>
              </w:rPr>
              <w:t>99,277,499.99</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Times New Roman" w:hAnsi="Times New Roman" w:cs="Times New Roman" w:eastAsia="Times New Roman" w:hint="default"/>
                <w:sz w:val="18"/>
                <w:szCs w:val="18"/>
              </w:rPr>
            </w:pPr>
            <w:r>
              <w:rPr>
                <w:rFonts w:ascii="Times New Roman"/>
                <w:sz w:val="18"/>
              </w:rPr>
              <w:t>16.40</w:t>
            </w:r>
          </w:p>
        </w:tc>
      </w:tr>
      <w:tr>
        <w:trPr>
          <w:trHeight w:val="488"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MS Gothic" w:hAnsi="MS Gothic" w:cs="MS Gothic" w:eastAsia="MS Gothic" w:hint="default"/>
                <w:sz w:val="18"/>
                <w:szCs w:val="18"/>
              </w:rPr>
            </w:pPr>
            <w:r>
              <w:rPr>
                <w:rFonts w:ascii="MS Gothic" w:hAnsi="MS Gothic" w:cs="MS Gothic" w:eastAsia="MS Gothic" w:hint="default"/>
                <w:sz w:val="18"/>
                <w:szCs w:val="18"/>
              </w:rPr>
              <w:t>ｿｻﾋ</w:t>
            </w:r>
          </w:p>
        </w:tc>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2"/>
              <w:jc w:val="right"/>
              <w:rPr>
                <w:rFonts w:ascii="Times New Roman" w:hAnsi="Times New Roman" w:cs="Times New Roman" w:eastAsia="Times New Roman" w:hint="default"/>
                <w:sz w:val="18"/>
                <w:szCs w:val="18"/>
              </w:rPr>
            </w:pPr>
            <w:r>
              <w:rPr>
                <w:rFonts w:ascii="Times New Roman"/>
                <w:spacing w:val="-1"/>
                <w:sz w:val="18"/>
              </w:rPr>
              <w:t>29,925,000.00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Times New Roman" w:hAnsi="Times New Roman" w:cs="Times New Roman" w:eastAsia="Times New Roman" w:hint="default"/>
                <w:sz w:val="18"/>
                <w:szCs w:val="18"/>
              </w:rPr>
            </w:pPr>
            <w:r>
              <w:rPr>
                <w:rFonts w:ascii="Times New Roman"/>
                <w:sz w:val="18"/>
              </w:rPr>
              <w:t>4.94</w:t>
            </w:r>
          </w:p>
        </w:tc>
      </w:tr>
      <w:tr>
        <w:trPr>
          <w:trHeight w:val="488"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00" w:right="0"/>
              <w:jc w:val="left"/>
              <w:rPr>
                <w:rFonts w:ascii="MS Gothic" w:hAnsi="MS Gothic" w:cs="MS Gothic" w:eastAsia="MS Gothic" w:hint="default"/>
                <w:sz w:val="18"/>
                <w:szCs w:val="18"/>
              </w:rPr>
            </w:pPr>
            <w:r>
              <w:rPr>
                <w:rFonts w:ascii="MS Gothic" w:hAnsi="MS Gothic" w:cs="MS Gothic" w:eastAsia="MS Gothic" w:hint="default"/>
                <w:sz w:val="18"/>
                <w:szCs w:val="18"/>
              </w:rPr>
              <w:t>ｿｻﾎ</w:t>
            </w:r>
          </w:p>
        </w:tc>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312"/>
              <w:jc w:val="right"/>
              <w:rPr>
                <w:rFonts w:ascii="Times New Roman" w:hAnsi="Times New Roman" w:cs="Times New Roman" w:eastAsia="Times New Roman" w:hint="default"/>
                <w:sz w:val="18"/>
                <w:szCs w:val="18"/>
              </w:rPr>
            </w:pPr>
            <w:r>
              <w:rPr>
                <w:rFonts w:ascii="Times New Roman"/>
                <w:spacing w:val="-1"/>
                <w:sz w:val="18"/>
              </w:rPr>
              <w:t>19,000,000.00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5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98"/>
              <w:jc w:val="right"/>
              <w:rPr>
                <w:rFonts w:ascii="Times New Roman" w:hAnsi="Times New Roman" w:cs="Times New Roman" w:eastAsia="Times New Roman" w:hint="default"/>
                <w:sz w:val="18"/>
                <w:szCs w:val="18"/>
              </w:rPr>
            </w:pPr>
            <w:r>
              <w:rPr>
                <w:rFonts w:ascii="Times New Roman"/>
                <w:sz w:val="18"/>
              </w:rPr>
              <w:t>3.14</w:t>
            </w:r>
          </w:p>
        </w:tc>
      </w:tr>
      <w:tr>
        <w:trPr>
          <w:trHeight w:val="259"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510" w:type="dxa"/>
            <w:tcBorders>
              <w:top w:val="nil" w:sz="6" w:space="0" w:color="auto"/>
              <w:left w:val="nil" w:sz="6" w:space="0" w:color="auto"/>
              <w:bottom w:val="nil" w:sz="6" w:space="0" w:color="auto"/>
              <w:right w:val="nil" w:sz="6" w:space="0" w:color="auto"/>
            </w:tcBorders>
          </w:tcPr>
          <w:p>
            <w:pP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539,234,859.05</w:t>
            </w:r>
            <w:r>
              <w:rPr>
                <w:rFonts w:ascii="Times New Roman"/>
                <w:spacing w:val="-1"/>
                <w:sz w:val="18"/>
              </w:rPr>
            </w:r>
          </w:p>
        </w:tc>
        <w:tc>
          <w:tcPr>
            <w:tcW w:w="997"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89.09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left="153" w:right="0"/>
        <w:jc w:val="left"/>
        <w:rPr>
          <w:b w:val="0"/>
          <w:bCs w:val="0"/>
        </w:rPr>
      </w:pPr>
      <w:bookmarkStart w:name="（5）因金融资产转移而终止确认的应收账款" w:id="500"/>
      <w:bookmarkEnd w:id="50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6）转移应收账款且继续涉入形成的资产、负债金额" w:id="501"/>
      <w:bookmarkEnd w:id="50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2、其他应收款" w:id="502"/>
      <w:bookmarkEnd w:id="50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其他应收款分类披露" w:id="503"/>
      <w:bookmarkEnd w:id="50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27,405,8</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87.00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857,176.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26,548,71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0.39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151,445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,184.59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5,033,775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146,411,40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9.05</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27,405,8</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87.00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857,176.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3.13%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26,548,71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0.39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151,445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,184.59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5,033,775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3.32%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146,411,40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9.05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26,905,887.00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807,176.61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98.18%</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27,405,887.00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857,176.61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本期计提、收回或转回的坏账准备情况" w:id="504"/>
      <w:bookmarkEnd w:id="50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本期实际核销的其他应收款情况" w:id="505"/>
      <w:bookmarkEnd w:id="50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应收款按款项性质分类情况" w:id="506"/>
      <w:bookmarkEnd w:id="50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27,405,887.00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151,445,184.59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27,405,887.00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151,445,184.59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按欠款方归集的期末余额前五吊的其他应收款情况" w:id="507"/>
      <w:bookmarkEnd w:id="50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诸暨市财务开发公司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浙江神鹰集团诸暨休 闲服饰有限公司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浙江科鑫机械制造有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罗中平</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赵旦</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27,220,000.00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99.32%</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涉及政府补助的应收款项" w:id="508"/>
      <w:bookmarkEnd w:id="50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402"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6" w:right="0"/>
              <w:jc w:val="left"/>
              <w:rPr>
                <w:rFonts w:ascii="宋体" w:hAnsi="宋体" w:cs="宋体" w:eastAsia="宋体" w:hint="default"/>
                <w:sz w:val="18"/>
                <w:szCs w:val="18"/>
              </w:rPr>
            </w:pPr>
            <w:r>
              <w:rPr>
                <w:rFonts w:ascii="宋体" w:hAnsi="宋体" w:cs="宋体" w:eastAsia="宋体" w:hint="default"/>
                <w:sz w:val="18"/>
                <w:szCs w:val="18"/>
              </w:rPr>
              <w:t>预计收取的时间、金额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362"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及依据</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因金融资产转移而终止确认的其他应收款" w:id="509"/>
      <w:bookmarkEnd w:id="50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8）转移其他应收款且继续涉入形成的资产、负债金额" w:id="510"/>
      <w:bookmarkEnd w:id="51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3、长期股权投资" w:id="511"/>
      <w:bookmarkEnd w:id="51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271,402,880.55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271,402,880.55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271,402,880.55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271,402,880.55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271,402,880.55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271,402,880.55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271,402,880.55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271,402,880.55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512"/>
      <w:bookmarkEnd w:id="51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江西宏磊铜业有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51,866,031.19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51,866,031.19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浙江宏天铜业有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219,536,849.36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219,536,849.36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271,402,880.55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271,402,880.55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513"/>
      <w:bookmarkEnd w:id="51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3）其他说明" w:id="514"/>
      <w:bookmarkEnd w:id="51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4、营业收入和营业成本" w:id="515"/>
      <w:bookmarkEnd w:id="51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4,351,861,146.84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4,266,623,084.30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3,105,720,797.90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3,036,255,603.41</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168,264.70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13,196.66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700,102.65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152,148.19</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4,352,029,411.54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4,266,636,280.96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3,106,420,900.55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3,036,407,751.60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5、投资收益" w:id="516"/>
      <w:bookmarkEnd w:id="51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4,897,960.32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13,297,960.32</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其他" w:id="517"/>
      <w:bookmarkEnd w:id="517"/>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18"/>
      <w:bookmarkEnd w:id="518"/>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当期非经常性损益明细表" w:id="519"/>
      <w:bookmarkEnd w:id="51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92,671.71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14,080,507.15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32,371,721.70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-3,124,181.77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7,655,764.96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4,014,355.68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31,750,598.15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涉及金额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搬迁补助</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12,570,807.15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诸政发</w:t>
            </w:r>
            <w:r>
              <w:rPr>
                <w:rFonts w:ascii="Times New Roman" w:hAnsi="Times New Roman" w:cs="Times New Roman" w:eastAsia="Times New Roman" w:hint="default"/>
                <w:spacing w:val="-1"/>
                <w:sz w:val="18"/>
                <w:szCs w:val="18"/>
              </w:rPr>
              <w:t>[2013]26</w:t>
            </w:r>
            <w:r>
              <w:rPr>
                <w:rFonts w:ascii="Times New Roman" w:hAnsi="Times New Roman" w:cs="Times New Roman" w:eastAsia="Times New Roman" w:hint="default"/>
                <w:spacing w:val="10"/>
                <w:sz w:val="18"/>
                <w:szCs w:val="18"/>
              </w:rPr>
              <w:t> </w:t>
            </w:r>
            <w:r>
              <w:rPr>
                <w:rFonts w:ascii="宋体" w:hAnsi="宋体" w:cs="宋体" w:eastAsia="宋体" w:hint="default"/>
                <w:spacing w:val="-13"/>
                <w:sz w:val="18"/>
                <w:szCs w:val="18"/>
              </w:rPr>
              <w:t>号、《诸暨市土地房屋征</w:t>
            </w:r>
            <w:r>
              <w:rPr>
                <w:rFonts w:ascii="宋体" w:hAnsi="宋体" w:cs="宋体" w:eastAsia="宋体" w:hint="default"/>
                <w:sz w:val="18"/>
                <w:szCs w:val="18"/>
              </w:rPr>
              <w:t> 收补偿安置协议》</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万吨废杂铜连铸连轧低氧铜杆资源综合 利用项目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浙江省经济贸易委员会浙经贸资源</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(2008)405</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号</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耐冷媒漆包线项目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江西鹰潭市发改委及市经贸委鹰发改工 字</w:t>
            </w:r>
            <w:r>
              <w:rPr>
                <w:rFonts w:ascii="Times New Roman" w:hAnsi="Times New Roman" w:cs="Times New Roman" w:eastAsia="Times New Roman" w:hint="default"/>
                <w:sz w:val="18"/>
                <w:szCs w:val="18"/>
              </w:rPr>
              <w:t>(2009)74 </w:t>
            </w:r>
            <w:r>
              <w:rPr>
                <w:rFonts w:ascii="宋体" w:hAnsi="宋体" w:cs="宋体" w:eastAsia="宋体" w:hint="default"/>
                <w:sz w:val="18"/>
                <w:szCs w:val="18"/>
              </w:rPr>
              <w:t>号、江西省财政厅赣财企 </w:t>
            </w:r>
            <w:r>
              <w:rPr>
                <w:rFonts w:ascii="Times New Roman" w:hAnsi="Times New Roman" w:cs="Times New Roman" w:eastAsia="Times New Roman" w:hint="default"/>
                <w:sz w:val="18"/>
                <w:szCs w:val="18"/>
              </w:rPr>
              <w:t>(2009)179  </w:t>
            </w:r>
            <w:r>
              <w:rPr>
                <w:rFonts w:ascii="宋体" w:hAnsi="宋体" w:cs="宋体" w:eastAsia="宋体" w:hint="default"/>
                <w:sz w:val="18"/>
                <w:szCs w:val="18"/>
              </w:rPr>
              <w:t>号</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万吨节能环保型特种漆包线建设项目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诸暨市经信局</w:t>
            </w:r>
            <w:r>
              <w:rPr>
                <w:rFonts w:ascii="Times New Roman" w:hAnsi="Times New Roman" w:cs="Times New Roman" w:eastAsia="Times New Roman" w:hint="default"/>
                <w:sz w:val="18"/>
                <w:szCs w:val="18"/>
              </w:rPr>
              <w:t>(</w:t>
            </w:r>
            <w:r>
              <w:rPr>
                <w:rFonts w:ascii="宋体" w:hAnsi="宋体" w:cs="宋体" w:eastAsia="宋体" w:hint="default"/>
                <w:sz w:val="18"/>
                <w:szCs w:val="18"/>
              </w:rPr>
              <w:t>诸经信</w:t>
            </w:r>
            <w:r>
              <w:rPr>
                <w:rFonts w:ascii="Times New Roman" w:hAnsi="Times New Roman" w:cs="Times New Roman" w:eastAsia="Times New Roman" w:hint="default"/>
                <w:sz w:val="18"/>
                <w:szCs w:val="18"/>
              </w:rPr>
              <w:t>[2014]10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诸暨市大唐镇人民政府奖励款</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诸暨市大唐镇人民政府</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诸暨财政局人才奖励</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诸暨市财政局</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博士后工作站建站补助</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绍兴市人力资源和社会保障局（绍市人 社发</w:t>
            </w:r>
            <w:r>
              <w:rPr>
                <w:rFonts w:ascii="Times New Roman" w:hAnsi="Times New Roman" w:cs="Times New Roman" w:eastAsia="Times New Roman" w:hint="default"/>
                <w:sz w:val="18"/>
                <w:szCs w:val="18"/>
              </w:rPr>
              <w:t>[2014]97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其他科技补助及专利奖励费</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3"/>
              <w:jc w:val="both"/>
              <w:rPr>
                <w:rFonts w:ascii="宋体" w:hAnsi="宋体" w:cs="宋体" w:eastAsia="宋体" w:hint="default"/>
                <w:sz w:val="18"/>
                <w:szCs w:val="18"/>
              </w:rPr>
            </w:pPr>
            <w:r>
              <w:rPr>
                <w:rFonts w:ascii="宋体" w:hAnsi="宋体" w:cs="宋体" w:eastAsia="宋体" w:hint="default"/>
                <w:sz w:val="18"/>
                <w:szCs w:val="18"/>
              </w:rPr>
              <w:t>诸暨市科学技术局、诸暨市科学技术局 诸科</w:t>
            </w:r>
            <w:r>
              <w:rPr>
                <w:rFonts w:ascii="Times New Roman" w:hAnsi="Times New Roman" w:cs="Times New Roman" w:eastAsia="Times New Roman" w:hint="default"/>
                <w:sz w:val="18"/>
                <w:szCs w:val="18"/>
              </w:rPr>
              <w:t>[2014]10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号文专利奖励费、诸暨市 财政局</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14,080,507.15</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净资产收益率及每股收益" w:id="520"/>
      <w:bookmarkEnd w:id="52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-0.36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-0.36</w:t>
            </w:r>
            <w:r>
              <w:rPr>
                <w:rFonts w:ascii="Times New Roman"/>
                <w:sz w:val="18"/>
              </w:rPr>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521"/>
      <w:bookmarkEnd w:id="52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522"/>
      <w:bookmarkEnd w:id="52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同时按照境外会计准则与按中国会计准则披露的财务报告中净利润和净资产差异情况" w:id="523"/>
      <w:bookmarkEnd w:id="52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9" w:lineRule="auto" w:before="35"/>
        <w:ind w:left="153" w:right="0"/>
        <w:jc w:val="left"/>
        <w:rPr>
          <w:b w:val="0"/>
          <w:bCs w:val="0"/>
        </w:rPr>
      </w:pPr>
      <w:bookmarkStart w:name="（3）境内外会计准则下会计数据差异原因说明，对已经境外审计机构审计的数据进行差异" w:id="524"/>
      <w:bookmarkEnd w:id="52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会计政策变更相关补充资料" w:id="525"/>
      <w:bookmarkEnd w:id="525"/>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日合并资产负债表如下：</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412,374,213.47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682,539,674.32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158,223,374.76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1,152,849.15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2,889,287.10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431,730,000.00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486,583,905.37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567,373,149.97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587,973,340.88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351,668,385.37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218,415,221.80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427,449,461.51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578,024,713.50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171,565,400.32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26,560,652.03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379,216,186.22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448,850,651.67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504,865,986.06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1,678,588.99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15,736,346.32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6,950,895.79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2,210,698,842.07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2,107,369,731.50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2,143,753,711.03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89,002,000.00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95,760,000.00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189,238,507.71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327,416,285.99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290,957,685.50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190,025,869.80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22,011,242.92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28,068,245.28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861,789.65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717,695.86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522,314.38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74,150,134.65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90,749,120.64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88,817,683.29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4,059,273.89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5,731,939.77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14,405,533.34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20,461,952.84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2,802,194.76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5,848,469.06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567,799,528.54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545,188,479.94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524,379,930.85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2,778,498,370.61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2,652,558,211.44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2,668,133,641.88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625,499,243.25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470,943,562.77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989,378,030.26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850,166,072.00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719,950,000.00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357,320,000.00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86,853,325.31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60,663,141.27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53,644,431.47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17,210,328.59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10,735,489.74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3,991,761.64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2,552,032.91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5,550,379.12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5,480,875.47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24,289,202.51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28,611,175.95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35,321,409.52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1,141,608.67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909,651.22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4,261,223.11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2,144,454.00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5,411,744.99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4,777,982.44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11,044,186.87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2,991,968.90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1,612,489,795.68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1,310,552,040.94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1,457,801,445.36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58,714,871.42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45,415,196.44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7,632,000.00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102,160,377.18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90,048,570.11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66,346,871.42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147,575,573.62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90,048,570.11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1,678,836,667.10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1,458,127,614.56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1,547,850,015.47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168,910,000.00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168,910,000.00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219,583,000.00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559,666,353.25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559,666,353.25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508,993,353.25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25,670,134.48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28,207,833.52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28,207,833.52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231,942,451.95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296,041,977.54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233,090,324.60</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986,188,939.68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1,052,826,164.31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989,874,511.37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113,472,763.83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141,604,432.57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130,409,115.04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1,099,661,703.51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1,194,430,596.88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1,120,283,626.41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2,778,498,370.61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2,652,558,211.44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2,668,133,641.88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其他" w:id="526"/>
      <w:bookmarkEnd w:id="526"/>
      <w:r>
        <w:rPr>
          <w:b w:val="0"/>
          <w:bCs w:val="0"/>
        </w:rPr>
      </w: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527"/>
      <w:bookmarkStart w:name="第十二节 备查文件目录" w:id="528"/>
      <w:r>
        <w:rPr>
          <w:b w:val="0"/>
          <w:bCs w:val="0"/>
        </w:rPr>
      </w:r>
      <w:r>
        <w:rPr/>
        <w:t>第十二节</w:t>
      </w:r>
      <w:r>
        <w:rPr>
          <w:spacing w:val="-8"/>
        </w:rPr>
        <w:t> </w:t>
      </w:r>
      <w:r>
        <w:rPr/>
        <w:t>备查文件目录</w:t>
      </w:r>
      <w:bookmarkEnd w:id="527"/>
      <w:r>
        <w:rPr>
          <w:b w:val="0"/>
          <w:bCs w:val="0"/>
        </w:rPr>
      </w:r>
    </w:p>
    <w:p>
      <w:pPr>
        <w:spacing w:line="240" w:lineRule="auto" w:before="2"/>
        <w:rPr>
          <w:rFonts w:ascii="宋体" w:hAnsi="宋体" w:cs="宋体" w:eastAsia="宋体" w:hint="default"/>
          <w:b/>
          <w:bCs/>
          <w:sz w:val="39"/>
          <w:szCs w:val="39"/>
        </w:rPr>
      </w:pPr>
    </w:p>
    <w:p>
      <w:pPr>
        <w:pStyle w:val="Heading3"/>
        <w:spacing w:line="235" w:lineRule="auto"/>
        <w:ind w:right="1014"/>
        <w:jc w:val="left"/>
      </w:pPr>
      <w:r>
        <w:rPr/>
        <w:t>一、载有董事长章利全先生签名的公司</w:t>
      </w:r>
      <w:r>
        <w:rPr>
          <w:rFonts w:ascii="Times New Roman" w:hAnsi="Times New Roman" w:cs="Times New Roman" w:eastAsia="Times New Roman" w:hint="default"/>
        </w:rPr>
        <w:t>2014</w:t>
      </w:r>
      <w:r>
        <w:rPr/>
        <w:t>年年度报告全文； 二、载有公司法定代表人章利全先生、主管会计工作负责人郑树英先生、会计机构负责人郑 树英先生签名并盖章的会计报表； 三、报告期内在《证券日报》、《证券时报》、《中国证券报》、《上海证券报》及巨潮资</w:t>
      </w:r>
      <w:r>
        <w:rPr>
          <w:spacing w:val="-114"/>
        </w:rPr>
        <w:t> </w:t>
      </w:r>
      <w:r>
        <w:rPr>
          <w:spacing w:val="-114"/>
        </w:rPr>
      </w:r>
      <w:r>
        <w:rPr/>
        <w:t>讯网上公开披露过的所有公司文件的正本及公告原稿； 四、上述文件置备于公司证券部备查。</w:t>
      </w:r>
    </w:p>
    <w:p>
      <w:pPr>
        <w:spacing w:line="240" w:lineRule="auto" w:before="5"/>
        <w:rPr>
          <w:rFonts w:ascii="宋体" w:hAnsi="宋体" w:cs="宋体" w:eastAsia="宋体" w:hint="default"/>
          <w:sz w:val="30"/>
          <w:szCs w:val="30"/>
        </w:rPr>
      </w:pPr>
    </w:p>
    <w:p>
      <w:pPr>
        <w:pStyle w:val="Heading3"/>
        <w:spacing w:line="930" w:lineRule="atLeast"/>
        <w:ind w:left="4954" w:right="2352" w:firstLine="240"/>
        <w:jc w:val="left"/>
      </w:pPr>
      <w:r>
        <w:rPr/>
        <w:t>法定代表人：章利全 浙江宏磊铜业股份有限公司董事会</w:t>
      </w:r>
    </w:p>
    <w:p>
      <w:pPr>
        <w:pStyle w:val="Heading3"/>
        <w:spacing w:line="240" w:lineRule="auto" w:before="154"/>
        <w:ind w:left="5434" w:right="0"/>
        <w:jc w:val="left"/>
      </w:pPr>
      <w:r>
        <w:rPr/>
        <w:t>二〇一五年四月二十八日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5520" type="#_x0000_t75" stroked="false">
          <v:imagedata r:id="rId1" o:title=""/>
        </v:shape>
      </w:pict>
    </w:r>
    <w:r>
      <w:rPr/>
      <w:pict>
        <v:shape style="position:absolute;margin-left:533.179993pt;margin-top:795.517944pt;width:6.5pt;height:11pt;mso-position-horizontal-relative:page;mso-position-vertical-relative:page;z-index:-8554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5472" type="#_x0000_t75" stroked="false">
          <v:imagedata r:id="rId1" o:title=""/>
        </v:shape>
      </w:pict>
    </w:r>
    <w:r>
      <w:rPr/>
      <w:pict>
        <v:shape style="position:absolute;margin-left:527.679993pt;margin-top:781.957947pt;width:13pt;height:11pt;mso-position-horizontal-relative:page;mso-position-vertical-relative:page;z-index:-855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5424" type="#_x0000_t75" stroked="false">
          <v:imagedata r:id="rId1" o:title=""/>
        </v:shape>
      </w:pict>
    </w:r>
    <w:r>
      <w:rPr/>
      <w:pict>
        <v:shape style="position:absolute;margin-left:524.179993pt;margin-top:781.957947pt;width:15.5pt;height:11pt;mso-position-horizontal-relative:page;mso-position-vertical-relative:page;z-index:-8554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5376" type="#_x0000_t75" stroked="false">
          <v:imagedata r:id="rId1" o:title=""/>
        </v:shape>
      </w:pict>
    </w:r>
    <w:r>
      <w:rPr/>
      <w:pict>
        <v:shape style="position:absolute;margin-left:523.179993pt;margin-top:781.957947pt;width:17.5pt;height:11pt;mso-position-horizontal-relative:page;mso-position-vertical-relative:page;z-index:-855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855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浙江宏磊铜业股份有限公司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7"/>
      <w:ind w:left="153"/>
    </w:pPr>
    <w:rPr>
      <w:rFonts w:ascii="宋体" w:hAnsi="宋体" w:eastAsia="宋体"/>
      <w:sz w:val="21"/>
      <w:szCs w:val="21"/>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chinahonglei.com/" TargetMode="External"/><Relationship Id="rId9" Type="http://schemas.openxmlformats.org/officeDocument/2006/relationships/hyperlink" Target="mailto:honglei@chinahonglei.com" TargetMode="External"/><Relationship Id="rId10" Type="http://schemas.openxmlformats.org/officeDocument/2006/relationships/hyperlink" Target="mailto:hl_zhaoyi@qq.com" TargetMode="External"/><Relationship Id="rId11" Type="http://schemas.openxmlformats.org/officeDocument/2006/relationships/hyperlink" Target="mailto:yk75118@163.com" TargetMode="External"/><Relationship Id="rId12" Type="http://schemas.openxmlformats.org/officeDocument/2006/relationships/hyperlink" Target="mailto:18@163.com" TargetMode="External"/><Relationship Id="rId13" Type="http://schemas.openxmlformats.org/officeDocument/2006/relationships/hyperlink" Target="http://www.cninfo.com.cn/" TargetMode="Externa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hyperlink" Target="http://www.cninfo.co/" TargetMode="External"/><Relationship Id="rId18" Type="http://schemas.openxmlformats.org/officeDocument/2006/relationships/footer" Target="footer3.xml"/><Relationship Id="rId1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2020-05-06T18:05:03Z</dcterms:created>
  <dcterms:modified xsi:type="dcterms:W3CDTF">2020-05-06T18:05:03Z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2015-04-27T00:00:00Z</vt:filetime>
  </property>
  <property fmtid="{D5CDD505-2E9C-101B-9397-08002B2CF9AE}" pid="3" name="Creator">
    <vt:lpwstr>Microsoft® Office Word 2007</vt:lpwstr>
  </property>
  <property fmtid="{D5CDD505-2E9C-101B-9397-08002B2CF9AE}" pid="4" name="LastSaved">
    <vt:filetime>2020-05-06T00:00:00Z</vt:filetime>
  </property>
</Properties>
</file>