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957" w:lineRule="exact"/>
        <w:ind w:left="328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2139362" cy="608076"/>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139362" cy="608076"/>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5"/>
        <w:rPr>
          <w:rFonts w:ascii="Times New Roman" w:hAnsi="Times New Roman" w:cs="Times New Roman" w:eastAsia="Times New Roman" w:hint="default"/>
          <w:sz w:val="27"/>
          <w:szCs w:val="27"/>
        </w:rPr>
      </w:pPr>
    </w:p>
    <w:p>
      <w:pPr>
        <w:spacing w:line="460" w:lineRule="exact" w:before="0"/>
        <w:ind w:left="495" w:right="1472" w:firstLine="0"/>
        <w:jc w:val="center"/>
        <w:rPr>
          <w:rFonts w:ascii="宋体" w:hAnsi="宋体" w:cs="宋体" w:eastAsia="宋体" w:hint="default"/>
          <w:sz w:val="36"/>
          <w:szCs w:val="36"/>
        </w:rPr>
      </w:pPr>
      <w:r>
        <w:rPr>
          <w:rFonts w:ascii="宋体" w:hAnsi="宋体" w:cs="宋体" w:eastAsia="宋体" w:hint="default"/>
          <w:b/>
          <w:bCs/>
          <w:sz w:val="36"/>
          <w:szCs w:val="36"/>
        </w:rPr>
        <w:t>仁东控股股份有限公司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95" w:right="147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before="227"/>
        <w:ind w:left="495" w:right="147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1141" w:firstLine="562"/>
        <w:jc w:val="both"/>
        <w:rPr>
          <w:b w:val="0"/>
          <w:bCs w:val="0"/>
        </w:rPr>
      </w:pPr>
      <w:r>
        <w:rPr>
          <w:spacing w:val="3"/>
          <w:w w:val="95"/>
        </w:rPr>
        <w:t>公司董事会、监事会及董事、监事、高级管理人员保证年度报告内容的真</w:t>
      </w:r>
      <w:r>
        <w:rPr>
          <w:w w:val="99"/>
        </w:rPr>
        <w:t> </w:t>
      </w:r>
      <w:r>
        <w:rPr>
          <w:spacing w:val="3"/>
          <w:w w:val="95"/>
        </w:rPr>
        <w:t>实、准确、完整，不存在虚假记载、误导性陈述或重大遗漏，并承担个别和连</w:t>
      </w:r>
      <w:r>
        <w:rPr>
          <w:spacing w:val="23"/>
          <w:w w:val="95"/>
        </w:rPr>
        <w:t> </w:t>
      </w:r>
      <w:r>
        <w:rPr>
          <w:spacing w:val="23"/>
          <w:w w:val="95"/>
        </w:rPr>
      </w:r>
      <w:r>
        <w:rPr/>
        <w:t>带的法律责任。</w:t>
      </w:r>
      <w:r>
        <w:rPr>
          <w:b w:val="0"/>
          <w:bCs w:val="0"/>
        </w:rPr>
      </w:r>
    </w:p>
    <w:p>
      <w:pPr>
        <w:pStyle w:val="Heading2"/>
        <w:spacing w:line="386" w:lineRule="auto" w:before="161"/>
        <w:ind w:right="1132" w:firstLine="562"/>
        <w:jc w:val="both"/>
        <w:rPr>
          <w:b w:val="0"/>
          <w:bCs w:val="0"/>
        </w:rPr>
      </w:pPr>
      <w:r>
        <w:rPr>
          <w:w w:val="95"/>
        </w:rPr>
        <w:t>公司负责人霍东、主管会计工作负责人王石山及会计机构负责人</w:t>
      </w:r>
      <w:r>
        <w:rPr>
          <w:rFonts w:ascii="Times New Roman" w:hAnsi="Times New Roman" w:cs="Times New Roman" w:eastAsia="Times New Roman" w:hint="default"/>
          <w:w w:val="95"/>
        </w:rPr>
        <w:t>(</w:t>
      </w:r>
      <w:r>
        <w:rPr>
          <w:w w:val="95"/>
        </w:rPr>
        <w:t>会计主管</w:t>
      </w:r>
      <w:r>
        <w:rPr>
          <w:spacing w:val="1"/>
          <w:w w:val="99"/>
        </w:rPr>
        <w:t> </w:t>
      </w:r>
      <w:r>
        <w:rPr/>
        <w:t>人员</w:t>
      </w:r>
      <w:r>
        <w:rPr>
          <w:rFonts w:ascii="Times New Roman" w:hAnsi="Times New Roman" w:cs="Times New Roman" w:eastAsia="Times New Roman" w:hint="default"/>
        </w:rPr>
        <w:t>)</w:t>
      </w:r>
      <w:r>
        <w:rPr/>
        <w:t>高硕声明：保证年度报告中财务报告的真实、准确、完整。</w:t>
      </w:r>
      <w:r>
        <w:rPr>
          <w:b w:val="0"/>
          <w:bCs w:val="0"/>
        </w:rPr>
      </w:r>
    </w:p>
    <w:p>
      <w:pPr>
        <w:pStyle w:val="Heading2"/>
        <w:spacing w:line="472" w:lineRule="auto" w:before="147"/>
        <w:ind w:left="716" w:right="0"/>
        <w:jc w:val="left"/>
        <w:rPr>
          <w:b w:val="0"/>
          <w:bCs w:val="0"/>
        </w:rPr>
      </w:pPr>
      <w:r>
        <w:rPr/>
        <w:t>所有董事均已出席了审议本报告的董事会会议。</w:t>
      </w:r>
      <w:r>
        <w:rPr>
          <w:w w:val="99"/>
        </w:rPr>
        <w:t> </w:t>
      </w:r>
      <w:r>
        <w:rPr>
          <w:spacing w:val="3"/>
          <w:w w:val="95"/>
        </w:rPr>
        <w:t>本报告涉及未来计划等前瞻性描述，不构成公司对投资者的实质承诺，投</w:t>
      </w:r>
      <w:r>
        <w:rPr>
          <w:b w:val="0"/>
          <w:bCs w:val="0"/>
          <w:spacing w:val="3"/>
        </w:rPr>
      </w:r>
    </w:p>
    <w:p>
      <w:pPr>
        <w:pStyle w:val="Heading2"/>
        <w:spacing w:line="410" w:lineRule="auto"/>
        <w:ind w:right="0"/>
        <w:jc w:val="left"/>
        <w:rPr>
          <w:b w:val="0"/>
          <w:bCs w:val="0"/>
        </w:rPr>
      </w:pPr>
      <w:r>
        <w:rPr>
          <w:spacing w:val="3"/>
          <w:w w:val="95"/>
        </w:rPr>
        <w:t>资者及相关人士均应当对此保持足够的风险认识，并且应当理解计划、预测与</w:t>
      </w:r>
      <w:r>
        <w:rPr>
          <w:spacing w:val="23"/>
          <w:w w:val="95"/>
        </w:rPr>
        <w:t> </w:t>
      </w:r>
      <w:r>
        <w:rPr>
          <w:spacing w:val="23"/>
          <w:w w:val="95"/>
        </w:rPr>
      </w:r>
      <w:r>
        <w:rPr/>
        <w:t>承诺之间的差异。</w:t>
      </w:r>
      <w:r>
        <w:rPr>
          <w:b w:val="0"/>
          <w:bCs w:val="0"/>
        </w:rPr>
      </w:r>
    </w:p>
    <w:p>
      <w:pPr>
        <w:pStyle w:val="Heading2"/>
        <w:spacing w:line="408" w:lineRule="auto" w:before="158"/>
        <w:ind w:right="1141" w:firstLine="562"/>
        <w:jc w:val="both"/>
        <w:rPr>
          <w:b w:val="0"/>
          <w:bCs w:val="0"/>
        </w:rPr>
      </w:pPr>
      <w:r>
        <w:rPr>
          <w:spacing w:val="3"/>
          <w:w w:val="95"/>
        </w:rPr>
        <w:t>本公司敬请投资者认真阅读本报告，并特别注意公司未来经营可能面临的</w:t>
      </w:r>
      <w:r>
        <w:rPr>
          <w:w w:val="99"/>
        </w:rPr>
        <w:t> </w:t>
      </w:r>
      <w:r>
        <w:rPr>
          <w:spacing w:val="3"/>
          <w:w w:val="95"/>
        </w:rPr>
        <w:t>风险因素，包括商誉等资产的减值风险、因行业监管政策变化导致其业务受到</w:t>
      </w:r>
      <w:r>
        <w:rPr>
          <w:spacing w:val="23"/>
          <w:w w:val="95"/>
        </w:rPr>
        <w:t> </w:t>
      </w:r>
      <w:r>
        <w:rPr>
          <w:spacing w:val="23"/>
          <w:w w:val="95"/>
        </w:rPr>
      </w:r>
      <w:r>
        <w:rPr>
          <w:spacing w:val="3"/>
          <w:w w:val="95"/>
        </w:rPr>
        <w:t>不利影响的风险、金融科技业务市场竞争风险、系统软硬件及技术风险、客户</w:t>
      </w:r>
      <w:r>
        <w:rPr>
          <w:spacing w:val="23"/>
          <w:w w:val="95"/>
        </w:rPr>
        <w:t> </w:t>
      </w:r>
      <w:r>
        <w:rPr>
          <w:spacing w:val="23"/>
          <w:w w:val="95"/>
        </w:rPr>
      </w:r>
      <w:r>
        <w:rPr/>
        <w:t>的违法违规行为导致的经营风险。</w:t>
      </w:r>
      <w:r>
        <w:rPr>
          <w:b w:val="0"/>
          <w:bCs w:val="0"/>
        </w:rPr>
      </w:r>
    </w:p>
    <w:p>
      <w:pPr>
        <w:pStyle w:val="Heading2"/>
        <w:spacing w:line="240" w:lineRule="auto" w:before="160"/>
        <w:ind w:left="716" w:right="0"/>
        <w:jc w:val="left"/>
        <w:rPr>
          <w:b w:val="0"/>
          <w:bCs w:val="0"/>
        </w:rPr>
      </w:pPr>
      <w:r>
        <w:rPr/>
        <w:t>公司经本次董事会审议通过的利润分配预案为：以 </w:t>
      </w:r>
      <w:r>
        <w:rPr>
          <w:rFonts w:ascii="Times New Roman" w:hAnsi="Times New Roman" w:cs="Times New Roman" w:eastAsia="Times New Roman" w:hint="default"/>
        </w:rPr>
        <w:t>559936650</w:t>
      </w:r>
      <w:r>
        <w:rPr>
          <w:rFonts w:ascii="Times New Roman" w:hAnsi="Times New Roman" w:cs="Times New Roman" w:eastAsia="Times New Roman" w:hint="default"/>
          <w:spacing w:val="-6"/>
        </w:rPr>
        <w:t> </w:t>
      </w:r>
      <w:r>
        <w:rPr/>
        <w:t>为基数，向</w:t>
      </w:r>
      <w:r>
        <w:rPr>
          <w:b w:val="0"/>
          <w:bCs w:val="0"/>
        </w:rPr>
      </w:r>
    </w:p>
    <w:p>
      <w:pPr>
        <w:pStyle w:val="Heading2"/>
        <w:spacing w:line="386" w:lineRule="auto" w:before="236"/>
        <w:ind w:right="0"/>
        <w:jc w:val="left"/>
        <w:rPr>
          <w:b w:val="0"/>
          <w:bCs w:val="0"/>
        </w:rPr>
      </w:pPr>
      <w:r>
        <w:rPr>
          <w:w w:val="99"/>
        </w:rPr>
        <w:t>全体股东每</w:t>
      </w:r>
      <w:r>
        <w:rPr>
          <w:spacing w:val="-64"/>
          <w:w w:val="99"/>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4"/>
          <w:w w:val="99"/>
        </w:rPr>
        <w:t> </w:t>
      </w:r>
      <w:r>
        <w:rPr>
          <w:w w:val="99"/>
        </w:rPr>
        <w:t>股派发现金红利</w:t>
      </w:r>
      <w:r>
        <w:rPr>
          <w:spacing w:val="-64"/>
          <w:w w:val="99"/>
        </w:rPr>
        <w:t> </w:t>
      </w:r>
      <w:r>
        <w:rPr>
          <w:rFonts w:ascii="Times New Roman" w:hAnsi="Times New Roman" w:cs="Times New Roman" w:eastAsia="Times New Roman" w:hint="default"/>
          <w:w w:val="99"/>
        </w:rPr>
        <w:t>0.20</w:t>
      </w:r>
      <w:r>
        <w:rPr>
          <w:rFonts w:ascii="Times New Roman" w:hAnsi="Times New Roman" w:cs="Times New Roman" w:eastAsia="Times New Roman" w:hint="default"/>
          <w:spacing w:val="3"/>
          <w:w w:val="99"/>
        </w:rPr>
        <w:t> </w:t>
      </w:r>
      <w:r>
        <w:rPr>
          <w:spacing w:val="-23"/>
          <w:w w:val="99"/>
        </w:rPr>
        <w:t>元（含税），送红股</w:t>
      </w:r>
      <w:r>
        <w:rPr>
          <w:spacing w:val="-64"/>
          <w:w w:val="99"/>
        </w:rPr>
        <w:t> </w:t>
      </w:r>
      <w:r>
        <w:rPr>
          <w:rFonts w:ascii="Times New Roman" w:hAnsi="Times New Roman" w:cs="Times New Roman" w:eastAsia="Times New Roman" w:hint="default"/>
          <w:w w:val="99"/>
        </w:rPr>
        <w:t>0</w:t>
      </w:r>
      <w:r>
        <w:rPr>
          <w:rFonts w:ascii="Times New Roman" w:hAnsi="Times New Roman" w:cs="Times New Roman" w:eastAsia="Times New Roman" w:hint="default"/>
          <w:spacing w:val="4"/>
          <w:w w:val="99"/>
        </w:rPr>
        <w:t> </w:t>
      </w:r>
      <w:r>
        <w:rPr>
          <w:spacing w:val="-21"/>
          <w:w w:val="99"/>
        </w:rPr>
        <w:t>股（含税），不以公积</w:t>
      </w:r>
      <w:r>
        <w:rPr>
          <w:w w:val="99"/>
        </w:rPr>
        <w:t> </w:t>
      </w:r>
      <w:r>
        <w:rPr/>
        <w:t>金转增股本。</w:t>
      </w:r>
      <w:r>
        <w:rPr>
          <w:b w:val="0"/>
          <w:bCs w:val="0"/>
        </w:rPr>
      </w:r>
    </w:p>
    <w:p>
      <w:pPr>
        <w:spacing w:after="0" w:line="386" w:lineRule="auto"/>
        <w:jc w:val="left"/>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495" w:right="147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5</w:t>
            </w:r>
            <w:r>
              <w:rPr>
                <w:rFonts w:ascii="宋体" w:hAnsi="宋体" w:cs="宋体" w:eastAsia="宋体" w:hint="default"/>
                <w:b w:val="0"/>
                <w:bCs w:val="0"/>
              </w:rPr>
            </w:r>
          </w:hyperlink>
        </w:p>
        <w:p>
          <w:pPr>
            <w:pStyle w:val="TOC1"/>
            <w:tabs>
              <w:tab w:pos="9781" w:val="right" w:leader="dot"/>
            </w:tabs>
            <w:spacing w:line="240" w:lineRule="auto" w:before="194"/>
            <w:ind w:right="0"/>
            <w:jc w:val="left"/>
            <w:rPr>
              <w:rFonts w:ascii="宋体" w:hAnsi="宋体" w:cs="宋体" w:eastAsia="宋体" w:hint="default"/>
              <w:b w:val="0"/>
              <w:bCs w:val="0"/>
            </w:rPr>
          </w:pPr>
          <w:hyperlink w:history="true" w:anchor="_bookmark2">
            <w:r>
              <w:rPr/>
              <w:t>第三节</w:t>
            </w:r>
            <w:r>
              <w:rPr>
                <w:spacing w:val="-1"/>
              </w:rPr>
              <w:t> </w:t>
            </w:r>
            <w:r>
              <w:rPr/>
              <w:t>公司业务概要</w:t>
            </w:r>
            <w:r>
              <w:rPr>
                <w:rFonts w:ascii="宋体" w:hAnsi="宋体" w:cs="宋体" w:eastAsia="宋体" w:hint="default"/>
              </w:rPr>
              <w:tab/>
              <w:t>9</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tab/>
              <w:t>11</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tab/>
              <w:t>25</w:t>
            </w:r>
            <w:r>
              <w:rPr>
                <w:rFonts w:ascii="宋体" w:hAnsi="宋体" w:cs="宋体" w:eastAsia="宋体" w:hint="default"/>
                <w:b w:val="0"/>
                <w:bCs w:val="0"/>
              </w:rPr>
            </w:r>
          </w:hyperlink>
        </w:p>
        <w:p>
          <w:pPr>
            <w:pStyle w:val="TOC1"/>
            <w:tabs>
              <w:tab w:pos="9782" w:val="right" w:leader="dot"/>
            </w:tabs>
            <w:spacing w:line="240" w:lineRule="auto" w:before="194"/>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39</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优先股相关情况</w:t>
            </w:r>
            <w:r>
              <w:rPr>
                <w:rFonts w:ascii="宋体" w:hAnsi="宋体" w:cs="宋体" w:eastAsia="宋体" w:hint="default"/>
              </w:rPr>
              <w:tab/>
              <w:t>45</w:t>
            </w:r>
            <w:r>
              <w:rPr>
                <w:rFonts w:ascii="宋体" w:hAnsi="宋体" w:cs="宋体" w:eastAsia="宋体" w:hint="default"/>
                <w:b w:val="0"/>
                <w:bCs w:val="0"/>
              </w:rPr>
            </w:r>
          </w:hyperlink>
        </w:p>
        <w:p>
          <w:pPr>
            <w:pStyle w:val="TOC1"/>
            <w:tabs>
              <w:tab w:pos="9782" w:val="right" w:leader="dot"/>
            </w:tabs>
            <w:spacing w:line="240" w:lineRule="auto" w:before="194"/>
            <w:ind w:right="0"/>
            <w:jc w:val="left"/>
            <w:rPr>
              <w:rFonts w:ascii="宋体" w:hAnsi="宋体" w:cs="宋体" w:eastAsia="宋体" w:hint="default"/>
              <w:b w:val="0"/>
              <w:bCs w:val="0"/>
            </w:rPr>
          </w:pPr>
          <w:hyperlink w:history="true" w:anchor="_bookmark7">
            <w:r>
              <w:rPr/>
              <w:t>第八节</w:t>
            </w:r>
            <w:r>
              <w:rPr>
                <w:spacing w:val="-1"/>
              </w:rPr>
              <w:t> </w:t>
            </w:r>
            <w:r>
              <w:rPr/>
              <w:t>董事、监事、高级管理人员和员工情况</w:t>
            </w:r>
            <w:r>
              <w:rPr>
                <w:rFonts w:ascii="宋体" w:hAnsi="宋体" w:cs="宋体" w:eastAsia="宋体" w:hint="default"/>
              </w:rPr>
              <w:tab/>
              <w:t>46</w:t>
            </w:r>
            <w:r>
              <w:rPr>
                <w:rFonts w:ascii="宋体" w:hAnsi="宋体" w:cs="宋体" w:eastAsia="宋体" w:hint="default"/>
                <w:b w:val="0"/>
                <w:bCs w:val="0"/>
              </w:rPr>
            </w:r>
          </w:hyperlink>
        </w:p>
        <w:p>
          <w:pPr>
            <w:pStyle w:val="TOC1"/>
            <w:tabs>
              <w:tab w:pos="9782" w:val="right" w:leader="dot"/>
            </w:tabs>
            <w:spacing w:line="240" w:lineRule="auto" w:before="194"/>
            <w:ind w:right="0"/>
            <w:jc w:val="left"/>
            <w:rPr>
              <w:rFonts w:ascii="宋体" w:hAnsi="宋体" w:cs="宋体" w:eastAsia="宋体" w:hint="default"/>
              <w:b w:val="0"/>
              <w:bCs w:val="0"/>
            </w:rPr>
          </w:pPr>
          <w:hyperlink w:history="true" w:anchor="_bookmark8">
            <w:r>
              <w:rPr/>
              <w:t>第九节</w:t>
            </w:r>
            <w:r>
              <w:rPr>
                <w:spacing w:val="-1"/>
              </w:rPr>
              <w:t> </w:t>
            </w:r>
            <w:r>
              <w:rPr/>
              <w:t>公司治理</w:t>
            </w:r>
            <w:r>
              <w:rPr>
                <w:rFonts w:ascii="宋体" w:hAnsi="宋体" w:cs="宋体" w:eastAsia="宋体" w:hint="default"/>
              </w:rPr>
              <w:tab/>
              <w:t>54</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1"/>
              </w:rPr>
              <w:t> </w:t>
            </w:r>
            <w:r>
              <w:rPr/>
              <w:t>公司债券相关情况</w:t>
            </w:r>
            <w:r>
              <w:rPr>
                <w:rFonts w:ascii="宋体" w:hAnsi="宋体" w:cs="宋体" w:eastAsia="宋体" w:hint="default"/>
              </w:rPr>
              <w:tab/>
              <w:t>61</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10">
            <w:r>
              <w:rPr/>
              <w:t>第十一节</w:t>
            </w:r>
            <w:r>
              <w:rPr>
                <w:spacing w:val="-1"/>
              </w:rPr>
              <w:t> </w:t>
            </w:r>
            <w:r>
              <w:rPr/>
              <w:t>财务报告</w:t>
            </w:r>
            <w:r>
              <w:rPr>
                <w:rFonts w:ascii="宋体" w:hAnsi="宋体" w:cs="宋体" w:eastAsia="宋体" w:hint="default"/>
              </w:rPr>
              <w:tab/>
              <w:t>62</w:t>
            </w:r>
            <w:r>
              <w:rPr>
                <w:rFonts w:ascii="宋体" w:hAnsi="宋体" w:cs="宋体" w:eastAsia="宋体" w:hint="default"/>
                <w:b w:val="0"/>
                <w:bCs w:val="0"/>
              </w:rPr>
            </w:r>
          </w:hyperlink>
        </w:p>
        <w:p>
          <w:pPr>
            <w:pStyle w:val="TOC1"/>
            <w:tabs>
              <w:tab w:pos="9783" w:val="right" w:leader="dot"/>
            </w:tabs>
            <w:spacing w:line="240" w:lineRule="auto" w:before="194"/>
            <w:ind w:right="0"/>
            <w:jc w:val="left"/>
            <w:rPr>
              <w:rFonts w:ascii="宋体" w:hAnsi="宋体" w:cs="宋体" w:eastAsia="宋体" w:hint="default"/>
              <w:b w:val="0"/>
              <w:bCs w:val="0"/>
            </w:rPr>
          </w:pPr>
          <w:hyperlink w:history="true" w:anchor="_bookmark11">
            <w:r>
              <w:rPr/>
              <w:t>第十二节</w:t>
            </w:r>
            <w:r>
              <w:rPr>
                <w:spacing w:val="-2"/>
              </w:rPr>
              <w:t> </w:t>
            </w:r>
            <w:r>
              <w:rPr/>
              <w:t>备查文件目录</w:t>
            </w:r>
            <w:r>
              <w:rPr>
                <w:rFonts w:ascii="宋体" w:hAnsi="宋体" w:cs="宋体" w:eastAsia="宋体" w:hint="default"/>
              </w:rPr>
              <w:tab/>
              <w:t>171</w:t>
            </w:r>
            <w:r>
              <w:rPr>
                <w:rFonts w:ascii="宋体" w:hAnsi="宋体" w:cs="宋体" w:eastAsia="宋体"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495" w:right="147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公司、本公司、上市公司、民盛金科（变更 </w:t>
            </w:r>
            <w:r>
              <w:rPr>
                <w:rFonts w:ascii="宋体" w:hAnsi="宋体" w:cs="宋体" w:eastAsia="宋体" w:hint="default"/>
                <w:spacing w:val="-8"/>
                <w:sz w:val="18"/>
                <w:szCs w:val="18"/>
              </w:rPr>
              <w:t>前）、仁东控股（变更后）</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left"/>
              <w:rPr>
                <w:rFonts w:ascii="宋体" w:hAnsi="宋体" w:cs="宋体" w:eastAsia="宋体" w:hint="default"/>
                <w:sz w:val="18"/>
                <w:szCs w:val="18"/>
              </w:rPr>
            </w:pPr>
            <w:r>
              <w:rPr>
                <w:rFonts w:ascii="宋体" w:hAnsi="宋体" w:cs="宋体" w:eastAsia="宋体" w:hint="default"/>
                <w:spacing w:val="-2"/>
                <w:sz w:val="18"/>
                <w:szCs w:val="18"/>
              </w:rPr>
              <w:t>仁东控股股份有限公司（更名后）民盛金科控股股份有限公司（更名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前）</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控股股东、仁东科技</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1"/>
              <w:jc w:val="left"/>
              <w:rPr>
                <w:rFonts w:ascii="宋体" w:hAnsi="宋体" w:cs="宋体" w:eastAsia="宋体" w:hint="default"/>
                <w:sz w:val="18"/>
                <w:szCs w:val="18"/>
              </w:rPr>
            </w:pPr>
            <w:r>
              <w:rPr>
                <w:rFonts w:ascii="宋体" w:hAnsi="宋体" w:cs="宋体" w:eastAsia="宋体" w:hint="default"/>
                <w:spacing w:val="-7"/>
                <w:sz w:val="18"/>
                <w:szCs w:val="18"/>
              </w:rPr>
              <w:t>内蒙古仁东科技有限公司（更名后）内蒙古正东云驱科技有限公司（更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名前）</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仁东天津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仁东（天津）科技有限公司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仁东无双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北京仁东无双信息科技有限公司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仁东金融</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仁东金融信息服务有限公司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广东合利</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广东合利金融科技服务有限公司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合利宝</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广州合利宝支付科技有限公司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合利征信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广州合利征信服务有限公司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合利保理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深圳前海合利商业保理有限公司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民盛供应链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深圳前海民盛天宫供应链管理有限公司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民盛金控</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共青城民盛金控投资管理有限公司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民盛租赁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民盛租赁有限公司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民盛大数据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深圳民盛大数据技术有限公司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民盛信息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天津民盛金科信息技术有限公司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民盛小贷</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广州民盛互联网小额贷款有限公司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和柚技术、原控股股东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天津和柚技术有限公司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916648"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仁东控股</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002647</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仁东控股股份有限公司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仁东控股</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Rendong Holdings Co.,</w:t>
            </w:r>
            <w:r>
              <w:rPr>
                <w:rFonts w:ascii="Times New Roman"/>
                <w:spacing w:val="-4"/>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Rendong</w:t>
            </w:r>
            <w:r>
              <w:rPr>
                <w:rFonts w:ascii="Times New Roman"/>
                <w:spacing w:val="-2"/>
                <w:sz w:val="18"/>
              </w:rPr>
              <w:t> </w:t>
            </w:r>
            <w:r>
              <w:rPr>
                <w:rFonts w:ascii="Times New Roman"/>
                <w:sz w:val="18"/>
              </w:rPr>
              <w:t>Holdings</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王石山</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浙江省诸暨市大唐镇开元东路</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311800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北京市朝阳区光华路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号天阶大厦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100025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www.rendongholdings.com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PR@mesonft.com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霍东（代）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贾皓</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北京市朝阳区光华路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号天阶大厦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北京市朝阳区光华路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号天阶大厦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层</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010-65062267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010-65062267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010-65062267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010-65062267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Huod@rendongholdings.com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Jiah@rendongholdings.com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3">
              <w:r>
                <w:rPr>
                  <w:rFonts w:ascii="Times New Roman" w:hAnsi="Times New Roman" w:cs="Times New Roman" w:eastAsia="Times New Roman" w:hint="default"/>
                  <w:sz w:val="18"/>
                  <w:szCs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3"/>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91330000753974205M</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9"/>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年度实施了重大资产重组事项，原有铜加工产业已经全部置出。</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年，公司的主营业务已转型为第三方支付、保理、供应链管理等金融科技相关的 主营业务；公司的行业分类已变更为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其他金融业（代码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J69</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33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日，公司控股股东由戚建萍变更为和柚技术集团有限公司；</w:t>
            </w:r>
            <w:r>
              <w:rPr>
                <w:rFonts w:ascii="Times New Roman" w:hAnsi="Times New Roman" w:cs="Times New Roman" w:eastAsia="Times New Roman" w:hint="default"/>
                <w:sz w:val="18"/>
                <w:szCs w:val="18"/>
              </w:rPr>
              <w:t>2018</w:t>
            </w:r>
          </w:p>
          <w:p>
            <w:pPr>
              <w:pStyle w:val="TableParagraph"/>
              <w:spacing w:line="300" w:lineRule="auto" w:before="63"/>
              <w:ind w:left="23" w:right="5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日，公司控股股东由天津和柚技术有限公司（原名称</w:t>
            </w:r>
            <w:r>
              <w:rPr>
                <w:rFonts w:ascii="Times New Roman" w:hAnsi="Times New Roman" w:cs="Times New Roman" w:eastAsia="Times New Roman" w:hint="default"/>
                <w:sz w:val="18"/>
                <w:szCs w:val="18"/>
              </w:rPr>
              <w:t>“</w:t>
            </w:r>
            <w:r>
              <w:rPr>
                <w:rFonts w:ascii="宋体" w:hAnsi="宋体" w:cs="宋体" w:eastAsia="宋体" w:hint="default"/>
                <w:sz w:val="18"/>
                <w:szCs w:val="18"/>
              </w:rPr>
              <w:t>和柚技术集团有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）变更为内蒙古仁东科技有限公司（原名称</w:t>
            </w:r>
            <w:r>
              <w:rPr>
                <w:rFonts w:ascii="Times New Roman" w:hAnsi="Times New Roman" w:cs="Times New Roman" w:eastAsia="Times New Roman" w:hint="default"/>
                <w:sz w:val="18"/>
                <w:szCs w:val="18"/>
              </w:rPr>
              <w:t>“</w:t>
            </w:r>
            <w:r>
              <w:rPr>
                <w:rFonts w:ascii="宋体" w:hAnsi="宋体" w:cs="宋体" w:eastAsia="宋体" w:hint="default"/>
                <w:sz w:val="18"/>
                <w:szCs w:val="18"/>
              </w:rPr>
              <w:t>内蒙古正东云驱科技有限公 </w:t>
            </w:r>
            <w:r>
              <w:rPr>
                <w:rFonts w:ascii="宋体" w:hAnsi="宋体" w:cs="宋体" w:eastAsia="宋体" w:hint="default"/>
                <w:spacing w:val="-45"/>
                <w:w w:val="100"/>
                <w:sz w:val="18"/>
                <w:szCs w:val="18"/>
              </w:rPr>
              <w:t>司</w:t>
            </w:r>
            <w:r>
              <w:rPr>
                <w:rFonts w:ascii="Times New Roman" w:hAnsi="Times New Roman" w:cs="Times New Roman" w:eastAsia="Times New Roman" w:hint="default"/>
                <w:spacing w:val="-45"/>
                <w:w w:val="100"/>
                <w:sz w:val="18"/>
                <w:szCs w:val="18"/>
              </w:rPr>
              <w:t>”</w:t>
            </w:r>
            <w:r>
              <w:rPr>
                <w:rFonts w:ascii="宋体" w:hAnsi="宋体" w:cs="宋体" w:eastAsia="宋体" w:hint="default"/>
                <w:spacing w:val="-45"/>
                <w:w w:val="100"/>
                <w:sz w:val="18"/>
                <w:szCs w:val="18"/>
              </w:rPr>
              <w:t>）。</w:t>
            </w:r>
            <w:r>
              <w:rPr>
                <w:rFonts w:ascii="宋体" w:hAnsi="宋体" w:cs="宋体" w:eastAsia="宋体" w:hint="default"/>
                <w:w w:val="100"/>
                <w:sz w:val="18"/>
                <w:szCs w:val="18"/>
              </w:rPr>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号万通大厦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齐正华、王雅栋</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新时代证券股份有限公司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北京市海淀区北三环西路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号西海国际大厦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刘建新、张晨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1,485,929,981.01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953,473,662.21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2,642,543,363.01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52,986,949.73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-215,741,620.52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110,462,842.26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43,059,988.01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-213,886,464.18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-89,756,678.54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235,376,989.29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-575,438,152.28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140.90%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721,977,312.63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-0.38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-0.38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5,015,734,154.58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2,847,970,510.47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2,254,835,546.39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968,738,054.69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776,253,057.54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1,119,878,676.56</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239,018,598.77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393,886,881.22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363,762,770.68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489,261,730.34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4,623,112.08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4,947,164.03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20,165,274.25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23,251,399.37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4,897,487.10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-3,124,361.90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19,291,983.28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21,994,879.53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29,392,895.42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69,277,172.81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195,504,647.25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-58,797,726.19</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85"/>
        <w:gridCol w:w="1520"/>
        <w:gridCol w:w="1520"/>
        <w:gridCol w:w="1522"/>
        <w:gridCol w:w="1710"/>
      </w:tblGrid>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610" w:hRule="exact"/>
        </w:trPr>
        <w:tc>
          <w:tcPr>
            <w:tcW w:w="3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535" w:right="0"/>
              <w:jc w:val="left"/>
              <w:rPr>
                <w:rFonts w:ascii="Times New Roman" w:hAnsi="Times New Roman" w:cs="Times New Roman" w:eastAsia="Times New Roman" w:hint="default"/>
                <w:sz w:val="18"/>
                <w:szCs w:val="18"/>
              </w:rPr>
            </w:pPr>
            <w:r>
              <w:rPr>
                <w:rFonts w:ascii="Times New Roman"/>
                <w:sz w:val="18"/>
              </w:rPr>
              <w:t>7,435,419.77</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768" w:right="0"/>
              <w:jc w:val="left"/>
              <w:rPr>
                <w:rFonts w:ascii="Times New Roman" w:hAnsi="Times New Roman" w:cs="Times New Roman" w:eastAsia="Times New Roman" w:hint="default"/>
                <w:sz w:val="18"/>
                <w:szCs w:val="18"/>
              </w:rPr>
            </w:pPr>
            <w:r>
              <w:rPr>
                <w:rFonts w:ascii="Times New Roman"/>
                <w:sz w:val="18"/>
              </w:rPr>
              <w:t>15,100.17</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364" w:right="0"/>
              <w:jc w:val="left"/>
              <w:rPr>
                <w:rFonts w:ascii="Times New Roman" w:hAnsi="Times New Roman" w:cs="Times New Roman" w:eastAsia="Times New Roman" w:hint="default"/>
                <w:sz w:val="18"/>
                <w:szCs w:val="18"/>
              </w:rPr>
            </w:pPr>
            <w:r>
              <w:rPr>
                <w:rFonts w:ascii="Times New Roman"/>
                <w:sz w:val="18"/>
              </w:rPr>
              <w:t>216,285,097.21</w:t>
            </w:r>
          </w:p>
        </w:tc>
        <w:tc>
          <w:tcPr>
            <w:tcW w:w="1710" w:type="dxa"/>
            <w:vMerge w:val="restart"/>
            <w:tcBorders>
              <w:top w:val="single" w:sz="4" w:space="0" w:color="000000"/>
              <w:left w:val="single" w:sz="4" w:space="0" w:color="000000"/>
              <w:right w:val="single" w:sz="4" w:space="0" w:color="000000"/>
            </w:tcBorders>
          </w:tcPr>
          <w:p>
            <w:pPr>
              <w:pStyle w:val="TableParagraph"/>
              <w:spacing w:line="314" w:lineRule="auto" w:before="52"/>
              <w:ind w:left="23" w:right="5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月，经公 司第三届董事会第四 十二次会议审议同 意，公司之全资子深 圳民盛大数据技术有 限公司以人民币 </w:t>
            </w:r>
            <w:r>
              <w:rPr>
                <w:rFonts w:ascii="Times New Roman" w:hAnsi="Times New Roman" w:cs="Times New Roman" w:eastAsia="Times New Roman" w:hint="default"/>
                <w:sz w:val="18"/>
                <w:szCs w:val="18"/>
              </w:rPr>
              <w:t>480</w:t>
            </w:r>
          </w:p>
        </w:tc>
      </w:tr>
      <w:tr>
        <w:trPr>
          <w:trHeight w:val="704" w:hRule="exact"/>
        </w:trPr>
        <w:tc>
          <w:tcPr>
            <w:tcW w:w="3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608" w:hRule="exact"/>
        </w:trPr>
        <w:tc>
          <w:tcPr>
            <w:tcW w:w="3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2235"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40"/>
              <w:jc w:val="both"/>
              <w:rPr>
                <w:rFonts w:ascii="宋体" w:hAnsi="宋体" w:cs="宋体" w:eastAsia="宋体" w:hint="default"/>
                <w:sz w:val="18"/>
                <w:szCs w:val="18"/>
              </w:rPr>
            </w:pPr>
            <w:r>
              <w:rPr>
                <w:rFonts w:ascii="宋体" w:hAnsi="宋体" w:cs="宋体" w:eastAsia="宋体" w:hint="default"/>
                <w:sz w:val="18"/>
                <w:szCs w:val="18"/>
              </w:rPr>
              <w:t>万元向北京天尧信息 技术有限公司出售其 持有的深圳民盛云尚 信息技术有限公司的 </w:t>
            </w:r>
            <w:r>
              <w:rPr>
                <w:rFonts w:ascii="Times New Roman" w:hAnsi="Times New Roman" w:cs="Times New Roman" w:eastAsia="Times New Roman" w:hint="default"/>
                <w:sz w:val="18"/>
                <w:szCs w:val="18"/>
              </w:rPr>
              <w:t>66.67%</w:t>
            </w:r>
            <w:r>
              <w:rPr>
                <w:rFonts w:ascii="宋体" w:hAnsi="宋体" w:cs="宋体" w:eastAsia="宋体" w:hint="default"/>
                <w:sz w:val="18"/>
                <w:szCs w:val="18"/>
              </w:rPr>
              <w:t>股权，该业务 产生投资收益</w:t>
            </w:r>
          </w:p>
          <w:p>
            <w:pPr>
              <w:pStyle w:val="TableParagraph"/>
              <w:spacing w:line="240" w:lineRule="auto" w:before="22"/>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753.26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3,142,265.96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5,139,300.52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50,449,346.17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362,517.77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8,124.05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826,558.51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364,895.45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-5,525,737.14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992,326.35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1,684,530.04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-405,683.61</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-1,403,665.62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-26,653.89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70,753.12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558,029.46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394,670.10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68,694,489.61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120,281.83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58,503.67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1,297,193.98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9,926,961.72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-1,855,156.34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200,219,520.80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240" w:lineRule="auto" w:before="25"/>
        <w:ind w:left="514" w:right="0"/>
        <w:jc w:val="left"/>
      </w:pPr>
      <w:r>
        <w:rPr/>
        <w:t>本报告期内，公司从事的主要业务为：第三方支付、商业保理、供应链管理、融资租赁、互联网小贷业务。</w:t>
      </w:r>
    </w:p>
    <w:p>
      <w:pPr>
        <w:pStyle w:val="BodyText"/>
        <w:spacing w:line="314" w:lineRule="auto" w:before="76"/>
        <w:ind w:right="1032" w:firstLine="360"/>
        <w:jc w:val="left"/>
      </w:pPr>
      <w:r>
        <w:rPr>
          <w:rFonts w:ascii="Times New Roman" w:hAnsi="Times New Roman" w:cs="Times New Roman" w:eastAsia="Times New Roman" w:hint="default"/>
        </w:rPr>
        <w:t>1</w:t>
      </w:r>
      <w:r>
        <w:rPr/>
        <w:t>、第三方支付相关业务：公司充分利用广东合利下属控股子公司合利宝拥有中国人民银行核发的支付业务许可证，经 </w:t>
      </w:r>
      <w:r>
        <w:rPr>
          <w:spacing w:val="-2"/>
        </w:rPr>
        <w:t>营范围覆盖全国的优势，在继续保持原有支付业务的基础上，大力发展线上、线下及创新业务等其他第三方支付上下游相关</w:t>
      </w:r>
      <w:r>
        <w:rPr>
          <w:spacing w:val="-66"/>
        </w:rPr>
        <w:t> </w:t>
      </w:r>
      <w:r>
        <w:rPr>
          <w:spacing w:val="-66"/>
        </w:rPr>
      </w:r>
      <w:r>
        <w:rPr>
          <w:spacing w:val="-4"/>
        </w:rPr>
        <w:t>业务，重点打造金融科技产业生态闭环。经营模式：合利宝对外提供第三方支付服务，其生产行为是对支付系统的开发维护。</w:t>
      </w:r>
      <w:r>
        <w:rPr>
          <w:spacing w:val="-46"/>
        </w:rPr>
        <w:t> </w:t>
      </w:r>
      <w:r>
        <w:rPr>
          <w:spacing w:val="-46"/>
        </w:rPr>
      </w:r>
      <w:r>
        <w:rPr>
          <w:spacing w:val="-2"/>
        </w:rPr>
        <w:t>公司生产活动主要为开发、运营并维护支付系统以及清算平台系统、交易资金的清算、用户的审核、银联卡受理终端主密钥</w:t>
      </w:r>
      <w:r>
        <w:rPr>
          <w:spacing w:val="-66"/>
        </w:rPr>
        <w:t> </w:t>
      </w:r>
      <w:r>
        <w:rPr>
          <w:spacing w:val="-66"/>
        </w:rPr>
      </w:r>
      <w:r>
        <w:rPr>
          <w:spacing w:val="-2"/>
        </w:rPr>
        <w:t>的生成和管理、研发增值服务、拓展及初步审核终端用户、提升用户体验、增强用户粘性、为用户提供电话、微信及网络平</w:t>
      </w:r>
      <w:r>
        <w:rPr>
          <w:spacing w:val="-68"/>
        </w:rPr>
        <w:t> </w:t>
      </w:r>
      <w:r>
        <w:rPr>
          <w:spacing w:val="-68"/>
        </w:rPr>
      </w:r>
      <w:r>
        <w:rPr/>
        <w:t>台客服等。</w:t>
      </w:r>
    </w:p>
    <w:p>
      <w:pPr>
        <w:pStyle w:val="BodyText"/>
        <w:spacing w:line="309" w:lineRule="auto" w:before="20"/>
        <w:ind w:right="1032" w:firstLine="360"/>
        <w:jc w:val="left"/>
      </w:pPr>
      <w:r>
        <w:rPr>
          <w:rFonts w:ascii="Times New Roman" w:hAnsi="Times New Roman" w:cs="Times New Roman" w:eastAsia="Times New Roman" w:hint="default"/>
        </w:rPr>
        <w:t>2</w:t>
      </w:r>
      <w:r>
        <w:rPr/>
        <w:t>、商业保理业务：合利保理主要从事保付代理业务（非银行融资类）；供应链管理咨询。经营模式：以保理业务为核 心，依托上市公司平台及资源，围绕核心企业（如央企、上市公司、医院、学校、大中型的优质企业）的供应链和产业链， 在建立风险控制机制，有效控制业务风险的基础上，拓展资产质量优质、周转良好的应收账款等新型保理业务。</w:t>
      </w:r>
    </w:p>
    <w:p>
      <w:pPr>
        <w:pStyle w:val="BodyText"/>
        <w:spacing w:line="240" w:lineRule="auto" w:before="24"/>
        <w:ind w:left="514" w:right="0"/>
        <w:jc w:val="left"/>
      </w:pPr>
      <w:r>
        <w:rPr>
          <w:rFonts w:ascii="Times New Roman" w:hAnsi="Times New Roman" w:cs="Times New Roman" w:eastAsia="Times New Roman" w:hint="default"/>
        </w:rPr>
        <w:t>3</w:t>
      </w:r>
      <w:r>
        <w:rPr/>
        <w:t>、供应链管理业务：公司供应链管理业务专注于供应链管理和供应链金融服务。经营模式：采用产业链</w:t>
      </w:r>
      <w:r>
        <w:rPr>
          <w:rFonts w:ascii="Times New Roman" w:hAnsi="Times New Roman" w:cs="Times New Roman" w:eastAsia="Times New Roman" w:hint="default"/>
        </w:rPr>
        <w:t>+</w:t>
      </w:r>
      <w:r>
        <w:rPr/>
        <w:t>供应链</w:t>
      </w:r>
      <w:r>
        <w:rPr>
          <w:rFonts w:ascii="Times New Roman" w:hAnsi="Times New Roman" w:cs="Times New Roman" w:eastAsia="Times New Roman" w:hint="default"/>
        </w:rPr>
        <w:t>+</w:t>
      </w:r>
      <w:r>
        <w:rPr/>
        <w:t>资本</w:t>
      </w:r>
    </w:p>
    <w:p>
      <w:pPr>
        <w:pStyle w:val="BodyText"/>
        <w:spacing w:line="300" w:lineRule="auto" w:before="63"/>
        <w:ind w:right="0"/>
        <w:jc w:val="left"/>
      </w:pPr>
      <w:r>
        <w:rPr>
          <w:rFonts w:ascii="Times New Roman" w:hAnsi="Times New Roman" w:cs="Times New Roman" w:eastAsia="Times New Roman" w:hint="default"/>
          <w:spacing w:val="-1"/>
        </w:rPr>
        <w:t>+</w:t>
      </w:r>
      <w:r>
        <w:rPr>
          <w:spacing w:val="-1"/>
        </w:rPr>
        <w:t>互联网的模式，有效整合了供应链上企业间的商流、信息流、物流、资金流，通过产品和服务创新，为客户提供一揽子供</w:t>
      </w:r>
      <w:r>
        <w:rPr>
          <w:spacing w:val="-45"/>
        </w:rPr>
        <w:t> </w:t>
      </w:r>
      <w:r>
        <w:rPr>
          <w:spacing w:val="-45"/>
        </w:rPr>
      </w:r>
      <w:r>
        <w:rPr/>
        <w:t>应链解决方案，并搭建了包含上下游企业、金融机构等在内的多赢性服务平台。</w:t>
      </w:r>
    </w:p>
    <w:p>
      <w:pPr>
        <w:pStyle w:val="BodyText"/>
        <w:spacing w:line="309" w:lineRule="auto" w:before="32"/>
        <w:ind w:right="1130" w:firstLine="360"/>
        <w:jc w:val="both"/>
      </w:pPr>
      <w:r>
        <w:rPr>
          <w:rFonts w:ascii="Times New Roman" w:hAnsi="Times New Roman" w:cs="Times New Roman" w:eastAsia="Times New Roman" w:hint="default"/>
        </w:rPr>
        <w:t>4</w:t>
      </w:r>
      <w:r>
        <w:rPr/>
        <w:t>、融资租赁业务：公司主要从事融资租赁及相关保理业务；租赁财产的购买、转让及残值处理；租赁业务咨询。经营 </w:t>
      </w:r>
      <w:r>
        <w:rPr>
          <w:spacing w:val="-1"/>
        </w:rPr>
        <w:t>模式：以国企、上市公司、医院、</w:t>
      </w:r>
      <w:r>
        <w:rPr>
          <w:rFonts w:ascii="Times New Roman" w:hAnsi="Times New Roman" w:cs="Times New Roman" w:eastAsia="Times New Roman" w:hint="default"/>
          <w:spacing w:val="-1"/>
        </w:rPr>
        <w:t>C</w:t>
      </w:r>
      <w:r>
        <w:rPr>
          <w:spacing w:val="-1"/>
        </w:rPr>
        <w:t>端客户为服务对象的融资租赁业务，重点专注于高端装备制造、节能环保、新能源等业</w:t>
      </w:r>
      <w:r>
        <w:rPr>
          <w:spacing w:val="-63"/>
        </w:rPr>
        <w:t> </w:t>
      </w:r>
      <w:r>
        <w:rPr>
          <w:spacing w:val="-63"/>
        </w:rPr>
      </w:r>
      <w:r>
        <w:rPr>
          <w:spacing w:val="-2"/>
        </w:rPr>
        <w:t>务领域；以工程机械、商用车、乘用车为租赁物的融资租赁业务，向小微企业或个人提供融资服务；以医院、公寓为主体的</w:t>
      </w:r>
      <w:r>
        <w:rPr>
          <w:spacing w:val="-67"/>
        </w:rPr>
        <w:t> </w:t>
      </w:r>
      <w:r>
        <w:rPr>
          <w:spacing w:val="-67"/>
        </w:rPr>
      </w:r>
      <w:r>
        <w:rPr>
          <w:spacing w:val="-2"/>
        </w:rPr>
        <w:t>融资租赁业务，将金融和符合国家产业政策的实体产业有机有效结合，按照专业化、规范化、市场化的经营原则，在强化风</w:t>
      </w:r>
      <w:r>
        <w:rPr>
          <w:spacing w:val="-66"/>
        </w:rPr>
        <w:t> </w:t>
      </w:r>
      <w:r>
        <w:rPr>
          <w:spacing w:val="-66"/>
        </w:rPr>
      </w:r>
      <w:r>
        <w:rPr/>
        <w:t>控措施的前提下，促进实体产业发展。</w:t>
      </w:r>
    </w:p>
    <w:p>
      <w:pPr>
        <w:pStyle w:val="BodyText"/>
        <w:spacing w:line="314" w:lineRule="auto" w:before="24"/>
        <w:ind w:right="0" w:firstLine="360"/>
        <w:jc w:val="left"/>
      </w:pPr>
      <w:r>
        <w:rPr>
          <w:rFonts w:ascii="Times New Roman" w:hAnsi="Times New Roman" w:cs="Times New Roman" w:eastAsia="Times New Roman" w:hint="default"/>
        </w:rPr>
        <w:t>5</w:t>
      </w:r>
      <w:r>
        <w:rPr/>
        <w:t>、互联网小贷业务：公司互联网小贷业务是通过线上用户交互系统、数据化风控系统、全面贷后管理系统等面向传统 </w:t>
      </w:r>
      <w:r>
        <w:rPr>
          <w:spacing w:val="-2"/>
        </w:rPr>
        <w:t>行业供应链上的小微企业（商户）提供的全方位金融服务。平台发力普惠金融，以数据为核心、以创新为向导、以科技为动</w:t>
      </w:r>
      <w:r>
        <w:rPr>
          <w:spacing w:val="-68"/>
        </w:rPr>
        <w:t> </w:t>
      </w:r>
      <w:r>
        <w:rPr>
          <w:spacing w:val="-68"/>
        </w:rPr>
      </w:r>
      <w:r>
        <w:rPr>
          <w:spacing w:val="-4"/>
        </w:rPr>
        <w:t>力、以互联网为路径以实现产融结合，通过大数据技术和体系化风控技术为供应链末端的中小微企业打造一个集商流、物流、</w:t>
      </w:r>
      <w:r>
        <w:rPr>
          <w:spacing w:val="-44"/>
        </w:rPr>
        <w:t> </w:t>
      </w:r>
      <w:r>
        <w:rPr>
          <w:spacing w:val="-44"/>
        </w:rPr>
      </w:r>
      <w:r>
        <w:rPr>
          <w:spacing w:val="-2"/>
        </w:rPr>
        <w:t>信息流和资金流四流合一的科技金融、智慧供应服务平台。经营模式：依托互联网大数据，反欺诈系统，民盛小贷推出移动</w:t>
      </w:r>
      <w:r>
        <w:rPr>
          <w:spacing w:val="-65"/>
        </w:rPr>
        <w:t> </w:t>
      </w:r>
      <w:r>
        <w:rPr>
          <w:spacing w:val="-65"/>
        </w:rPr>
      </w:r>
      <w:r>
        <w:rPr/>
        <w:t>端借贷</w:t>
      </w:r>
      <w:r>
        <w:rPr>
          <w:rFonts w:ascii="Times New Roman" w:hAnsi="Times New Roman" w:cs="Times New Roman" w:eastAsia="Times New Roman" w:hint="default"/>
        </w:rPr>
        <w:t>APP</w:t>
      </w:r>
      <w:r>
        <w:rPr>
          <w:rFonts w:ascii="Times New Roman" w:hAnsi="Times New Roman" w:cs="Times New Roman" w:eastAsia="Times New Roman" w:hint="default"/>
        </w:rPr>
        <w:t>——</w:t>
      </w:r>
      <w:r>
        <w:rPr/>
        <w:t>民盛易贷，为中小商户及消费者提供信用借款服务。</w:t>
      </w:r>
    </w:p>
    <w:p>
      <w:pPr>
        <w:spacing w:line="240" w:lineRule="auto" w:before="5"/>
        <w:rPr>
          <w:rFonts w:ascii="宋体" w:hAnsi="宋体" w:cs="宋体" w:eastAsia="宋体" w:hint="default"/>
          <w:sz w:val="19"/>
          <w:szCs w:val="19"/>
        </w:rPr>
      </w:pPr>
    </w:p>
    <w:p>
      <w:pPr>
        <w:pStyle w:val="Heading3"/>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76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，主要由于期初票据在本期承兑所致。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39.63%</w:t>
            </w:r>
            <w:r>
              <w:rPr>
                <w:rFonts w:ascii="宋体" w:hAnsi="宋体" w:cs="宋体" w:eastAsia="宋体" w:hint="default"/>
                <w:sz w:val="18"/>
                <w:szCs w:val="18"/>
              </w:rPr>
              <w:t>，主要由于保理、供应链业务应收账款减少所致。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预付账款较期初减少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52.11%</w:t>
            </w:r>
            <w:r>
              <w:rPr>
                <w:rFonts w:ascii="宋体" w:hAnsi="宋体" w:cs="宋体" w:eastAsia="宋体" w:hint="default"/>
                <w:sz w:val="18"/>
                <w:szCs w:val="18"/>
              </w:rPr>
              <w:t>，主要由于本期供应链业务预付货款减少所致。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247.29%</w:t>
            </w:r>
            <w:r>
              <w:rPr>
                <w:rFonts w:ascii="宋体" w:hAnsi="宋体" w:cs="宋体" w:eastAsia="宋体" w:hint="default"/>
                <w:sz w:val="18"/>
                <w:szCs w:val="18"/>
              </w:rPr>
              <w:t>，主要由于本期保理业务应收利息增加所致。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BodyText"/>
        <w:spacing w:line="240" w:lineRule="auto" w:before="44"/>
        <w:ind w:left="0" w:right="1139"/>
        <w:jc w:val="right"/>
      </w:pPr>
      <w:r>
        <w:rPr/>
        <w:pict>
          <v:shape style="position:absolute;margin-left:56.459999pt;margin-top:-20.948271pt;width:479.2pt;height:76.4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6517"/>
                  </w:tblGrid>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其他应收款较上年增长</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112.01%</w:t>
                        </w:r>
                        <w:r>
                          <w:rPr>
                            <w:rFonts w:ascii="宋体" w:hAnsi="宋体" w:cs="宋体" w:eastAsia="宋体" w:hint="default"/>
                            <w:sz w:val="18"/>
                            <w:szCs w:val="18"/>
                          </w:rPr>
                          <w:t>，主要由于本期保证金增加所致。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其他流动资产较上年增长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894.73%</w:t>
                        </w:r>
                        <w:r>
                          <w:rPr>
                            <w:rFonts w:ascii="宋体" w:hAnsi="宋体" w:cs="宋体" w:eastAsia="宋体" w:hint="default"/>
                            <w:spacing w:val="-80"/>
                            <w:sz w:val="18"/>
                            <w:szCs w:val="18"/>
                          </w:rPr>
                          <w:t>，</w:t>
                        </w:r>
                        <w:r>
                          <w:rPr>
                            <w:rFonts w:ascii="宋体" w:hAnsi="宋体" w:cs="宋体" w:eastAsia="宋体" w:hint="default"/>
                            <w:sz w:val="18"/>
                            <w:szCs w:val="18"/>
                          </w:rPr>
                          <w:t>主要由于第三方支付业务待清算款项增加所致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发放贷款及垫款较上年增长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3178.47%</w:t>
                        </w:r>
                        <w:r>
                          <w:rPr>
                            <w:rFonts w:ascii="宋体" w:hAnsi="宋体" w:cs="宋体" w:eastAsia="宋体" w:hint="default"/>
                            <w:sz w:val="18"/>
                            <w:szCs w:val="18"/>
                          </w:rPr>
                          <w:t>，主要由于本期互联网小贷业务放款增加所 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4"/>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240" w:lineRule="auto" w:before="25"/>
        <w:ind w:right="0"/>
        <w:jc w:val="left"/>
      </w:pPr>
      <w:r>
        <w:rPr/>
        <w:t>公司根据战略发展规划布局相关业务，已形成的核心竞争力如下：</w:t>
      </w:r>
    </w:p>
    <w:p>
      <w:pPr>
        <w:pStyle w:val="BodyText"/>
        <w:spacing w:line="312" w:lineRule="auto" w:before="76"/>
        <w:ind w:right="1032" w:firstLine="360"/>
        <w:jc w:val="left"/>
      </w:pPr>
      <w:r>
        <w:rPr>
          <w:rFonts w:ascii="Times New Roman" w:hAnsi="Times New Roman" w:cs="Times New Roman" w:eastAsia="Times New Roman" w:hint="default"/>
        </w:rPr>
        <w:t>1</w:t>
      </w:r>
      <w:r>
        <w:rPr/>
        <w:t>、具备支付牌照的优势。公司一直坚持在国家主管部门的监管下合法、合规地开展业务，推进公司经营战略的发展。 </w:t>
      </w:r>
      <w:r>
        <w:rPr>
          <w:spacing w:val="-2"/>
        </w:rPr>
        <w:t>公司下属控股子公司拥有中国人民银行核发的支付业务许可证，经营范围覆盖全国的全业务的支付牌照，公司将充分利用支</w:t>
      </w:r>
      <w:r>
        <w:rPr>
          <w:spacing w:val="-64"/>
        </w:rPr>
        <w:t> </w:t>
      </w:r>
      <w:r>
        <w:rPr>
          <w:spacing w:val="-64"/>
        </w:rPr>
      </w:r>
      <w:r>
        <w:rPr>
          <w:spacing w:val="-4"/>
        </w:rPr>
        <w:t>付牌照资质的优势，在继续保持原有支付业务的基础上，大力发展线上、线下及创新业务等其他第三方支付上下游相关业务。</w:t>
      </w:r>
      <w:r>
        <w:rPr>
          <w:spacing w:val="-44"/>
        </w:rPr>
        <w:t> </w:t>
      </w:r>
      <w:r>
        <w:rPr>
          <w:spacing w:val="-44"/>
        </w:rPr>
      </w:r>
      <w:r>
        <w:rPr/>
        <w:t>中国人民银行核发的支付业务经营许可牌照具有一定的稀缺性，具备在全国范围开展线上、线下支付业务的经营资质优势。</w:t>
      </w:r>
    </w:p>
    <w:p>
      <w:pPr>
        <w:pStyle w:val="BodyText"/>
        <w:spacing w:line="312" w:lineRule="auto" w:before="22"/>
        <w:ind w:right="1032" w:firstLine="360"/>
        <w:jc w:val="left"/>
      </w:pPr>
      <w:r>
        <w:rPr>
          <w:rFonts w:ascii="Times New Roman" w:hAnsi="Times New Roman" w:cs="Times New Roman" w:eastAsia="Times New Roman" w:hint="default"/>
        </w:rPr>
        <w:t>2</w:t>
      </w:r>
      <w:r>
        <w:rPr/>
        <w:t>、产业链的协同发展优势。结合公司</w:t>
      </w:r>
      <w:r>
        <w:rPr>
          <w:rFonts w:ascii="Times New Roman" w:hAnsi="Times New Roman" w:cs="Times New Roman" w:eastAsia="Times New Roman" w:hint="default"/>
        </w:rPr>
        <w:t>“</w:t>
      </w:r>
      <w:r>
        <w:rPr/>
        <w:t>打造金融科技生态圈，完善金融科技产业链</w:t>
      </w:r>
      <w:r>
        <w:rPr>
          <w:rFonts w:ascii="Times New Roman" w:hAnsi="Times New Roman" w:cs="Times New Roman" w:eastAsia="Times New Roman" w:hint="default"/>
        </w:rPr>
        <w:t>”</w:t>
      </w:r>
      <w:r>
        <w:rPr/>
        <w:t>的经营发展战略，公司将在第三方 支付、保理、供应链业务的基础上，合规、稳步推进互联网小额贷款业务、消费金融信息咨询和融资租赁等多元金融业务， </w:t>
      </w:r>
      <w:r>
        <w:rPr>
          <w:spacing w:val="-2"/>
        </w:rPr>
        <w:t>逐步投资并布局金融科技产业链上下游，进一步搭建商业金融、科技金融、消费金融等创新金融领域的业务，全面打造金融</w:t>
      </w:r>
      <w:r>
        <w:rPr>
          <w:spacing w:val="-66"/>
        </w:rPr>
        <w:t> </w:t>
      </w:r>
      <w:r>
        <w:rPr>
          <w:spacing w:val="-66"/>
        </w:rPr>
      </w:r>
      <w:r>
        <w:rPr/>
        <w:t>科技生态圈。随着公司在金融科技产业链布局的落实与推进，使公司在产业战略协调方面优势明显，提升了整体竞争实力。</w:t>
      </w:r>
    </w:p>
    <w:p>
      <w:pPr>
        <w:pStyle w:val="BodyText"/>
        <w:spacing w:line="312" w:lineRule="auto" w:before="22"/>
        <w:ind w:right="1032" w:firstLine="360"/>
        <w:jc w:val="left"/>
      </w:pPr>
      <w:r>
        <w:rPr>
          <w:rFonts w:ascii="Times New Roman" w:hAnsi="Times New Roman" w:cs="Times New Roman" w:eastAsia="Times New Roman" w:hint="default"/>
        </w:rPr>
        <w:t>3</w:t>
      </w:r>
      <w:r>
        <w:rPr/>
        <w:t>、客户资源整合优势。公司以第三方支付业务为入口端已积累了一批客户信息，具备比较明显的客户资源优势；公司 </w:t>
      </w:r>
      <w:r>
        <w:rPr>
          <w:spacing w:val="-4"/>
        </w:rPr>
        <w:t>还与中信银行等各类型金融机构、大型企业建立了战略合作伙伴关系；随着公司逐步建立业务模式与金融科技闭环生态系统，</w:t>
      </w:r>
      <w:r>
        <w:rPr>
          <w:spacing w:val="-43"/>
        </w:rPr>
        <w:t> </w:t>
      </w:r>
      <w:r>
        <w:rPr>
          <w:spacing w:val="-43"/>
        </w:rPr>
      </w:r>
      <w:r>
        <w:rPr>
          <w:spacing w:val="-2"/>
        </w:rPr>
        <w:t>公司能够不断整合行业内的各类型客户资源，尤其是优质客户资源。公司对客户资源的整合能力，能为公司持续增强市场竞</w:t>
      </w:r>
      <w:r>
        <w:rPr>
          <w:spacing w:val="-66"/>
        </w:rPr>
        <w:t> </w:t>
      </w:r>
      <w:r>
        <w:rPr>
          <w:spacing w:val="-66"/>
        </w:rPr>
      </w:r>
      <w:r>
        <w:rPr/>
        <w:t>争力。</w:t>
      </w:r>
    </w:p>
    <w:p>
      <w:pPr>
        <w:pStyle w:val="BodyText"/>
        <w:spacing w:line="307" w:lineRule="auto" w:before="22"/>
        <w:ind w:right="1130" w:firstLine="360"/>
        <w:jc w:val="both"/>
      </w:pPr>
      <w:r>
        <w:rPr>
          <w:rFonts w:ascii="Times New Roman" w:hAnsi="Times New Roman" w:cs="Times New Roman" w:eastAsia="Times New Roman" w:hint="default"/>
        </w:rPr>
        <w:t>4</w:t>
      </w:r>
      <w:r>
        <w:rPr/>
        <w:t>、金融科技产品研发技术优势与人才优势。作为拥有第三方支付全牌照的企业，截至报告期末公司及其子公司已获得 </w:t>
      </w:r>
      <w:r>
        <w:rPr>
          <w:spacing w:val="-2"/>
        </w:rPr>
        <w:t>多项安全类认证、发明专利、软件著作权、商标、域名、美术版权、产品登记证书等，还有多项商标、软件著作权等正在申</w:t>
      </w:r>
      <w:r>
        <w:rPr>
          <w:spacing w:val="-67"/>
        </w:rPr>
        <w:t> </w:t>
      </w:r>
      <w:r>
        <w:rPr>
          <w:spacing w:val="-67"/>
        </w:rPr>
      </w:r>
      <w:r>
        <w:rPr>
          <w:spacing w:val="-2"/>
        </w:rPr>
        <w:t>请受理中，涵盖银行卡收单、移动支付、跨境支付、清结算系统等多个方面。其中，民盛小贷开发的民盛易贷业务系统、银</w:t>
      </w:r>
      <w:r>
        <w:rPr>
          <w:spacing w:val="-71"/>
        </w:rPr>
        <w:t> </w:t>
      </w:r>
      <w:r>
        <w:rPr>
          <w:spacing w:val="-71"/>
        </w:rPr>
      </w:r>
      <w:r>
        <w:rPr>
          <w:spacing w:val="-2"/>
        </w:rPr>
        <w:t>河钱包小额贷款平台</w:t>
      </w:r>
      <w:r>
        <w:rPr>
          <w:rFonts w:ascii="Times New Roman" w:hAnsi="Times New Roman" w:cs="Times New Roman" w:eastAsia="Times New Roman" w:hint="default"/>
          <w:spacing w:val="-2"/>
        </w:rPr>
        <w:t>V1.0</w:t>
      </w:r>
      <w:r>
        <w:rPr>
          <w:spacing w:val="-2"/>
        </w:rPr>
        <w:t>获得两项国家计算机软件著作登记证书。公司在发展过程中，不断招募和凝聚了一批由各层次骨干</w:t>
      </w:r>
      <w:r>
        <w:rPr>
          <w:spacing w:val="-56"/>
        </w:rPr>
        <w:t> </w:t>
      </w:r>
      <w:r>
        <w:rPr>
          <w:spacing w:val="-56"/>
        </w:rPr>
      </w:r>
      <w:r>
        <w:rPr>
          <w:spacing w:val="-1"/>
        </w:rPr>
        <w:t>人才组成的经营团队和技术团队，公司技术人员占公司员工总数的</w:t>
      </w:r>
      <w:r>
        <w:rPr>
          <w:rFonts w:ascii="Times New Roman" w:hAnsi="Times New Roman" w:cs="Times New Roman" w:eastAsia="Times New Roman" w:hint="default"/>
          <w:spacing w:val="-1"/>
        </w:rPr>
        <w:t>30%</w:t>
      </w:r>
      <w:r>
        <w:rPr>
          <w:spacing w:val="-1"/>
        </w:rPr>
        <w:t>以上。合利宝通过了广东省</w:t>
      </w:r>
      <w:r>
        <w:rPr>
          <w:rFonts w:ascii="Times New Roman" w:hAnsi="Times New Roman" w:cs="Times New Roman" w:eastAsia="Times New Roman" w:hint="default"/>
          <w:spacing w:val="-1"/>
        </w:rPr>
        <w:t>2017</w:t>
      </w:r>
      <w:r>
        <w:rPr>
          <w:spacing w:val="-1"/>
        </w:rPr>
        <w:t>年第一批高新技术企</w:t>
      </w:r>
      <w:r>
        <w:rPr>
          <w:spacing w:val="-87"/>
        </w:rPr>
        <w:t> </w:t>
      </w:r>
      <w:r>
        <w:rPr>
          <w:spacing w:val="-1"/>
        </w:rPr>
        <w:t>业的认定，高新技术企业证书编号为</w:t>
      </w:r>
      <w:r>
        <w:rPr>
          <w:rFonts w:ascii="Times New Roman" w:hAnsi="Times New Roman" w:cs="Times New Roman" w:eastAsia="Times New Roman" w:hint="default"/>
          <w:spacing w:val="-1"/>
        </w:rPr>
        <w:t>GR201744001270</w:t>
      </w:r>
      <w:r>
        <w:rPr>
          <w:spacing w:val="-1"/>
        </w:rPr>
        <w:t>，发证日期：</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9</w:t>
      </w:r>
      <w:r>
        <w:rPr>
          <w:spacing w:val="-1"/>
        </w:rPr>
        <w:t>日，有效期三年。技术和人才的优势保证了</w:t>
      </w:r>
      <w:r>
        <w:rPr/>
        <w:t> </w:t>
      </w:r>
      <w:r>
        <w:rPr>
          <w:spacing w:val="-2"/>
        </w:rPr>
        <w:t>公司面对新应用、新需求时具备快速集成与融合和创新的能力，保障了公司的稳健持续发展，使得公司在行业内的竞争力不</w:t>
      </w:r>
      <w:r>
        <w:rPr>
          <w:spacing w:val="-66"/>
        </w:rPr>
        <w:t> </w:t>
      </w:r>
      <w:r>
        <w:rPr>
          <w:spacing w:val="-66"/>
        </w:rPr>
      </w:r>
      <w:r>
        <w:rPr/>
        <w:t>断增强。</w:t>
      </w:r>
    </w:p>
    <w:p>
      <w:pPr>
        <w:spacing w:after="0" w:line="30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31" w:firstLine="360"/>
        <w:jc w:val="both"/>
      </w:pPr>
      <w:r>
        <w:rPr>
          <w:rFonts w:ascii="Times New Roman" w:hAnsi="Times New Roman" w:cs="Times New Roman" w:eastAsia="Times New Roman" w:hint="default"/>
          <w:spacing w:val="-2"/>
        </w:rPr>
        <w:t>2018</w:t>
      </w:r>
      <w:r>
        <w:rPr>
          <w:spacing w:val="-2"/>
        </w:rPr>
        <w:t>年度，对仁东控股来说是极不平凡的一年，是极具重要战略发展的关键之年，是具有里程碑意义的转折之年。这一</w:t>
      </w:r>
      <w:r>
        <w:rPr/>
        <w:t> </w:t>
      </w:r>
      <w:r>
        <w:rPr>
          <w:spacing w:val="-2"/>
        </w:rPr>
        <w:t>年，公司面临错综复杂的经济形势，顶住经济下行压力和融资压力，实现整体健康稳定有序的发展；这一年公司发力融资租</w:t>
      </w:r>
      <w:r>
        <w:rPr>
          <w:spacing w:val="-66"/>
        </w:rPr>
        <w:t> </w:t>
      </w:r>
      <w:r>
        <w:rPr>
          <w:spacing w:val="-66"/>
        </w:rPr>
      </w:r>
      <w:r>
        <w:rPr>
          <w:spacing w:val="-2"/>
        </w:rPr>
        <w:t>赁，拓展互联网小贷，参股国有金控平台，多元化金融战略多点推进；这一年公司控股股东变更调整完成，董事会顺利完成</w:t>
      </w:r>
      <w:r>
        <w:rPr>
          <w:spacing w:val="-66"/>
        </w:rPr>
        <w:t> </w:t>
      </w:r>
      <w:r>
        <w:rPr>
          <w:spacing w:val="-66"/>
        </w:rPr>
      </w:r>
      <w:r>
        <w:rPr/>
        <w:t>换届，管理层顺利实现交接，公司治理工作、人才队伍建设、企业文化建设等逐一掀开新的篇章。</w:t>
      </w:r>
    </w:p>
    <w:p>
      <w:pPr>
        <w:pStyle w:val="BodyText"/>
        <w:spacing w:line="316" w:lineRule="auto" w:before="22"/>
        <w:ind w:left="514" w:right="0"/>
        <w:jc w:val="left"/>
      </w:pPr>
      <w:r>
        <w:rPr/>
        <w:t>一、战略规划稳步推进，收入利润同步增长 </w:t>
      </w:r>
      <w:r>
        <w:rPr>
          <w:spacing w:val="-2"/>
        </w:rPr>
        <w:t>公司以</w:t>
      </w:r>
      <w:r>
        <w:rPr>
          <w:rFonts w:ascii="Times New Roman" w:hAnsi="Times New Roman" w:cs="Times New Roman" w:eastAsia="Times New Roman" w:hint="default"/>
          <w:spacing w:val="-2"/>
        </w:rPr>
        <w:t>“</w:t>
      </w:r>
      <w:r>
        <w:rPr>
          <w:spacing w:val="-2"/>
        </w:rPr>
        <w:t>打造金融科技生态圈、完善金融科技产业链</w:t>
      </w:r>
      <w:r>
        <w:rPr>
          <w:rFonts w:ascii="Times New Roman" w:hAnsi="Times New Roman" w:cs="Times New Roman" w:eastAsia="Times New Roman" w:hint="default"/>
          <w:spacing w:val="-2"/>
        </w:rPr>
        <w:t>”</w:t>
      </w:r>
      <w:r>
        <w:rPr>
          <w:spacing w:val="-2"/>
        </w:rPr>
        <w:t>为战略发展规划，进一步搭建商业金融、科技金融、资产管理等创</w:t>
      </w:r>
    </w:p>
    <w:p>
      <w:pPr>
        <w:pStyle w:val="BodyText"/>
        <w:spacing w:line="316" w:lineRule="auto"/>
        <w:ind w:right="1130"/>
        <w:jc w:val="both"/>
      </w:pPr>
      <w:r>
        <w:rPr>
          <w:spacing w:val="-2"/>
        </w:rPr>
        <w:t>新金融领域的业务，形成第三方支付相关业务的上下游产业链，全力打造金融科技产业生态闭环。公司以第三方支付业务为</w:t>
      </w:r>
      <w:r>
        <w:rPr>
          <w:spacing w:val="-66"/>
        </w:rPr>
        <w:t> </w:t>
      </w:r>
      <w:r>
        <w:rPr>
          <w:spacing w:val="-66"/>
        </w:rPr>
      </w:r>
      <w:r>
        <w:rPr>
          <w:spacing w:val="-2"/>
        </w:rPr>
        <w:t>入口，切入保理、供应链、融资租赁、互联网普惠金融等多个细分领域，不断增强公司的盈利能力和可持续发展能力。报告</w:t>
      </w:r>
      <w:r>
        <w:rPr>
          <w:spacing w:val="-67"/>
        </w:rPr>
        <w:t> </w:t>
      </w:r>
      <w:r>
        <w:rPr>
          <w:spacing w:val="-67"/>
        </w:rPr>
      </w:r>
      <w:r>
        <w:rPr/>
        <w:t>期内，公司实现营业收入</w:t>
      </w:r>
      <w:r>
        <w:rPr>
          <w:rFonts w:ascii="Times New Roman" w:hAnsi="Times New Roman" w:cs="Times New Roman" w:eastAsia="Times New Roman" w:hint="default"/>
        </w:rPr>
        <w:t>14.86</w:t>
      </w:r>
      <w:r>
        <w:rPr/>
        <w:t>亿元，同比增长</w:t>
      </w:r>
      <w:r>
        <w:rPr>
          <w:rFonts w:ascii="Times New Roman" w:hAnsi="Times New Roman" w:cs="Times New Roman" w:eastAsia="Times New Roman" w:hint="default"/>
        </w:rPr>
        <w:t>55.84%</w:t>
      </w:r>
      <w:r>
        <w:rPr/>
        <w:t>；归属于母公司净利润</w:t>
      </w:r>
      <w:r>
        <w:rPr>
          <w:rFonts w:ascii="Times New Roman" w:hAnsi="Times New Roman" w:cs="Times New Roman" w:eastAsia="Times New Roman" w:hint="default"/>
        </w:rPr>
        <w:t>5,298.69</w:t>
      </w:r>
      <w:r>
        <w:rPr/>
        <w:t>万元，同比增长</w:t>
      </w:r>
      <w:r>
        <w:rPr>
          <w:rFonts w:ascii="Times New Roman" w:hAnsi="Times New Roman" w:cs="Times New Roman" w:eastAsia="Times New Roman" w:hint="default"/>
        </w:rPr>
        <w:t>124.56%</w:t>
      </w:r>
      <w:r>
        <w:rPr/>
        <w:t>。</w:t>
      </w:r>
    </w:p>
    <w:p>
      <w:pPr>
        <w:pStyle w:val="BodyText"/>
        <w:spacing w:line="316" w:lineRule="auto"/>
        <w:ind w:left="514" w:right="0"/>
        <w:jc w:val="left"/>
      </w:pPr>
      <w:r>
        <w:rPr/>
        <w:t>二、支付产业快速发展，多元产业协同发力 </w:t>
      </w:r>
      <w:r>
        <w:rPr>
          <w:spacing w:val="-2"/>
        </w:rPr>
        <w:t>支付产业作为公司重要业绩支撑，随着专业人才的不断引进，以及风控系统、新业务系统的搭建及完善，支付产业进一</w:t>
      </w:r>
    </w:p>
    <w:p>
      <w:pPr>
        <w:pStyle w:val="BodyText"/>
        <w:spacing w:line="307" w:lineRule="auto" w:before="19"/>
        <w:ind w:right="1131"/>
        <w:jc w:val="both"/>
      </w:pPr>
      <w:r>
        <w:rPr>
          <w:spacing w:val="-2"/>
        </w:rPr>
        <w:t>步取得跨越式发展。报告期内，广东合利金融科技服务有限公司实现营业收入</w:t>
      </w:r>
      <w:r>
        <w:rPr>
          <w:rFonts w:ascii="Times New Roman" w:hAnsi="Times New Roman" w:cs="Times New Roman" w:eastAsia="Times New Roman" w:hint="default"/>
          <w:spacing w:val="-2"/>
        </w:rPr>
        <w:t>12.20</w:t>
      </w:r>
      <w:r>
        <w:rPr>
          <w:spacing w:val="-2"/>
        </w:rPr>
        <w:t>亿元，净利润</w:t>
      </w:r>
      <w:r>
        <w:rPr>
          <w:rFonts w:ascii="Times New Roman" w:hAnsi="Times New Roman" w:cs="Times New Roman" w:eastAsia="Times New Roman" w:hint="default"/>
          <w:spacing w:val="-2"/>
        </w:rPr>
        <w:t>1.42</w:t>
      </w:r>
      <w:r>
        <w:rPr>
          <w:spacing w:val="-2"/>
        </w:rPr>
        <w:t>亿元。广东合利控股的</w:t>
      </w:r>
      <w:r>
        <w:rPr>
          <w:spacing w:val="-59"/>
        </w:rPr>
        <w:t> </w:t>
      </w:r>
      <w:r>
        <w:rPr>
          <w:spacing w:val="-59"/>
        </w:rPr>
      </w:r>
      <w:r>
        <w:rPr>
          <w:spacing w:val="-2"/>
        </w:rPr>
        <w:t>子公司合利宝是广州市唯一一家具备互联网支付，移动支付、线下收单全牌照的第三方支付公司，并通过了广东省</w:t>
      </w:r>
      <w:r>
        <w:rPr>
          <w:rFonts w:ascii="Times New Roman" w:hAnsi="Times New Roman" w:cs="Times New Roman" w:eastAsia="Times New Roman" w:hint="default"/>
          <w:spacing w:val="-2"/>
        </w:rPr>
        <w:t>2017</w:t>
      </w:r>
      <w:r>
        <w:rPr>
          <w:spacing w:val="-2"/>
        </w:rPr>
        <w:t>年第</w:t>
      </w:r>
      <w:r>
        <w:rPr>
          <w:spacing w:val="-61"/>
        </w:rPr>
        <w:t> </w:t>
      </w:r>
      <w:r>
        <w:rPr>
          <w:spacing w:val="-2"/>
        </w:rPr>
        <w:t>一批高新技术企业的认定。公司积极拥抱监管，在中国人民银行政策指导和银联、网联以及各商业银行的支持下，提前完成</w:t>
      </w:r>
      <w:r>
        <w:rPr>
          <w:spacing w:val="-66"/>
        </w:rPr>
        <w:t> </w:t>
      </w:r>
      <w:r>
        <w:rPr>
          <w:spacing w:val="-66"/>
        </w:rPr>
      </w:r>
      <w:r>
        <w:rPr>
          <w:rFonts w:ascii="Times New Roman" w:hAnsi="Times New Roman" w:cs="Times New Roman" w:eastAsia="Times New Roman" w:hint="default"/>
        </w:rPr>
        <w:t>“</w:t>
      </w:r>
      <w:r>
        <w:rPr/>
        <w:t>断直连</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备付金全部集中交存</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注销商业银行的备付金账户</w:t>
      </w:r>
      <w:r>
        <w:rPr>
          <w:rFonts w:ascii="Times New Roman" w:hAnsi="Times New Roman" w:cs="Times New Roman" w:eastAsia="Times New Roman" w:hint="default"/>
        </w:rPr>
        <w:t>”</w:t>
      </w:r>
      <w:r>
        <w:rPr/>
        <w:t>等工作。</w:t>
      </w:r>
    </w:p>
    <w:p>
      <w:pPr>
        <w:pStyle w:val="BodyText"/>
        <w:spacing w:line="319" w:lineRule="auto" w:before="7"/>
        <w:ind w:right="1132" w:firstLine="360"/>
        <w:jc w:val="both"/>
      </w:pPr>
      <w:r>
        <w:rPr>
          <w:spacing w:val="-2"/>
        </w:rPr>
        <w:t>与此同时，公司以支付产业为入口，全面发力各细分领域，打造金融科技生态圈。报告期内，公司供应链和保理业务营</w:t>
      </w:r>
      <w:r>
        <w:rPr/>
        <w:t> </w:t>
      </w:r>
      <w:r>
        <w:rPr>
          <w:spacing w:val="-2"/>
        </w:rPr>
        <w:t>收规模持续巩固；融资租赁业务逐步发力；互联网小贷业务试运营进展顺利；北京海淀科技金融资本控股集团股份有限公司</w:t>
      </w:r>
      <w:r>
        <w:rPr>
          <w:spacing w:val="-66"/>
        </w:rPr>
        <w:t> </w:t>
      </w:r>
      <w:r>
        <w:rPr>
          <w:spacing w:val="-66"/>
        </w:rPr>
      </w:r>
      <w:r>
        <w:rPr/>
        <w:t>参股工作开启国企民企合作新征程，公司的金融科技生态圈雏形愈加明晰。</w:t>
      </w:r>
    </w:p>
    <w:p>
      <w:pPr>
        <w:pStyle w:val="BodyText"/>
        <w:spacing w:line="316" w:lineRule="auto" w:before="17"/>
        <w:ind w:left="514" w:right="1122"/>
        <w:jc w:val="left"/>
      </w:pPr>
      <w:r>
        <w:rPr/>
        <w:t>三、公司治理持续完善，人才队伍建设不断加强 公司不断完善法人治理结构，健全内部管理制度，加强内部控制建设，提升公司治理水平。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月，公司第四届董</w:t>
      </w:r>
    </w:p>
    <w:p>
      <w:pPr>
        <w:pStyle w:val="BodyText"/>
        <w:spacing w:line="316" w:lineRule="auto"/>
        <w:ind w:right="1032"/>
        <w:jc w:val="left"/>
      </w:pPr>
      <w:r>
        <w:rPr>
          <w:spacing w:val="-2"/>
        </w:rPr>
        <w:t>事会、监事会正式组建，新的高管团队正式搭建。公司及时组织新一届的董事、监事、高管和重要岗位负责人参加监管部门</w:t>
      </w:r>
      <w:r>
        <w:rPr>
          <w:spacing w:val="-66"/>
        </w:rPr>
        <w:t> </w:t>
      </w:r>
      <w:r>
        <w:rPr>
          <w:spacing w:val="-66"/>
        </w:rPr>
      </w:r>
      <w:r>
        <w:rPr/>
        <w:t>组织的董事培训班、财务总监培训班。同时，董事会办公室举办两期全员内部规范运作培训，不断提升全员规范运营意识， </w:t>
      </w:r>
      <w:r>
        <w:rPr>
          <w:spacing w:val="-2"/>
        </w:rPr>
        <w:t>有效夯实公司规范运作基础。公司招聘录用了一批具有央企、国企、大型金融机构工作经历的中高级管理人员及员工，不断</w:t>
      </w:r>
      <w:r>
        <w:rPr>
          <w:spacing w:val="-66"/>
        </w:rPr>
        <w:t> </w:t>
      </w:r>
      <w:r>
        <w:rPr>
          <w:spacing w:val="-66"/>
        </w:rPr>
      </w:r>
      <w:r>
        <w:rPr/>
        <w:t>加强公司风险管理、技术管理等关键环节工作，推进公司各板块业务的发展。</w:t>
      </w:r>
    </w:p>
    <w:p>
      <w:pPr>
        <w:pStyle w:val="BodyText"/>
        <w:spacing w:line="316" w:lineRule="auto" w:before="19"/>
        <w:ind w:left="514" w:right="1122"/>
        <w:jc w:val="left"/>
      </w:pPr>
      <w:r>
        <w:rPr/>
        <w:t>四、控股股东资金支持，业绩承诺积极兑现 为支持公司新业务拓展，控股股东仁东科技在资金方面给予大力支持，</w:t>
      </w:r>
      <w:r>
        <w:rPr>
          <w:rFonts w:ascii="Times New Roman" w:hAnsi="Times New Roman" w:cs="Times New Roman" w:eastAsia="Times New Roman" w:hint="default"/>
        </w:rPr>
        <w:t>2018</w:t>
      </w:r>
      <w:r>
        <w:rPr/>
        <w:t>年度累计向公司提供借款</w:t>
      </w:r>
      <w:r>
        <w:rPr>
          <w:rFonts w:ascii="Times New Roman" w:hAnsi="Times New Roman" w:cs="Times New Roman" w:eastAsia="Times New Roman" w:hint="default"/>
        </w:rPr>
        <w:t>9</w:t>
      </w:r>
      <w:r>
        <w:rPr/>
        <w:t>亿多，有效保障</w:t>
      </w:r>
    </w:p>
    <w:p>
      <w:pPr>
        <w:pStyle w:val="BodyText"/>
        <w:spacing w:line="300" w:lineRule="auto"/>
        <w:ind w:right="1130"/>
        <w:jc w:val="both"/>
      </w:pPr>
      <w:r>
        <w:rPr/>
        <w:t>公司业务拓展和盈利水平的提升。</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月，仁东科技成为公司新的控股股东，鉴于广东合利</w:t>
      </w:r>
      <w:r>
        <w:rPr>
          <w:rFonts w:ascii="Times New Roman" w:hAnsi="Times New Roman" w:cs="Times New Roman" w:eastAsia="Times New Roman" w:hint="default"/>
        </w:rPr>
        <w:t>2017</w:t>
      </w:r>
      <w:r>
        <w:rPr/>
        <w:t>年度实现的业绩未达到 </w:t>
      </w:r>
      <w:r>
        <w:rPr>
          <w:spacing w:val="-2"/>
        </w:rPr>
        <w:t>预测业绩，并存在减值情形，根据业绩承诺补偿协议，仁东科技认真履行承诺，支付</w:t>
      </w:r>
      <w:r>
        <w:rPr>
          <w:rFonts w:ascii="Times New Roman" w:hAnsi="Times New Roman" w:cs="Times New Roman" w:eastAsia="Times New Roman" w:hint="default"/>
          <w:spacing w:val="-2"/>
        </w:rPr>
        <w:t>2017</w:t>
      </w:r>
      <w:r>
        <w:rPr>
          <w:spacing w:val="-2"/>
        </w:rPr>
        <w:t>年度业绩承诺补偿款合计</w:t>
      </w:r>
      <w:r>
        <w:rPr>
          <w:rFonts w:ascii="Times New Roman" w:hAnsi="Times New Roman" w:cs="Times New Roman" w:eastAsia="Times New Roman" w:hint="default"/>
          <w:spacing w:val="-2"/>
        </w:rPr>
        <w:t>13,950.24</w:t>
      </w:r>
      <w:r>
        <w:rPr>
          <w:rFonts w:ascii="Times New Roman" w:hAnsi="Times New Roman" w:cs="Times New Roman" w:eastAsia="Times New Roman" w:hint="default"/>
          <w:spacing w:val="-7"/>
        </w:rPr>
        <w:t> </w:t>
      </w:r>
      <w:r>
        <w:rPr/>
        <w:t>万元，体现了公司控股股东的诚信和实力。</w:t>
      </w:r>
    </w:p>
    <w:p>
      <w:pPr>
        <w:pStyle w:val="BodyText"/>
        <w:spacing w:line="300" w:lineRule="auto" w:before="31"/>
        <w:ind w:right="1169" w:firstLine="360"/>
        <w:jc w:val="both"/>
      </w:pPr>
      <w:r>
        <w:rPr>
          <w:rFonts w:ascii="Times New Roman" w:hAnsi="Times New Roman" w:cs="Times New Roman" w:eastAsia="Times New Roman" w:hint="default"/>
        </w:rPr>
        <w:t>2019</w:t>
      </w:r>
      <w:r>
        <w:rPr/>
        <w:t>年度，公司将秉持</w:t>
      </w:r>
      <w:r>
        <w:rPr>
          <w:rFonts w:ascii="Times New Roman" w:hAnsi="Times New Roman" w:cs="Times New Roman" w:eastAsia="Times New Roman" w:hint="default"/>
        </w:rPr>
        <w:t>“</w:t>
      </w:r>
      <w:r>
        <w:rPr/>
        <w:t>合规是前提、风控是保障、人才是基础、创新是动力、发展是核心</w:t>
      </w:r>
      <w:r>
        <w:rPr>
          <w:rFonts w:ascii="Times New Roman" w:hAnsi="Times New Roman" w:cs="Times New Roman" w:eastAsia="Times New Roman" w:hint="default"/>
        </w:rPr>
        <w:t>”</w:t>
      </w:r>
      <w:r>
        <w:rPr/>
        <w:t>的发展理念，持续推进</w:t>
      </w:r>
      <w:r>
        <w:rPr>
          <w:rFonts w:ascii="Times New Roman" w:hAnsi="Times New Roman" w:cs="Times New Roman" w:eastAsia="Times New Roman" w:hint="default"/>
        </w:rPr>
        <w:t>“</w:t>
      </w:r>
      <w:r>
        <w:rPr/>
        <w:t>打 造金融科技生态圈、完善金融科技产业链</w:t>
      </w:r>
      <w:r>
        <w:rPr>
          <w:rFonts w:ascii="Times New Roman" w:hAnsi="Times New Roman" w:cs="Times New Roman" w:eastAsia="Times New Roman" w:hint="default"/>
        </w:rPr>
        <w:t>”</w:t>
      </w:r>
      <w:r>
        <w:rPr/>
        <w:t>战略落地，稳步推动公司业绩的提升，实现公司持续、稳定、健康的发展。</w:t>
      </w:r>
    </w:p>
    <w:p>
      <w:pPr>
        <w:pStyle w:val="BodyText"/>
        <w:spacing w:line="240" w:lineRule="auto" w:before="13"/>
        <w:ind w:left="514" w:right="0"/>
        <w:jc w:val="left"/>
      </w:pPr>
      <w:r>
        <w:rPr/>
        <w:t>一、坚定多元化发展战略，打造科技金融强企</w:t>
      </w:r>
    </w:p>
    <w:p>
      <w:pPr>
        <w:pStyle w:val="BodyText"/>
        <w:spacing w:line="309" w:lineRule="auto" w:before="76"/>
        <w:ind w:right="1130" w:firstLine="360"/>
        <w:jc w:val="both"/>
      </w:pPr>
      <w:r>
        <w:rPr>
          <w:rFonts w:ascii="Times New Roman" w:hAnsi="Times New Roman" w:cs="Times New Roman" w:eastAsia="Times New Roman" w:hint="default"/>
          <w:spacing w:val="-2"/>
        </w:rPr>
        <w:t>2019</w:t>
      </w:r>
      <w:r>
        <w:rPr>
          <w:spacing w:val="-2"/>
        </w:rPr>
        <w:t>年度是公司实施重组转型发展的关键一年。公司将坚定沿着整体战略发展方向，围绕保持支付、保理业务、融资租</w:t>
      </w:r>
      <w:r>
        <w:rPr/>
        <w:t> </w:t>
      </w:r>
      <w:r>
        <w:rPr>
          <w:spacing w:val="-2"/>
        </w:rPr>
        <w:t>赁板块稳定发展的主线，积极拓展供应链、互联网小贷等业务板块，继续探索其他相关协同领域。</w:t>
      </w:r>
      <w:r>
        <w:rPr>
          <w:rFonts w:ascii="Times New Roman" w:hAnsi="Times New Roman" w:cs="Times New Roman" w:eastAsia="Times New Roman" w:hint="default"/>
          <w:spacing w:val="-2"/>
        </w:rPr>
        <w:t>2019</w:t>
      </w:r>
      <w:r>
        <w:rPr>
          <w:spacing w:val="-2"/>
        </w:rPr>
        <w:t>年度，公司将以研发</w:t>
      </w:r>
      <w:r>
        <w:rPr>
          <w:spacing w:val="-61"/>
        </w:rPr>
        <w:t> </w:t>
      </w:r>
      <w:r>
        <w:rPr>
          <w:spacing w:val="-61"/>
        </w:rPr>
      </w:r>
      <w:r>
        <w:rPr>
          <w:spacing w:val="-2"/>
        </w:rPr>
        <w:t>创新为驱动，持续构建核心竞争力，一方面，借力大数据、区块链等新兴技术的进步，统筹企业和商户综合服务方案，助力</w:t>
      </w:r>
      <w:r>
        <w:rPr>
          <w:spacing w:val="-68"/>
        </w:rPr>
        <w:t> </w:t>
      </w:r>
      <w:r>
        <w:rPr>
          <w:spacing w:val="-68"/>
        </w:rPr>
      </w:r>
      <w:r>
        <w:rPr>
          <w:spacing w:val="-2"/>
        </w:rPr>
        <w:t>现有产业板块的发展，积极拓展新兴业务，持续完善现有金融科技产业链；另一方面，有效整合现有业务，继续纵深挖掘内</w:t>
      </w:r>
      <w:r>
        <w:rPr>
          <w:spacing w:val="-66"/>
        </w:rPr>
        <w:t> </w:t>
      </w:r>
      <w:r>
        <w:rPr>
          <w:spacing w:val="-66"/>
        </w:rPr>
      </w:r>
      <w:r>
        <w:rPr/>
        <w:t>在价值，打造金融科技生态圈。最终打造成为助力国家经济改革、促进产业转型升级的多元金融科技强企。</w:t>
      </w:r>
    </w:p>
    <w:p>
      <w:pPr>
        <w:pStyle w:val="BodyText"/>
        <w:spacing w:line="240" w:lineRule="auto" w:before="24"/>
        <w:ind w:left="514" w:right="0"/>
        <w:jc w:val="left"/>
      </w:pPr>
      <w:r>
        <w:rPr/>
        <w:t>二、加强公司治理，促进</w:t>
      </w:r>
      <w:r>
        <w:rPr>
          <w:rFonts w:ascii="Times New Roman" w:hAnsi="Times New Roman" w:cs="Times New Roman" w:eastAsia="Times New Roman" w:hint="default"/>
        </w:rPr>
        <w:t>“</w:t>
      </w:r>
      <w:r>
        <w:rPr/>
        <w:t>内控</w:t>
      </w:r>
      <w:r>
        <w:rPr>
          <w:rFonts w:ascii="Times New Roman" w:hAnsi="Times New Roman" w:cs="Times New Roman" w:eastAsia="Times New Roman" w:hint="default"/>
        </w:rPr>
        <w:t>+</w:t>
      </w:r>
      <w:r>
        <w:rPr/>
        <w:t>风控</w:t>
      </w:r>
      <w:r>
        <w:rPr>
          <w:rFonts w:ascii="Times New Roman" w:hAnsi="Times New Roman" w:cs="Times New Roman" w:eastAsia="Times New Roman" w:hint="default"/>
        </w:rPr>
        <w:t>”</w:t>
      </w:r>
      <w:r>
        <w:rPr/>
        <w:t>双提升</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2" w:firstLine="360"/>
        <w:jc w:val="left"/>
      </w:pPr>
      <w:r>
        <w:rPr>
          <w:spacing w:val="-2"/>
        </w:rPr>
        <w:t>在新一轮科技革命和产业变革的背景下，金融科技蓬勃发展，为公司转型升级提供源源不断的动力，但金融科技行业新</w:t>
      </w:r>
      <w:r>
        <w:rPr/>
        <w:t> </w:t>
      </w:r>
      <w:r>
        <w:rPr>
          <w:spacing w:val="-2"/>
        </w:rPr>
        <w:t>潮的兴起也对公司的风险管理带来更大的挑战。</w:t>
      </w:r>
      <w:r>
        <w:rPr>
          <w:rFonts w:ascii="Times New Roman" w:hAnsi="Times New Roman" w:cs="Times New Roman" w:eastAsia="Times New Roman" w:hint="default"/>
          <w:spacing w:val="-2"/>
        </w:rPr>
        <w:t>2019</w:t>
      </w:r>
      <w:r>
        <w:rPr>
          <w:spacing w:val="-2"/>
        </w:rPr>
        <w:t>年度，公司将坚持内控和风控两手抓，在双控模式的护航下，加速实现</w:t>
      </w:r>
      <w:r>
        <w:rPr>
          <w:spacing w:val="-61"/>
        </w:rPr>
        <w:t> </w:t>
      </w:r>
      <w:r>
        <w:rPr>
          <w:spacing w:val="-61"/>
        </w:rPr>
      </w:r>
      <w:r>
        <w:rPr>
          <w:spacing w:val="-2"/>
        </w:rPr>
        <w:t>新一轮飞跃。在内部管理方面，公司将不断完善法人治理结构，建立以董事会为治理核心，监事会、经理层、职代会等职责</w:t>
      </w:r>
      <w:r>
        <w:rPr>
          <w:spacing w:val="-67"/>
        </w:rPr>
        <w:t> </w:t>
      </w:r>
      <w:r>
        <w:rPr>
          <w:spacing w:val="-67"/>
        </w:rPr>
      </w:r>
      <w:r>
        <w:rPr>
          <w:spacing w:val="-2"/>
        </w:rPr>
        <w:t>明确、各负其责、协调运转、有效制衡的公司治理结构，最大限度地发挥公司治理的制衡作用，不断健全内部管理制度，优</w:t>
      </w:r>
      <w:r>
        <w:rPr>
          <w:spacing w:val="-67"/>
        </w:rPr>
        <w:t> </w:t>
      </w:r>
      <w:r>
        <w:rPr>
          <w:spacing w:val="-67"/>
        </w:rPr>
      </w:r>
      <w:r>
        <w:rPr>
          <w:spacing w:val="-2"/>
        </w:rPr>
        <w:t>化内部控制体系，提升公司治理水平；同时将严格按照上市公司和其他金融行业的监管要求，坚持自律合规，通过金融产品</w:t>
      </w:r>
      <w:r>
        <w:rPr>
          <w:spacing w:val="-65"/>
        </w:rPr>
        <w:t> </w:t>
      </w:r>
      <w:r>
        <w:rPr>
          <w:spacing w:val="-65"/>
        </w:rPr>
      </w:r>
      <w:r>
        <w:rPr>
          <w:spacing w:val="-2"/>
        </w:rPr>
        <w:t>创新、业务模式创新、风控技术创新，不断提高金融资源配置效率，有力支持实体经济发展。在风险控管方面，公司将结合</w:t>
      </w:r>
      <w:r>
        <w:rPr>
          <w:spacing w:val="-68"/>
        </w:rPr>
        <w:t> </w:t>
      </w:r>
      <w:r>
        <w:rPr>
          <w:spacing w:val="-68"/>
        </w:rPr>
      </w:r>
      <w:r>
        <w:rPr>
          <w:spacing w:val="-2"/>
        </w:rPr>
        <w:t>公司业务开展的实际情况，持续修订完善公司风控制度，建立严密的管控体系，强化对外投资、对外担保、资金使用、关联</w:t>
      </w:r>
      <w:r>
        <w:rPr>
          <w:spacing w:val="-68"/>
        </w:rPr>
        <w:t> </w:t>
      </w:r>
      <w:r>
        <w:rPr>
          <w:spacing w:val="-68"/>
        </w:rPr>
      </w:r>
      <w:r>
        <w:rPr/>
        <w:t>交易等重要环节的管理，防范经营风险；同时通过聘请业内在金融、支付方面专业能力较强的服务商，进行风控平台升级、 创新等系统建设，从而严格控制和管理风险，确保各产业稳健发展。</w:t>
      </w:r>
    </w:p>
    <w:p>
      <w:pPr>
        <w:pStyle w:val="BodyText"/>
        <w:spacing w:line="316" w:lineRule="auto" w:before="19"/>
        <w:ind w:left="514" w:right="0"/>
        <w:jc w:val="left"/>
      </w:pPr>
      <w:r>
        <w:rPr/>
        <w:t>三、加强企业文化建设，打造专业人才队伍 </w:t>
      </w:r>
      <w:r>
        <w:rPr>
          <w:spacing w:val="-4"/>
        </w:rPr>
        <w:t>文化是企业的灵魂，是企业生生不息、创新发展的源动力。面对日趋激烈的市场竞争，公司将抢抓机遇、积极应对挑战，</w:t>
      </w:r>
    </w:p>
    <w:p>
      <w:pPr>
        <w:pStyle w:val="BodyText"/>
        <w:spacing w:line="309" w:lineRule="auto" w:before="19"/>
        <w:ind w:right="1130"/>
        <w:jc w:val="both"/>
      </w:pPr>
      <w:r>
        <w:rPr>
          <w:spacing w:val="-2"/>
        </w:rPr>
        <w:t>切实加强企业文化建设，通过加强企业文化建设，提升公司的凝聚力、创新力、影响力和核心竞争力。在人才培养方面，公</w:t>
      </w:r>
      <w:r>
        <w:rPr>
          <w:spacing w:val="-68"/>
        </w:rPr>
        <w:t> </w:t>
      </w:r>
      <w:r>
        <w:rPr>
          <w:spacing w:val="-68"/>
        </w:rPr>
      </w:r>
      <w:r>
        <w:rPr>
          <w:spacing w:val="-2"/>
        </w:rPr>
        <w:t>司将积极打造具有信任、激情、担当、开放、团结等高品质素养的具备风险意识和风险规避技能的人才队伍，满足公司发展</w:t>
      </w:r>
      <w:r>
        <w:rPr>
          <w:spacing w:val="-66"/>
        </w:rPr>
        <w:t> </w:t>
      </w:r>
      <w:r>
        <w:rPr>
          <w:spacing w:val="-66"/>
        </w:rPr>
      </w:r>
      <w:r>
        <w:rPr>
          <w:spacing w:val="-2"/>
        </w:rPr>
        <w:t>对人力资源方面的需求；在团队管理方面，公司将加强人力资源管理的改革创新，鼓励管理创新、技术创新、业务创新，不</w:t>
      </w:r>
      <w:r>
        <w:rPr>
          <w:spacing w:val="-67"/>
        </w:rPr>
        <w:t> </w:t>
      </w:r>
      <w:r>
        <w:rPr>
          <w:spacing w:val="-67"/>
        </w:rPr>
      </w:r>
      <w:r>
        <w:rPr>
          <w:spacing w:val="-3"/>
        </w:rPr>
        <w:t>断提升专业人才团队的核心竞争力；在绩效管理方面，将通过推动企业创新建立绩效考核机制，激励员工不断进取，形成</w:t>
      </w:r>
      <w:r>
        <w:rPr>
          <w:rFonts w:ascii="Times New Roman" w:hAnsi="Times New Roman" w:cs="Times New Roman" w:eastAsia="Times New Roman" w:hint="default"/>
          <w:spacing w:val="-3"/>
        </w:rPr>
        <w:t>“</w:t>
      </w:r>
      <w:r>
        <w:rPr>
          <w:spacing w:val="-3"/>
        </w:rPr>
        <w:t>有</w:t>
      </w:r>
      <w:r>
        <w:rPr/>
        <w:t> 为才有位</w:t>
      </w:r>
      <w:r>
        <w:rPr>
          <w:rFonts w:ascii="Times New Roman" w:hAnsi="Times New Roman" w:cs="Times New Roman" w:eastAsia="Times New Roman" w:hint="default"/>
        </w:rPr>
        <w:t>”</w:t>
      </w:r>
      <w:r>
        <w:rPr/>
        <w:t>的企业氛围，努力创建金融科技类型的企业文化，为公司可持续发展奠定坚实的基础；同时在外部沟通方面，公 </w:t>
      </w:r>
      <w:r>
        <w:rPr>
          <w:spacing w:val="-2"/>
        </w:rPr>
        <w:t>司将通过加强和改进公司官网、官微的建设和规范管理，逐步形成</w:t>
      </w:r>
      <w:r>
        <w:rPr>
          <w:rFonts w:ascii="Times New Roman" w:hAnsi="Times New Roman" w:cs="Times New Roman" w:eastAsia="Times New Roman" w:hint="default"/>
          <w:spacing w:val="-2"/>
        </w:rPr>
        <w:t>IC</w:t>
      </w:r>
      <w:r>
        <w:rPr>
          <w:spacing w:val="-2"/>
        </w:rPr>
        <w:t>标识系统，同时做好上市公司投资者管理维护工作，致</w:t>
      </w:r>
      <w:r>
        <w:rPr>
          <w:spacing w:val="-65"/>
        </w:rPr>
        <w:t> </w:t>
      </w:r>
      <w:r>
        <w:rPr>
          <w:spacing w:val="-65"/>
        </w:rPr>
      </w:r>
      <w:r>
        <w:rPr/>
        <w:t>力于在产品市场和资本市场，为客户和投资者创造更大的价值。</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2"/>
        <w:gridCol w:w="1594"/>
        <w:gridCol w:w="1589"/>
        <w:gridCol w:w="1600"/>
        <w:gridCol w:w="1583"/>
        <w:gridCol w:w="1601"/>
      </w:tblGrid>
      <w:tr>
        <w:trPr>
          <w:trHeight w:val="205" w:hRule="exact"/>
        </w:trPr>
        <w:tc>
          <w:tcPr>
            <w:tcW w:w="16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2" w:type="dxa"/>
            <w:vMerge w:val="restart"/>
            <w:tcBorders>
              <w:top w:val="nil" w:sz="6" w:space="0" w:color="auto"/>
              <w:left w:val="single" w:sz="4" w:space="0" w:color="000000"/>
              <w:right w:val="single" w:sz="4" w:space="0" w:color="000000"/>
            </w:tcBorders>
            <w:shd w:val="clear" w:color="auto" w:fill="D2D2D2"/>
          </w:tcPr>
          <w:p>
            <w:pPr/>
          </w:p>
        </w:tc>
        <w:tc>
          <w:tcPr>
            <w:tcW w:w="3183"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602"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1,485,929,981.01</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953,473,662.21</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55.84%</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540,689,320.43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629,937,682.16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66.08%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-14.17%</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884,410,444.84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266,918,515.80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27.99%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231.34%</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50,822,888.12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56,392,861.31</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5.91%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-9.88%</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9,354,838.19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652,489.43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1,522.08</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42,768.27%</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223,080.86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540,326,802.65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629,937,682.16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872,429,931.65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264,771,811.12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229.50%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50,822,888.12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56,392,861.31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信用卡推广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130,805.70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1,525,840.27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-91.43%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7,771,795.95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616,241.77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1,161.16%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小额贷款业务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652,489.43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42,768.27%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机业务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9,354,838.19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机具销售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2,974,137.96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系统开发服务及其 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1,466,291.36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223,080.86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557.29%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1,485,929,981.01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953,473,662.21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540,689,320.43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532,583,122.97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884,410,444.84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659,509,290.84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50,822,888.12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14,802,777.78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540,326,802.65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532,583,122.97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872,429,931.65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656,768,007.47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50,822,888.12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14,802,777.78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1,485,929,981.01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1,206,895,191.59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行业和产品分类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外购商品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532,583,122.97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591,199,682.12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银行通道手续费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616,052,504.48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148,725,049.30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314.22%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41,005,349.66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23,071,119.10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77.73%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外购商品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2,451,436.70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10,876.58%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14,802,777.78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6,394,159.45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131.50%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第三方服务费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46,546.27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外购商品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532,583,122.97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591,199,682.12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银行通道手续费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616,052,504.48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132,129,125.64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314.22%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40,715,502.99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35,298,349.52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117.70%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外购商品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14,802,777.78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6,394,159.45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131.50%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信用卡推广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72,997.43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4,057,886.45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第三方服务费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310,476.79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机业务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第三方服务费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机具销售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外购商品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2,451,436.70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系统开发服务等 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第三方服务费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216,849.24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46,546.27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365.88%</w:t>
            </w:r>
          </w:p>
        </w:tc>
      </w:tr>
    </w:tbl>
    <w:p>
      <w:pPr>
        <w:pStyle w:val="BodyText"/>
        <w:spacing w:line="240" w:lineRule="auto" w:before="51"/>
        <w:ind w:right="0"/>
        <w:jc w:val="left"/>
      </w:pPr>
      <w:r>
        <w:rPr/>
        <w:t>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0" w:lineRule="auto" w:before="101"/>
        <w:ind w:right="1114"/>
        <w:jc w:val="left"/>
      </w:pPr>
      <w:r>
        <w:rPr/>
        <w:t>本公司 </w:t>
      </w:r>
      <w:r>
        <w:rPr>
          <w:rFonts w:ascii="Times New Roman" w:hAnsi="Times New Roman" w:cs="Times New Roman" w:eastAsia="Times New Roman" w:hint="default"/>
        </w:rPr>
        <w:t>2018</w:t>
      </w:r>
      <w:r>
        <w:rPr>
          <w:rFonts w:ascii="Times New Roman" w:hAnsi="Times New Roman" w:cs="Times New Roman" w:eastAsia="Times New Roman" w:hint="default"/>
          <w:spacing w:val="-17"/>
        </w:rPr>
        <w:t> </w:t>
      </w:r>
      <w:r>
        <w:rPr/>
        <w:t>年度纳入合并范围的子公司共</w:t>
      </w:r>
      <w:r>
        <w:rPr>
          <w:rFonts w:ascii="Times New Roman" w:hAnsi="Times New Roman" w:cs="Times New Roman" w:eastAsia="Times New Roman" w:hint="default"/>
        </w:rPr>
        <w:t>23</w:t>
      </w:r>
      <w:r>
        <w:rPr/>
        <w:t>家，详见财务附注九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。与上年度相比，本公司本年度合 并范围增加</w:t>
      </w:r>
      <w:r>
        <w:rPr>
          <w:rFonts w:ascii="Times New Roman" w:hAnsi="Times New Roman" w:cs="Times New Roman" w:eastAsia="Times New Roman" w:hint="default"/>
        </w:rPr>
        <w:t>4</w:t>
      </w:r>
      <w:r>
        <w:rPr/>
        <w:t>家，减少</w:t>
      </w:r>
      <w:r>
        <w:rPr>
          <w:rFonts w:ascii="Times New Roman" w:hAnsi="Times New Roman" w:cs="Times New Roman" w:eastAsia="Times New Roman" w:hint="default"/>
        </w:rPr>
        <w:t>4</w:t>
      </w:r>
      <w:r>
        <w:rPr/>
        <w:t>家，详见财务附注八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481,687,067.87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221,798,040.81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86,031,675.57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84,502,769.46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46,902,105.11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42,452,476.92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481,687,067.87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32.42%</w:t>
            </w:r>
          </w:p>
        </w:tc>
      </w:tr>
    </w:tbl>
    <w:p>
      <w:pPr>
        <w:pStyle w:val="BodyText"/>
        <w:spacing w:line="240" w:lineRule="auto" w:before="51"/>
        <w:ind w:right="0"/>
        <w:jc w:val="left"/>
      </w:pPr>
      <w:r>
        <w:rPr/>
        <w:t>主要客户其他情况说明</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642,428,785.20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53.23%</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211,258,205.18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148,749,201.19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128,356,448.78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84,423,473.72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69,641,456.33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642,428,785.20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53.23%</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2"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28,700,153.98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20,264,563.82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41.63%</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主要由于本期第三方支付业务较上 年同期增长其销售费用增加所致。</w:t>
            </w:r>
          </w:p>
        </w:tc>
      </w:tr>
      <w:tr>
        <w:trPr>
          <w:trHeight w:val="391"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69" w:right="0"/>
              <w:jc w:val="left"/>
              <w:rPr>
                <w:rFonts w:ascii="Times New Roman" w:hAnsi="Times New Roman" w:cs="Times New Roman" w:eastAsia="Times New Roman" w:hint="default"/>
                <w:sz w:val="18"/>
                <w:szCs w:val="18"/>
              </w:rPr>
            </w:pPr>
            <w:r>
              <w:rPr>
                <w:rFonts w:ascii="Times New Roman"/>
                <w:sz w:val="18"/>
              </w:rPr>
              <w:t>77,513,627.06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77,634,313.20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69" w:right="0"/>
              <w:jc w:val="left"/>
              <w:rPr>
                <w:rFonts w:ascii="Times New Roman" w:hAnsi="Times New Roman" w:cs="Times New Roman" w:eastAsia="Times New Roman" w:hint="default"/>
                <w:sz w:val="18"/>
                <w:szCs w:val="18"/>
              </w:rPr>
            </w:pPr>
            <w:r>
              <w:rPr>
                <w:rFonts w:ascii="Times New Roman"/>
                <w:sz w:val="18"/>
              </w:rPr>
              <w:t>56,455,715.07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61,793,872.02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34,970,559.10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13,816,925.37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153.10%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主要由于本期合利宝研发投入大幅 增加所致。</w:t>
            </w:r>
          </w:p>
        </w:tc>
      </w:tr>
      <w:tr>
        <w:trPr>
          <w:trHeight w:val="391"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本报告期，公司持续增强创新能力，投入在第三方支付业务、小额贷款业务的研发支出增长较大，主要是用于互联网支</w:t>
      </w:r>
    </w:p>
    <w:p>
      <w:pPr>
        <w:pStyle w:val="BodyText"/>
        <w:spacing w:line="300" w:lineRule="auto" w:before="3"/>
        <w:ind w:right="1032"/>
        <w:jc w:val="left"/>
      </w:pPr>
      <w:r>
        <w:rPr/>
        <w:t>付、移动支付系统、跨境支付、风控系统、信贷综合管理系统的升级开发，截止</w:t>
      </w:r>
      <w:r>
        <w:rPr>
          <w:rFonts w:ascii="Times New Roman" w:hAnsi="Times New Roman" w:cs="Times New Roman" w:eastAsia="Times New Roman" w:hint="default"/>
        </w:rPr>
        <w:t>2018</w:t>
      </w:r>
      <w:r>
        <w:rPr/>
        <w:t>年末大部分项目已经完工并投入使用， 是公司未来收入来源的支撑，为公司持续发展提供强大的内生动力。</w:t>
      </w:r>
    </w:p>
    <w:p>
      <w:pPr>
        <w:pStyle w:val="BodyText"/>
        <w:spacing w:line="240" w:lineRule="auto" w:before="72"/>
        <w:ind w:right="0"/>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34,970,559.10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15,376,263.27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127.43%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1,559,337.90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-10.14%</w:t>
            </w:r>
          </w:p>
        </w:tc>
      </w:tr>
    </w:tbl>
    <w:p>
      <w:pPr>
        <w:pStyle w:val="BodyText"/>
        <w:spacing w:line="240" w:lineRule="auto" w:before="51"/>
        <w:ind w:right="0"/>
        <w:jc w:val="left"/>
      </w:pPr>
      <w:r>
        <w:rPr/>
        <w:t>研发投入总额占营业收入的比重较上年发生显著变化的原因</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2,372,479,082.38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1,453,043,433.31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2,137,102,093.09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2,028,481,585.59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235,376,989.29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-575,438,152.28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140.90%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4,642,167.97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461,400,940.45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-98.99%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71,023,463.73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399,553,557.59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-66,381,295.76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61,847,382.86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-207.33%</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1,464,388,400.00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2,390,440,000.00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1,518,100,628.94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1,692,483,974.97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-53,712,228.94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697,956,025.03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-107.70%</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115,283,000.58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184,364,679.26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-37.47%</w:t>
            </w:r>
          </w:p>
        </w:tc>
      </w:tr>
    </w:tbl>
    <w:p>
      <w:pPr>
        <w:pStyle w:val="BodyText"/>
        <w:spacing w:line="240" w:lineRule="auto" w:before="51"/>
        <w:ind w:right="0"/>
        <w:jc w:val="left"/>
      </w:pPr>
      <w:r>
        <w:rPr/>
        <w:t>相关数据同比发生重大变动的主要影响因素说明</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1.</w:t>
      </w:r>
      <w:r>
        <w:rPr>
          <w:spacing w:val="-1"/>
        </w:rPr>
        <w:t>经营活动产生的现金流量净额为较上年增加，主要由于本年保理业务收回本金、供应链业务收回期初应收账款、合利宝业</w:t>
      </w:r>
      <w:r>
        <w:rPr>
          <w:spacing w:val="-76"/>
        </w:rPr>
        <w:t> </w:t>
      </w:r>
      <w:r>
        <w:rPr>
          <w:spacing w:val="-76"/>
        </w:rPr>
      </w:r>
      <w:r>
        <w:rPr/>
        <w:t>务增长收入增加所致。</w:t>
      </w:r>
    </w:p>
    <w:p>
      <w:pPr>
        <w:pStyle w:val="BodyText"/>
        <w:spacing w:line="240" w:lineRule="auto" w:before="58"/>
        <w:ind w:right="0"/>
        <w:jc w:val="left"/>
      </w:pPr>
      <w:r>
        <w:rPr>
          <w:rFonts w:ascii="Times New Roman" w:hAnsi="Times New Roman" w:cs="Times New Roman" w:eastAsia="Times New Roman" w:hint="default"/>
        </w:rPr>
        <w:t>2.</w:t>
      </w:r>
      <w:r>
        <w:rPr/>
        <w:t>投资活动产生的现金流量净额较上年减少，主要由于上年收回处置资产款所致。</w:t>
      </w:r>
    </w:p>
    <w:p>
      <w:pPr>
        <w:pStyle w:val="BodyText"/>
        <w:spacing w:line="338" w:lineRule="auto" w:before="102"/>
        <w:ind w:right="3417"/>
        <w:jc w:val="left"/>
      </w:pPr>
      <w:r>
        <w:rPr>
          <w:rFonts w:ascii="Times New Roman" w:hAnsi="Times New Roman" w:cs="Times New Roman" w:eastAsia="Times New Roman" w:hint="default"/>
        </w:rPr>
        <w:t>3.</w:t>
      </w:r>
      <w:r>
        <w:rPr/>
        <w:t>筹资活动产生的现金流量净额较上年减少，主要由于本年偿还银行借款支付现金较大所致。 报告期内公司经营活动产生的现金净流量与本年度净利润存在重大差异的原因说明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942"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7,532,617.13</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8.65%</w:t>
            </w:r>
          </w:p>
        </w:tc>
        <w:tc>
          <w:tcPr>
            <w:tcW w:w="2254" w:type="dxa"/>
            <w:vMerge w:val="restart"/>
            <w:tcBorders>
              <w:top w:val="single" w:sz="4" w:space="0" w:color="000000"/>
              <w:left w:val="single" w:sz="4" w:space="0" w:color="000000"/>
              <w:right w:val="single" w:sz="4" w:space="0" w:color="000000"/>
            </w:tcBorders>
          </w:tcPr>
          <w:p>
            <w:pPr>
              <w:pStyle w:val="TableParagraph"/>
              <w:spacing w:line="312" w:lineRule="auto" w:before="52"/>
              <w:ind w:left="23" w:right="22"/>
              <w:jc w:val="left"/>
              <w:rPr>
                <w:rFonts w:ascii="宋体" w:hAnsi="宋体" w:cs="宋体" w:eastAsia="宋体" w:hint="default"/>
                <w:sz w:val="18"/>
                <w:szCs w:val="18"/>
              </w:rPr>
            </w:pPr>
            <w:r>
              <w:rPr>
                <w:rFonts w:ascii="宋体" w:hAnsi="宋体" w:cs="宋体" w:eastAsia="宋体" w:hint="default"/>
                <w:sz w:val="18"/>
                <w:szCs w:val="18"/>
              </w:rPr>
              <w:t>公司之全资子深圳民盛大数 据技术有限公司以人民币 </w:t>
            </w:r>
            <w:r>
              <w:rPr>
                <w:rFonts w:ascii="Times New Roman" w:hAnsi="Times New Roman" w:cs="Times New Roman" w:eastAsia="Times New Roman" w:hint="default"/>
                <w:sz w:val="18"/>
                <w:szCs w:val="18"/>
              </w:rPr>
              <w:t>480 </w:t>
            </w:r>
            <w:r>
              <w:rPr>
                <w:rFonts w:ascii="宋体" w:hAnsi="宋体" w:cs="宋体" w:eastAsia="宋体" w:hint="default"/>
                <w:sz w:val="18"/>
                <w:szCs w:val="18"/>
              </w:rPr>
              <w:t>万元向北京天尧信息技 术有限公司出售其持有的深 圳民盛云尚信息技术有限公 司的</w:t>
            </w:r>
            <w:r>
              <w:rPr>
                <w:rFonts w:ascii="宋体" w:hAnsi="宋体" w:cs="宋体" w:eastAsia="宋体" w:hint="default"/>
                <w:spacing w:val="6"/>
                <w:sz w:val="18"/>
                <w:szCs w:val="18"/>
              </w:rPr>
              <w:t> </w:t>
            </w:r>
            <w:r>
              <w:rPr>
                <w:rFonts w:ascii="Times New Roman" w:hAnsi="Times New Roman" w:cs="Times New Roman" w:eastAsia="Times New Roman" w:hint="default"/>
                <w:spacing w:val="-6"/>
                <w:sz w:val="18"/>
                <w:szCs w:val="18"/>
              </w:rPr>
              <w:t>66.67%</w:t>
            </w:r>
            <w:r>
              <w:rPr>
                <w:rFonts w:ascii="宋体" w:hAnsi="宋体" w:cs="宋体" w:eastAsia="宋体" w:hint="default"/>
                <w:spacing w:val="-6"/>
                <w:sz w:val="18"/>
                <w:szCs w:val="18"/>
              </w:rPr>
              <w:t>股权，该业务产</w:t>
            </w:r>
            <w:r>
              <w:rPr>
                <w:rFonts w:ascii="宋体" w:hAnsi="宋体" w:cs="宋体" w:eastAsia="宋体" w:hint="default"/>
                <w:sz w:val="18"/>
                <w:szCs w:val="18"/>
              </w:rPr>
              <w:t> 生投资收益 </w:t>
            </w:r>
            <w:r>
              <w:rPr>
                <w:rFonts w:ascii="Times New Roman" w:hAnsi="Times New Roman" w:cs="Times New Roman" w:eastAsia="Times New Roman" w:hint="default"/>
                <w:sz w:val="18"/>
                <w:szCs w:val="18"/>
              </w:rPr>
              <w:t>753.26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无持续性</w:t>
            </w:r>
          </w:p>
        </w:tc>
      </w:tr>
      <w:tr>
        <w:trPr>
          <w:trHeight w:val="391"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941"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2"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66" w:right="0"/>
              <w:jc w:val="left"/>
              <w:rPr>
                <w:rFonts w:ascii="Times New Roman" w:hAnsi="Times New Roman" w:cs="Times New Roman" w:eastAsia="Times New Roman" w:hint="default"/>
                <w:sz w:val="18"/>
                <w:szCs w:val="18"/>
              </w:rPr>
            </w:pPr>
            <w:r>
              <w:rPr>
                <w:rFonts w:ascii="Times New Roman"/>
                <w:sz w:val="18"/>
              </w:rPr>
              <w:t>503,506.63</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0.58%</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58"/>
              <w:jc w:val="left"/>
              <w:rPr>
                <w:rFonts w:ascii="宋体" w:hAnsi="宋体" w:cs="宋体" w:eastAsia="宋体" w:hint="default"/>
                <w:sz w:val="18"/>
                <w:szCs w:val="18"/>
              </w:rPr>
            </w:pPr>
            <w:r>
              <w:rPr>
                <w:rFonts w:ascii="宋体" w:hAnsi="宋体" w:cs="宋体" w:eastAsia="宋体" w:hint="default"/>
                <w:sz w:val="18"/>
                <w:szCs w:val="18"/>
              </w:rPr>
              <w:t>主要由于本报告期产生捐赠 支出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无持续性</w:t>
            </w:r>
          </w:p>
        </w:tc>
      </w:tr>
      <w:tr>
        <w:trPr>
          <w:trHeight w:val="391"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2"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3"/>
        <w:gridCol w:w="1196"/>
        <w:gridCol w:w="1063"/>
        <w:gridCol w:w="798"/>
        <w:gridCol w:w="2918"/>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631,564,027.2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12.59%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600,831,025.18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21.10%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-8.51%</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343,829,641.5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6.86%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569,571,735.29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-13.14%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主要由于本期保理业务和供应链业 务应收账款减少所致。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16,185.15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10,166.66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5,923,984.80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6,815,786.93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主要由于本期偿还短期借款所致。</w:t>
            </w: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8.37%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909,650,000.00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31.94%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-23.57%</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主要由于本期偿还长期借款所致。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2,537,379,692.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255,083,509.42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主要由于第三方支付业务待清算款 项增加所致。</w:t>
            </w:r>
          </w:p>
        </w:tc>
      </w:tr>
      <w:tr>
        <w:trPr>
          <w:trHeight w:val="715"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2,601,585,025.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444,804,105.27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主要由于第三方支付业务结存客户 备付金增加所致。</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67"/>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日，资产负债表中货币资金中受限货币资金为</w:t>
      </w:r>
      <w:r>
        <w:rPr>
          <w:rFonts w:ascii="Times New Roman" w:hAnsi="Times New Roman" w:cs="Times New Roman" w:eastAsia="Times New Roman" w:hint="default"/>
        </w:rPr>
        <w:t>138,133,526.82</w:t>
      </w:r>
      <w:r>
        <w:rPr/>
        <w:t>元，主要是第三方支付业务客户备付金、保 证金及风险准备金。</w:t>
      </w:r>
    </w:p>
    <w:p>
      <w:pPr>
        <w:spacing w:line="240" w:lineRule="auto" w:before="9"/>
        <w:rPr>
          <w:rFonts w:ascii="宋体" w:hAnsi="宋体" w:cs="宋体" w:eastAsia="宋体" w:hint="default"/>
          <w:sz w:val="21"/>
          <w:szCs w:val="21"/>
        </w:rPr>
      </w:pPr>
    </w:p>
    <w:p>
      <w:pPr>
        <w:pStyle w:val="Heading3"/>
        <w:spacing w:line="240" w:lineRule="auto"/>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0"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445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2" w:right="81"/>
              <w:jc w:val="both"/>
              <w:rPr>
                <w:rFonts w:ascii="宋体" w:hAnsi="宋体" w:cs="宋体" w:eastAsia="宋体" w:hint="default"/>
                <w:sz w:val="18"/>
                <w:szCs w:val="18"/>
              </w:rPr>
            </w:pPr>
            <w:r>
              <w:rPr>
                <w:rFonts w:ascii="宋体" w:hAnsi="宋体" w:cs="宋体" w:eastAsia="宋体" w:hint="default"/>
                <w:sz w:val="18"/>
                <w:szCs w:val="18"/>
              </w:rPr>
              <w:t>民盛租 赁有限 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融资租 赁</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70.00%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王石山</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307" w:lineRule="auto" w:before="63"/>
              <w:ind w:left="22"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认缴 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3,786,13</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7.85</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9" w:lineRule="auto" w:before="19"/>
              <w:ind w:left="22" w:right="8"/>
              <w:jc w:val="left"/>
              <w:rPr>
                <w:rFonts w:ascii="宋体" w:hAnsi="宋体" w:cs="宋体" w:eastAsia="宋体"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 关于完 成控股 子公司 工商注 册登记 的公告</w:t>
            </w:r>
          </w:p>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2017-14</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289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北京仁 东无双 信息科 技有限 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技术推 广服务</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62"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2" w:right="0"/>
              <w:jc w:val="center"/>
              <w:rPr>
                <w:rFonts w:ascii="Times New Roman" w:hAnsi="Times New Roman" w:cs="Times New Roman" w:eastAsia="Times New Roman" w:hint="default"/>
                <w:sz w:val="18"/>
                <w:szCs w:val="18"/>
              </w:rPr>
            </w:pPr>
            <w:r>
              <w:rPr>
                <w:rFonts w:ascii="Times New Roman"/>
                <w:sz w:val="18"/>
              </w:rPr>
              <w:t>60.00%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合肥无 相创利 信息技 术有限 公司、 深圳盘 水资本 管理有 限公司</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完成 投资</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261,814.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81"/>
              <w:jc w:val="both"/>
              <w:rPr>
                <w:rFonts w:ascii="宋体" w:hAnsi="宋体" w:cs="宋体" w:eastAsia="宋体" w:hint="default"/>
                <w:sz w:val="18"/>
                <w:szCs w:val="18"/>
              </w:rPr>
            </w:pPr>
            <w:r>
              <w:rPr>
                <w:rFonts w:ascii="宋体" w:hAnsi="宋体" w:cs="宋体" w:eastAsia="宋体" w:hint="default"/>
                <w:sz w:val="18"/>
                <w:szCs w:val="18"/>
              </w:rPr>
              <w:t>天津民 盛国际 融资租 赁有限 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融资租 赁</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197"/>
              <w:jc w:val="both"/>
              <w:rPr>
                <w:rFonts w:ascii="宋体" w:hAnsi="宋体" w:cs="宋体" w:eastAsia="宋体" w:hint="default"/>
                <w:sz w:val="18"/>
                <w:szCs w:val="18"/>
              </w:rPr>
            </w:pPr>
            <w:r>
              <w:rPr>
                <w:rFonts w:ascii="宋体" w:hAnsi="宋体" w:cs="宋体" w:eastAsia="宋体" w:hint="default"/>
                <w:sz w:val="18"/>
                <w:szCs w:val="18"/>
              </w:rPr>
              <w:t>完成 工商 注册 暂未 出资 实缴</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345" w:right="0"/>
              <w:jc w:val="lef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9" w:lineRule="auto" w:before="19"/>
              <w:ind w:left="22" w:right="8"/>
              <w:jc w:val="left"/>
              <w:rPr>
                <w:rFonts w:ascii="宋体" w:hAnsi="宋体" w:cs="宋体" w:eastAsia="宋体"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 关于完 成控股 子公司 工商注</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1611"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95"/>
              <w:jc w:val="left"/>
              <w:rPr>
                <w:rFonts w:ascii="宋体" w:hAnsi="宋体" w:cs="宋体" w:eastAsia="宋体" w:hint="default"/>
                <w:sz w:val="18"/>
                <w:szCs w:val="18"/>
              </w:rPr>
            </w:pPr>
            <w:r>
              <w:rPr>
                <w:rFonts w:ascii="宋体" w:hAnsi="宋体" w:cs="宋体" w:eastAsia="宋体" w:hint="default"/>
                <w:sz w:val="18"/>
                <w:szCs w:val="18"/>
              </w:rPr>
              <w:t>册登记 的公告</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2018-09</w:t>
            </w:r>
          </w:p>
          <w:p>
            <w:pPr>
              <w:pStyle w:val="TableParagraph"/>
              <w:spacing w:line="240" w:lineRule="auto" w:before="6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445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仁东金 融信息 服务有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金融信 息服务</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97"/>
              <w:jc w:val="both"/>
              <w:rPr>
                <w:rFonts w:ascii="宋体" w:hAnsi="宋体" w:cs="宋体" w:eastAsia="宋体" w:hint="default"/>
                <w:sz w:val="18"/>
                <w:szCs w:val="18"/>
              </w:rPr>
            </w:pPr>
            <w:r>
              <w:rPr>
                <w:rFonts w:ascii="宋体" w:hAnsi="宋体" w:cs="宋体" w:eastAsia="宋体" w:hint="default"/>
                <w:sz w:val="18"/>
                <w:szCs w:val="18"/>
              </w:rPr>
              <w:t>完成 工商 注册 暂未 出资 实缴</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9" w:lineRule="auto" w:before="19"/>
              <w:ind w:left="22" w:right="8"/>
              <w:jc w:val="left"/>
              <w:rPr>
                <w:rFonts w:ascii="宋体" w:hAnsi="宋体" w:cs="宋体" w:eastAsia="宋体"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 关于完 成全资 子公司 工商注 册登记 的公告</w:t>
            </w:r>
          </w:p>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2018-10</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r>
      <w:tr>
        <w:trPr>
          <w:trHeight w:val="1962"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81"/>
              <w:jc w:val="both"/>
              <w:rPr>
                <w:rFonts w:ascii="宋体" w:hAnsi="宋体" w:cs="宋体" w:eastAsia="宋体" w:hint="default"/>
                <w:sz w:val="18"/>
                <w:szCs w:val="18"/>
              </w:rPr>
            </w:pPr>
            <w:r>
              <w:rPr>
                <w:rFonts w:ascii="宋体" w:hAnsi="宋体" w:cs="宋体" w:eastAsia="宋体" w:hint="default"/>
                <w:sz w:val="18"/>
                <w:szCs w:val="18"/>
              </w:rPr>
              <w:t>天津亿 东科技 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信息技 术服务</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7"/>
              <w:jc w:val="righ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5,100,0</w:t>
            </w:r>
          </w:p>
          <w:p>
            <w:pPr>
              <w:pStyle w:val="TableParagraph"/>
              <w:spacing w:line="240" w:lineRule="auto" w:before="105"/>
              <w:ind w:left="162"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51.00%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43"/>
              <w:jc w:val="both"/>
              <w:rPr>
                <w:rFonts w:ascii="宋体" w:hAnsi="宋体" w:cs="宋体" w:eastAsia="宋体" w:hint="default"/>
                <w:sz w:val="18"/>
                <w:szCs w:val="18"/>
              </w:rPr>
            </w:pPr>
            <w:r>
              <w:rPr>
                <w:rFonts w:ascii="宋体" w:hAnsi="宋体" w:cs="宋体" w:eastAsia="宋体" w:hint="default"/>
                <w:sz w:val="18"/>
                <w:szCs w:val="18"/>
              </w:rPr>
              <w:t>西藏亿 源投资 有限公 司</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完成 工商 注册 暂未 出资 实缴</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5"/>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511,10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1"/>
              <w:jc w:val="right"/>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4,047,95</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1.46</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83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66"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458"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111"/>
              <w:jc w:val="both"/>
              <w:rPr>
                <w:rFonts w:ascii="宋体" w:hAnsi="宋体" w:cs="宋体" w:eastAsia="宋体" w:hint="default"/>
                <w:sz w:val="18"/>
                <w:szCs w:val="18"/>
              </w:rPr>
            </w:pPr>
            <w:r>
              <w:rPr>
                <w:rFonts w:ascii="宋体" w:hAnsi="宋体" w:cs="宋体" w:eastAsia="宋体" w:hint="default"/>
                <w:sz w:val="18"/>
                <w:szCs w:val="18"/>
              </w:rPr>
              <w:t>北京天 尧信息 技术有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93"/>
              <w:jc w:val="both"/>
              <w:rPr>
                <w:rFonts w:ascii="宋体" w:hAnsi="宋体" w:cs="宋体" w:eastAsia="宋体" w:hint="default"/>
                <w:sz w:val="18"/>
                <w:szCs w:val="18"/>
              </w:rPr>
            </w:pPr>
            <w:r>
              <w:rPr>
                <w:rFonts w:ascii="宋体" w:hAnsi="宋体" w:cs="宋体" w:eastAsia="宋体" w:hint="default"/>
                <w:sz w:val="18"/>
                <w:szCs w:val="18"/>
              </w:rPr>
              <w:t>深圳民 盛云尚 信息技 术有限 公司</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66.67%</w:t>
            </w:r>
          </w:p>
          <w:p>
            <w:pPr>
              <w:pStyle w:val="TableParagraph"/>
              <w:spacing w:line="240" w:lineRule="auto" w:before="66"/>
              <w:ind w:left="22"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480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-87.59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38" w:lineRule="auto"/>
              <w:ind w:left="22"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产生投 资收益 </w:t>
            </w:r>
            <w:r>
              <w:rPr>
                <w:rFonts w:ascii="Times New Roman" w:hAnsi="Times New Roman" w:cs="Times New Roman" w:eastAsia="Times New Roman" w:hint="default"/>
                <w:sz w:val="18"/>
                <w:szCs w:val="18"/>
              </w:rPr>
              <w:t>753.26</w:t>
            </w:r>
          </w:p>
          <w:p>
            <w:pPr>
              <w:pStyle w:val="TableParagraph"/>
              <w:spacing w:line="220" w:lineRule="exact"/>
              <w:ind w:left="22" w:right="0"/>
              <w:jc w:val="both"/>
              <w:rPr>
                <w:rFonts w:ascii="宋体" w:hAnsi="宋体" w:cs="宋体" w:eastAsia="宋体" w:hint="default"/>
                <w:sz w:val="18"/>
                <w:szCs w:val="18"/>
              </w:rPr>
            </w:pPr>
            <w:r>
              <w:rPr>
                <w:rFonts w:ascii="宋体" w:hAnsi="宋体" w:cs="宋体" w:eastAsia="宋体" w:hint="default"/>
                <w:sz w:val="18"/>
                <w:szCs w:val="18"/>
              </w:rPr>
              <w:t>万</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12.82%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根据标 的公司 评估基 准日为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p>
          <w:p>
            <w:pPr>
              <w:pStyle w:val="TableParagraph"/>
              <w:spacing w:line="319" w:lineRule="auto" w:before="63"/>
              <w:ind w:left="22" w:right="108"/>
              <w:jc w:val="left"/>
              <w:rPr>
                <w:rFonts w:ascii="宋体" w:hAnsi="宋体" w:cs="宋体" w:eastAsia="宋体" w:hint="default"/>
                <w:sz w:val="18"/>
                <w:szCs w:val="18"/>
              </w:rPr>
            </w:pPr>
            <w:r>
              <w:rPr>
                <w:rFonts w:ascii="宋体" w:hAnsi="宋体" w:cs="宋体" w:eastAsia="宋体" w:hint="default"/>
                <w:sz w:val="18"/>
                <w:szCs w:val="18"/>
              </w:rPr>
              <w:t>日出具 的评估 报告， 其采用 的评估 方法为 收益 法。</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108"/>
              <w:jc w:val="both"/>
              <w:rPr>
                <w:rFonts w:ascii="宋体" w:hAnsi="宋体" w:cs="宋体" w:eastAsia="宋体" w:hint="default"/>
                <w:sz w:val="18"/>
                <w:szCs w:val="18"/>
              </w:rPr>
            </w:pPr>
            <w:r>
              <w:rPr>
                <w:rFonts w:ascii="宋体" w:hAnsi="宋体" w:cs="宋体" w:eastAsia="宋体" w:hint="default"/>
                <w:sz w:val="18"/>
                <w:szCs w:val="18"/>
              </w:rPr>
              <w:t>受原实 际控制 人郝江 波实际 控制的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08"/>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9" w:lineRule="auto" w:before="19"/>
              <w:ind w:left="22" w:right="23"/>
              <w:jc w:val="left"/>
              <w:rPr>
                <w:rFonts w:ascii="宋体" w:hAnsi="宋体" w:cs="宋体" w:eastAsia="宋体"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w:t>
            </w:r>
            <w:r>
              <w:rPr>
                <w:rFonts w:ascii="Times New Roman" w:hAnsi="Times New Roman" w:cs="Times New Roman" w:eastAsia="Times New Roman" w:hint="default"/>
                <w:spacing w:val="-26"/>
                <w:sz w:val="18"/>
                <w:szCs w:val="18"/>
              </w:rPr>
              <w:t>om.cn</w:t>
            </w:r>
            <w:r>
              <w:rPr>
                <w:rFonts w:ascii="宋体" w:hAnsi="宋体" w:cs="宋体" w:eastAsia="宋体" w:hint="default"/>
                <w:spacing w:val="-26"/>
                <w:sz w:val="18"/>
                <w:szCs w:val="18"/>
              </w:rPr>
              <w:t>），</w:t>
            </w:r>
            <w:r>
              <w:rPr>
                <w:rFonts w:ascii="宋体" w:hAnsi="宋体" w:cs="宋体" w:eastAsia="宋体" w:hint="default"/>
                <w:spacing w:val="-90"/>
                <w:sz w:val="18"/>
                <w:szCs w:val="18"/>
              </w:rPr>
              <w:t> </w:t>
            </w:r>
            <w:r>
              <w:rPr>
                <w:rFonts w:ascii="宋体" w:hAnsi="宋体" w:cs="宋体" w:eastAsia="宋体" w:hint="default"/>
                <w:sz w:val="18"/>
                <w:szCs w:val="18"/>
              </w:rPr>
              <w:t>公告编</w:t>
            </w:r>
            <w:r>
              <w:rPr>
                <w:rFonts w:ascii="宋体" w:hAnsi="宋体" w:cs="宋体" w:eastAsia="宋体" w:hint="default"/>
                <w:sz w:val="18"/>
                <w:szCs w:val="18"/>
              </w:rPr>
              <w:t> 号</w:t>
            </w:r>
          </w:p>
          <w:p>
            <w:pPr>
              <w:pStyle w:val="TableParagraph"/>
              <w:spacing w:line="240" w:lineRule="auto" w:before="57"/>
              <w:ind w:left="22" w:right="0"/>
              <w:jc w:val="left"/>
              <w:rPr>
                <w:rFonts w:ascii="Times New Roman" w:hAnsi="Times New Roman" w:cs="Times New Roman" w:eastAsia="Times New Roman" w:hint="default"/>
                <w:sz w:val="18"/>
                <w:szCs w:val="18"/>
              </w:rPr>
            </w:pPr>
            <w:r>
              <w:rPr>
                <w:rFonts w:ascii="Times New Roman"/>
                <w:sz w:val="18"/>
              </w:rPr>
              <w:t>2018-00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289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广东合利金 融科技服务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Times New Roman" w:hAnsi="Times New Roman" w:cs="Times New Roman" w:eastAsia="Times New Roman" w:hint="default"/>
                <w:sz w:val="18"/>
                <w:szCs w:val="18"/>
              </w:rPr>
            </w:pPr>
            <w:r>
              <w:rPr>
                <w:rFonts w:ascii="宋体" w:hAnsi="宋体" w:cs="宋体" w:eastAsia="宋体" w:hint="default"/>
                <w:sz w:val="18"/>
                <w:szCs w:val="18"/>
              </w:rPr>
              <w:t>网络技术的 研究、 软件开发； 信息系统集 成服务</w:t>
            </w:r>
            <w:r>
              <w:rPr>
                <w:rFonts w:ascii="Times New Roman" w:hAnsi="Times New Roman" w:cs="Times New Roman" w:eastAsia="Times New Roman" w:hint="default"/>
                <w:sz w:val="18"/>
                <w:szCs w:val="18"/>
              </w:rPr>
              <w:t>;</w:t>
            </w:r>
            <w:r>
              <w:rPr>
                <w:rFonts w:ascii="宋体" w:hAnsi="宋体" w:cs="宋体" w:eastAsia="宋体" w:hint="default"/>
                <w:sz w:val="18"/>
                <w:szCs w:val="18"/>
              </w:rPr>
              <w:t>信 息技术咨询 服务；数据 处理和存储 服务</w:t>
            </w:r>
            <w:r>
              <w:rPr>
                <w:rFonts w:ascii="Times New Roman" w:hAnsi="Times New Roman" w:cs="Times New Roman" w:eastAsia="Times New Roman" w:hint="default"/>
                <w:sz w:val="18"/>
                <w:szCs w:val="18"/>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right="-49"/>
              <w:jc w:val="left"/>
              <w:rPr>
                <w:rFonts w:ascii="宋体" w:hAnsi="宋体" w:cs="宋体" w:eastAsia="宋体" w:hint="default"/>
                <w:sz w:val="20"/>
                <w:szCs w:val="20"/>
              </w:rPr>
            </w:pPr>
            <w:r>
              <w:rPr>
                <w:rFonts w:ascii="宋体" w:hAnsi="宋体" w:cs="宋体" w:eastAsia="宋体" w:hint="default"/>
                <w:position w:val="-21"/>
                <w:sz w:val="20"/>
                <w:szCs w:val="20"/>
              </w:rPr>
              <w:pict>
                <v:group style="width:51.75pt;height:54.6pt;mso-position-horizontal-relative:char;mso-position-vertical-relative:line" coordorigin="0,0" coordsize="1035,1092">
                  <v:group style="position:absolute;left:0;top:0;width:1035;height:1092" coordorigin="0,0" coordsize="1035,1092">
                    <v:shape style="position:absolute;left:0;top:0;width:1035;height:1092" coordorigin="0,0" coordsize="1035,1092" path="m0,1092l1035,1092,1035,0,0,0,0,1092xe" filled="true" fillcolor="#ffffff" stroked="false">
                      <v:path arrowok="t"/>
                      <v:fill type="solid"/>
                    </v:shape>
                  </v:group>
                </v:group>
              </w:pict>
            </w:r>
            <w:r>
              <w:rPr>
                <w:rFonts w:ascii="宋体" w:hAnsi="宋体" w:cs="宋体" w:eastAsia="宋体" w:hint="default"/>
                <w:position w:val="-21"/>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111,111,100.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6,647,274,06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406,885,634.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1,220,417,34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1.70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170,394,870.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142,494,393.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r>
    </w:tbl>
    <w:p>
      <w:pPr>
        <w:pStyle w:val="BodyText"/>
        <w:spacing w:line="240" w:lineRule="auto" w:before="51"/>
        <w:ind w:right="0"/>
        <w:jc w:val="left"/>
      </w:pPr>
      <w:r>
        <w:rPr/>
        <w:pict>
          <v:shape style="position:absolute;margin-left:197.537003pt;margin-top:-144.938278pt;width:75.95pt;height:54.6pt;mso-position-horizontal-relative:page;mso-position-vertical-relative:paragraph;z-index:-91657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开发；</w:t>
                  </w:r>
                </w:p>
              </w:txbxContent>
            </v:textbox>
            <w10:wrap type="none"/>
          </v:shape>
        </w:pict>
      </w: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深圳民盛云尚信息技术有限公司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产生投资收益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753.26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天津民盛国际融资租赁有限公司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仁东金融信息服务有限公司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北京仁东无双信息科技有限公司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天津亿东科技有限公司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广州民盛经济信息服务有限公司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山西民盛供应链管理有限公司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广州民盛振兴信息技术有限公司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pStyle w:val="BodyText"/>
        <w:spacing w:line="240" w:lineRule="auto" w:before="51"/>
        <w:ind w:right="0"/>
        <w:jc w:val="left"/>
      </w:pPr>
      <w:r>
        <w:rPr/>
        <w:t>主要控股参股公司情况说明</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122"/>
        <w:jc w:val="left"/>
      </w:pPr>
      <w:r>
        <w:rPr/>
        <w:t>（一）公司所处行业的发展趋势 公司已转型为金融科技企业。金融科技行业的</w:t>
      </w:r>
      <w:r>
        <w:rPr>
          <w:rFonts w:ascii="Times New Roman" w:hAnsi="Times New Roman" w:cs="Times New Roman" w:eastAsia="Times New Roman" w:hint="default"/>
        </w:rPr>
        <w:t>2019</w:t>
      </w:r>
      <w:r>
        <w:rPr/>
        <w:t>年度发展趋势展望：</w:t>
      </w:r>
      <w:r>
        <w:rPr>
          <w:rFonts w:ascii="Times New Roman" w:hAnsi="Times New Roman" w:cs="Times New Roman" w:eastAsia="Times New Roman" w:hint="default"/>
        </w:rPr>
        <w:t>1</w:t>
      </w:r>
      <w:r>
        <w:rPr/>
        <w:t>、严监管将成为常态，相关政策不断细化，金</w:t>
      </w:r>
    </w:p>
    <w:p>
      <w:pPr>
        <w:pStyle w:val="BodyText"/>
        <w:spacing w:line="304" w:lineRule="auto"/>
        <w:ind w:right="0"/>
        <w:jc w:val="left"/>
      </w:pPr>
      <w:r>
        <w:rPr>
          <w:spacing w:val="-2"/>
        </w:rPr>
        <w:t>融风险防控下沉地方，持牌经营成为必须；</w:t>
      </w:r>
      <w:r>
        <w:rPr>
          <w:rFonts w:ascii="Times New Roman" w:hAnsi="Times New Roman" w:cs="Times New Roman" w:eastAsia="Times New Roman" w:hint="default"/>
          <w:spacing w:val="-2"/>
        </w:rPr>
        <w:t>2</w:t>
      </w:r>
      <w:r>
        <w:rPr>
          <w:spacing w:val="-2"/>
        </w:rPr>
        <w:t>、行业加速洗牌，中小平台在竞争中加速淘汰，行业集中度进一步提升；</w:t>
      </w:r>
      <w:r>
        <w:rPr>
          <w:rFonts w:ascii="Times New Roman" w:hAnsi="Times New Roman" w:cs="Times New Roman" w:eastAsia="Times New Roman" w:hint="default"/>
          <w:spacing w:val="-2"/>
        </w:rPr>
        <w:t>3</w:t>
      </w:r>
      <w:r>
        <w:rPr>
          <w:spacing w:val="-2"/>
        </w:rPr>
        <w:t>、大</w:t>
      </w:r>
      <w:r>
        <w:rPr>
          <w:spacing w:val="-78"/>
        </w:rPr>
        <w:t> </w:t>
      </w:r>
      <w:r>
        <w:rPr/>
        <w:t>数据产业将全面提速，机构合作和数据开放是大势所趋，社会征信体系不断完善；</w:t>
      </w:r>
      <w:r>
        <w:rPr>
          <w:rFonts w:ascii="Times New Roman" w:hAnsi="Times New Roman" w:cs="Times New Roman" w:eastAsia="Times New Roman" w:hint="default"/>
        </w:rPr>
        <w:t>4</w:t>
      </w:r>
      <w:r>
        <w:rPr/>
        <w:t>、互联网技术的作用从快速扩张增量市 场转而深耕存量市场，差异化逐渐显现；</w:t>
      </w:r>
      <w:r>
        <w:rPr>
          <w:rFonts w:ascii="Times New Roman" w:hAnsi="Times New Roman" w:cs="Times New Roman" w:eastAsia="Times New Roman" w:hint="default"/>
        </w:rPr>
        <w:t>5</w:t>
      </w:r>
      <w:r>
        <w:rPr/>
        <w:t>、第三方支付作为新技术、新业态、新模式的新兴产业，具有广阔的市场需求前 </w:t>
      </w:r>
      <w:r>
        <w:rPr>
          <w:spacing w:val="-4"/>
        </w:rPr>
        <w:t>景。随着第三方支付行业的快速发展，第三方支付市场不断扩大，同时进一步被细分，第三方支付行业在技术上的深入创新、</w:t>
      </w:r>
      <w:r>
        <w:rPr>
          <w:spacing w:val="-46"/>
        </w:rPr>
        <w:t> </w:t>
      </w:r>
      <w:r>
        <w:rPr>
          <w:spacing w:val="-46"/>
        </w:rPr>
      </w:r>
      <w:r>
        <w:rPr>
          <w:spacing w:val="-2"/>
        </w:rPr>
        <w:t>多场景的切入、多种合作模式及行业上下游的打通，将逐渐形成以支付为入口，不只是支付的综合形态模式。支付成为金融</w:t>
      </w:r>
      <w:r>
        <w:rPr>
          <w:spacing w:val="-66"/>
        </w:rPr>
        <w:t> </w:t>
      </w:r>
      <w:r>
        <w:rPr>
          <w:spacing w:val="-66"/>
        </w:rPr>
      </w:r>
      <w:r>
        <w:rPr/>
        <w:t>科技（</w:t>
      </w:r>
      <w:r>
        <w:rPr>
          <w:rFonts w:ascii="Times New Roman" w:hAnsi="Times New Roman" w:cs="Times New Roman" w:eastAsia="Times New Roman" w:hint="default"/>
        </w:rPr>
        <w:t>FinTech</w:t>
      </w:r>
      <w:r>
        <w:rPr/>
        <w:t>）的重要组成部分，通过大数据、区块链等技术的应用，围绕消费者特殊需求满足和维护，定制化产品，企 </w:t>
      </w:r>
      <w:r>
        <w:rPr>
          <w:spacing w:val="-2"/>
        </w:rPr>
        <w:t>业和商户综合支付解决方案等将是未来的发展方向。移动支付的渗透率继续提升，第三方支付的交易规模保持高速增长；</w:t>
      </w:r>
      <w:r>
        <w:rPr>
          <w:rFonts w:ascii="Times New Roman" w:hAnsi="Times New Roman" w:cs="Times New Roman" w:eastAsia="Times New Roman" w:hint="default"/>
          <w:spacing w:val="-2"/>
        </w:rPr>
        <w:t>6</w:t>
      </w:r>
      <w:r>
        <w:rPr>
          <w:spacing w:val="-2"/>
        </w:rPr>
        <w:t>、</w:t>
      </w:r>
      <w:r>
        <w:rPr>
          <w:spacing w:val="-63"/>
        </w:rPr>
        <w:t> </w:t>
      </w:r>
      <w:r>
        <w:rPr/>
        <w:t>金融科技全球化进一步加强，境内外合作及竞争并存。</w:t>
      </w:r>
    </w:p>
    <w:p>
      <w:pPr>
        <w:pStyle w:val="BodyText"/>
        <w:spacing w:line="316" w:lineRule="auto" w:before="28"/>
        <w:ind w:left="514" w:right="0"/>
        <w:jc w:val="left"/>
      </w:pPr>
      <w:r>
        <w:rPr/>
        <w:t>（二）公司的发展战略 </w:t>
      </w:r>
      <w:r>
        <w:rPr>
          <w:spacing w:val="-2"/>
        </w:rPr>
        <w:t>公司按照</w:t>
      </w:r>
      <w:r>
        <w:rPr>
          <w:rFonts w:ascii="Times New Roman" w:hAnsi="Times New Roman" w:cs="Times New Roman" w:eastAsia="Times New Roman" w:hint="default"/>
          <w:spacing w:val="-2"/>
        </w:rPr>
        <w:t>“</w:t>
      </w:r>
      <w:r>
        <w:rPr>
          <w:spacing w:val="-2"/>
        </w:rPr>
        <w:t>打造金融科技生态圈，完善金融科技产业链</w:t>
      </w:r>
      <w:r>
        <w:rPr>
          <w:rFonts w:ascii="Times New Roman" w:hAnsi="Times New Roman" w:cs="Times New Roman" w:eastAsia="Times New Roman" w:hint="default"/>
          <w:spacing w:val="-2"/>
        </w:rPr>
        <w:t>”</w:t>
      </w:r>
      <w:r>
        <w:rPr>
          <w:spacing w:val="-2"/>
        </w:rPr>
        <w:t>的战略发展规划，进一步搭建商业金融、科技金融、资产管理等</w:t>
      </w:r>
    </w:p>
    <w:p>
      <w:pPr>
        <w:pStyle w:val="BodyText"/>
        <w:spacing w:line="235" w:lineRule="exact"/>
        <w:ind w:right="0"/>
        <w:jc w:val="left"/>
      </w:pPr>
      <w:r>
        <w:rPr/>
        <w:t>创新金融领域的业务，形成第三方支付相关业务的上下游产业链，创建中国领先的金融科技公司。积极推进产业升级步伐，</w:t>
      </w:r>
    </w:p>
    <w:p>
      <w:pPr>
        <w:spacing w:after="0" w:line="235"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加大科技创新力度，增强核心竞争力，优化公司治理结构，提升内控管理水平，积极履行社会责任，着力提升企业价值和股</w:t>
      </w:r>
      <w:r>
        <w:rPr>
          <w:spacing w:val="-66"/>
        </w:rPr>
        <w:t> </w:t>
      </w:r>
      <w:r>
        <w:rPr>
          <w:spacing w:val="-66"/>
        </w:rPr>
      </w:r>
      <w:r>
        <w:rPr/>
        <w:t>东利益最大化。</w:t>
      </w:r>
    </w:p>
    <w:p>
      <w:pPr>
        <w:pStyle w:val="BodyText"/>
        <w:spacing w:line="240" w:lineRule="auto" w:before="19"/>
        <w:ind w:left="514" w:right="0"/>
        <w:jc w:val="left"/>
      </w:pPr>
      <w:r>
        <w:rPr/>
        <w:t>（三）</w:t>
      </w:r>
      <w:r>
        <w:rPr>
          <w:rFonts w:ascii="Times New Roman" w:hAnsi="Times New Roman" w:cs="Times New Roman" w:eastAsia="Times New Roman" w:hint="default"/>
        </w:rPr>
        <w:t>2019</w:t>
      </w:r>
      <w:r>
        <w:rPr/>
        <w:t>年度经营计划</w:t>
      </w:r>
    </w:p>
    <w:p>
      <w:pPr>
        <w:pStyle w:val="BodyText"/>
        <w:spacing w:line="309" w:lineRule="auto" w:before="63"/>
        <w:ind w:right="1032" w:firstLine="360"/>
        <w:jc w:val="left"/>
      </w:pPr>
      <w:r>
        <w:rPr>
          <w:rFonts w:ascii="Times New Roman" w:hAnsi="Times New Roman" w:cs="Times New Roman" w:eastAsia="Times New Roman" w:hint="default"/>
          <w:spacing w:val="-2"/>
        </w:rPr>
        <w:t>2019</w:t>
      </w:r>
      <w:r>
        <w:rPr>
          <w:spacing w:val="-2"/>
        </w:rPr>
        <w:t>年度，公司将严格按照各项上市公司和其他金融行业的监管要求，坚持自律合规的原则，通过金融产品创新、业务</w:t>
      </w:r>
      <w:r>
        <w:rPr/>
        <w:t> </w:t>
      </w:r>
      <w:r>
        <w:rPr>
          <w:spacing w:val="-4"/>
        </w:rPr>
        <w:t>模式创新、技术创新，在金融科技领域稳步前行。按照公司整体战略发展方向，保持支付、供应链、保理业务板块稳定发展，</w:t>
      </w:r>
      <w:r>
        <w:rPr>
          <w:spacing w:val="-44"/>
        </w:rPr>
        <w:t> </w:t>
      </w:r>
      <w:r>
        <w:rPr>
          <w:spacing w:val="-44"/>
        </w:rPr>
      </w:r>
      <w:r>
        <w:rPr/>
        <w:t>积极拓展融资租赁、互联网小贷等业务板块，加强风控体系建设，保障公司各业务板块的健康运行，确保公司稳定地发展。</w:t>
      </w:r>
    </w:p>
    <w:p>
      <w:pPr>
        <w:pStyle w:val="BodyText"/>
        <w:spacing w:line="316" w:lineRule="auto" w:before="24"/>
        <w:ind w:left="514" w:right="1127"/>
        <w:jc w:val="left"/>
        <w:rPr>
          <w:rFonts w:ascii="Times New Roman" w:hAnsi="Times New Roman" w:cs="Times New Roman" w:eastAsia="Times New Roman" w:hint="default"/>
        </w:rPr>
      </w:pPr>
      <w:r>
        <w:rPr/>
        <w:t>（四）资金需求与筹措 </w:t>
      </w:r>
      <w:r>
        <w:rPr>
          <w:spacing w:val="-5"/>
        </w:rPr>
        <w:t>为推动企业持续稳健经营，满足公司不断扩展的经营规模对流动资金需求，确保公司现金流充足，公司及控股子公司</w:t>
      </w:r>
      <w:r>
        <w:rPr>
          <w:rFonts w:ascii="Times New Roman" w:hAnsi="Times New Roman" w:cs="Times New Roman" w:eastAsia="Times New Roman" w:hint="default"/>
          <w:spacing w:val="-5"/>
        </w:rPr>
        <w:t>2019</w:t>
      </w:r>
    </w:p>
    <w:p>
      <w:pPr>
        <w:pStyle w:val="BodyText"/>
        <w:spacing w:line="309" w:lineRule="auto"/>
        <w:ind w:right="1032"/>
        <w:jc w:val="left"/>
      </w:pPr>
      <w:r>
        <w:rPr>
          <w:spacing w:val="-2"/>
        </w:rPr>
        <w:t>年度拟向银行等金融机构或其他机构申请不超过</w:t>
      </w:r>
      <w:r>
        <w:rPr>
          <w:rFonts w:ascii="Times New Roman" w:hAnsi="Times New Roman" w:cs="Times New Roman" w:eastAsia="Times New Roman" w:hint="default"/>
          <w:spacing w:val="-2"/>
        </w:rPr>
        <w:t>30</w:t>
      </w:r>
      <w:r>
        <w:rPr>
          <w:spacing w:val="-2"/>
        </w:rPr>
        <w:t>亿元人民币的综合授信额度（按有效到位资金统计），授信种类包含但不</w:t>
      </w:r>
      <w:r>
        <w:rPr>
          <w:spacing w:val="-64"/>
        </w:rPr>
        <w:t> </w:t>
      </w:r>
      <w:r>
        <w:rPr>
          <w:spacing w:val="-64"/>
        </w:rPr>
      </w:r>
      <w:r>
        <w:rPr/>
        <w:t>限于各类贷款、保函、承兑汇票、信用证、进口押汇、进口代付、进出口保理、融资租赁等品种。在实际授信审批过程中， 在上述申请授信的总额度内，各银行等金融机构之间的授信额度可作适当调整。</w:t>
      </w:r>
    </w:p>
    <w:p>
      <w:pPr>
        <w:pStyle w:val="BodyText"/>
        <w:spacing w:line="240" w:lineRule="auto" w:before="24"/>
        <w:ind w:left="514" w:right="0"/>
        <w:jc w:val="left"/>
      </w:pPr>
      <w:r>
        <w:rPr/>
        <w:t>（五）主要风险因素及公司应对策略</w:t>
      </w:r>
    </w:p>
    <w:p>
      <w:pPr>
        <w:pStyle w:val="BodyText"/>
        <w:spacing w:line="300" w:lineRule="auto" w:before="76"/>
        <w:ind w:left="514" w:right="0"/>
        <w:jc w:val="left"/>
      </w:pPr>
      <w:r>
        <w:rPr>
          <w:rFonts w:ascii="Times New Roman" w:hAnsi="Times New Roman" w:cs="Times New Roman" w:eastAsia="Times New Roman" w:hint="default"/>
        </w:rPr>
        <w:t>1</w:t>
      </w:r>
      <w:r>
        <w:rPr/>
        <w:t>、商誉等资产的减值风险 </w:t>
      </w:r>
      <w:r>
        <w:rPr>
          <w:spacing w:val="-2"/>
        </w:rPr>
        <w:t>广东合利未来经营业绩的影响因素发生不利变化所导致的盈利能力下降风险，对公司经营业绩造成影响，有可能导致广</w:t>
      </w:r>
    </w:p>
    <w:p>
      <w:pPr>
        <w:pStyle w:val="BodyText"/>
        <w:spacing w:line="316" w:lineRule="auto" w:before="31"/>
        <w:ind w:right="1131"/>
        <w:jc w:val="both"/>
      </w:pPr>
      <w:r>
        <w:rPr>
          <w:spacing w:val="-2"/>
        </w:rPr>
        <w:t>东合利的商誉存在一定的减值风险。公司通过加强内部控制管理、积极拓展业务、完善系统建设、招募第三方支付的专业团</w:t>
      </w:r>
      <w:r>
        <w:rPr>
          <w:spacing w:val="-66"/>
        </w:rPr>
        <w:t> </w:t>
      </w:r>
      <w:r>
        <w:rPr>
          <w:spacing w:val="-66"/>
        </w:rPr>
      </w:r>
      <w:r>
        <w:rPr>
          <w:spacing w:val="-2"/>
        </w:rPr>
        <w:t>队等措施，提升广东合利的经营业绩。积极拓展广东合利的保理、征信、互联网小贷等业务，打造以支付为入口的金融科技</w:t>
      </w:r>
      <w:r>
        <w:rPr>
          <w:spacing w:val="-66"/>
        </w:rPr>
        <w:t> </w:t>
      </w:r>
      <w:r>
        <w:rPr>
          <w:spacing w:val="-66"/>
        </w:rPr>
      </w:r>
      <w:r>
        <w:rPr/>
        <w:t>生态闭环，通过多元化的业务模式，为广东合利的业绩提供有力支撑。</w:t>
      </w:r>
    </w:p>
    <w:p>
      <w:pPr>
        <w:pStyle w:val="BodyText"/>
        <w:spacing w:line="300" w:lineRule="auto" w:before="19"/>
        <w:ind w:left="514" w:right="0"/>
        <w:jc w:val="left"/>
      </w:pPr>
      <w:r>
        <w:rPr>
          <w:rFonts w:ascii="Times New Roman" w:hAnsi="Times New Roman" w:cs="Times New Roman" w:eastAsia="Times New Roman" w:hint="default"/>
        </w:rPr>
        <w:t>2</w:t>
      </w:r>
      <w:r>
        <w:rPr/>
        <w:t>、因行业监管政策变化导致其业务受到不利影响的风险 </w:t>
      </w:r>
      <w:r>
        <w:rPr>
          <w:spacing w:val="-2"/>
        </w:rPr>
        <w:t>相关法律法规的颁布代表主管部门向非金融机构放开了第三方支付市场，但由于该行业与国家金融体系的平稳运行密切</w:t>
      </w:r>
    </w:p>
    <w:p>
      <w:pPr>
        <w:pStyle w:val="BodyText"/>
        <w:spacing w:line="316" w:lineRule="auto" w:before="31"/>
        <w:ind w:right="1032"/>
        <w:jc w:val="left"/>
      </w:pPr>
      <w:r>
        <w:rPr>
          <w:spacing w:val="-2"/>
        </w:rPr>
        <w:t>相关，主管部门对此行业的监管将趋于严格，若由于行业内某些企业的违法违规行为而扰乱金融市场、造成恶劣影响，主管</w:t>
      </w:r>
      <w:r>
        <w:rPr>
          <w:spacing w:val="-66"/>
        </w:rPr>
        <w:t> </w:t>
      </w:r>
      <w:r>
        <w:rPr>
          <w:spacing w:val="-66"/>
        </w:rPr>
      </w:r>
      <w:r>
        <w:rPr>
          <w:spacing w:val="-2"/>
        </w:rPr>
        <w:t>机关可能对上述法律法规进行调整或出台趋紧的法律法规，收紧对非金融机构从事第三方支付业务的许可经营范围或加强对</w:t>
      </w:r>
      <w:r>
        <w:rPr>
          <w:spacing w:val="-64"/>
        </w:rPr>
        <w:t> </w:t>
      </w:r>
      <w:r>
        <w:rPr>
          <w:spacing w:val="-64"/>
        </w:rPr>
      </w:r>
      <w:r>
        <w:rPr>
          <w:spacing w:val="-2"/>
        </w:rPr>
        <w:t>此行业的监管力度，这将深刻影响行业未来的发展方向和行业的竞争格局，从而可能对公司金融科技业务的稳定性与持续性</w:t>
      </w:r>
      <w:r>
        <w:rPr>
          <w:spacing w:val="-64"/>
        </w:rPr>
        <w:t> </w:t>
      </w:r>
      <w:r>
        <w:rPr>
          <w:spacing w:val="-64"/>
        </w:rPr>
      </w:r>
      <w:r>
        <w:rPr>
          <w:spacing w:val="-2"/>
        </w:rPr>
        <w:t>产生重要影响。公司严格按照监管机构相关政策及要求在许可业务类型范围内合规开展第三方支付业务，最大限度降低政策</w:t>
      </w:r>
      <w:r>
        <w:rPr>
          <w:spacing w:val="-64"/>
        </w:rPr>
        <w:t> </w:t>
      </w:r>
      <w:r>
        <w:rPr>
          <w:spacing w:val="-64"/>
        </w:rPr>
      </w:r>
      <w:r>
        <w:rPr/>
        <w:t>风险对公司的不利影响；制定合规、有效的持续发展战略，引领行业市场规范，协同相关监管机构共同规范市场发展行为， 保证公司发展的优先性和持续性。</w:t>
      </w:r>
    </w:p>
    <w:p>
      <w:pPr>
        <w:pStyle w:val="BodyText"/>
        <w:spacing w:line="300" w:lineRule="auto" w:before="19"/>
        <w:ind w:left="514" w:right="0"/>
        <w:jc w:val="left"/>
      </w:pPr>
      <w:r>
        <w:rPr>
          <w:rFonts w:ascii="Times New Roman" w:hAnsi="Times New Roman" w:cs="Times New Roman" w:eastAsia="Times New Roman" w:hint="default"/>
        </w:rPr>
        <w:t>3</w:t>
      </w:r>
      <w:r>
        <w:rPr/>
        <w:t>、金融科技业务市场竞争风险 </w:t>
      </w:r>
      <w:r>
        <w:rPr>
          <w:spacing w:val="-2"/>
        </w:rPr>
        <w:t>金融科技业务处于快速发展阶段，具有产品和服务更新换代快的特点，若公司金融科技业务对技术、产品和市场的发展</w:t>
      </w:r>
    </w:p>
    <w:p>
      <w:pPr>
        <w:pStyle w:val="BodyText"/>
        <w:spacing w:line="316" w:lineRule="auto" w:before="31"/>
        <w:ind w:right="0"/>
        <w:jc w:val="left"/>
      </w:pPr>
      <w:r>
        <w:rPr>
          <w:spacing w:val="-2"/>
        </w:rPr>
        <w:t>趋势不能正确判断，不能持续研发升级产品和服务，将导致公司的市场竞争能力下降，存在一定的市场竞争风险。公司实施</w:t>
      </w:r>
      <w:r>
        <w:rPr>
          <w:spacing w:val="-66"/>
        </w:rPr>
        <w:t> </w:t>
      </w:r>
      <w:r>
        <w:rPr>
          <w:spacing w:val="-66"/>
        </w:rPr>
      </w:r>
      <w:r>
        <w:rPr/>
        <w:t>有竞争力的人才政策，保证在金融科技行业的竞争中能引进优秀的各类人才。</w:t>
      </w:r>
    </w:p>
    <w:p>
      <w:pPr>
        <w:pStyle w:val="BodyText"/>
        <w:spacing w:line="300" w:lineRule="auto" w:before="19"/>
        <w:ind w:left="514" w:right="0"/>
        <w:jc w:val="left"/>
      </w:pPr>
      <w:r>
        <w:rPr>
          <w:rFonts w:ascii="Times New Roman" w:hAnsi="Times New Roman" w:cs="Times New Roman" w:eastAsia="Times New Roman" w:hint="default"/>
        </w:rPr>
        <w:t>4</w:t>
      </w:r>
      <w:r>
        <w:rPr/>
        <w:t>、系统软硬件及技术风险 </w:t>
      </w:r>
      <w:r>
        <w:rPr>
          <w:spacing w:val="-2"/>
        </w:rPr>
        <w:t>技术风险是指由于软硬件及网络等原因导致的损失。具体包括：网络系统被恶意攻击，门户网站的页面被恶意替换，业</w:t>
      </w:r>
    </w:p>
    <w:p>
      <w:pPr>
        <w:pStyle w:val="BodyText"/>
        <w:spacing w:line="314" w:lineRule="auto" w:before="31"/>
        <w:ind w:right="1131"/>
        <w:jc w:val="both"/>
      </w:pPr>
      <w:r>
        <w:rPr>
          <w:spacing w:val="-2"/>
        </w:rPr>
        <w:t>务数据遭破坏或失窃，客户数据及密码信息遗失，造成资金损失；由于主机、网络以及其他设备等故障造成合利宝支付全部</w:t>
      </w:r>
      <w:r>
        <w:rPr>
          <w:spacing w:val="-66"/>
        </w:rPr>
        <w:t> </w:t>
      </w:r>
      <w:r>
        <w:rPr>
          <w:spacing w:val="-66"/>
        </w:rPr>
      </w:r>
      <w:r>
        <w:rPr>
          <w:spacing w:val="-2"/>
        </w:rPr>
        <w:t>业务停顿，导致用户直接资金损失或间接损失；客户服务中心系统出现故障，导致客户服务工作停顿。根据对客户或其他相</w:t>
      </w:r>
      <w:r>
        <w:rPr>
          <w:spacing w:val="-66"/>
        </w:rPr>
        <w:t> </w:t>
      </w:r>
      <w:r>
        <w:rPr>
          <w:spacing w:val="-66"/>
        </w:rPr>
      </w:r>
      <w:r>
        <w:rPr>
          <w:spacing w:val="-2"/>
        </w:rPr>
        <w:t>关单位造成损失的大小，公司受到的影响可能是支付赔偿金、缴纳罚款、暂停业务、被吊销《支付业务许可证》的风险。公</w:t>
      </w:r>
      <w:r>
        <w:rPr>
          <w:spacing w:val="-71"/>
        </w:rPr>
        <w:t> </w:t>
      </w:r>
      <w:r>
        <w:rPr>
          <w:spacing w:val="-71"/>
        </w:rPr>
      </w:r>
      <w:r>
        <w:rPr>
          <w:spacing w:val="-2"/>
        </w:rPr>
        <w:t>司将配备充足的</w:t>
      </w:r>
      <w:r>
        <w:rPr>
          <w:rFonts w:ascii="Times New Roman" w:hAnsi="Times New Roman" w:cs="Times New Roman" w:eastAsia="Times New Roman" w:hint="default"/>
          <w:spacing w:val="-2"/>
        </w:rPr>
        <w:t>IT</w:t>
      </w:r>
      <w:r>
        <w:rPr>
          <w:spacing w:val="-2"/>
        </w:rPr>
        <w:t>技术人员，加强系统及软硬件建设；加强相关软硬件设施的配备，以满足更多的业务种类和业务量；提高</w:t>
      </w:r>
      <w:r>
        <w:rPr>
          <w:spacing w:val="-52"/>
        </w:rPr>
        <w:t> </w:t>
      </w:r>
      <w:r>
        <w:rPr>
          <w:spacing w:val="-52"/>
        </w:rPr>
      </w:r>
      <w:r>
        <w:rPr/>
        <w:t>公司业务系统的安全级别，尽可能降低上述风险事件发生的可能性。</w:t>
      </w:r>
    </w:p>
    <w:p>
      <w:pPr>
        <w:pStyle w:val="BodyText"/>
        <w:spacing w:line="300" w:lineRule="auto" w:before="20"/>
        <w:ind w:left="514" w:right="0"/>
        <w:jc w:val="left"/>
      </w:pPr>
      <w:r>
        <w:rPr>
          <w:rFonts w:ascii="Times New Roman" w:hAnsi="Times New Roman" w:cs="Times New Roman" w:eastAsia="Times New Roman" w:hint="default"/>
        </w:rPr>
        <w:t>5</w:t>
      </w:r>
      <w:r>
        <w:rPr/>
        <w:t>、客户的违法违规行为导致的经营风险 </w:t>
      </w:r>
      <w:r>
        <w:rPr>
          <w:spacing w:val="-2"/>
        </w:rPr>
        <w:t>商户弄虚作假，将通道嫁接给第三方使用或移做他用；违规资金进出；信用卡盗刷、恶意套现和拒付的风险。公司的商</w:t>
      </w:r>
    </w:p>
    <w:p>
      <w:pPr>
        <w:pStyle w:val="BodyText"/>
        <w:spacing w:line="319" w:lineRule="auto" w:before="31"/>
        <w:ind w:right="1032"/>
        <w:jc w:val="left"/>
      </w:pPr>
      <w:r>
        <w:rPr/>
        <w:t>户自身发生违规行为，在选择商户时，若未严格执行对商户的筛选标准，导致出现上述违规行为进而造成交易量大幅下降， </w:t>
      </w:r>
      <w:r>
        <w:rPr>
          <w:spacing w:val="-2"/>
        </w:rPr>
        <w:t>将会导致的手续费收入大幅减少的经营风险。公司将强化商户审核机制，严格按照公司商户准入制度实行准入制，对存量商</w:t>
      </w:r>
      <w:r>
        <w:rPr>
          <w:spacing w:val="-66"/>
        </w:rPr>
        <w:t> </w:t>
      </w:r>
      <w:r>
        <w:rPr>
          <w:spacing w:val="-66"/>
        </w:rPr>
      </w:r>
      <w:r>
        <w:rPr>
          <w:spacing w:val="-2"/>
        </w:rPr>
        <w:t>户定期进行梳理，及时发现违规行为并采取有效防范措施；积极拓展市场，增加优质商户数量，降低对单一市场或行业的业</w:t>
      </w:r>
      <w:r>
        <w:rPr>
          <w:spacing w:val="-66"/>
        </w:rPr>
        <w:t> </w:t>
      </w:r>
      <w:r>
        <w:rPr>
          <w:spacing w:val="-66"/>
        </w:rPr>
      </w:r>
      <w:r>
        <w:rPr/>
        <w:t>绩依赖；公司坚持只提供支付服务，不参与交易业务原则。</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十、接待调研、沟通、采访等活动" w:id="57"/>
      <w:bookmarkEnd w:id="57"/>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73"/>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left="514" w:right="1167"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本报告期内，公司严格按照有关规定</w:t>
      </w:r>
      <w:r>
        <w:rPr>
          <w:rFonts w:ascii="Times New Roman" w:hAnsi="Times New Roman" w:cs="Times New Roman" w:eastAsia="Times New Roman" w:hint="default"/>
        </w:rPr>
        <w:t>,</w:t>
      </w:r>
      <w:r>
        <w:rPr/>
        <w:t>积极做好公司利润分配方案。公司董事会在听取独立董事及公司股东的意见，并</w:t>
      </w:r>
    </w:p>
    <w:p>
      <w:pPr>
        <w:pStyle w:val="BodyText"/>
        <w:spacing w:line="230" w:lineRule="exact"/>
        <w:ind w:right="0"/>
        <w:jc w:val="left"/>
      </w:pPr>
      <w:r>
        <w:rPr/>
        <w:t>结合公司</w:t>
      </w:r>
      <w:r>
        <w:rPr>
          <w:rFonts w:ascii="Times New Roman" w:hAnsi="Times New Roman" w:cs="Times New Roman" w:eastAsia="Times New Roman" w:hint="default"/>
        </w:rPr>
        <w:t>2017</w:t>
      </w:r>
      <w:r>
        <w:rPr/>
        <w:t>年度经营情况和</w:t>
      </w:r>
      <w:r>
        <w:rPr>
          <w:rFonts w:ascii="Times New Roman" w:hAnsi="Times New Roman" w:cs="Times New Roman" w:eastAsia="Times New Roman" w:hint="default"/>
        </w:rPr>
        <w:t>2018</w:t>
      </w:r>
      <w:r>
        <w:rPr/>
        <w:t>年度投资、支出计划等制定了公司</w:t>
      </w:r>
      <w:r>
        <w:rPr>
          <w:rFonts w:ascii="Times New Roman" w:hAnsi="Times New Roman" w:cs="Times New Roman" w:eastAsia="Times New Roman" w:hint="default"/>
        </w:rPr>
        <w:t>2017</w:t>
      </w:r>
      <w:r>
        <w:rPr/>
        <w:t>年度利润分配预案，即以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7"/>
        </w:rPr>
        <w:t> </w:t>
      </w:r>
      <w:r>
        <w:rPr/>
        <w:t>日总</w:t>
      </w:r>
    </w:p>
    <w:p>
      <w:pPr>
        <w:pStyle w:val="BodyText"/>
        <w:spacing w:line="300" w:lineRule="auto" w:before="63"/>
        <w:ind w:right="1030"/>
        <w:jc w:val="left"/>
      </w:pPr>
      <w:r>
        <w:rPr/>
        <w:t>股本</w:t>
      </w:r>
      <w:r>
        <w:rPr>
          <w:rFonts w:ascii="Times New Roman" w:hAnsi="Times New Roman" w:cs="Times New Roman" w:eastAsia="Times New Roman" w:hint="default"/>
        </w:rPr>
        <w:t>373,291,100</w:t>
      </w:r>
      <w:r>
        <w:rPr/>
        <w:t>股为基数，拟以资本公积金转增股本，向公司全体股东每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5 </w:t>
      </w:r>
      <w:r>
        <w:rPr/>
        <w:t>股，共转增股本 </w:t>
      </w:r>
      <w:r>
        <w:rPr>
          <w:rFonts w:ascii="Times New Roman" w:hAnsi="Times New Roman" w:cs="Times New Roman" w:eastAsia="Times New Roman" w:hint="default"/>
        </w:rPr>
        <w:t>186,645,550.00</w:t>
      </w:r>
      <w:r>
        <w:rPr>
          <w:rFonts w:ascii="Times New Roman" w:hAnsi="Times New Roman" w:cs="Times New Roman" w:eastAsia="Times New Roman" w:hint="default"/>
          <w:spacing w:val="2"/>
        </w:rPr>
        <w:t> </w:t>
      </w:r>
      <w:r>
        <w:rPr/>
        <w:t>股。 不送现金红利，剩余未分配利润转入下一年度。不送红股。</w:t>
      </w:r>
      <w:r>
        <w:rPr>
          <w:spacing w:val="-54"/>
        </w:rPr>
        <w:t> </w:t>
      </w:r>
      <w:r>
        <w:rPr/>
        <w:t>该分配方案在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日召开的第三届董事会第四十七次会 议上审议通过，并提交公司</w:t>
      </w:r>
      <w:r>
        <w:rPr>
          <w:rFonts w:ascii="Times New Roman" w:hAnsi="Times New Roman" w:cs="Times New Roman" w:eastAsia="Times New Roman" w:hint="default"/>
        </w:rPr>
        <w:t>2017</w:t>
      </w:r>
      <w:r>
        <w:rPr/>
        <w:t>年度股东大会审议通过。</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19" w:lineRule="auto" w:before="53"/>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2016</w:t>
      </w:r>
      <w:r>
        <w:rPr>
          <w:spacing w:val="-2"/>
        </w:rPr>
        <w:t>年度，公司以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日的总股本</w:t>
      </w:r>
      <w:r>
        <w:rPr>
          <w:rFonts w:ascii="Times New Roman" w:hAnsi="Times New Roman" w:cs="Times New Roman" w:eastAsia="Times New Roman" w:hint="default"/>
          <w:spacing w:val="-2"/>
        </w:rPr>
        <w:t>219,583,000</w:t>
      </w:r>
      <w:r>
        <w:rPr>
          <w:spacing w:val="-2"/>
        </w:rPr>
        <w:t>股为基数，以资本公积金转增股本，向公司全体股东每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4"/>
        </w:rPr>
        <w:t> </w:t>
      </w:r>
      <w:r>
        <w:rPr/>
        <w:t>股。不派发现金红利，累计剩余可供股东分配的利润转入下一年度。不送红股。</w:t>
      </w:r>
    </w:p>
    <w:p>
      <w:pPr>
        <w:pStyle w:val="BodyText"/>
        <w:spacing w:line="240" w:lineRule="auto" w:before="17"/>
        <w:ind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年度，公司以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日总股本 </w:t>
      </w:r>
      <w:r>
        <w:rPr>
          <w:rFonts w:ascii="Times New Roman" w:hAnsi="Times New Roman" w:cs="Times New Roman" w:eastAsia="Times New Roman" w:hint="default"/>
        </w:rPr>
        <w:t>373,291,100</w:t>
      </w:r>
      <w:r>
        <w:rPr/>
        <w:t>股为基数，拟以资本公积金转增股本，向公司全体股东每</w:t>
      </w:r>
      <w:r>
        <w:rPr>
          <w:spacing w:val="-44"/>
        </w:rPr>
        <w:t> </w:t>
      </w:r>
      <w:r>
        <w:rPr>
          <w:rFonts w:ascii="Times New Roman" w:hAnsi="Times New Roman" w:cs="Times New Roman" w:eastAsia="Times New Roman" w:hint="default"/>
        </w:rPr>
        <w:t>10</w:t>
      </w:r>
    </w:p>
    <w:p>
      <w:pPr>
        <w:pStyle w:val="BodyText"/>
        <w:spacing w:line="240" w:lineRule="auto" w:before="63"/>
        <w:ind w:right="0"/>
        <w:jc w:val="left"/>
      </w:pPr>
      <w:r>
        <w:rPr/>
        <w:t>股转增 </w:t>
      </w:r>
      <w:r>
        <w:rPr>
          <w:rFonts w:ascii="Times New Roman" w:hAnsi="Times New Roman" w:cs="Times New Roman" w:eastAsia="Times New Roman" w:hint="default"/>
        </w:rPr>
        <w:t>5 </w:t>
      </w:r>
      <w:r>
        <w:rPr/>
        <w:t>股，共转增股本 </w:t>
      </w:r>
      <w:r>
        <w:rPr>
          <w:rFonts w:ascii="Times New Roman" w:hAnsi="Times New Roman" w:cs="Times New Roman" w:eastAsia="Times New Roman" w:hint="default"/>
        </w:rPr>
        <w:t>186,645,550.00</w:t>
      </w:r>
      <w:r>
        <w:rPr>
          <w:rFonts w:ascii="Times New Roman" w:hAnsi="Times New Roman" w:cs="Times New Roman" w:eastAsia="Times New Roman" w:hint="default"/>
          <w:spacing w:val="14"/>
        </w:rPr>
        <w:t> </w:t>
      </w:r>
      <w:r>
        <w:rPr/>
        <w:t>股。不送现金红利，剩余未分配利润转入下一年度。不送红股。</w:t>
      </w:r>
    </w:p>
    <w:p>
      <w:pPr>
        <w:pStyle w:val="BodyText"/>
        <w:spacing w:line="319" w:lineRule="auto" w:before="63"/>
        <w:ind w:right="1032"/>
        <w:jc w:val="left"/>
      </w:pPr>
      <w:r>
        <w:rPr>
          <w:rFonts w:ascii="Times New Roman" w:hAnsi="Times New Roman" w:cs="Times New Roman" w:eastAsia="Times New Roman" w:hint="default"/>
          <w:spacing w:val="-8"/>
        </w:rPr>
        <w:t>3</w:t>
      </w:r>
      <w:r>
        <w:rPr>
          <w:spacing w:val="-8"/>
        </w:rPr>
        <w:t>、</w:t>
      </w:r>
      <w:r>
        <w:rPr>
          <w:rFonts w:ascii="Times New Roman" w:hAnsi="Times New Roman" w:cs="Times New Roman" w:eastAsia="Times New Roman" w:hint="default"/>
          <w:spacing w:val="-8"/>
        </w:rPr>
        <w:t>2018</w:t>
      </w:r>
      <w:r>
        <w:rPr>
          <w:spacing w:val="-8"/>
        </w:rPr>
        <w:t>年度，公司拟以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日总股本 </w:t>
      </w:r>
      <w:r>
        <w:rPr>
          <w:rFonts w:ascii="Times New Roman" w:hAnsi="Times New Roman" w:cs="Times New Roman" w:eastAsia="Times New Roman" w:hint="default"/>
          <w:spacing w:val="-3"/>
        </w:rPr>
        <w:t>559,936,650</w:t>
      </w:r>
      <w:r>
        <w:rPr>
          <w:spacing w:val="-3"/>
        </w:rPr>
        <w:t>股为基数，向公司全体股东每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spacing w:val="-7"/>
        </w:rPr>
        <w:t>股分派现金</w:t>
      </w:r>
      <w:r>
        <w:rPr>
          <w:rFonts w:ascii="Times New Roman" w:hAnsi="Times New Roman" w:cs="Times New Roman" w:eastAsia="Times New Roman" w:hint="default"/>
          <w:spacing w:val="-7"/>
        </w:rPr>
        <w:t>0.2</w:t>
      </w:r>
      <w:r>
        <w:rPr>
          <w:spacing w:val="-7"/>
        </w:rPr>
        <w:t>元（含税），</w:t>
      </w:r>
      <w:r>
        <w:rPr/>
        <w:t> 共计分派</w:t>
      </w:r>
      <w:r>
        <w:rPr>
          <w:rFonts w:ascii="Times New Roman" w:hAnsi="Times New Roman" w:cs="Times New Roman" w:eastAsia="Times New Roman" w:hint="default"/>
        </w:rPr>
        <w:t>11,198,733</w:t>
      </w:r>
      <w:r>
        <w:rPr/>
        <w:t>元（含税）。剩余未分配利润转入下一年度。不送红股。 公司近三年（包括本报告期）普通股现金分红情况表</w:t>
      </w:r>
    </w:p>
    <w:p>
      <w:pPr>
        <w:pStyle w:val="BodyText"/>
        <w:spacing w:line="240" w:lineRule="auto" w:before="58"/>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85"/>
        <w:gridCol w:w="1208"/>
        <w:gridCol w:w="1185"/>
        <w:gridCol w:w="120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4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8"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64"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11,198,733.00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52,986,949.73</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21.13%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11,198,733.00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21.13%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pacing w:val="-1"/>
                <w:sz w:val="18"/>
              </w:rPr>
              <w:t>-215,741,620.5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36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110,462,842.26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8" w:right="0"/>
              <w:jc w:val="lef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9"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二、本报告期利润分配及资本公积金转增股本预案情况" w:id="62"/>
      <w:bookmarkEnd w:id="62"/>
      <w:r>
        <w:rPr>
          <w:b w:val="0"/>
          <w:bCs w:val="0"/>
        </w:rPr>
      </w:r>
      <w:r>
        <w:rPr/>
        <w:t>二、本报告期利润分配及资本公积金转增股本预案情况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before="44"/>
        <w:ind w:left="0" w:right="1140"/>
        <w:jc w:val="right"/>
      </w:pPr>
      <w:r>
        <w:rPr/>
        <w:pict>
          <v:shape style="position:absolute;margin-left:57.029999pt;margin-top:-288.868286pt;width:478.6pt;height:339.8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73"/>
                    <w:gridCol w:w="5784"/>
                  </w:tblGrid>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559936650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11,198,733.00</w:t>
                        </w:r>
                      </w:p>
                    </w:tc>
                  </w:tr>
                  <w:tr>
                    <w:trPr>
                      <w:trHeight w:val="402" w:hRule="exact"/>
                    </w:trPr>
                    <w:tc>
                      <w:tcPr>
                        <w:tcW w:w="37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11,198,733</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174,119,931.13</w:t>
                        </w:r>
                      </w:p>
                    </w:tc>
                  </w:tr>
                  <w:tr>
                    <w:trPr>
                      <w:trHeight w:val="714"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0"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经中兴财光华会计师事务所（特殊普通合伙）审计，</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年度实现利润总额 </w:t>
                        </w:r>
                        <w:r>
                          <w:rPr>
                            <w:rFonts w:ascii="Times New Roman" w:hAnsi="Times New Roman" w:cs="Times New Roman" w:eastAsia="Times New Roman" w:hint="default"/>
                            <w:sz w:val="18"/>
                            <w:szCs w:val="18"/>
                          </w:rPr>
                          <w:t>87,132,490.97  </w:t>
                        </w:r>
                        <w:r>
                          <w:rPr>
                            <w:rFonts w:ascii="宋体" w:hAnsi="宋体" w:cs="宋体" w:eastAsia="宋体" w:hint="default"/>
                            <w:spacing w:val="-3"/>
                            <w:sz w:val="18"/>
                            <w:szCs w:val="18"/>
                          </w:rPr>
                          <w:t>元，扣减所得税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28,392,931.11</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宋体" w:hAnsi="宋体" w:cs="宋体" w:eastAsia="宋体" w:hint="default"/>
                            <w:spacing w:val="-85"/>
                            <w:sz w:val="18"/>
                            <w:szCs w:val="18"/>
                          </w:rPr>
                          <w:t>，</w:t>
                        </w:r>
                        <w:r>
                          <w:rPr>
                            <w:rFonts w:ascii="宋体" w:hAnsi="宋体" w:cs="宋体" w:eastAsia="宋体" w:hint="default"/>
                            <w:sz w:val="18"/>
                            <w:szCs w:val="18"/>
                          </w:rPr>
                          <w:t>净利润为 </w:t>
                        </w:r>
                        <w:r>
                          <w:rPr>
                            <w:rFonts w:ascii="Times New Roman" w:hAnsi="Times New Roman" w:cs="Times New Roman" w:eastAsia="Times New Roman" w:hint="default"/>
                            <w:sz w:val="18"/>
                            <w:szCs w:val="18"/>
                          </w:rPr>
                          <w:t>58,739,55</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.86  </w:t>
                        </w:r>
                        <w:r>
                          <w:rPr>
                            <w:rFonts w:ascii="宋体" w:hAnsi="宋体" w:cs="宋体" w:eastAsia="宋体" w:hint="default"/>
                            <w:spacing w:val="-2"/>
                            <w:sz w:val="18"/>
                            <w:szCs w:val="18"/>
                          </w:rPr>
                          <w:t>元</w:t>
                        </w:r>
                        <w:r>
                          <w:rPr>
                            <w:rFonts w:ascii="宋体" w:hAnsi="宋体" w:cs="宋体" w:eastAsia="宋体" w:hint="default"/>
                            <w:spacing w:val="-85"/>
                            <w:sz w:val="18"/>
                            <w:szCs w:val="18"/>
                          </w:rPr>
                          <w:t>；</w:t>
                        </w:r>
                        <w:r>
                          <w:rPr>
                            <w:rFonts w:ascii="宋体" w:hAnsi="宋体" w:cs="宋体" w:eastAsia="宋体" w:hint="default"/>
                            <w:sz w:val="18"/>
                            <w:szCs w:val="18"/>
                          </w:rPr>
                          <w:t>净利润扣减少数股东损益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52,610.13  </w:t>
                        </w:r>
                        <w:r>
                          <w:rPr>
                            <w:rFonts w:ascii="宋体" w:hAnsi="宋体" w:cs="宋体" w:eastAsia="宋体" w:hint="default"/>
                            <w:sz w:val="18"/>
                            <w:szCs w:val="18"/>
                          </w:rPr>
                          <w:t>元</w:t>
                        </w:r>
                        <w:r>
                          <w:rPr>
                            <w:rFonts w:ascii="宋体" w:hAnsi="宋体" w:cs="宋体" w:eastAsia="宋体" w:hint="default"/>
                            <w:spacing w:val="-2"/>
                            <w:sz w:val="18"/>
                            <w:szCs w:val="18"/>
                          </w:rPr>
                          <w:t>后</w:t>
                        </w:r>
                        <w:r>
                          <w:rPr>
                            <w:rFonts w:ascii="宋体" w:hAnsi="宋体" w:cs="宋体" w:eastAsia="宋体" w:hint="default"/>
                            <w:spacing w:val="-85"/>
                            <w:sz w:val="18"/>
                            <w:szCs w:val="18"/>
                          </w:rPr>
                          <w:t>，</w:t>
                        </w:r>
                        <w:r>
                          <w:rPr>
                            <w:rFonts w:ascii="宋体" w:hAnsi="宋体" w:cs="宋体" w:eastAsia="宋体" w:hint="default"/>
                            <w:sz w:val="18"/>
                            <w:szCs w:val="18"/>
                          </w:rPr>
                          <w:t>归属于母公司所有者的净利润 </w:t>
                        </w:r>
                        <w:r>
                          <w:rPr>
                            <w:rFonts w:ascii="Times New Roman" w:hAnsi="Times New Roman" w:cs="Times New Roman" w:eastAsia="Times New Roman" w:hint="default"/>
                            <w:sz w:val="18"/>
                            <w:szCs w:val="18"/>
                          </w:rPr>
                          <w:t>52,986,94</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3</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元；本年度未提取盈余公积金，上年初未分配利润 </w:t>
                        </w:r>
                        <w:r>
                          <w:rPr>
                            <w:rFonts w:ascii="Times New Roman" w:hAnsi="Times New Roman" w:cs="Times New Roman" w:eastAsia="Times New Roman" w:hint="default"/>
                            <w:sz w:val="18"/>
                            <w:szCs w:val="18"/>
                          </w:rPr>
                          <w:t>121,132,981.40  </w:t>
                        </w:r>
                        <w:r>
                          <w:rPr>
                            <w:rFonts w:ascii="宋体" w:hAnsi="宋体" w:cs="宋体" w:eastAsia="宋体" w:hint="default"/>
                            <w:sz w:val="18"/>
                            <w:szCs w:val="18"/>
                          </w:rPr>
                          <w:t>元，公司累积可供股东分配的利润 </w:t>
                        </w:r>
                        <w:r>
                          <w:rPr>
                            <w:rFonts w:ascii="Times New Roman" w:hAnsi="Times New Roman" w:cs="Times New Roman" w:eastAsia="Times New Roman" w:hint="default"/>
                            <w:sz w:val="18"/>
                            <w:szCs w:val="18"/>
                          </w:rPr>
                          <w:t>174,119,931.13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经董事会提议，公司拟以</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日总股本</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559,936,650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股为基数，向公司全体股东每</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股分派现金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z w:val="18"/>
                            <w:szCs w:val="18"/>
                          </w:rPr>
                          <w:t>，共计分派</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1,198,733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，剩余未分配利润转入下一年度。 该事项尚需股东大会审议。</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3"/>
        <w:spacing w:line="240" w:lineRule="auto" w:before="26"/>
        <w:ind w:right="0"/>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1046"/>
        <w:gridCol w:w="794"/>
        <w:gridCol w:w="361"/>
        <w:gridCol w:w="3727"/>
        <w:gridCol w:w="530"/>
        <w:gridCol w:w="573"/>
        <w:gridCol w:w="2652"/>
      </w:tblGrid>
      <w:tr>
        <w:trPr>
          <w:trHeight w:val="317" w:hRule="exact"/>
        </w:trPr>
        <w:tc>
          <w:tcPr>
            <w:tcW w:w="1046" w:type="dxa"/>
            <w:vMerge w:val="restart"/>
            <w:tcBorders>
              <w:top w:val="single" w:sz="4" w:space="0" w:color="000000"/>
              <w:left w:val="single" w:sz="4" w:space="0" w:color="000000"/>
              <w:right w:val="single" w:sz="4" w:space="0" w:color="000000"/>
            </w:tcBorders>
            <w:shd w:val="clear" w:color="auto" w:fill="D2D2D2"/>
          </w:tcPr>
          <w:p>
            <w:pPr/>
          </w:p>
        </w:tc>
        <w:tc>
          <w:tcPr>
            <w:tcW w:w="794" w:type="dxa"/>
            <w:vMerge w:val="restart"/>
            <w:tcBorders>
              <w:top w:val="single" w:sz="4" w:space="0" w:color="000000"/>
              <w:left w:val="single" w:sz="4" w:space="0" w:color="000000"/>
              <w:right w:val="single" w:sz="4" w:space="0" w:color="000000"/>
            </w:tcBorders>
            <w:shd w:val="clear" w:color="auto" w:fill="D2D2D2"/>
          </w:tcPr>
          <w:p>
            <w:pPr/>
          </w:p>
        </w:tc>
        <w:tc>
          <w:tcPr>
            <w:tcW w:w="36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84" w:right="86"/>
              <w:jc w:val="both"/>
              <w:rPr>
                <w:rFonts w:ascii="宋体" w:hAnsi="宋体" w:cs="宋体" w:eastAsia="宋体" w:hint="default"/>
                <w:sz w:val="18"/>
                <w:szCs w:val="18"/>
              </w:rPr>
            </w:pPr>
            <w:r>
              <w:rPr>
                <w:rFonts w:ascii="宋体" w:hAnsi="宋体" w:cs="宋体" w:eastAsia="宋体" w:hint="default"/>
                <w:sz w:val="18"/>
                <w:szCs w:val="18"/>
              </w:rPr>
              <w:t>承 诺 类 型</w:t>
            </w:r>
          </w:p>
        </w:tc>
        <w:tc>
          <w:tcPr>
            <w:tcW w:w="3727" w:type="dxa"/>
            <w:vMerge w:val="restart"/>
            <w:tcBorders>
              <w:top w:val="single" w:sz="4" w:space="0" w:color="000000"/>
              <w:left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73" w:type="dxa"/>
            <w:tcBorders>
              <w:top w:val="single" w:sz="4" w:space="0" w:color="000000"/>
              <w:left w:val="single" w:sz="4" w:space="0" w:color="000000"/>
              <w:bottom w:val="nil" w:sz="6" w:space="0" w:color="auto"/>
              <w:right w:val="single" w:sz="4" w:space="0" w:color="000000"/>
            </w:tcBorders>
            <w:shd w:val="clear" w:color="auto" w:fill="D2D2D2"/>
          </w:tcPr>
          <w:p>
            <w:pPr/>
          </w:p>
        </w:tc>
        <w:tc>
          <w:tcPr>
            <w:tcW w:w="265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046"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361" w:type="dxa"/>
            <w:vMerge/>
            <w:tcBorders>
              <w:left w:val="single" w:sz="4" w:space="0" w:color="000000"/>
              <w:right w:val="single" w:sz="4" w:space="0" w:color="000000"/>
            </w:tcBorders>
            <w:shd w:val="clear" w:color="auto" w:fill="D2D2D2"/>
          </w:tcPr>
          <w:p>
            <w:pPr/>
          </w:p>
        </w:tc>
        <w:tc>
          <w:tcPr>
            <w:tcW w:w="3727" w:type="dxa"/>
            <w:vMerge/>
            <w:tcBorders>
              <w:left w:val="single" w:sz="4" w:space="0" w:color="000000"/>
              <w:bottom w:val="nil" w:sz="6" w:space="0" w:color="auto"/>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80" w:right="78"/>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7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01" w:right="99"/>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2652" w:type="dxa"/>
            <w:vMerge/>
            <w:tcBorders>
              <w:left w:val="single" w:sz="4" w:space="0" w:color="000000"/>
              <w:bottom w:val="nil" w:sz="6" w:space="0" w:color="auto"/>
              <w:right w:val="single" w:sz="4" w:space="0" w:color="000000"/>
            </w:tcBorders>
            <w:shd w:val="clear" w:color="auto" w:fill="D2D2D2"/>
          </w:tcPr>
          <w:p>
            <w:pPr/>
          </w:p>
        </w:tc>
      </w:tr>
      <w:tr>
        <w:trPr>
          <w:trHeight w:val="393" w:hRule="exact"/>
        </w:trPr>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1"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7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61" w:type="dxa"/>
            <w:vMerge/>
            <w:tcBorders>
              <w:left w:val="single" w:sz="4" w:space="0" w:color="000000"/>
              <w:right w:val="single" w:sz="4" w:space="0" w:color="000000"/>
            </w:tcBorders>
            <w:shd w:val="clear" w:color="auto" w:fill="D2D2D2"/>
          </w:tcPr>
          <w:p>
            <w:pPr/>
          </w:p>
        </w:tc>
        <w:tc>
          <w:tcPr>
            <w:tcW w:w="3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30" w:type="dxa"/>
            <w:vMerge/>
            <w:tcBorders>
              <w:left w:val="single" w:sz="4" w:space="0" w:color="000000"/>
              <w:right w:val="single" w:sz="4" w:space="0" w:color="000000"/>
            </w:tcBorders>
            <w:shd w:val="clear" w:color="auto" w:fill="D2D2D2"/>
          </w:tcPr>
          <w:p>
            <w:pPr/>
          </w:p>
        </w:tc>
        <w:tc>
          <w:tcPr>
            <w:tcW w:w="573" w:type="dxa"/>
            <w:vMerge/>
            <w:tcBorders>
              <w:left w:val="single" w:sz="4" w:space="0" w:color="000000"/>
              <w:right w:val="single" w:sz="4" w:space="0" w:color="000000"/>
            </w:tcBorders>
            <w:shd w:val="clear" w:color="auto" w:fill="D2D2D2"/>
          </w:tcPr>
          <w:p>
            <w:pPr/>
          </w:p>
        </w:tc>
        <w:tc>
          <w:tcPr>
            <w:tcW w:w="26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56" w:hRule="exact"/>
        </w:trPr>
        <w:tc>
          <w:tcPr>
            <w:tcW w:w="1046" w:type="dxa"/>
            <w:vMerge w:val="restart"/>
            <w:tcBorders>
              <w:top w:val="nil" w:sz="6" w:space="0" w:color="auto"/>
              <w:left w:val="single" w:sz="4" w:space="0" w:color="000000"/>
              <w:right w:val="single" w:sz="4" w:space="0" w:color="000000"/>
            </w:tcBorders>
            <w:shd w:val="clear" w:color="auto" w:fill="D2D2D2"/>
          </w:tcPr>
          <w:p>
            <w:pPr/>
          </w:p>
        </w:tc>
        <w:tc>
          <w:tcPr>
            <w:tcW w:w="794" w:type="dxa"/>
            <w:vMerge w:val="restart"/>
            <w:tcBorders>
              <w:top w:val="nil" w:sz="6" w:space="0" w:color="auto"/>
              <w:left w:val="single" w:sz="4" w:space="0" w:color="000000"/>
              <w:right w:val="single" w:sz="4" w:space="0" w:color="000000"/>
            </w:tcBorders>
            <w:shd w:val="clear" w:color="auto" w:fill="D2D2D2"/>
          </w:tcPr>
          <w:p>
            <w:pPr/>
          </w:p>
        </w:tc>
        <w:tc>
          <w:tcPr>
            <w:tcW w:w="361" w:type="dxa"/>
            <w:vMerge/>
            <w:tcBorders>
              <w:left w:val="single" w:sz="4" w:space="0" w:color="000000"/>
              <w:right w:val="single" w:sz="4" w:space="0" w:color="000000"/>
            </w:tcBorders>
            <w:shd w:val="clear" w:color="auto" w:fill="D2D2D2"/>
          </w:tcPr>
          <w:p>
            <w:pPr/>
          </w:p>
        </w:tc>
        <w:tc>
          <w:tcPr>
            <w:tcW w:w="3727"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573" w:type="dxa"/>
            <w:vMerge/>
            <w:tcBorders>
              <w:left w:val="single" w:sz="4" w:space="0" w:color="000000"/>
              <w:bottom w:val="nil" w:sz="6" w:space="0" w:color="auto"/>
              <w:right w:val="single" w:sz="4" w:space="0" w:color="000000"/>
            </w:tcBorders>
            <w:shd w:val="clear" w:color="auto" w:fill="D2D2D2"/>
          </w:tcPr>
          <w:p>
            <w:pPr/>
          </w:p>
        </w:tc>
        <w:tc>
          <w:tcPr>
            <w:tcW w:w="2652" w:type="dxa"/>
            <w:vMerge w:val="restart"/>
            <w:tcBorders>
              <w:top w:val="nil" w:sz="6" w:space="0" w:color="auto"/>
              <w:left w:val="single" w:sz="4" w:space="0" w:color="000000"/>
              <w:right w:val="single" w:sz="4" w:space="0" w:color="000000"/>
            </w:tcBorders>
            <w:shd w:val="clear" w:color="auto" w:fill="D2D2D2"/>
          </w:tcPr>
          <w:p>
            <w:pPr/>
          </w:p>
        </w:tc>
      </w:tr>
      <w:tr>
        <w:trPr>
          <w:trHeight w:val="317" w:hRule="exact"/>
        </w:trPr>
        <w:tc>
          <w:tcPr>
            <w:tcW w:w="1046"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361" w:type="dxa"/>
            <w:vMerge/>
            <w:tcBorders>
              <w:left w:val="single" w:sz="4" w:space="0" w:color="000000"/>
              <w:bottom w:val="single" w:sz="4" w:space="0" w:color="000000"/>
              <w:right w:val="single" w:sz="4" w:space="0" w:color="000000"/>
            </w:tcBorders>
            <w:shd w:val="clear" w:color="auto" w:fill="D2D2D2"/>
          </w:tcPr>
          <w:p>
            <w:pPr/>
          </w:p>
        </w:tc>
        <w:tc>
          <w:tcPr>
            <w:tcW w:w="3727"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73" w:type="dxa"/>
            <w:tcBorders>
              <w:top w:val="nil" w:sz="6" w:space="0" w:color="auto"/>
              <w:left w:val="single" w:sz="4" w:space="0" w:color="000000"/>
              <w:bottom w:val="single" w:sz="4" w:space="0" w:color="000000"/>
              <w:right w:val="single" w:sz="4" w:space="0" w:color="000000"/>
            </w:tcBorders>
            <w:shd w:val="clear" w:color="auto" w:fill="D2D2D2"/>
          </w:tcPr>
          <w:p>
            <w:pPr/>
          </w:p>
        </w:tc>
        <w:tc>
          <w:tcPr>
            <w:tcW w:w="265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794" w:type="dxa"/>
            <w:tcBorders>
              <w:top w:val="single" w:sz="4" w:space="0" w:color="000000"/>
              <w:left w:val="single" w:sz="13" w:space="0" w:color="D2D2D2"/>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372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73"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收购报告书</w:t>
            </w:r>
          </w:p>
        </w:tc>
        <w:tc>
          <w:tcPr>
            <w:tcW w:w="794" w:type="dxa"/>
            <w:tcBorders>
              <w:top w:val="single" w:sz="4" w:space="0" w:color="000000"/>
              <w:left w:val="single" w:sz="13" w:space="0" w:color="D2D2D2"/>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372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73"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8.334015pt;margin-top:611.859985pt;width:50.25pt;height:124.85pt;mso-position-horizontal-relative:page;mso-position-vertical-relative:page;z-index:-9165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5"/>
                      <w:szCs w:val="15"/>
                    </w:rPr>
                  </w:pPr>
                </w:p>
                <w:p>
                  <w:pPr>
                    <w:pStyle w:val="BodyText"/>
                    <w:spacing w:line="240" w:lineRule="auto"/>
                    <w:ind w:left="0" w:right="0"/>
                    <w:jc w:val="left"/>
                  </w:pPr>
                  <w:r>
                    <w:rPr/>
                    <w:t>霍东、</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057"/>
        <w:gridCol w:w="783"/>
        <w:gridCol w:w="384"/>
        <w:gridCol w:w="3716"/>
        <w:gridCol w:w="530"/>
        <w:gridCol w:w="573"/>
        <w:gridCol w:w="2652"/>
      </w:tblGrid>
      <w:tr>
        <w:trPr>
          <w:trHeight w:val="986"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22"/>
              <w:jc w:val="both"/>
              <w:rPr>
                <w:rFonts w:ascii="宋体" w:hAnsi="宋体" w:cs="宋体" w:eastAsia="宋体" w:hint="default"/>
                <w:sz w:val="18"/>
                <w:szCs w:val="18"/>
              </w:rPr>
            </w:pPr>
            <w:r>
              <w:rPr>
                <w:rFonts w:ascii="宋体" w:hAnsi="宋体" w:cs="宋体" w:eastAsia="宋体" w:hint="default"/>
                <w:sz w:val="18"/>
                <w:szCs w:val="18"/>
              </w:rPr>
              <w:t>或权益变动 报告书中所 作承诺</w:t>
            </w:r>
          </w:p>
        </w:tc>
        <w:tc>
          <w:tcPr>
            <w:tcW w:w="783"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1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73"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783"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1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73"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2"/>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783"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1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73"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783"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16"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73"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10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7"/>
              <w:ind w:left="22" w:right="122"/>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天津和柚 技术有限 公司</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9"/>
              <w:jc w:val="both"/>
              <w:rPr>
                <w:rFonts w:ascii="宋体" w:hAnsi="宋体" w:cs="宋体" w:eastAsia="宋体" w:hint="default"/>
                <w:sz w:val="18"/>
                <w:szCs w:val="18"/>
              </w:rPr>
            </w:pPr>
            <w:r>
              <w:rPr>
                <w:rFonts w:ascii="宋体" w:hAnsi="宋体" w:cs="宋体" w:eastAsia="宋体" w:hint="default"/>
                <w:sz w:val="18"/>
                <w:szCs w:val="18"/>
              </w:rPr>
              <w:t>增 持 上 市 公 司 股 份</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根据中国证监会和深圳证券交易所的有关规 定，天津和柚技术有限公司根据自身安排自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个月内计划以自身名义 通过深圳证券交易所系统允许的方式（包括但 </w:t>
            </w:r>
            <w:r>
              <w:rPr>
                <w:rFonts w:ascii="宋体" w:hAnsi="宋体" w:cs="宋体" w:eastAsia="宋体" w:hint="default"/>
                <w:spacing w:val="-3"/>
                <w:sz w:val="18"/>
                <w:szCs w:val="18"/>
              </w:rPr>
              <w:t>不限于集中竞价和大宗交易）增持不低于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且 不超过</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的上市公司股份。增持所需资金来源</w:t>
            </w:r>
            <w:r>
              <w:rPr>
                <w:rFonts w:ascii="宋体" w:hAnsi="宋体" w:cs="宋体" w:eastAsia="宋体" w:hint="default"/>
                <w:sz w:val="18"/>
                <w:szCs w:val="18"/>
              </w:rPr>
              <w:t> 于控股股东和柚集团自有或自筹。除前述内容 外，控股股东没有就未来的增持行为设定其他 实施条件。天津和柚技术有限公司承诺将严格 遵守有关规定，不进行内幕交易、敏感期买卖 股份、短线交易等行为。</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6331" w:hRule="exact"/>
        </w:trPr>
        <w:tc>
          <w:tcPr>
            <w:tcW w:w="1057" w:type="dxa"/>
            <w:vMerge/>
            <w:tcBorders>
              <w:left w:val="single" w:sz="4" w:space="0" w:color="000000"/>
              <w:bottom w:val="single" w:sz="4" w:space="0" w:color="000000"/>
              <w:right w:val="single" w:sz="4" w:space="0" w:color="000000"/>
            </w:tcBorders>
            <w:shd w:val="clear" w:color="auto" w:fill="D2D2D2"/>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天津和柚 技术有限 公司、内 蒙古仁东 科技有限 公司</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69"/>
              <w:jc w:val="both"/>
              <w:rPr>
                <w:rFonts w:ascii="宋体" w:hAnsi="宋体" w:cs="宋体" w:eastAsia="宋体" w:hint="default"/>
                <w:sz w:val="18"/>
                <w:szCs w:val="18"/>
              </w:rPr>
            </w:pPr>
            <w:r>
              <w:rPr>
                <w:rFonts w:ascii="宋体" w:hAnsi="宋体" w:cs="宋体" w:eastAsia="宋体" w:hint="default"/>
                <w:sz w:val="18"/>
                <w:szCs w:val="18"/>
              </w:rPr>
              <w:t>业 绩 承 诺 及 补 偿 安 排</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公司原控股股东天津和柚技术有限公司为支持 公司产业转型升级，促进上市公司稳健发展， 保障广大股民的利益，针对收购的广东合利金 融科技服务有限公司在交易实施完毕后连续二 个会计年度的净利润自愿单方面地作出了业绩 补偿承诺，并就利润承诺期内目标公司实际实 现净利润数与承诺净利润数的差额予以补偿。 承诺广东合利金融科技服务有限公司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年度</w:t>
            </w:r>
          </w:p>
          <w:p>
            <w:pPr>
              <w:pStyle w:val="TableParagraph"/>
              <w:spacing w:line="314" w:lineRule="auto"/>
              <w:ind w:left="22" w:right="22"/>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年度预测净利润数额分别不低于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11,400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21,800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日，仁东控 股、和柚技术、仁东科技三方签署《业绩承诺 </w:t>
            </w:r>
            <w:r>
              <w:rPr>
                <w:rFonts w:ascii="宋体" w:hAnsi="宋体" w:cs="宋体" w:eastAsia="宋体" w:hint="default"/>
                <w:spacing w:val="-6"/>
                <w:sz w:val="18"/>
                <w:szCs w:val="18"/>
              </w:rPr>
              <w:t>补偿协议之补充协议》，根据该协议约定，利润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承诺期内合利金融实际实现净利润数与承诺净 利润数的差额应由和柚技术优先承担业绩补偿 责任，若和柚技术不能足额向公司承担业绩补 偿责任，仁东科技和霍东应就尚未补偿金额承 担差额补足责任，差额金额由仁东科技、</w:t>
            </w:r>
            <w:r>
              <w:rPr>
                <w:rFonts w:ascii="宋体" w:hAnsi="宋体" w:cs="宋体" w:eastAsia="宋体" w:hint="default"/>
                <w:sz w:val="18"/>
                <w:szCs w:val="18"/>
              </w:rPr>
              <w:t> 和柚技术协商确定。但无论如何，仁东科技和 霍东为和柚技术按照相关协议向公司承担的业 绩补偿责任不可撤销的承担连带责任。</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249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9"/>
                <w:sz w:val="20"/>
                <w:szCs w:val="20"/>
              </w:rPr>
              <w:pict>
                <v:group style="width:26.05pt;height:124.85pt;mso-position-horizontal-relative:char;mso-position-vertical-relative:line" coordorigin="0,0" coordsize="521,2497">
                  <v:group style="position:absolute;left:0;top:0;width:521;height:2497" coordorigin="0,0" coordsize="521,2497">
                    <v:shape style="position:absolute;left:0;top:0;width:521;height:2497" coordorigin="0,0" coordsize="521,2497" path="m0,2496l521,2496,521,0,0,0,0,2496xe" filled="true" fillcolor="#ffffff" stroked="false">
                      <v:path arrowok="t"/>
                      <v:fill type="solid"/>
                    </v:shape>
                  </v:group>
                </v:group>
              </w:pict>
            </w:r>
            <w:r>
              <w:rPr>
                <w:rFonts w:ascii="Times New Roman" w:hAnsi="Times New Roman" w:cs="Times New Roman" w:eastAsia="Times New Roman" w:hint="default"/>
                <w:position w:val="-49"/>
                <w:sz w:val="20"/>
                <w:szCs w:val="20"/>
              </w:rPr>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日止</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2" w:lineRule="auto"/>
              <w:ind w:left="22" w:right="97"/>
              <w:jc w:val="both"/>
              <w:rPr>
                <w:rFonts w:ascii="宋体" w:hAnsi="宋体" w:cs="宋体" w:eastAsia="宋体" w:hint="default"/>
                <w:sz w:val="18"/>
                <w:szCs w:val="18"/>
              </w:rPr>
            </w:pPr>
            <w:r>
              <w:rPr>
                <w:rFonts w:ascii="宋体" w:hAnsi="宋体" w:cs="宋体" w:eastAsia="宋体" w:hint="default"/>
                <w:sz w:val="18"/>
                <w:szCs w:val="18"/>
              </w:rPr>
              <w:t>仁东科技作为业绩补偿的连带责 任方，其已于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 向公司银行账户一次性汇入广东 合利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年度业绩承诺补偿款</w:t>
            </w:r>
          </w:p>
          <w:p>
            <w:pPr>
              <w:pStyle w:val="TableParagraph"/>
              <w:spacing w:line="307" w:lineRule="auto" w:before="3"/>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13,950.24</w:t>
            </w:r>
            <w:r>
              <w:rPr>
                <w:rFonts w:ascii="Times New Roman" w:hAnsi="Times New Roman" w:cs="Times New Roman" w:eastAsia="Times New Roman" w:hint="default"/>
                <w:spacing w:val="2"/>
                <w:sz w:val="18"/>
                <w:szCs w:val="18"/>
              </w:rPr>
              <w:t> </w:t>
            </w:r>
            <w:r>
              <w:rPr>
                <w:rFonts w:ascii="宋体" w:hAnsi="宋体" w:cs="宋体" w:eastAsia="宋体" w:hint="default"/>
                <w:spacing w:val="-14"/>
                <w:sz w:val="18"/>
                <w:szCs w:val="18"/>
              </w:rPr>
              <w:t>万元。《业绩承诺补偿协</w:t>
            </w:r>
            <w:r>
              <w:rPr>
                <w:rFonts w:ascii="宋体" w:hAnsi="宋体" w:cs="宋体" w:eastAsia="宋体" w:hint="default"/>
                <w:sz w:val="18"/>
                <w:szCs w:val="18"/>
              </w:rPr>
              <w:t> 议》及《业绩承诺补偿协议之补 </w:t>
            </w:r>
            <w:r>
              <w:rPr>
                <w:rFonts w:ascii="宋体" w:hAnsi="宋体" w:cs="宋体" w:eastAsia="宋体" w:hint="default"/>
                <w:spacing w:val="-3"/>
                <w:sz w:val="18"/>
                <w:szCs w:val="18"/>
              </w:rPr>
              <w:t>充协议》的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年度业绩补偿承 诺已履行完毕。</w:t>
            </w:r>
          </w:p>
        </w:tc>
      </w:tr>
      <w:tr>
        <w:trPr>
          <w:trHeight w:val="402"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承诺是否按</w:t>
            </w:r>
          </w:p>
        </w:tc>
        <w:tc>
          <w:tcPr>
            <w:tcW w:w="86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046"/>
        <w:gridCol w:w="8649"/>
      </w:tblGrid>
      <w:tr>
        <w:trPr>
          <w:trHeight w:val="362" w:hRule="exact"/>
        </w:trPr>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时履行</w:t>
            </w:r>
          </w:p>
        </w:tc>
        <w:tc>
          <w:tcPr>
            <w:tcW w:w="8649" w:type="dxa"/>
            <w:tcBorders>
              <w:top w:val="single" w:sz="4" w:space="0" w:color="000000"/>
              <w:left w:val="single" w:sz="13" w:space="0" w:color="D2D2D2"/>
              <w:bottom w:val="single" w:sz="4" w:space="0" w:color="000000"/>
              <w:right w:val="single" w:sz="4" w:space="0" w:color="000000"/>
            </w:tcBorders>
          </w:tcPr>
          <w:p>
            <w:pPr/>
          </w:p>
        </w:tc>
      </w:tr>
      <w:tr>
        <w:trPr>
          <w:trHeight w:val="2586" w:hRule="exact"/>
        </w:trPr>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如承诺超期 未履行完毕 </w:t>
            </w:r>
            <w:r>
              <w:rPr>
                <w:rFonts w:ascii="宋体" w:hAnsi="宋体" w:cs="宋体" w:eastAsia="宋体" w:hint="default"/>
                <w:spacing w:val="-14"/>
                <w:sz w:val="18"/>
                <w:szCs w:val="18"/>
              </w:rPr>
              <w:t>的，应当详细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说明未完成 履行的具体 原因及下一 步的工作计 划</w:t>
            </w:r>
          </w:p>
        </w:tc>
        <w:tc>
          <w:tcPr>
            <w:tcW w:w="8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3"/>
        </w:rPr>
        <w:t> </w:t>
      </w:r>
      <w:r>
        <w:rPr>
          <w:spacing w:val="-63"/>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477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2" w:right="191"/>
              <w:jc w:val="both"/>
              <w:rPr>
                <w:rFonts w:ascii="宋体" w:hAnsi="宋体" w:cs="宋体" w:eastAsia="宋体" w:hint="default"/>
                <w:sz w:val="18"/>
                <w:szCs w:val="18"/>
              </w:rPr>
            </w:pPr>
            <w:r>
              <w:rPr>
                <w:rFonts w:ascii="宋体" w:hAnsi="宋体" w:cs="宋体" w:eastAsia="宋体" w:hint="default"/>
                <w:sz w:val="18"/>
                <w:szCs w:val="18"/>
              </w:rPr>
              <w:t>重大资产购买 重组暨广东合 利盈利预测事 项</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653" w:right="0"/>
              <w:jc w:val="left"/>
              <w:rPr>
                <w:rFonts w:ascii="Times New Roman" w:hAnsi="Times New Roman" w:cs="Times New Roman" w:eastAsia="Times New Roman" w:hint="default"/>
                <w:sz w:val="18"/>
                <w:szCs w:val="18"/>
              </w:rPr>
            </w:pPr>
            <w:r>
              <w:rPr>
                <w:rFonts w:ascii="Times New Roman"/>
                <w:sz w:val="18"/>
              </w:rPr>
              <w:t>21,800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427" w:right="0"/>
              <w:jc w:val="left"/>
              <w:rPr>
                <w:rFonts w:ascii="Times New Roman" w:hAnsi="Times New Roman" w:cs="Times New Roman" w:eastAsia="Times New Roman" w:hint="default"/>
                <w:sz w:val="18"/>
                <w:szCs w:val="18"/>
              </w:rPr>
            </w:pPr>
            <w:r>
              <w:rPr>
                <w:rFonts w:ascii="Times New Roman"/>
                <w:sz w:val="18"/>
              </w:rPr>
              <w:t>13,377.75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由于新业务投 资、组建业务 团队、新设分 支机构等综合 因素的影响， 广东合利财务 管理成本及人 力成本增加， 同时受相关金 融宏观政策的 影响，经营计 划中部分协同 业务需重新调 整布局，影响 了经营利润。</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2" w:right="2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www.cninfo. </w:t>
            </w:r>
            <w:r>
              <w:rPr>
                <w:rFonts w:ascii="Times New Roman" w:hAnsi="Times New Roman" w:cs="Times New Roman" w:eastAsia="Times New Roman" w:hint="default"/>
                <w:spacing w:val="-12"/>
                <w:sz w:val="18"/>
                <w:szCs w:val="18"/>
              </w:rPr>
              <w:t>com</w:t>
            </w:r>
            <w:r>
              <w:rPr>
                <w:rFonts w:ascii="宋体" w:hAnsi="宋体" w:cs="宋体" w:eastAsia="宋体" w:hint="default"/>
                <w:spacing w:val="-12"/>
                <w:sz w:val="18"/>
                <w:szCs w:val="18"/>
              </w:rPr>
              <w:t>）《重大资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产购买报告书</w:t>
            </w:r>
          </w:p>
          <w:p>
            <w:pPr>
              <w:pStyle w:val="TableParagraph"/>
              <w:spacing w:line="240" w:lineRule="auto" w:before="32"/>
              <w:ind w:left="22" w:right="0"/>
              <w:jc w:val="both"/>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pStyle w:val="BodyText"/>
        <w:spacing w:line="240" w:lineRule="auto" w:before="51"/>
        <w:ind w:right="0"/>
        <w:jc w:val="left"/>
      </w:pPr>
      <w:r>
        <w:rPr/>
        <w:t>公司股东、交易对手方在报告年度经营业绩做出的承诺情况</w:t>
      </w:r>
    </w:p>
    <w:p>
      <w:pPr>
        <w:pStyle w:val="BodyText"/>
        <w:spacing w:line="338" w:lineRule="auto" w:before="116"/>
        <w:ind w:left="514" w:right="1126"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报告期内，公司时任控股股东天津柚子资产管理有限公司（现已更名为</w:t>
      </w:r>
      <w:r>
        <w:rPr>
          <w:rFonts w:ascii="Times New Roman" w:hAnsi="Times New Roman" w:cs="Times New Roman" w:eastAsia="Times New Roman" w:hint="default"/>
          <w:spacing w:val="-1"/>
        </w:rPr>
        <w:t>“</w:t>
      </w:r>
      <w:r>
        <w:rPr>
          <w:spacing w:val="-1"/>
        </w:rPr>
        <w:t>天津和柚技术有限公司</w:t>
      </w:r>
      <w:r>
        <w:rPr>
          <w:rFonts w:ascii="Times New Roman" w:hAnsi="Times New Roman" w:cs="Times New Roman" w:eastAsia="Times New Roman" w:hint="default"/>
          <w:spacing w:val="-1"/>
        </w:rPr>
        <w:t>”</w:t>
      </w:r>
      <w:r>
        <w:rPr>
          <w:spacing w:val="-1"/>
        </w:rPr>
        <w:t>，下称</w:t>
      </w:r>
      <w:r>
        <w:rPr>
          <w:rFonts w:ascii="Times New Roman" w:hAnsi="Times New Roman" w:cs="Times New Roman" w:eastAsia="Times New Roman" w:hint="default"/>
          <w:spacing w:val="-1"/>
        </w:rPr>
        <w:t>“</w:t>
      </w:r>
      <w:r>
        <w:rPr>
          <w:spacing w:val="-1"/>
        </w:rPr>
        <w:t>和柚技术</w:t>
      </w:r>
      <w:r>
        <w:rPr>
          <w:rFonts w:ascii="Times New Roman" w:hAnsi="Times New Roman" w:cs="Times New Roman" w:eastAsia="Times New Roman" w:hint="default"/>
          <w:spacing w:val="-1"/>
        </w:rPr>
        <w:t>”</w:t>
      </w:r>
      <w:r>
        <w:rPr>
          <w:spacing w:val="-1"/>
        </w:rPr>
        <w:t>）为</w:t>
      </w:r>
      <w:r>
        <w:rPr/>
      </w:r>
    </w:p>
    <w:p>
      <w:pPr>
        <w:pStyle w:val="BodyText"/>
        <w:spacing w:line="230" w:lineRule="exact"/>
        <w:ind w:right="0"/>
        <w:jc w:val="left"/>
      </w:pPr>
      <w:r>
        <w:rPr/>
        <w:t>支持上市公司产业转型及发展，保障股东的利益，于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日与公司签订了《业绩承诺补偿协议》，和柚技术在公司</w:t>
      </w:r>
    </w:p>
    <w:p>
      <w:pPr>
        <w:pStyle w:val="BodyText"/>
        <w:spacing w:line="316" w:lineRule="auto" w:before="63"/>
        <w:ind w:right="0"/>
        <w:jc w:val="left"/>
      </w:pPr>
      <w:r>
        <w:rPr>
          <w:spacing w:val="-2"/>
        </w:rPr>
        <w:t>对广东合利收购实施完毕后连续两个会计年度的净利润作出承诺，并就利润承诺期内广东合利实际实现净利润数与承诺净利</w:t>
      </w:r>
      <w:r>
        <w:rPr>
          <w:spacing w:val="-64"/>
        </w:rPr>
        <w:t> </w:t>
      </w:r>
      <w:r>
        <w:rPr>
          <w:spacing w:val="-64"/>
        </w:rPr>
      </w:r>
      <w:r>
        <w:rPr/>
        <w:t>润数的差额予以补偿。承诺广东合利</w:t>
      </w:r>
      <w:r>
        <w:rPr>
          <w:rFonts w:ascii="Times New Roman" w:hAnsi="Times New Roman" w:cs="Times New Roman" w:eastAsia="Times New Roman" w:hint="default"/>
        </w:rPr>
        <w:t>2017</w:t>
      </w:r>
      <w:r>
        <w:rPr/>
        <w:t>年度及</w:t>
      </w:r>
      <w:r>
        <w:rPr>
          <w:rFonts w:ascii="Times New Roman" w:hAnsi="Times New Roman" w:cs="Times New Roman" w:eastAsia="Times New Roman" w:hint="default"/>
        </w:rPr>
        <w:t>2018</w:t>
      </w:r>
      <w:r>
        <w:rPr/>
        <w:t>年度预测净利润数额分别不低于</w:t>
      </w:r>
      <w:r>
        <w:rPr>
          <w:rFonts w:ascii="Times New Roman" w:hAnsi="Times New Roman" w:cs="Times New Roman" w:eastAsia="Times New Roman" w:hint="default"/>
        </w:rPr>
        <w:t>11,400</w:t>
      </w:r>
      <w:r>
        <w:rPr/>
        <w:t>万元、</w:t>
      </w:r>
      <w:r>
        <w:rPr>
          <w:rFonts w:ascii="Times New Roman" w:hAnsi="Times New Roman" w:cs="Times New Roman" w:eastAsia="Times New Roman" w:hint="default"/>
        </w:rPr>
        <w:t>21,800</w:t>
      </w:r>
      <w:r>
        <w:rPr/>
        <w:t>万元。</w:t>
      </w:r>
    </w:p>
    <w:p>
      <w:pPr>
        <w:pStyle w:val="BodyText"/>
        <w:spacing w:line="304" w:lineRule="auto"/>
        <w:ind w:right="1130"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w:t>
      </w:r>
      <w:r>
        <w:rPr>
          <w:spacing w:val="-2"/>
        </w:rPr>
        <w:t>日，公司披露《关于公司控制权拟发生变更的提示性公告》、《关于权益变动的提示性公告》、《详式权益</w:t>
      </w:r>
      <w:r>
        <w:rPr/>
        <w:t> </w:t>
      </w:r>
      <w:r>
        <w:rPr>
          <w:spacing w:val="-2"/>
        </w:rPr>
        <w:t>变动报告书》以及《简式权益变动报告书》（一）、（二），公司的控制权拟发生变更（截止本报告出具之日，公司的控股</w:t>
      </w:r>
      <w:r>
        <w:rPr>
          <w:spacing w:val="-70"/>
        </w:rPr>
        <w:t> </w:t>
      </w:r>
      <w:r>
        <w:rPr>
          <w:spacing w:val="-70"/>
        </w:rPr>
      </w:r>
      <w:r>
        <w:rPr>
          <w:spacing w:val="-1"/>
        </w:rPr>
        <w:t>股东已由和柚技术变更为内蒙古仁东科技有限公司（原名称</w:t>
      </w:r>
      <w:r>
        <w:rPr>
          <w:rFonts w:ascii="Times New Roman" w:hAnsi="Times New Roman" w:cs="Times New Roman" w:eastAsia="Times New Roman" w:hint="default"/>
          <w:spacing w:val="-1"/>
        </w:rPr>
        <w:t>“</w:t>
      </w:r>
      <w:r>
        <w:rPr>
          <w:spacing w:val="-1"/>
        </w:rPr>
        <w:t>内蒙古正东云驱科技有限公司</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云驱科技</w:t>
      </w:r>
      <w:r>
        <w:rPr>
          <w:rFonts w:ascii="Times New Roman" w:hAnsi="Times New Roman" w:cs="Times New Roman" w:eastAsia="Times New Roman" w:hint="default"/>
          <w:spacing w:val="-1"/>
        </w:rPr>
        <w:t>”</w:t>
      </w:r>
      <w:r>
        <w:rPr>
          <w:spacing w:val="-1"/>
        </w:rPr>
        <w:t>））。为</w:t>
      </w:r>
      <w:r>
        <w:rPr>
          <w:spacing w:val="-88"/>
        </w:rPr>
        <w:t> </w:t>
      </w:r>
      <w:r>
        <w:rPr>
          <w:spacing w:val="-5"/>
        </w:rPr>
        <w:t>确保公司上述业绩补偿承诺能有效的履约，切实维护上市公司及中小股东的利益，经公司与和柚技术、云驱科技协商，于</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8</w:t>
      </w:r>
      <w:r>
        <w:rPr>
          <w:spacing w:val="-2"/>
        </w:rPr>
        <w:t>日，公司与和柚技术、云驱科技三方签署的《业绩承诺补偿协议之补充协议》，由云驱科技对补偿承诺的履约义务承</w:t>
      </w:r>
      <w:r>
        <w:rPr>
          <w:spacing w:val="-64"/>
        </w:rPr>
        <w:t> </w:t>
      </w:r>
      <w:r>
        <w:rPr>
          <w:spacing w:val="-64"/>
        </w:rPr>
      </w:r>
      <w:r>
        <w:rPr/>
        <w:t>担不可撤销的连带责任。</w:t>
      </w:r>
    </w:p>
    <w:p>
      <w:pPr>
        <w:spacing w:after="0" w:line="304"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2" w:firstLine="360"/>
        <w:jc w:val="left"/>
      </w:pPr>
      <w:r>
        <w:rPr>
          <w:spacing w:val="-2"/>
        </w:rPr>
        <w:t>经中汇会计师事务所（特殊普通合伙）审计，广东合利公司</w:t>
      </w:r>
      <w:r>
        <w:rPr>
          <w:rFonts w:ascii="Times New Roman" w:hAnsi="Times New Roman" w:cs="Times New Roman" w:eastAsia="Times New Roman" w:hint="default"/>
          <w:spacing w:val="-2"/>
        </w:rPr>
        <w:t>2017</w:t>
      </w:r>
      <w:r>
        <w:rPr>
          <w:spacing w:val="-2"/>
        </w:rPr>
        <w:t>年度经审计的扣除非经常性损益后归属于母公司所有者</w:t>
      </w:r>
      <w:r>
        <w:rPr/>
        <w:t> </w:t>
      </w:r>
      <w:r>
        <w:rPr>
          <w:spacing w:val="-3"/>
        </w:rPr>
        <w:t>的净利润为</w:t>
      </w:r>
      <w:r>
        <w:rPr>
          <w:rFonts w:ascii="Times New Roman" w:hAnsi="Times New Roman" w:cs="Times New Roman" w:eastAsia="Times New Roman" w:hint="default"/>
          <w:spacing w:val="-3"/>
        </w:rPr>
        <w:t>7,768.15</w:t>
      </w:r>
      <w:r>
        <w:rPr>
          <w:spacing w:val="-3"/>
        </w:rPr>
        <w:t>万元，小于承诺数</w:t>
      </w:r>
      <w:r>
        <w:rPr>
          <w:rFonts w:ascii="Times New Roman" w:hAnsi="Times New Roman" w:cs="Times New Roman" w:eastAsia="Times New Roman" w:hint="default"/>
          <w:spacing w:val="-3"/>
        </w:rPr>
        <w:t>11,400</w:t>
      </w:r>
      <w:r>
        <w:rPr>
          <w:spacing w:val="-3"/>
        </w:rPr>
        <w:t>万元，实现当年业绩承诺金额的比例为</w:t>
      </w:r>
      <w:r>
        <w:rPr>
          <w:rFonts w:ascii="Times New Roman" w:hAnsi="Times New Roman" w:cs="Times New Roman" w:eastAsia="Times New Roman" w:hint="default"/>
          <w:spacing w:val="-3"/>
        </w:rPr>
        <w:t>68.14%</w:t>
      </w:r>
      <w:r>
        <w:rPr>
          <w:spacing w:val="-3"/>
        </w:rPr>
        <w:t>。经中兴财光华会计师事务所（特</w:t>
      </w:r>
      <w:r>
        <w:rPr>
          <w:spacing w:val="-42"/>
        </w:rPr>
        <w:t> </w:t>
      </w:r>
      <w:r>
        <w:rPr>
          <w:spacing w:val="-42"/>
        </w:rPr>
      </w:r>
      <w:r>
        <w:rPr>
          <w:spacing w:val="-2"/>
        </w:rPr>
        <w:t>殊普通合伙）审计，广东合利公司</w:t>
      </w:r>
      <w:r>
        <w:rPr>
          <w:rFonts w:ascii="Times New Roman" w:hAnsi="Times New Roman" w:cs="Times New Roman" w:eastAsia="Times New Roman" w:hint="default"/>
          <w:spacing w:val="-2"/>
        </w:rPr>
        <w:t>2018</w:t>
      </w:r>
      <w:r>
        <w:rPr>
          <w:spacing w:val="-2"/>
        </w:rPr>
        <w:t>年度经审计的扣除非经常性损益后归属于母公司所有者的净利润为</w:t>
      </w:r>
      <w:r>
        <w:rPr>
          <w:rFonts w:ascii="Times New Roman" w:hAnsi="Times New Roman" w:cs="Times New Roman" w:eastAsia="Times New Roman" w:hint="default"/>
          <w:spacing w:val="-2"/>
        </w:rPr>
        <w:t>13,377.75</w:t>
      </w:r>
      <w:r>
        <w:rPr>
          <w:spacing w:val="-2"/>
        </w:rPr>
        <w:t>万元，小</w:t>
      </w:r>
      <w:r>
        <w:rPr>
          <w:spacing w:val="-54"/>
        </w:rPr>
        <w:t> </w:t>
      </w:r>
      <w:r>
        <w:rPr>
          <w:spacing w:val="-54"/>
        </w:rPr>
      </w:r>
      <w:r>
        <w:rPr>
          <w:spacing w:val="-1"/>
        </w:rPr>
        <w:t>于承诺数</w:t>
      </w:r>
      <w:r>
        <w:rPr>
          <w:rFonts w:ascii="Times New Roman" w:hAnsi="Times New Roman" w:cs="Times New Roman" w:eastAsia="Times New Roman" w:hint="default"/>
          <w:spacing w:val="-1"/>
        </w:rPr>
        <w:t>21,800</w:t>
      </w:r>
      <w:r>
        <w:rPr>
          <w:spacing w:val="-1"/>
        </w:rPr>
        <w:t>万元，实现当年业绩承诺金额的比例为</w:t>
      </w:r>
      <w:r>
        <w:rPr>
          <w:rFonts w:ascii="Times New Roman" w:hAnsi="Times New Roman" w:cs="Times New Roman" w:eastAsia="Times New Roman" w:hint="default"/>
          <w:spacing w:val="-1"/>
        </w:rPr>
        <w:t>61.37%</w:t>
      </w:r>
      <w:r>
        <w:rPr>
          <w:spacing w:val="-1"/>
        </w:rPr>
        <w:t>。上述数据包含深圳前海民盛天宫供应链管理有限公司（以下</w:t>
      </w:r>
      <w:r>
        <w:rPr>
          <w:spacing w:val="-86"/>
        </w:rPr>
        <w:t> </w:t>
      </w:r>
      <w:r>
        <w:rPr>
          <w:spacing w:val="-86"/>
        </w:rPr>
      </w:r>
      <w:r>
        <w:rPr>
          <w:spacing w:val="-2"/>
        </w:rPr>
        <w:t>简称</w:t>
      </w:r>
      <w:r>
        <w:rPr>
          <w:rFonts w:ascii="Times New Roman" w:hAnsi="Times New Roman" w:cs="Times New Roman" w:eastAsia="Times New Roman" w:hint="default"/>
          <w:spacing w:val="-2"/>
        </w:rPr>
        <w:t>“</w:t>
      </w:r>
      <w:r>
        <w:rPr>
          <w:spacing w:val="-2"/>
        </w:rPr>
        <w:t>供应链公司</w:t>
      </w:r>
      <w:r>
        <w:rPr>
          <w:rFonts w:ascii="Times New Roman" w:hAnsi="Times New Roman" w:cs="Times New Roman" w:eastAsia="Times New Roman" w:hint="default"/>
          <w:spacing w:val="-2"/>
        </w:rPr>
        <w:t>”</w:t>
      </w:r>
      <w:r>
        <w:rPr>
          <w:spacing w:val="-2"/>
        </w:rPr>
        <w:t>）扣非净利润，鉴于供应链公司股东变更为广东合利公司的时间晚于原控股股东作出业绩承诺的时间，依</w:t>
      </w:r>
      <w:r>
        <w:rPr>
          <w:spacing w:val="-45"/>
        </w:rPr>
        <w:t> </w:t>
      </w:r>
      <w:r>
        <w:rPr>
          <w:spacing w:val="-45"/>
        </w:rPr>
      </w:r>
      <w:r>
        <w:rPr>
          <w:spacing w:val="-5"/>
        </w:rPr>
        <w:t>据谨慎性原则，在计算广东合利公司业绩承诺完成情况时需将供应链公司实现的扣非净利润扣除。扣除后，广东合利公司</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23"/>
        </w:rPr>
        <w:t> </w:t>
      </w:r>
      <w:r>
        <w:rPr/>
        <w:t>年度经审计的扣除非经常性损益后归属于母公司所有者的净利润为</w:t>
      </w:r>
      <w:r>
        <w:rPr>
          <w:rFonts w:ascii="Times New Roman" w:hAnsi="Times New Roman" w:cs="Times New Roman" w:eastAsia="Times New Roman" w:hint="default"/>
        </w:rPr>
        <w:t>6,280.21</w:t>
      </w:r>
      <w:r>
        <w:rPr/>
        <w:t>万元，小于承诺数</w:t>
      </w:r>
      <w:r>
        <w:rPr>
          <w:rFonts w:ascii="Times New Roman" w:hAnsi="Times New Roman" w:cs="Times New Roman" w:eastAsia="Times New Roman" w:hint="default"/>
        </w:rPr>
        <w:t>11,400</w:t>
      </w:r>
      <w:r>
        <w:rPr/>
        <w:t>万元，实现当年业绩承 诺金额的比例为</w:t>
      </w:r>
      <w:r>
        <w:rPr>
          <w:rFonts w:ascii="Times New Roman" w:hAnsi="Times New Roman" w:cs="Times New Roman" w:eastAsia="Times New Roman" w:hint="default"/>
        </w:rPr>
        <w:t>55.09%</w:t>
      </w:r>
      <w:r>
        <w:rPr/>
        <w:t>。广东合利公司</w:t>
      </w:r>
      <w:r>
        <w:rPr>
          <w:rFonts w:ascii="Times New Roman" w:hAnsi="Times New Roman" w:cs="Times New Roman" w:eastAsia="Times New Roman" w:hint="default"/>
        </w:rPr>
        <w:t>2018</w:t>
      </w:r>
      <w:r>
        <w:rPr/>
        <w:t>年度经审计的扣除非经常性损益后归属于母公司所有者的净利润为</w:t>
      </w:r>
      <w:r>
        <w:rPr>
          <w:rFonts w:ascii="Times New Roman" w:hAnsi="Times New Roman" w:cs="Times New Roman" w:eastAsia="Times New Roman" w:hint="default"/>
        </w:rPr>
        <w:t>13,005.40</w:t>
      </w:r>
      <w:r>
        <w:rPr/>
        <w:t>万 元，小于承诺数</w:t>
      </w:r>
      <w:r>
        <w:rPr>
          <w:rFonts w:ascii="Times New Roman" w:hAnsi="Times New Roman" w:cs="Times New Roman" w:eastAsia="Times New Roman" w:hint="default"/>
        </w:rPr>
        <w:t>21,800</w:t>
      </w:r>
      <w:r>
        <w:rPr/>
        <w:t>万元，实现当年业绩承诺金额的比例为</w:t>
      </w:r>
      <w:r>
        <w:rPr>
          <w:rFonts w:ascii="Times New Roman" w:hAnsi="Times New Roman" w:cs="Times New Roman" w:eastAsia="Times New Roman" w:hint="default"/>
        </w:rPr>
        <w:t>59.66%</w:t>
      </w:r>
      <w:r>
        <w:rPr/>
        <w:t>。</w:t>
      </w:r>
    </w:p>
    <w:p>
      <w:pPr>
        <w:pStyle w:val="BodyText"/>
        <w:spacing w:line="240" w:lineRule="auto" w:before="53"/>
        <w:ind w:left="514" w:right="0"/>
        <w:jc w:val="left"/>
      </w:pPr>
      <w:r>
        <w:rPr/>
        <w:t>业绩承诺的完成情况及其对商誉减值测试的影响</w:t>
      </w:r>
    </w:p>
    <w:p>
      <w:pPr>
        <w:pStyle w:val="BodyText"/>
        <w:spacing w:line="300" w:lineRule="auto" w:before="116"/>
        <w:ind w:right="0"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日，与商誉相关的广东合利金融科技服务有限公司资产组广东合利宝支付科技有限公司的可收回金额为人</w:t>
      </w:r>
      <w:r>
        <w:rPr/>
        <w:t> 民币</w:t>
      </w:r>
      <w:r>
        <w:rPr>
          <w:rFonts w:ascii="Times New Roman" w:hAnsi="Times New Roman" w:cs="Times New Roman" w:eastAsia="Times New Roman" w:hint="default"/>
        </w:rPr>
        <w:t>132,983.62</w:t>
      </w:r>
      <w:r>
        <w:rPr/>
        <w:t>万元，高于资产组账面价值</w:t>
      </w:r>
      <w:r>
        <w:rPr>
          <w:rFonts w:ascii="Times New Roman" w:hAnsi="Times New Roman" w:cs="Times New Roman" w:eastAsia="Times New Roman" w:hint="default"/>
        </w:rPr>
        <w:t>4,017.65</w:t>
      </w:r>
      <w:r>
        <w:rPr/>
        <w:t>万元及折算</w:t>
      </w:r>
      <w:r>
        <w:rPr>
          <w:rFonts w:ascii="Times New Roman" w:hAnsi="Times New Roman" w:cs="Times New Roman" w:eastAsia="Times New Roman" w:hint="default"/>
        </w:rPr>
        <w:t>100%</w:t>
      </w:r>
      <w:r>
        <w:rPr/>
        <w:t>商誉价值</w:t>
      </w:r>
      <w:r>
        <w:rPr>
          <w:rFonts w:ascii="Times New Roman" w:hAnsi="Times New Roman" w:cs="Times New Roman" w:eastAsia="Times New Roman" w:hint="default"/>
        </w:rPr>
        <w:t>116,800.27 </w:t>
      </w:r>
      <w:r>
        <w:rPr/>
        <w:t>万元之和</w:t>
      </w:r>
      <w:r>
        <w:rPr>
          <w:spacing w:val="-41"/>
        </w:rPr>
        <w:t> </w:t>
      </w:r>
      <w:r>
        <w:rPr>
          <w:rFonts w:ascii="Times New Roman" w:hAnsi="Times New Roman" w:cs="Times New Roman" w:eastAsia="Times New Roman" w:hint="default"/>
        </w:rPr>
        <w:t>120,817.92</w:t>
      </w:r>
      <w:r>
        <w:rPr/>
        <w:t>万元，故广东 合利公司商誉及相关资产组未发生减值。</w:t>
      </w:r>
    </w:p>
    <w:p>
      <w:pPr>
        <w:spacing w:line="240" w:lineRule="auto" w:before="9"/>
        <w:rPr>
          <w:rFonts w:ascii="宋体" w:hAnsi="宋体" w:cs="宋体" w:eastAsia="宋体" w:hint="default"/>
          <w:sz w:val="21"/>
          <w:szCs w:val="21"/>
        </w:rPr>
      </w:pPr>
    </w:p>
    <w:p>
      <w:pPr>
        <w:pStyle w:val="Heading3"/>
        <w:spacing w:line="240" w:lineRule="auto"/>
        <w:ind w:right="0"/>
        <w:jc w:val="both"/>
        <w:rPr>
          <w:b w:val="0"/>
          <w:bCs w:val="0"/>
        </w:rPr>
      </w:pPr>
      <w:bookmarkStart w:name="四、控股股东及其关联方对上市公司的非经营性占用资金情况" w:id="66"/>
      <w:bookmarkEnd w:id="66"/>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3"/>
        <w:spacing w:line="240" w:lineRule="auto"/>
        <w:ind w:right="0"/>
        <w:jc w:val="both"/>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right="0"/>
        <w:jc w:val="both"/>
        <w:rPr>
          <w:b w:val="0"/>
          <w:bCs w:val="0"/>
        </w:rPr>
      </w:pPr>
      <w:bookmarkStart w:name="六、与上年度财务报告相比，会计政策、会计估计和核算方法发生变化的情况说明" w:id="68"/>
      <w:bookmarkEnd w:id="68"/>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为解决执行企业会计准则的企业在财务报告编制中的实际问题，规范企业财务报表列报，提高会计信息质量，财政部于</w:t>
      </w:r>
    </w:p>
    <w:p>
      <w:pPr>
        <w:pStyle w:val="BodyText"/>
        <w:spacing w:line="304" w:lineRule="auto" w:before="2"/>
        <w:ind w:right="1043"/>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日发布了《关于修订印发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号），对一般企业财务报 </w:t>
      </w:r>
      <w:r>
        <w:rPr>
          <w:spacing w:val="-2"/>
        </w:rPr>
        <w:t>表格式进行了修订。上述财会〔</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15</w:t>
      </w:r>
      <w:r>
        <w:rPr>
          <w:spacing w:val="-2"/>
        </w:rPr>
        <w:t>号文件规定，执行企业会计准则的非金融企业中，尚未执行新金融准则和新收入准</w:t>
      </w:r>
      <w:r>
        <w:rPr>
          <w:spacing w:val="-60"/>
        </w:rPr>
        <w:t> </w:t>
      </w:r>
      <w:r>
        <w:rPr>
          <w:spacing w:val="-60"/>
        </w:rPr>
      </w:r>
      <w:r>
        <w:rPr/>
        <w:t>则的企业应当按照企业会计准则和该通知附件</w:t>
      </w:r>
      <w:r>
        <w:rPr>
          <w:rFonts w:ascii="Times New Roman" w:hAnsi="Times New Roman" w:cs="Times New Roman" w:eastAsia="Times New Roman" w:hint="default"/>
        </w:rPr>
        <w:t>1</w:t>
      </w:r>
      <w:r>
        <w:rPr/>
        <w:t>的要求编制财务报表；企业对不存在相应业务的报表项目可结合本企业的实 </w:t>
      </w:r>
      <w:r>
        <w:rPr>
          <w:spacing w:val="-2"/>
        </w:rPr>
        <w:t>际情况进行必要删减，企业根据重要性原则并结合本企业的实际情况可以对确需单独列示的内容增加报表项目。根据上述财</w:t>
      </w:r>
      <w:r>
        <w:rPr>
          <w:spacing w:val="-64"/>
        </w:rPr>
        <w:t> </w:t>
      </w:r>
      <w:r>
        <w:rPr>
          <w:spacing w:val="-64"/>
        </w:rPr>
      </w:r>
      <w:r>
        <w:rPr>
          <w:spacing w:val="-2"/>
        </w:rPr>
        <w:t>会〔</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15</w:t>
      </w:r>
      <w:r>
        <w:rPr>
          <w:spacing w:val="-2"/>
        </w:rPr>
        <w:t>号文件的要求，公司需对会计政策相关内容进行相应调整，按照该文件规定的一般企业财务报表格式（适用于</w:t>
      </w:r>
      <w:r>
        <w:rPr>
          <w:spacing w:val="-60"/>
        </w:rPr>
        <w:t> </w:t>
      </w:r>
      <w:r>
        <w:rPr>
          <w:spacing w:val="-60"/>
        </w:rPr>
      </w:r>
      <w:r>
        <w:rPr>
          <w:spacing w:val="-4"/>
        </w:rPr>
        <w:t>尚未执行新金融准则和新收入准则的企业）编制公司的财务报表。具体变化情况及影响详见公司《关于会计政策变更的公告》</w:t>
      </w:r>
    </w:p>
    <w:p>
      <w:pPr>
        <w:pStyle w:val="BodyText"/>
        <w:spacing w:line="240" w:lineRule="auto" w:before="28"/>
        <w:ind w:right="0"/>
        <w:jc w:val="both"/>
      </w:pPr>
      <w:r>
        <w:rPr/>
        <w:t>（巨潮资讯网、公告编号：</w:t>
      </w:r>
      <w:r>
        <w:rPr>
          <w:rFonts w:ascii="Times New Roman" w:hAnsi="Times New Roman" w:cs="Times New Roman" w:eastAsia="Times New Roman" w:hint="default"/>
        </w:rPr>
        <w:t>2018-157</w:t>
      </w:r>
      <w:r>
        <w:rPr/>
        <w:t>）</w:t>
      </w:r>
    </w:p>
    <w:p>
      <w:pPr>
        <w:spacing w:line="240" w:lineRule="auto" w:before="1"/>
        <w:rPr>
          <w:rFonts w:ascii="宋体" w:hAnsi="宋体" w:cs="宋体" w:eastAsia="宋体" w:hint="default"/>
          <w:sz w:val="24"/>
          <w:szCs w:val="24"/>
        </w:rPr>
      </w:pPr>
    </w:p>
    <w:p>
      <w:pPr>
        <w:pStyle w:val="Heading3"/>
        <w:spacing w:line="240" w:lineRule="auto"/>
        <w:ind w:right="0"/>
        <w:jc w:val="both"/>
        <w:rPr>
          <w:b w:val="0"/>
          <w:bCs w:val="0"/>
        </w:rPr>
      </w:pPr>
      <w:bookmarkStart w:name="七、报告期内发生重大会计差错更正需追溯重述的情况说明" w:id="69"/>
      <w:bookmarkEnd w:id="69"/>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5"/>
        <w:rPr>
          <w:rFonts w:ascii="宋体" w:hAnsi="宋体" w:cs="宋体" w:eastAsia="宋体" w:hint="default"/>
          <w:sz w:val="19"/>
          <w:szCs w:val="19"/>
        </w:rPr>
      </w:pPr>
    </w:p>
    <w:p>
      <w:pPr>
        <w:pStyle w:val="Heading3"/>
        <w:spacing w:line="240" w:lineRule="auto"/>
        <w:ind w:right="0"/>
        <w:jc w:val="both"/>
        <w:rPr>
          <w:b w:val="0"/>
          <w:bCs w:val="0"/>
        </w:rPr>
      </w:pPr>
      <w:bookmarkStart w:name="八、与上年度财务报告相比，合并报表范围发生变化的情况说明" w:id="70"/>
      <w:bookmarkEnd w:id="70"/>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both"/>
      </w:pPr>
      <w:r>
        <w:rPr/>
        <w:t>本公司 </w:t>
      </w:r>
      <w:r>
        <w:rPr>
          <w:rFonts w:ascii="Times New Roman" w:hAnsi="Times New Roman" w:cs="Times New Roman" w:eastAsia="Times New Roman" w:hint="default"/>
        </w:rPr>
        <w:t>2018</w:t>
      </w:r>
      <w:r>
        <w:rPr>
          <w:rFonts w:ascii="Times New Roman" w:hAnsi="Times New Roman" w:cs="Times New Roman" w:eastAsia="Times New Roman" w:hint="default"/>
          <w:spacing w:val="-19"/>
        </w:rPr>
        <w:t> </w:t>
      </w:r>
      <w:r>
        <w:rPr/>
        <w:t>年度纳入合并范围的子公司共</w:t>
      </w:r>
      <w:r>
        <w:rPr>
          <w:rFonts w:ascii="Times New Roman" w:hAnsi="Times New Roman" w:cs="Times New Roman" w:eastAsia="Times New Roman" w:hint="default"/>
        </w:rPr>
        <w:t>23</w:t>
      </w:r>
      <w:r>
        <w:rPr/>
        <w:t>家，详见财务附注九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。与上年度相比，本公司本年度合</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并范围增加</w:t>
      </w:r>
      <w:r>
        <w:rPr>
          <w:rFonts w:ascii="Times New Roman" w:hAnsi="Times New Roman" w:cs="Times New Roman" w:eastAsia="Times New Roman" w:hint="default"/>
        </w:rPr>
        <w:t>4</w:t>
      </w:r>
      <w:r>
        <w:rPr/>
        <w:t>家，减少</w:t>
      </w:r>
      <w:r>
        <w:rPr>
          <w:rFonts w:ascii="Times New Roman" w:hAnsi="Times New Roman" w:cs="Times New Roman" w:eastAsia="Times New Roman" w:hint="default"/>
        </w:rPr>
        <w:t>4</w:t>
      </w:r>
      <w:r>
        <w:rPr/>
        <w:t>家，详见财务附注八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3"/>
        <w:spacing w:line="240" w:lineRule="auto"/>
        <w:ind w:right="0"/>
        <w:jc w:val="left"/>
        <w:rPr>
          <w:b w:val="0"/>
          <w:bCs w:val="0"/>
        </w:rPr>
      </w:pPr>
      <w:bookmarkStart w:name="九、聘任、解聘会计师事务所情况" w:id="71"/>
      <w:bookmarkEnd w:id="71"/>
      <w:r>
        <w:rPr>
          <w:b w:val="0"/>
          <w:bCs w:val="0"/>
        </w:rPr>
      </w:r>
      <w:r>
        <w:rPr/>
        <w:t>九、聘任、解聘会计师事务所情况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齐正华、王雅栋</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当期是否改聘会计师事务所</w:t>
      </w:r>
    </w:p>
    <w:p>
      <w:pPr>
        <w:pStyle w:val="BodyText"/>
        <w:spacing w:line="340" w:lineRule="auto" w:before="116"/>
        <w:ind w:right="80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是否在审计期间改聘会计师事务所</w:t>
      </w:r>
    </w:p>
    <w:p>
      <w:pPr>
        <w:pStyle w:val="BodyText"/>
        <w:spacing w:line="338" w:lineRule="auto" w:before="40"/>
        <w:ind w:right="78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更换会计师事务所是否履行审批程序</w:t>
      </w:r>
    </w:p>
    <w:p>
      <w:pPr>
        <w:pStyle w:val="BodyText"/>
        <w:spacing w:line="338" w:lineRule="auto" w:before="43"/>
        <w:ind w:right="73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对改聘、变更会计师事务所情况的详细说明</w:t>
      </w:r>
    </w:p>
    <w:p>
      <w:pPr>
        <w:pStyle w:val="BodyText"/>
        <w:spacing w:line="316" w:lineRule="auto" w:before="41"/>
        <w:ind w:right="0" w:firstLine="360"/>
        <w:jc w:val="left"/>
      </w:pPr>
      <w:r>
        <w:rPr>
          <w:spacing w:val="-2"/>
        </w:rPr>
        <w:t>鉴于中汇会计师事务所的聘请期限已届满，并结合公司控股股东变更及公司办公地址搬迁至北京等实际情况，为增强审</w:t>
      </w:r>
      <w:r>
        <w:rPr/>
        <w:t> </w:t>
      </w:r>
      <w:r>
        <w:rPr>
          <w:spacing w:val="-2"/>
        </w:rPr>
        <w:t>计工作的便利性，保证审计工作的独立性与客观性，经公司董事会审计委员会审慎研究，提议聘请中兴财光华会计师事务所</w:t>
      </w:r>
    </w:p>
    <w:p>
      <w:pPr>
        <w:pStyle w:val="BodyText"/>
        <w:spacing w:line="300" w:lineRule="auto" w:before="19"/>
        <w:ind w:right="0"/>
        <w:jc w:val="left"/>
      </w:pPr>
      <w:r>
        <w:rPr>
          <w:spacing w:val="-2"/>
        </w:rPr>
        <w:t>（特殊普通合伙）为公司</w:t>
      </w:r>
      <w:r>
        <w:rPr>
          <w:rFonts w:ascii="Times New Roman" w:hAnsi="Times New Roman" w:cs="Times New Roman" w:eastAsia="Times New Roman" w:hint="default"/>
          <w:spacing w:val="-2"/>
        </w:rPr>
        <w:t>2018</w:t>
      </w:r>
      <w:r>
        <w:rPr>
          <w:spacing w:val="-2"/>
        </w:rPr>
        <w:t>年度审计机构，聘期一年。该事项经公司第三届董事会第五十次会议和</w:t>
      </w:r>
      <w:r>
        <w:rPr>
          <w:rFonts w:ascii="Times New Roman" w:hAnsi="Times New Roman" w:cs="Times New Roman" w:eastAsia="Times New Roman" w:hint="default"/>
          <w:spacing w:val="-2"/>
        </w:rPr>
        <w:t>2018</w:t>
      </w:r>
      <w:r>
        <w:rPr>
          <w:spacing w:val="-2"/>
        </w:rPr>
        <w:t>年第三次临时股东</w:t>
      </w:r>
      <w:r>
        <w:rPr>
          <w:spacing w:val="-59"/>
        </w:rPr>
        <w:t> </w:t>
      </w:r>
      <w:r>
        <w:rPr/>
        <w:t>大会审议通过。</w:t>
      </w:r>
    </w:p>
    <w:p>
      <w:pPr>
        <w:pStyle w:val="BodyText"/>
        <w:spacing w:line="240" w:lineRule="auto" w:before="72"/>
        <w:ind w:right="0"/>
        <w:jc w:val="left"/>
      </w:pPr>
      <w:r>
        <w:rPr/>
        <w:t>聘请内部控制审计会计师事务所、财务顾问或保荐人情况</w:t>
      </w:r>
    </w:p>
    <w:p>
      <w:pPr>
        <w:pStyle w:val="BodyText"/>
        <w:spacing w:line="338" w:lineRule="auto" w:before="117"/>
        <w:ind w:right="12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本年度，公司聘请中兴财光华会计师事务所（特殊普通合伙）为内部控制审计会计师事务所，内部控制审计费用</w:t>
      </w:r>
      <w:r>
        <w:rPr>
          <w:rFonts w:ascii="Times New Roman" w:hAnsi="Times New Roman" w:cs="Times New Roman" w:eastAsia="Times New Roman" w:hint="default"/>
        </w:rPr>
        <w:t>30</w:t>
      </w:r>
      <w:r>
        <w:rPr/>
        <w:t>万元。</w:t>
      </w:r>
    </w:p>
    <w:p>
      <w:pPr>
        <w:spacing w:line="240" w:lineRule="auto" w:before="11"/>
        <w:rPr>
          <w:rFonts w:ascii="宋体" w:hAnsi="宋体" w:cs="宋体" w:eastAsia="宋体" w:hint="default"/>
          <w:sz w:val="17"/>
          <w:szCs w:val="17"/>
        </w:rPr>
      </w:pPr>
    </w:p>
    <w:p>
      <w:pPr>
        <w:pStyle w:val="Heading3"/>
        <w:spacing w:line="240" w:lineRule="auto"/>
        <w:ind w:right="0"/>
        <w:jc w:val="left"/>
        <w:rPr>
          <w:b w:val="0"/>
          <w:bCs w:val="0"/>
        </w:rPr>
      </w:pPr>
      <w:bookmarkStart w:name="十、年度报告披露后面临暂停上市和终止上市情况" w:id="72"/>
      <w:bookmarkEnd w:id="72"/>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十一、破产重整相关事项" w:id="73"/>
      <w:bookmarkEnd w:id="73"/>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十二、重大诉讼、仲裁事项" w:id="74"/>
      <w:bookmarkEnd w:id="74"/>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十三、处罚及整改情况" w:id="75"/>
      <w:bookmarkEnd w:id="75"/>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pict>
          <v:shape style="position:absolute;margin-left:392.679993pt;margin-top:37.631706pt;width:74.1pt;height:93.6pt;mso-position-horizontal-relative:page;mso-position-vertical-relative:paragraph;z-index:-9164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4"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4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鉴于仁东控股相 关行为违反了</w:t>
            </w:r>
          </w:p>
          <w:p>
            <w:pPr>
              <w:pStyle w:val="TableParagraph"/>
              <w:spacing w:line="319" w:lineRule="auto" w:before="19"/>
              <w:ind w:left="22" w:right="72"/>
              <w:jc w:val="left"/>
              <w:rPr>
                <w:rFonts w:ascii="宋体" w:hAnsi="宋体" w:cs="宋体" w:eastAsia="宋体" w:hint="default"/>
                <w:sz w:val="18"/>
                <w:szCs w:val="18"/>
              </w:rPr>
            </w:pPr>
            <w:r>
              <w:rPr>
                <w:rFonts w:ascii="宋体" w:hAnsi="宋体" w:cs="宋体" w:eastAsia="宋体" w:hint="default"/>
                <w:sz w:val="18"/>
                <w:szCs w:val="18"/>
              </w:rPr>
              <w:t>《上市公司信息 披露管理办法》 第二条、第三十 条、第三十二条 的规定。闫伟作 为时任仁东控股 董事长对上述行 为负有主要责 任，违反了《上 市公司信息披露 管理办法》第三 条的规定。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被认定为不适当 人选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根据《上市公司 信息披露管理办 </w:t>
            </w:r>
            <w:r>
              <w:rPr>
                <w:rFonts w:ascii="宋体" w:hAnsi="宋体" w:cs="宋体" w:eastAsia="宋体" w:hint="default"/>
                <w:spacing w:val="-6"/>
                <w:sz w:val="18"/>
                <w:szCs w:val="18"/>
              </w:rPr>
              <w:t>法》第五十八条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第五十九条的规 定，浙江证监局 决定认定闫伟为 不适当人选，在 收到本决定书之 日起一年内，不 得担任上市公司 的董事、监事和 高级管理人员等 职务或者实际履 行上述职务。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872" w:lineRule="exact"/>
              <w:ind w:right="-51"/>
              <w:jc w:val="left"/>
              <w:rPr>
                <w:rFonts w:ascii="宋体" w:hAnsi="宋体" w:cs="宋体" w:eastAsia="宋体" w:hint="default"/>
                <w:sz w:val="20"/>
                <w:szCs w:val="20"/>
              </w:rPr>
            </w:pPr>
            <w:r>
              <w:rPr>
                <w:rFonts w:ascii="宋体" w:hAnsi="宋体" w:cs="宋体" w:eastAsia="宋体" w:hint="default"/>
                <w:position w:val="-36"/>
                <w:sz w:val="20"/>
                <w:szCs w:val="20"/>
              </w:rPr>
              <w:pict>
                <v:group style="width:67.9pt;height:93.6pt;mso-position-horizontal-relative:char;mso-position-vertical-relative:line" coordorigin="0,0" coordsize="1358,1872">
                  <v:group style="position:absolute;left:0;top:0;width:1358;height:1872" coordorigin="0,0" coordsize="1358,1872">
                    <v:shape style="position:absolute;left:0;top:0;width:1358;height:1872" coordorigin="0,0" coordsize="1358,1872" path="m0,1872l1358,1872,1358,0,0,0,0,1872xe" filled="true" fillcolor="#ffffff" stroked="false">
                      <v:path arrowok="t"/>
                      <v:fill type="solid"/>
                    </v:shape>
                  </v:group>
                </v:group>
              </w:pict>
            </w:r>
            <w:r>
              <w:rPr>
                <w:rFonts w:ascii="宋体" w:hAnsi="宋体" w:cs="宋体" w:eastAsia="宋体" w:hint="default"/>
                <w:position w:val="-36"/>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23"/>
              <w:jc w:val="both"/>
              <w:rPr>
                <w:rFonts w:ascii="宋体" w:hAnsi="宋体" w:cs="宋体" w:eastAsia="宋体" w:hint="default"/>
                <w:sz w:val="18"/>
                <w:szCs w:val="18"/>
              </w:rPr>
            </w:pPr>
            <w:r>
              <w:rPr>
                <w:rFonts w:ascii="宋体" w:hAnsi="宋体" w:cs="宋体" w:eastAsia="宋体" w:hint="default"/>
                <w:spacing w:val="-17"/>
                <w:sz w:val="18"/>
                <w:szCs w:val="18"/>
              </w:rPr>
              <w:t>巨潮资讯网、《关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于收到中国证监 会浙江监管局</w:t>
            </w:r>
          </w:p>
          <w:p>
            <w:pPr>
              <w:pStyle w:val="TableParagraph"/>
              <w:spacing w:line="319" w:lineRule="auto" w:before="19"/>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《行政监管措施 决定书》的公 </w:t>
            </w:r>
            <w:r>
              <w:rPr>
                <w:rFonts w:ascii="宋体" w:hAnsi="宋体" w:cs="宋体" w:eastAsia="宋体" w:hint="default"/>
                <w:spacing w:val="-9"/>
                <w:sz w:val="18"/>
                <w:szCs w:val="18"/>
              </w:rPr>
              <w:t>告》、</w:t>
            </w:r>
            <w:r>
              <w:rPr>
                <w:rFonts w:ascii="Times New Roman" w:hAnsi="Times New Roman" w:cs="Times New Roman" w:eastAsia="Times New Roman" w:hint="default"/>
                <w:spacing w:val="-9"/>
                <w:sz w:val="18"/>
                <w:szCs w:val="18"/>
              </w:rPr>
              <w:t>2018-152</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十四、公司及其控股股东、实际控制人的诚信状况" w:id="76"/>
      <w:bookmarkEnd w:id="76"/>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十五、公司股权激励计划、员工持股计划或其他员工激励措施的实施情况" w:id="77"/>
      <w:bookmarkEnd w:id="77"/>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4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十六、重大关联交易" w:id="78"/>
      <w:bookmarkEnd w:id="78"/>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4" w:lineRule="auto" w:before="101"/>
        <w:ind w:right="1032" w:firstLine="360"/>
        <w:jc w:val="left"/>
      </w:pPr>
      <w:r>
        <w:rPr>
          <w:rFonts w:ascii="Times New Roman" w:hAnsi="Times New Roman" w:cs="Times New Roman" w:eastAsia="Times New Roman" w:hint="default"/>
        </w:rPr>
        <w:t>1</w:t>
      </w:r>
      <w:r>
        <w:rPr/>
        <w:t>、出售云尚信息股权暨关联交易事项。公司因发展战略和业务板块布局的调整，经公司第三届董事会第四十二次会议 审议同意，公司之全资子公司民盛大数据以人民币 </w:t>
      </w:r>
      <w:r>
        <w:rPr>
          <w:rFonts w:ascii="Times New Roman" w:hAnsi="Times New Roman" w:cs="Times New Roman" w:eastAsia="Times New Roman" w:hint="default"/>
        </w:rPr>
        <w:t>480</w:t>
      </w:r>
      <w:r>
        <w:rPr>
          <w:rFonts w:ascii="Times New Roman" w:hAnsi="Times New Roman" w:cs="Times New Roman" w:eastAsia="Times New Roman" w:hint="default"/>
          <w:spacing w:val="9"/>
        </w:rPr>
        <w:t> </w:t>
      </w:r>
      <w:r>
        <w:rPr/>
        <w:t>万元向北京天尧信息技术有限公司（以下简称</w:t>
      </w:r>
      <w:r>
        <w:rPr>
          <w:rFonts w:ascii="Times New Roman" w:hAnsi="Times New Roman" w:cs="Times New Roman" w:eastAsia="Times New Roman" w:hint="default"/>
        </w:rPr>
        <w:t>“</w:t>
      </w:r>
      <w:r>
        <w:rPr/>
        <w:t>北京天尧</w:t>
      </w:r>
      <w:r>
        <w:rPr>
          <w:rFonts w:ascii="Times New Roman" w:hAnsi="Times New Roman" w:cs="Times New Roman" w:eastAsia="Times New Roman" w:hint="default"/>
        </w:rPr>
        <w:t>”</w:t>
      </w:r>
      <w:r>
        <w:rPr/>
        <w:t>）出售其 持有的深圳民盛云尚信息技术有限公司（以下简称</w:t>
      </w:r>
      <w:r>
        <w:rPr>
          <w:rFonts w:ascii="Times New Roman" w:hAnsi="Times New Roman" w:cs="Times New Roman" w:eastAsia="Times New Roman" w:hint="default"/>
        </w:rPr>
        <w:t>“</w:t>
      </w:r>
      <w:r>
        <w:rPr/>
        <w:t>云尚信息</w:t>
      </w:r>
      <w:r>
        <w:rPr>
          <w:rFonts w:ascii="Times New Roman" w:hAnsi="Times New Roman" w:cs="Times New Roman" w:eastAsia="Times New Roman" w:hint="default"/>
        </w:rPr>
        <w:t>”</w:t>
      </w:r>
      <w:r>
        <w:rPr/>
        <w:t>）的 </w:t>
      </w:r>
      <w:r>
        <w:rPr>
          <w:rFonts w:ascii="Times New Roman" w:hAnsi="Times New Roman" w:cs="Times New Roman" w:eastAsia="Times New Roman" w:hint="default"/>
        </w:rPr>
        <w:t>66.67%</w:t>
      </w:r>
      <w:r>
        <w:rPr/>
        <w:t>股权，此项交易完成后，</w:t>
      </w:r>
      <w:r>
        <w:rPr>
          <w:spacing w:val="-65"/>
        </w:rPr>
        <w:t> </w:t>
      </w:r>
      <w:r>
        <w:rPr/>
        <w:t>民盛大数据将不再持有</w:t>
      </w:r>
      <w:r>
        <w:rPr/>
        <w:t> 云尚信息的股权。</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25 </w:t>
      </w:r>
      <w:r>
        <w:rPr/>
        <w:t>日，云尚信息偿还了深圳 南山宝生村镇银行股份有限公司的 借款 </w:t>
      </w:r>
      <w:r>
        <w:rPr>
          <w:rFonts w:ascii="Times New Roman" w:hAnsi="Times New Roman" w:cs="Times New Roman" w:eastAsia="Times New Roman" w:hint="default"/>
        </w:rPr>
        <w:t>2,000</w:t>
      </w:r>
      <w:r>
        <w:rPr>
          <w:rFonts w:ascii="Times New Roman" w:hAnsi="Times New Roman" w:cs="Times New Roman" w:eastAsia="Times New Roman" w:hint="default"/>
          <w:spacing w:val="14"/>
        </w:rPr>
        <w:t> </w:t>
      </w:r>
      <w:r>
        <w:rPr/>
        <w:t>万元，并解除 了公司为该笔贷款提供的 </w:t>
      </w:r>
      <w:r>
        <w:rPr>
          <w:rFonts w:ascii="Times New Roman" w:hAnsi="Times New Roman" w:cs="Times New Roman" w:eastAsia="Times New Roman" w:hint="default"/>
        </w:rPr>
        <w:t>2000 </w:t>
      </w:r>
      <w:r>
        <w:rPr>
          <w:spacing w:val="-5"/>
        </w:rPr>
        <w:t>万元担保金额；</w:t>
      </w:r>
      <w:r>
        <w:rPr>
          <w:rFonts w:ascii="Times New Roman" w:hAnsi="Times New Roman" w:cs="Times New Roman" w:eastAsia="Times New Roman" w:hint="default"/>
          <w:spacing w:val="-5"/>
        </w:rPr>
        <w:t>2018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30 </w:t>
      </w:r>
      <w:r>
        <w:rPr>
          <w:spacing w:val="-3"/>
        </w:rPr>
        <w:t>日，民盛大数据收到北京天尧支付的股权转让款 </w:t>
      </w:r>
      <w:r>
        <w:rPr>
          <w:rFonts w:ascii="Times New Roman" w:hAnsi="Times New Roman" w:cs="Times New Roman" w:eastAsia="Times New Roman" w:hint="default"/>
        </w:rPr>
        <w:t>480</w:t>
      </w:r>
      <w:r>
        <w:rPr>
          <w:rFonts w:ascii="Times New Roman" w:hAnsi="Times New Roman" w:cs="Times New Roman" w:eastAsia="Times New Roman" w:hint="default"/>
          <w:spacing w:val="42"/>
        </w:rPr>
        <w:t> </w:t>
      </w:r>
      <w:r>
        <w:rPr/>
        <w:t>万元； </w:t>
      </w:r>
      <w:r>
        <w:rPr>
          <w:spacing w:val="-2"/>
        </w:rPr>
        <w:t>同日，云尚信息完成了股权过户、公司名称、法定代表人、董事、监事等相关工商变更登记手续，并取得了深圳市市场监督</w:t>
      </w:r>
      <w:r>
        <w:rPr>
          <w:spacing w:val="-68"/>
        </w:rPr>
        <w:t> </w:t>
      </w:r>
      <w:r>
        <w:rPr>
          <w:spacing w:val="-68"/>
        </w:rPr>
      </w:r>
      <w:r>
        <w:rPr/>
        <w:t>管理局换发的新营业执照，民盛大数据原持有云尚信息的</w:t>
      </w:r>
      <w:r>
        <w:rPr>
          <w:spacing w:val="-17"/>
        </w:rPr>
        <w:t> </w:t>
      </w:r>
      <w:r>
        <w:rPr>
          <w:rFonts w:ascii="Times New Roman" w:hAnsi="Times New Roman" w:cs="Times New Roman" w:eastAsia="Times New Roman" w:hint="default"/>
        </w:rPr>
        <w:t>66.67%</w:t>
      </w:r>
      <w:r>
        <w:rPr/>
        <w:t>股权已过户至北京天尧的名下。至此，协议双方已经履行 完毕</w:t>
      </w:r>
      <w:r>
        <w:rPr>
          <w:spacing w:val="-18"/>
        </w:rPr>
        <w:t> </w:t>
      </w:r>
      <w:r>
        <w:rPr/>
        <w:t>《股权转让协议》约定的相关义务，本次出售资产暨关联交易事项已全部完成。公司全资子公司民盛大数据不再持有</w:t>
      </w:r>
      <w:r>
        <w:rPr/>
        <w:t> 云尚信息的股权。</w:t>
      </w:r>
    </w:p>
    <w:p>
      <w:pPr>
        <w:pStyle w:val="BodyText"/>
        <w:spacing w:line="307" w:lineRule="auto" w:before="28"/>
        <w:ind w:right="1080" w:firstLine="360"/>
        <w:jc w:val="both"/>
      </w:pPr>
      <w:r>
        <w:rPr>
          <w:rFonts w:ascii="Times New Roman" w:hAnsi="Times New Roman" w:cs="Times New Roman" w:eastAsia="Times New Roman" w:hint="default"/>
        </w:rPr>
        <w:t>2</w:t>
      </w:r>
      <w:r>
        <w:rPr/>
        <w:t>、向控股股东借款暨关联交易事项。公司向控股股东仁东科技借款不超过</w:t>
      </w:r>
      <w:r>
        <w:rPr>
          <w:rFonts w:ascii="Times New Roman" w:hAnsi="Times New Roman" w:cs="Times New Roman" w:eastAsia="Times New Roman" w:hint="default"/>
        </w:rPr>
        <w:t>200,000</w:t>
      </w:r>
      <w:r>
        <w:rPr/>
        <w:t>万人民币，借款年利率不超过</w:t>
      </w:r>
      <w:r>
        <w:rPr>
          <w:rFonts w:ascii="Times New Roman" w:hAnsi="Times New Roman" w:cs="Times New Roman" w:eastAsia="Times New Roman" w:hint="default"/>
        </w:rPr>
        <w:t>7.5%</w:t>
      </w:r>
      <w:r>
        <w:rPr/>
        <w:t>， </w:t>
      </w:r>
      <w:r>
        <w:rPr>
          <w:spacing w:val="-2"/>
        </w:rPr>
        <w:t>该借款主要用于公司经营、周转使用，支持公司对外投资项目，推进产业转型升级，提升核心竞争力。此项关联交易事项经</w:t>
      </w:r>
      <w:r>
        <w:rPr>
          <w:spacing w:val="-66"/>
        </w:rPr>
        <w:t> </w:t>
      </w:r>
      <w:r>
        <w:rPr>
          <w:spacing w:val="-66"/>
        </w:rPr>
      </w:r>
      <w:r>
        <w:rPr>
          <w:spacing w:val="-2"/>
        </w:rPr>
        <w:t>第三届董事会第四十七次会议和</w:t>
      </w:r>
      <w:r>
        <w:rPr>
          <w:rFonts w:ascii="Times New Roman" w:hAnsi="Times New Roman" w:cs="Times New Roman" w:eastAsia="Times New Roman" w:hint="default"/>
          <w:spacing w:val="-2"/>
        </w:rPr>
        <w:t>2017</w:t>
      </w:r>
      <w:r>
        <w:rPr>
          <w:spacing w:val="-2"/>
        </w:rPr>
        <w:t>年度股东大会审议通过，并授权公司管理层与资金出借方签署本次借款事宜项下所有有</w:t>
      </w:r>
      <w:r>
        <w:rPr>
          <w:spacing w:val="-60"/>
        </w:rPr>
        <w:t> </w:t>
      </w:r>
      <w:r>
        <w:rPr>
          <w:spacing w:val="-60"/>
        </w:rPr>
      </w:r>
      <w:r>
        <w:rPr/>
        <w:t>关合同、协议等各项文件。独立董事进行了事前认可并发表了同意的独立意见。</w:t>
      </w:r>
    </w:p>
    <w:p>
      <w:pPr>
        <w:pStyle w:val="BodyText"/>
        <w:spacing w:line="240" w:lineRule="auto" w:before="67"/>
        <w:ind w:right="0"/>
        <w:jc w:val="left"/>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《关于出售资产暨关联交易完成的公告》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3">
              <w:r>
                <w:rPr>
                  <w:rFonts w:ascii="Times New Roman" w:hAnsi="Times New Roman" w:cs="Times New Roman" w:eastAsia="Times New Roman" w:hint="default"/>
                  <w:sz w:val="18"/>
                  <w:szCs w:val="18"/>
                </w:rPr>
                <w:t>http://www.cninfo.com.cn/</w:t>
              </w:r>
            </w:hyperlink>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《关于向控股股东借款暨关联交易的公告》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3">
              <w:r>
                <w:rPr>
                  <w:rFonts w:ascii="Times New Roman" w:hAnsi="Times New Roman" w:cs="Times New Roman" w:eastAsia="Times New Roman" w:hint="default"/>
                  <w:sz w:val="18"/>
                  <w:szCs w:val="18"/>
                </w:rPr>
                <w:t>http://www.cninfo.com.cn/</w:t>
              </w:r>
            </w:hyperlink>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十七、重大合同及其履行情况" w:id="84"/>
      <w:bookmarkEnd w:id="84"/>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公司报告期不存在承包情况。</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广东合利金融科技服 务有限公司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年（提前履</w:t>
            </w:r>
            <w:r>
              <w:rPr>
                <w:rFonts w:ascii="宋体" w:hAnsi="宋体" w:cs="宋体" w:eastAsia="宋体" w:hint="default"/>
                <w:sz w:val="18"/>
                <w:szCs w:val="18"/>
              </w:rPr>
              <w:t> 行完毕）</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深圳前海民盛天宫供 应链管理有限公司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年（提前履</w:t>
            </w:r>
            <w:r>
              <w:rPr>
                <w:rFonts w:ascii="宋体" w:hAnsi="宋体" w:cs="宋体" w:eastAsia="宋体" w:hint="default"/>
                <w:sz w:val="18"/>
                <w:szCs w:val="18"/>
              </w:rPr>
              <w:t> 行完毕）</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深圳民盛大数据技术 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深圳前海合利商业保 理有限公司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2017.11.8-20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21.11.7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广州合利宝支付科技 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天津民盛金科信息技 术有限公司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广州民盛互联网小额 贷款有限公司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民盛租赁有限公司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北京仁东无双信息科 技有限公司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703"/>
        <w:gridCol w:w="904"/>
        <w:gridCol w:w="933"/>
        <w:gridCol w:w="1307"/>
        <w:gridCol w:w="1045"/>
        <w:gridCol w:w="1042"/>
        <w:gridCol w:w="1059"/>
        <w:gridCol w:w="785"/>
        <w:gridCol w:w="785"/>
      </w:tblGrid>
      <w:tr>
        <w:trPr>
          <w:trHeight w:val="71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深圳民盛云尚信息技 术有限公司</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4" w:right="0"/>
              <w:jc w:val="left"/>
              <w:rPr>
                <w:rFonts w:ascii="Times New Roman" w:hAnsi="Times New Roman" w:cs="Times New Roman" w:eastAsia="Times New Roman" w:hint="default"/>
                <w:sz w:val="18"/>
                <w:szCs w:val="18"/>
              </w:rPr>
            </w:pPr>
            <w:r>
              <w:rPr>
                <w:rFonts w:ascii="Times New Roman"/>
                <w:sz w:val="18"/>
              </w:rPr>
              <w:t>50,000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2" w:right="0"/>
              <w:jc w:val="left"/>
              <w:rPr>
                <w:rFonts w:ascii="Times New Roman" w:hAnsi="Times New Roman" w:cs="Times New Roman" w:eastAsia="Times New Roman" w:hint="default"/>
                <w:sz w:val="18"/>
                <w:szCs w:val="18"/>
              </w:rPr>
            </w:pPr>
            <w:r>
              <w:rPr>
                <w:rFonts w:ascii="Times New Roman"/>
                <w:sz w:val="18"/>
              </w:rPr>
              <w:t>2,000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700,000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r>
      <w:tr>
        <w:trPr>
          <w:trHeight w:val="719"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700,000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59,000</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3" w:type="dxa"/>
            <w:vMerge w:val="restart"/>
            <w:tcBorders>
              <w:top w:val="single" w:sz="4" w:space="0" w:color="000000"/>
              <w:left w:val="single" w:sz="4" w:space="0" w:color="000000"/>
              <w:right w:val="single" w:sz="4" w:space="0" w:color="000000"/>
            </w:tcBorders>
            <w:shd w:val="clear" w:color="auto" w:fill="D2D2D2"/>
          </w:tcPr>
          <w:p>
            <w:pPr/>
          </w:p>
        </w:tc>
        <w:tc>
          <w:tcPr>
            <w:tcW w:w="90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6" w:right="8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3" w:type="dxa"/>
            <w:vMerge w:val="restart"/>
            <w:tcBorders>
              <w:top w:val="single" w:sz="4" w:space="0" w:color="000000"/>
              <w:left w:val="single" w:sz="4" w:space="0" w:color="000000"/>
              <w:right w:val="single" w:sz="4" w:space="0" w:color="000000"/>
            </w:tcBorders>
            <w:shd w:val="clear" w:color="auto" w:fill="D2D2D2"/>
          </w:tcPr>
          <w:p>
            <w:pPr/>
          </w:p>
        </w:tc>
        <w:tc>
          <w:tcPr>
            <w:tcW w:w="1307" w:type="dxa"/>
            <w:vMerge w:val="restart"/>
            <w:tcBorders>
              <w:top w:val="single" w:sz="4" w:space="0" w:color="000000"/>
              <w:left w:val="single" w:sz="4" w:space="0" w:color="000000"/>
              <w:right w:val="single" w:sz="4" w:space="0" w:color="000000"/>
            </w:tcBorders>
            <w:shd w:val="clear" w:color="auto" w:fill="D2D2D2"/>
          </w:tcPr>
          <w:p>
            <w:pPr/>
          </w:p>
        </w:tc>
        <w:tc>
          <w:tcPr>
            <w:tcW w:w="10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vMerge w:val="restart"/>
            <w:tcBorders>
              <w:top w:val="single" w:sz="4" w:space="0" w:color="000000"/>
              <w:left w:val="single" w:sz="4" w:space="0" w:color="000000"/>
              <w:right w:val="single" w:sz="4" w:space="0" w:color="000000"/>
            </w:tcBorders>
            <w:shd w:val="clear" w:color="auto" w:fill="D2D2D2"/>
          </w:tcPr>
          <w:p>
            <w:pPr/>
          </w:p>
        </w:tc>
        <w:tc>
          <w:tcPr>
            <w:tcW w:w="1059"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3" w:type="dxa"/>
            <w:vMerge/>
            <w:tcBorders>
              <w:left w:val="single" w:sz="4" w:space="0" w:color="000000"/>
              <w:bottom w:val="nil" w:sz="6" w:space="0" w:color="auto"/>
              <w:right w:val="single" w:sz="4" w:space="0" w:color="000000"/>
            </w:tcBorders>
            <w:shd w:val="clear" w:color="auto" w:fill="D2D2D2"/>
          </w:tcPr>
          <w:p>
            <w:pPr/>
          </w:p>
        </w:tc>
        <w:tc>
          <w:tcPr>
            <w:tcW w:w="904" w:type="dxa"/>
            <w:vMerge/>
            <w:tcBorders>
              <w:left w:val="single" w:sz="4" w:space="0" w:color="000000"/>
              <w:right w:val="single" w:sz="4" w:space="0" w:color="000000"/>
            </w:tcBorders>
            <w:shd w:val="clear" w:color="auto" w:fill="D2D2D2"/>
          </w:tcPr>
          <w:p>
            <w:pPr/>
          </w:p>
        </w:tc>
        <w:tc>
          <w:tcPr>
            <w:tcW w:w="933" w:type="dxa"/>
            <w:vMerge/>
            <w:tcBorders>
              <w:left w:val="single" w:sz="4" w:space="0" w:color="000000"/>
              <w:bottom w:val="nil" w:sz="6" w:space="0" w:color="auto"/>
              <w:right w:val="single" w:sz="4" w:space="0" w:color="000000"/>
            </w:tcBorders>
            <w:shd w:val="clear" w:color="auto" w:fill="D2D2D2"/>
          </w:tcPr>
          <w:p>
            <w:pPr/>
          </w:p>
        </w:tc>
        <w:tc>
          <w:tcPr>
            <w:tcW w:w="1307" w:type="dxa"/>
            <w:vMerge/>
            <w:tcBorders>
              <w:left w:val="single" w:sz="4" w:space="0" w:color="000000"/>
              <w:bottom w:val="nil" w:sz="6" w:space="0" w:color="auto"/>
              <w:right w:val="single" w:sz="4" w:space="0" w:color="000000"/>
            </w:tcBorders>
            <w:shd w:val="clear" w:color="auto" w:fill="D2D2D2"/>
          </w:tcPr>
          <w:p>
            <w:pPr/>
          </w:p>
        </w:tc>
        <w:tc>
          <w:tcPr>
            <w:tcW w:w="104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3"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2" w:type="dxa"/>
            <w:vMerge/>
            <w:tcBorders>
              <w:left w:val="single" w:sz="4" w:space="0" w:color="000000"/>
              <w:bottom w:val="nil" w:sz="6" w:space="0" w:color="auto"/>
              <w:right w:val="single" w:sz="4" w:space="0" w:color="000000"/>
            </w:tcBorders>
            <w:shd w:val="clear" w:color="auto" w:fill="D2D2D2"/>
          </w:tcPr>
          <w:p>
            <w:pPr/>
          </w:p>
        </w:tc>
        <w:tc>
          <w:tcPr>
            <w:tcW w:w="1059"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4" w:type="dxa"/>
            <w:vMerge/>
            <w:tcBorders>
              <w:left w:val="single" w:sz="4" w:space="0" w:color="000000"/>
              <w:right w:val="single" w:sz="4" w:space="0" w:color="000000"/>
            </w:tcBorders>
            <w:shd w:val="clear" w:color="auto" w:fill="D2D2D2"/>
          </w:tcPr>
          <w:p>
            <w:pPr/>
          </w:p>
        </w:tc>
        <w:tc>
          <w:tcPr>
            <w:tcW w:w="9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5" w:type="dxa"/>
            <w:vMerge/>
            <w:tcBorders>
              <w:left w:val="single" w:sz="4" w:space="0" w:color="000000"/>
              <w:right w:val="single" w:sz="4" w:space="0" w:color="000000"/>
            </w:tcBorders>
            <w:shd w:val="clear" w:color="auto" w:fill="D2D2D2"/>
          </w:tcPr>
          <w:p>
            <w:pPr/>
          </w:p>
        </w:tc>
        <w:tc>
          <w:tcPr>
            <w:tcW w:w="10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03" w:type="dxa"/>
            <w:vMerge w:val="restart"/>
            <w:tcBorders>
              <w:top w:val="nil" w:sz="6" w:space="0" w:color="auto"/>
              <w:left w:val="single" w:sz="4" w:space="0" w:color="000000"/>
              <w:right w:val="single" w:sz="4" w:space="0" w:color="000000"/>
            </w:tcBorders>
            <w:shd w:val="clear" w:color="auto" w:fill="D2D2D2"/>
          </w:tcPr>
          <w:p>
            <w:pPr/>
          </w:p>
        </w:tc>
        <w:tc>
          <w:tcPr>
            <w:tcW w:w="904" w:type="dxa"/>
            <w:vMerge/>
            <w:tcBorders>
              <w:left w:val="single" w:sz="4" w:space="0" w:color="000000"/>
              <w:right w:val="single" w:sz="4" w:space="0" w:color="000000"/>
            </w:tcBorders>
            <w:shd w:val="clear" w:color="auto" w:fill="D2D2D2"/>
          </w:tcPr>
          <w:p>
            <w:pPr/>
          </w:p>
        </w:tc>
        <w:tc>
          <w:tcPr>
            <w:tcW w:w="933" w:type="dxa"/>
            <w:vMerge w:val="restart"/>
            <w:tcBorders>
              <w:top w:val="nil" w:sz="6" w:space="0" w:color="auto"/>
              <w:left w:val="single" w:sz="4" w:space="0" w:color="000000"/>
              <w:right w:val="single" w:sz="4" w:space="0" w:color="000000"/>
            </w:tcBorders>
            <w:shd w:val="clear" w:color="auto" w:fill="D2D2D2"/>
          </w:tcPr>
          <w:p>
            <w:pPr/>
          </w:p>
        </w:tc>
        <w:tc>
          <w:tcPr>
            <w:tcW w:w="1307" w:type="dxa"/>
            <w:vMerge w:val="restart"/>
            <w:tcBorders>
              <w:top w:val="nil" w:sz="6" w:space="0" w:color="auto"/>
              <w:left w:val="single" w:sz="4" w:space="0" w:color="000000"/>
              <w:right w:val="single" w:sz="4" w:space="0" w:color="000000"/>
            </w:tcBorders>
            <w:shd w:val="clear" w:color="auto" w:fill="D2D2D2"/>
          </w:tcPr>
          <w:p>
            <w:pPr/>
          </w:p>
        </w:tc>
        <w:tc>
          <w:tcPr>
            <w:tcW w:w="1045" w:type="dxa"/>
            <w:vMerge/>
            <w:tcBorders>
              <w:left w:val="single" w:sz="4" w:space="0" w:color="000000"/>
              <w:bottom w:val="nil" w:sz="6" w:space="0" w:color="auto"/>
              <w:right w:val="single" w:sz="4" w:space="0" w:color="000000"/>
            </w:tcBorders>
            <w:shd w:val="clear" w:color="auto" w:fill="D2D2D2"/>
          </w:tcPr>
          <w:p>
            <w:pPr/>
          </w:p>
        </w:tc>
        <w:tc>
          <w:tcPr>
            <w:tcW w:w="1042" w:type="dxa"/>
            <w:vMerge w:val="restart"/>
            <w:tcBorders>
              <w:top w:val="nil" w:sz="6" w:space="0" w:color="auto"/>
              <w:left w:val="single" w:sz="4" w:space="0" w:color="000000"/>
              <w:right w:val="single" w:sz="4" w:space="0" w:color="000000"/>
            </w:tcBorders>
            <w:shd w:val="clear" w:color="auto" w:fill="D2D2D2"/>
          </w:tcPr>
          <w:p>
            <w:pPr/>
          </w:p>
        </w:tc>
        <w:tc>
          <w:tcPr>
            <w:tcW w:w="1059"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03" w:type="dxa"/>
            <w:vMerge/>
            <w:tcBorders>
              <w:left w:val="single" w:sz="4" w:space="0" w:color="000000"/>
              <w:bottom w:val="single" w:sz="4" w:space="0" w:color="000000"/>
              <w:right w:val="single" w:sz="4" w:space="0" w:color="000000"/>
            </w:tcBorders>
            <w:shd w:val="clear" w:color="auto" w:fill="D2D2D2"/>
          </w:tcPr>
          <w:p>
            <w:pPr/>
          </w:p>
        </w:tc>
        <w:tc>
          <w:tcPr>
            <w:tcW w:w="904" w:type="dxa"/>
            <w:vMerge/>
            <w:tcBorders>
              <w:left w:val="single" w:sz="4" w:space="0" w:color="000000"/>
              <w:bottom w:val="single" w:sz="4" w:space="0" w:color="000000"/>
              <w:right w:val="single" w:sz="4" w:space="0" w:color="000000"/>
            </w:tcBorders>
            <w:shd w:val="clear" w:color="auto" w:fill="D2D2D2"/>
          </w:tcPr>
          <w:p>
            <w:pPr/>
          </w:p>
        </w:tc>
        <w:tc>
          <w:tcPr>
            <w:tcW w:w="933" w:type="dxa"/>
            <w:vMerge/>
            <w:tcBorders>
              <w:left w:val="single" w:sz="4" w:space="0" w:color="000000"/>
              <w:bottom w:val="single" w:sz="4" w:space="0" w:color="000000"/>
              <w:right w:val="single" w:sz="4" w:space="0" w:color="000000"/>
            </w:tcBorders>
            <w:shd w:val="clear" w:color="auto" w:fill="D2D2D2"/>
          </w:tcPr>
          <w:p>
            <w:pPr/>
          </w:p>
        </w:tc>
        <w:tc>
          <w:tcPr>
            <w:tcW w:w="1307" w:type="dxa"/>
            <w:vMerge/>
            <w:tcBorders>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2" w:type="dxa"/>
            <w:vMerge/>
            <w:tcBorders>
              <w:left w:val="single" w:sz="4" w:space="0" w:color="000000"/>
              <w:bottom w:val="single" w:sz="4" w:space="0" w:color="000000"/>
              <w:right w:val="single" w:sz="4" w:space="0" w:color="000000"/>
            </w:tcBorders>
            <w:shd w:val="clear" w:color="auto" w:fill="D2D2D2"/>
          </w:tcPr>
          <w:p>
            <w:pPr/>
          </w:p>
        </w:tc>
        <w:tc>
          <w:tcPr>
            <w:tcW w:w="1059"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700,000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0"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r>
      <w:tr>
        <w:trPr>
          <w:trHeight w:val="714" w:hRule="exact"/>
        </w:trPr>
        <w:tc>
          <w:tcPr>
            <w:tcW w:w="26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700,000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 w:right="7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59,000</w:t>
            </w:r>
          </w:p>
        </w:tc>
      </w:tr>
      <w:tr>
        <w:trPr>
          <w:trHeight w:val="407"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60.90%</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2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10,563.1</w:t>
            </w:r>
          </w:p>
        </w:tc>
      </w:tr>
      <w:tr>
        <w:trPr>
          <w:trHeight w:val="402"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10,563.1</w:t>
            </w:r>
          </w:p>
        </w:tc>
      </w:tr>
      <w:tr>
        <w:trPr>
          <w:trHeight w:val="714"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5"/>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十八、社会责任情况" w:id="96"/>
      <w:bookmarkEnd w:id="96"/>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履行社会责任情况" w:id="97"/>
      <w:bookmarkEnd w:id="97"/>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023" w:firstLine="360"/>
        <w:jc w:val="left"/>
      </w:pPr>
      <w:r>
        <w:rPr/>
        <w:t>公司实施产业转型的过程中，以</w:t>
      </w:r>
      <w:r>
        <w:rPr>
          <w:rFonts w:ascii="Times New Roman" w:hAnsi="Times New Roman" w:cs="Times New Roman" w:eastAsia="Times New Roman" w:hint="default"/>
        </w:rPr>
        <w:t>“</w:t>
      </w:r>
      <w:r>
        <w:rPr/>
        <w:t>承担社会责任、回报股东社会</w:t>
      </w:r>
      <w:r>
        <w:rPr>
          <w:rFonts w:ascii="Times New Roman" w:hAnsi="Times New Roman" w:cs="Times New Roman" w:eastAsia="Times New Roman" w:hint="default"/>
        </w:rPr>
        <w:t>”</w:t>
      </w:r>
      <w:r>
        <w:rPr/>
        <w:t>为己任，公司战略决策符合国家</w:t>
      </w:r>
      <w:r>
        <w:rPr>
          <w:rFonts w:ascii="Times New Roman" w:hAnsi="Times New Roman" w:cs="Times New Roman" w:eastAsia="Times New Roman" w:hint="default"/>
        </w:rPr>
        <w:t>“</w:t>
      </w:r>
      <w:r>
        <w:rPr/>
        <w:t>低碳、</w:t>
      </w:r>
      <w:r>
        <w:rPr>
          <w:spacing w:val="-41"/>
        </w:rPr>
        <w:t> </w:t>
      </w:r>
      <w:r>
        <w:rPr/>
        <w:t>环保</w:t>
      </w:r>
      <w:r>
        <w:rPr>
          <w:rFonts w:ascii="Times New Roman" w:hAnsi="Times New Roman" w:cs="Times New Roman" w:eastAsia="Times New Roman" w:hint="default"/>
        </w:rPr>
        <w:t>”</w:t>
      </w:r>
      <w:r>
        <w:rPr/>
        <w:t>的政策， </w:t>
      </w:r>
      <w:r>
        <w:rPr>
          <w:spacing w:val="-2"/>
        </w:rPr>
        <w:t>在实践中追求企业与员工、供应商、客户、投资者及社会的和谐发展，落实现金分红政策，积极回报股东，践行社会责</w:t>
      </w:r>
      <w:r>
        <w:rPr>
          <w:spacing w:val="17"/>
        </w:rPr>
        <w:t> </w:t>
      </w:r>
      <w:r>
        <w:rPr/>
        <w:t>任。</w:t>
      </w:r>
      <w:r>
        <w:rPr>
          <w:spacing w:val="-86"/>
        </w:rPr>
        <w:t> </w:t>
      </w:r>
      <w:r>
        <w:rPr>
          <w:spacing w:val="-86"/>
        </w:rPr>
      </w:r>
      <w:r>
        <w:rPr>
          <w:spacing w:val="-2"/>
        </w:rPr>
        <w:t>对待供应商和客户，公司严格履行合同，重合同、守信用；公司严格按照《公司法》、《证券法》、《深圳证券交易所中小</w:t>
      </w:r>
      <w:r>
        <w:rPr>
          <w:spacing w:val="-72"/>
        </w:rPr>
        <w:t> </w:t>
      </w:r>
      <w:r>
        <w:rPr>
          <w:spacing w:val="-72"/>
        </w:rPr>
      </w:r>
      <w:r>
        <w:rPr/>
        <w:t>企业板上市公司规范运作指引》</w:t>
      </w:r>
      <w:r>
        <w:rPr>
          <w:spacing w:val="-18"/>
        </w:rPr>
        <w:t> </w:t>
      </w:r>
      <w:r>
        <w:rPr/>
        <w:t>等相关法律法规的要求，规范股东大会的召集、召开、表决程序，通过合法有效的方式，</w:t>
      </w:r>
      <w:r>
        <w:rPr/>
        <w:t> </w:t>
      </w:r>
      <w:r>
        <w:rPr>
          <w:spacing w:val="-2"/>
        </w:rPr>
        <w:t>让更多的股东能够参与公司重大决策表决，认真履行信息披露义务，秉持公平、公正、公开的原则对待全体投资者。为员工</w:t>
      </w:r>
      <w:r>
        <w:rPr>
          <w:spacing w:val="-66"/>
        </w:rPr>
        <w:t> </w:t>
      </w:r>
      <w:r>
        <w:rPr>
          <w:spacing w:val="-66"/>
        </w:rPr>
      </w:r>
      <w:r>
        <w:rPr>
          <w:spacing w:val="-2"/>
        </w:rPr>
        <w:t>提供安全、舒适的工作环境，关注员工身心健康，组织形式多样的文体活动，丰富员工业余生活。积极支持公益事业，鼓励</w:t>
      </w:r>
      <w:r>
        <w:rPr>
          <w:spacing w:val="-68"/>
        </w:rPr>
        <w:t> </w:t>
      </w:r>
      <w:r>
        <w:rPr>
          <w:spacing w:val="-68"/>
        </w:rPr>
      </w:r>
      <w:r>
        <w:rPr/>
        <w:t>和支持员工开展青年志愿者活动，积极开展献爱心活动。</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bookmarkStart w:name="2、履行精准扶贫社会责任情况" w:id="98"/>
      <w:bookmarkEnd w:id="98"/>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精准扶贫规划" w:id="99"/>
      <w:bookmarkEnd w:id="99"/>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年度精准扶贫概要" w:id="100"/>
      <w:bookmarkEnd w:id="100"/>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精准扶贫成效" w:id="101"/>
      <w:bookmarkEnd w:id="101"/>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4"/>
        <w:gridCol w:w="1462"/>
        <w:gridCol w:w="4512"/>
      </w:tblGrid>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594"/>
        <w:gridCol w:w="1462"/>
        <w:gridCol w:w="4512"/>
      </w:tblGrid>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4）后续精准扶贫计划" w:id="102"/>
      <w:bookmarkEnd w:id="102"/>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5712"/>
        <w:jc w:val="left"/>
      </w:pPr>
      <w:r>
        <w:rPr/>
        <w:t>上市公司及其子公司是否属于环境保护部门公布的重点排污单位 否</w:t>
      </w:r>
    </w:p>
    <w:p>
      <w:pPr>
        <w:pStyle w:val="BodyText"/>
        <w:spacing w:line="240" w:lineRule="auto" w:before="25"/>
        <w:ind w:right="0"/>
        <w:jc w:val="left"/>
      </w:pPr>
      <w:r>
        <w:rPr/>
        <w:t>无</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十九、其他重大事项的说明" w:id="104"/>
      <w:bookmarkEnd w:id="104"/>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029" w:firstLine="360"/>
        <w:jc w:val="left"/>
      </w:pPr>
      <w:r>
        <w:rPr>
          <w:rFonts w:ascii="Times New Roman" w:hAnsi="Times New Roman" w:cs="Times New Roman" w:eastAsia="Times New Roman" w:hint="default"/>
        </w:rPr>
        <w:t>1</w:t>
      </w:r>
      <w:r>
        <w:rPr/>
        <w:t>、公司因发展战略和业务板块布局的调整，经公司第三届董事会第四十二次会议审议同意，公司之全资子公司民盛大 数据以人民币 </w:t>
      </w:r>
      <w:r>
        <w:rPr>
          <w:rFonts w:ascii="Times New Roman" w:hAnsi="Times New Roman" w:cs="Times New Roman" w:eastAsia="Times New Roman" w:hint="default"/>
        </w:rPr>
        <w:t>480</w:t>
      </w:r>
      <w:r>
        <w:rPr>
          <w:rFonts w:ascii="Times New Roman" w:hAnsi="Times New Roman" w:cs="Times New Roman" w:eastAsia="Times New Roman" w:hint="default"/>
          <w:spacing w:val="9"/>
        </w:rPr>
        <w:t> </w:t>
      </w:r>
      <w:r>
        <w:rPr/>
        <w:t>万元向北京天尧信息技术有限公司（以下简称</w:t>
      </w:r>
      <w:r>
        <w:rPr>
          <w:rFonts w:ascii="Times New Roman" w:hAnsi="Times New Roman" w:cs="Times New Roman" w:eastAsia="Times New Roman" w:hint="default"/>
        </w:rPr>
        <w:t>“</w:t>
      </w:r>
      <w:r>
        <w:rPr/>
        <w:t>北京天尧</w:t>
      </w:r>
      <w:r>
        <w:rPr>
          <w:rFonts w:ascii="Times New Roman" w:hAnsi="Times New Roman" w:cs="Times New Roman" w:eastAsia="Times New Roman" w:hint="default"/>
        </w:rPr>
        <w:t>”</w:t>
      </w:r>
      <w:r>
        <w:rPr/>
        <w:t>）出售其持有的深圳民盛云尚信息技术有限公 </w:t>
      </w:r>
      <w:r>
        <w:rPr>
          <w:spacing w:val="-7"/>
        </w:rPr>
        <w:t>司（以下简称</w:t>
      </w:r>
      <w:r>
        <w:rPr>
          <w:rFonts w:ascii="Times New Roman" w:hAnsi="Times New Roman" w:cs="Times New Roman" w:eastAsia="Times New Roman" w:hint="default"/>
          <w:spacing w:val="-7"/>
        </w:rPr>
        <w:t>“</w:t>
      </w:r>
      <w:r>
        <w:rPr>
          <w:spacing w:val="-7"/>
        </w:rPr>
        <w:t>云尚信息</w:t>
      </w:r>
      <w:r>
        <w:rPr>
          <w:rFonts w:ascii="Times New Roman" w:hAnsi="Times New Roman" w:cs="Times New Roman" w:eastAsia="Times New Roman" w:hint="default"/>
          <w:spacing w:val="-7"/>
        </w:rPr>
        <w:t>”</w:t>
      </w:r>
      <w:r>
        <w:rPr>
          <w:spacing w:val="-7"/>
        </w:rPr>
        <w:t>）的 </w:t>
      </w:r>
      <w:r>
        <w:rPr>
          <w:rFonts w:ascii="Times New Roman" w:hAnsi="Times New Roman" w:cs="Times New Roman" w:eastAsia="Times New Roman" w:hint="default"/>
          <w:spacing w:val="-3"/>
        </w:rPr>
        <w:t>66.67%</w:t>
      </w:r>
      <w:r>
        <w:rPr>
          <w:spacing w:val="-3"/>
        </w:rPr>
        <w:t>股权，此项交易完成后， 民盛大数据将不再持有云尚信息的股权。</w:t>
      </w:r>
      <w:r>
        <w:rPr>
          <w:rFonts w:ascii="Times New Roman" w:hAnsi="Times New Roman" w:cs="Times New Roman" w:eastAsia="Times New Roman" w:hint="default"/>
          <w:spacing w:val="-3"/>
        </w:rPr>
        <w:t>2018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11"/>
        </w:rPr>
        <w:t> </w:t>
      </w:r>
      <w:r>
        <w:rPr/>
        <w:t>日， 云尚信息偿还了深圳南山宝生村镇银行股份有限公司的 借款 </w:t>
      </w:r>
      <w:r>
        <w:rPr>
          <w:rFonts w:ascii="Times New Roman" w:hAnsi="Times New Roman" w:cs="Times New Roman" w:eastAsia="Times New Roman" w:hint="default"/>
        </w:rPr>
        <w:t>2,000 </w:t>
      </w:r>
      <w:r>
        <w:rPr/>
        <w:t>万元，并解除了公司为该笔贷款提供的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万元担保</w:t>
      </w:r>
    </w:p>
    <w:p>
      <w:pPr>
        <w:pStyle w:val="BodyText"/>
        <w:spacing w:line="307" w:lineRule="auto" w:before="13"/>
        <w:ind w:right="1032"/>
        <w:jc w:val="left"/>
      </w:pPr>
      <w:r>
        <w:rPr/>
        <w:t>金额；</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30 </w:t>
      </w:r>
      <w:r>
        <w:rPr/>
        <w:t>日，民盛大数据收到北京天尧支付的股权转让款 </w:t>
      </w:r>
      <w:r>
        <w:rPr>
          <w:rFonts w:ascii="Times New Roman" w:hAnsi="Times New Roman" w:cs="Times New Roman" w:eastAsia="Times New Roman" w:hint="default"/>
        </w:rPr>
        <w:t>480</w:t>
      </w:r>
      <w:r>
        <w:rPr>
          <w:rFonts w:ascii="Times New Roman" w:hAnsi="Times New Roman" w:cs="Times New Roman" w:eastAsia="Times New Roman" w:hint="default"/>
          <w:spacing w:val="11"/>
        </w:rPr>
        <w:t> </w:t>
      </w:r>
      <w:r>
        <w:rPr/>
        <w:t>万元；同日，云尚信息完成了股权过户、公司 </w:t>
      </w:r>
      <w:r>
        <w:rPr>
          <w:spacing w:val="-2"/>
        </w:rPr>
        <w:t>名称、法定代表人、董事、监事等相关工商变更登记手续，并取得了深圳市市场监督管理局换发的新营业执照，民盛大数据</w:t>
      </w:r>
      <w:r>
        <w:rPr>
          <w:spacing w:val="-66"/>
        </w:rPr>
        <w:t> </w:t>
      </w:r>
      <w:r>
        <w:rPr>
          <w:spacing w:val="-66"/>
        </w:rPr>
      </w:r>
      <w:r>
        <w:rPr/>
        <w:t>原持有云尚信息的</w:t>
      </w:r>
      <w:r>
        <w:rPr>
          <w:spacing w:val="1"/>
        </w:rPr>
        <w:t> </w:t>
      </w:r>
      <w:r>
        <w:rPr>
          <w:rFonts w:ascii="Times New Roman" w:hAnsi="Times New Roman" w:cs="Times New Roman" w:eastAsia="Times New Roman" w:hint="default"/>
          <w:spacing w:val="-3"/>
        </w:rPr>
        <w:t>66.67%</w:t>
      </w:r>
      <w:r>
        <w:rPr>
          <w:spacing w:val="-3"/>
        </w:rPr>
        <w:t>股权已过户至北京天尧的名下。至此，协议双方已经履行完毕</w:t>
      </w:r>
      <w:r>
        <w:rPr>
          <w:spacing w:val="-49"/>
        </w:rPr>
        <w:t> </w:t>
      </w:r>
      <w:r>
        <w:rPr>
          <w:spacing w:val="-3"/>
        </w:rPr>
        <w:t>《股权转让协议》约定的相关义务，</w:t>
      </w:r>
      <w:r>
        <w:rPr>
          <w:spacing w:val="-88"/>
        </w:rPr>
        <w:t> </w:t>
      </w:r>
      <w:r>
        <w:rPr>
          <w:spacing w:val="-88"/>
        </w:rPr>
      </w:r>
      <w:r>
        <w:rPr/>
        <w:t>本次出售资产暨关联交易事项已全部完成。公司全资子公司民盛大数据不再持有云尚信息的股权。</w:t>
      </w:r>
    </w:p>
    <w:p>
      <w:pPr>
        <w:pStyle w:val="BodyText"/>
        <w:spacing w:line="300" w:lineRule="auto" w:before="26"/>
        <w:ind w:right="1035"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日，公司收到内蒙古正东云驱科技有限公司（以下简称</w:t>
      </w:r>
      <w:r>
        <w:rPr>
          <w:rFonts w:ascii="Times New Roman" w:hAnsi="Times New Roman" w:cs="Times New Roman" w:eastAsia="Times New Roman" w:hint="default"/>
        </w:rPr>
        <w:t>“</w:t>
      </w:r>
      <w:r>
        <w:rPr/>
        <w:t>云驱科技</w:t>
      </w:r>
      <w:r>
        <w:rPr>
          <w:rFonts w:ascii="Times New Roman" w:hAnsi="Times New Roman" w:cs="Times New Roman" w:eastAsia="Times New Roman" w:hint="default"/>
        </w:rPr>
        <w:t>”</w:t>
      </w:r>
      <w:r>
        <w:rPr/>
        <w:t>）、持股</w:t>
      </w:r>
      <w:r>
        <w:rPr>
          <w:rFonts w:ascii="Times New Roman" w:hAnsi="Times New Roman" w:cs="Times New Roman" w:eastAsia="Times New Roman" w:hint="default"/>
        </w:rPr>
        <w:t>5%</w:t>
      </w:r>
      <w:r>
        <w:rPr>
          <w:rFonts w:ascii="Times New Roman" w:hAnsi="Times New Roman" w:cs="Times New Roman" w:eastAsia="Times New Roman" w:hint="default"/>
          <w:spacing w:val="20"/>
        </w:rPr>
        <w:t> </w:t>
      </w:r>
      <w:r>
        <w:rPr/>
        <w:t>以上股东阿拉山口市民 众创新股权投资有限合伙企业（以下简称</w:t>
      </w:r>
      <w:r>
        <w:rPr>
          <w:rFonts w:ascii="Times New Roman" w:hAnsi="Times New Roman" w:cs="Times New Roman" w:eastAsia="Times New Roman" w:hint="default"/>
        </w:rPr>
        <w:t>“</w:t>
      </w:r>
      <w:r>
        <w:rPr/>
        <w:t>民众创新</w:t>
      </w:r>
      <w:r>
        <w:rPr>
          <w:rFonts w:ascii="Times New Roman" w:hAnsi="Times New Roman" w:cs="Times New Roman" w:eastAsia="Times New Roman" w:hint="default"/>
        </w:rPr>
        <w:t>”</w:t>
      </w:r>
      <w:r>
        <w:rPr/>
        <w:t>）</w:t>
      </w:r>
      <w:r>
        <w:rPr>
          <w:spacing w:val="-18"/>
        </w:rPr>
        <w:t> </w:t>
      </w:r>
      <w:r>
        <w:rPr/>
        <w:t>和景华及其一致行动人的通知，民众创新与云驱科技签订《股份转</w:t>
      </w:r>
      <w:r>
        <w:rPr/>
        <w:t> 让协议》，根据协议，民众创新将其持有公司</w:t>
      </w:r>
      <w:r>
        <w:rPr>
          <w:rFonts w:ascii="Times New Roman" w:hAnsi="Times New Roman" w:cs="Times New Roman" w:eastAsia="Times New Roman" w:hint="default"/>
        </w:rPr>
        <w:t>40,193,250</w:t>
      </w:r>
      <w:r>
        <w:rPr/>
        <w:t>股股份（占公司总股本</w:t>
      </w:r>
      <w:r>
        <w:rPr>
          <w:rFonts w:ascii="Times New Roman" w:hAnsi="Times New Roman" w:cs="Times New Roman" w:eastAsia="Times New Roman" w:hint="default"/>
        </w:rPr>
        <w:t>10.77%</w:t>
      </w:r>
      <w:r>
        <w:rPr/>
        <w:t>）转让</w:t>
      </w:r>
      <w:r>
        <w:rPr>
          <w:spacing w:val="-54"/>
        </w:rPr>
        <w:t> </w:t>
      </w:r>
      <w:r>
        <w:rPr/>
        <w:t>给云驱科技；同时景华及其一</w:t>
      </w:r>
      <w:r>
        <w:rPr/>
        <w:t> 致行动人与云驱科技签订《表决权委托协议》，根据协议，景华及其一致行动人将其持有的民盛金科</w:t>
      </w:r>
      <w:r>
        <w:rPr>
          <w:rFonts w:ascii="Times New Roman" w:hAnsi="Times New Roman" w:cs="Times New Roman" w:eastAsia="Times New Roman" w:hint="default"/>
        </w:rPr>
        <w:t>51,571,504</w:t>
      </w:r>
      <w:r>
        <w:rPr/>
        <w:t>股份（占公 司总股</w:t>
      </w:r>
      <w:r>
        <w:rPr>
          <w:spacing w:val="-53"/>
        </w:rPr>
        <w:t> </w:t>
      </w:r>
      <w:r>
        <w:rPr/>
        <w:t>本</w:t>
      </w:r>
      <w:r>
        <w:rPr>
          <w:rFonts w:ascii="Times New Roman" w:hAnsi="Times New Roman" w:cs="Times New Roman" w:eastAsia="Times New Roman" w:hint="default"/>
        </w:rPr>
        <w:t>13.82%</w:t>
      </w:r>
      <w:r>
        <w:rPr/>
        <w:t>）对应的表决权委托给云驱科技行使。</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日，公司收到云驱科技与民众创新的通知，民众创新已 于</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日依据《股份转让协议》将其持有公司的</w:t>
      </w:r>
      <w:r>
        <w:rPr>
          <w:rFonts w:ascii="Times New Roman" w:hAnsi="Times New Roman" w:cs="Times New Roman" w:eastAsia="Times New Roman" w:hint="default"/>
        </w:rPr>
        <w:t>40,193,250</w:t>
      </w:r>
      <w:r>
        <w:rPr/>
        <w:t>股股份（占公司总</w:t>
      </w:r>
      <w:r>
        <w:rPr>
          <w:spacing w:val="-30"/>
        </w:rPr>
        <w:t> </w:t>
      </w:r>
      <w:r>
        <w:rPr/>
        <w:t>股本</w:t>
      </w:r>
      <w:r>
        <w:rPr>
          <w:rFonts w:ascii="Times New Roman" w:hAnsi="Times New Roman" w:cs="Times New Roman" w:eastAsia="Times New Roman" w:hint="default"/>
        </w:rPr>
        <w:t>10.77%</w:t>
      </w:r>
      <w:r>
        <w:rPr/>
        <w:t>）过户登记至云驱科技的 名下，办理完股权过户涉及的相关手续，并于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日取得中国证券登记结算有限责任公司深圳分公司出具的《证券 过户登记确认书》。云驱科技承诺，本次权益变动完成之日起</w:t>
      </w:r>
      <w:r>
        <w:rPr>
          <w:rFonts w:ascii="Times New Roman" w:hAnsi="Times New Roman" w:cs="Times New Roman" w:eastAsia="Times New Roman" w:hint="default"/>
        </w:rPr>
        <w:t>12</w:t>
      </w:r>
      <w:r>
        <w:rPr/>
        <w:t>个月内不转让其所持有的上市公司股份。</w:t>
      </w:r>
      <w:r>
        <w:rPr>
          <w:spacing w:val="-18"/>
        </w:rPr>
        <w:t> </w:t>
      </w:r>
      <w:r>
        <w:rPr/>
        <w:t>本次证券过户登</w:t>
      </w:r>
      <w:r>
        <w:rPr/>
        <w:t> </w:t>
      </w:r>
      <w:r>
        <w:rPr>
          <w:spacing w:val="-3"/>
        </w:rPr>
        <w:t>记完成后，云驱科技直接持有公司</w:t>
      </w:r>
      <w:r>
        <w:rPr>
          <w:rFonts w:ascii="Times New Roman" w:hAnsi="Times New Roman" w:cs="Times New Roman" w:eastAsia="Times New Roman" w:hint="default"/>
          <w:spacing w:val="-3"/>
        </w:rPr>
        <w:t>40,193,250</w:t>
      </w:r>
      <w:r>
        <w:rPr>
          <w:spacing w:val="-3"/>
        </w:rPr>
        <w:t>股股份，占公</w:t>
      </w:r>
      <w:r>
        <w:rPr>
          <w:spacing w:val="23"/>
        </w:rPr>
        <w:t> </w:t>
      </w:r>
      <w:r>
        <w:rPr>
          <w:spacing w:val="-4"/>
        </w:rPr>
        <w:t>司总股本的</w:t>
      </w:r>
      <w:r>
        <w:rPr>
          <w:rFonts w:ascii="Times New Roman" w:hAnsi="Times New Roman" w:cs="Times New Roman" w:eastAsia="Times New Roman" w:hint="default"/>
          <w:spacing w:val="-4"/>
        </w:rPr>
        <w:t>10.77%</w:t>
      </w:r>
      <w:r>
        <w:rPr>
          <w:spacing w:val="-4"/>
        </w:rPr>
        <w:t>，与其一致行动人仁东（天津）科技有限公司、</w:t>
      </w:r>
      <w:r>
        <w:rPr>
          <w:spacing w:val="-84"/>
        </w:rPr>
        <w:t> </w:t>
      </w:r>
      <w:r>
        <w:rPr>
          <w:spacing w:val="-84"/>
        </w:rPr>
      </w:r>
      <w:r>
        <w:rPr/>
        <w:t>赵美合计持有</w:t>
      </w:r>
      <w:r>
        <w:rPr>
          <w:spacing w:val="-19"/>
        </w:rPr>
        <w:t> </w:t>
      </w:r>
      <w:r>
        <w:rPr/>
        <w:t>公司</w:t>
      </w:r>
      <w:r>
        <w:rPr>
          <w:rFonts w:ascii="Times New Roman" w:hAnsi="Times New Roman" w:cs="Times New Roman" w:eastAsia="Times New Roman" w:hint="default"/>
        </w:rPr>
        <w:t>60,042,535</w:t>
      </w:r>
      <w:r>
        <w:rPr/>
        <w:t>股股份，占公司总股本的</w:t>
      </w:r>
      <w:r>
        <w:rPr>
          <w:rFonts w:ascii="Times New Roman" w:hAnsi="Times New Roman" w:cs="Times New Roman" w:eastAsia="Times New Roman" w:hint="default"/>
        </w:rPr>
        <w:t>16.08%</w:t>
      </w:r>
      <w:r>
        <w:rPr/>
        <w:t>；同时，云驱科技通过表决权委托的方式持有民盛金科 </w:t>
      </w:r>
      <w:r>
        <w:rPr>
          <w:rFonts w:ascii="Times New Roman" w:hAnsi="Times New Roman" w:cs="Times New Roman" w:eastAsia="Times New Roman" w:hint="default"/>
        </w:rPr>
        <w:t>51,571,504</w:t>
      </w:r>
      <w:r>
        <w:rPr/>
        <w:t>股股份对应的表决权，占公司总股本的 </w:t>
      </w:r>
      <w:r>
        <w:rPr>
          <w:rFonts w:ascii="Times New Roman" w:hAnsi="Times New Roman" w:cs="Times New Roman" w:eastAsia="Times New Roman" w:hint="default"/>
        </w:rPr>
        <w:t>13.82%</w:t>
      </w:r>
      <w:r>
        <w:rPr/>
        <w:t>。</w:t>
      </w:r>
      <w:r>
        <w:rPr>
          <w:spacing w:val="-37"/>
        </w:rPr>
        <w:t> </w:t>
      </w:r>
      <w:r>
        <w:rPr/>
        <w:t>云驱科技及其一致行动人成为在民盛金科中拥有表决权的股份</w:t>
      </w:r>
      <w:r>
        <w:rPr/>
        <w:t> 数量最多的第一大股东，合计持有拥有表决权的股份数量为</w:t>
      </w:r>
      <w:r>
        <w:rPr>
          <w:rFonts w:ascii="Times New Roman" w:hAnsi="Times New Roman" w:cs="Times New Roman" w:eastAsia="Times New Roman" w:hint="default"/>
        </w:rPr>
        <w:t>111,614,039</w:t>
      </w:r>
      <w:r>
        <w:rPr/>
        <w:t>股，占公司总股本</w:t>
      </w:r>
      <w:r>
        <w:rPr>
          <w:spacing w:val="-19"/>
        </w:rPr>
        <w:t> </w:t>
      </w:r>
      <w:r>
        <w:rPr/>
        <w:t>的</w:t>
      </w:r>
      <w:r>
        <w:rPr>
          <w:rFonts w:ascii="Times New Roman" w:hAnsi="Times New Roman" w:cs="Times New Roman" w:eastAsia="Times New Roman" w:hint="default"/>
        </w:rPr>
        <w:t>29.90%</w:t>
      </w:r>
      <w:r>
        <w:rPr/>
        <w:t>。公司控股股东由和柚 技术集团有限公司变更为云驱科技，公司实际控制人由郝江波变更为霍东。（</w:t>
      </w:r>
      <w:r>
        <w:rPr>
          <w:rFonts w:ascii="Times New Roman" w:hAnsi="Times New Roman" w:cs="Times New Roman" w:eastAsia="Times New Roman" w:hint="default"/>
        </w:rPr>
        <w:t>“</w:t>
      </w:r>
      <w:r>
        <w:rPr/>
        <w:t>内蒙古正东云驱科技有限公司</w:t>
      </w:r>
      <w:r>
        <w:rPr>
          <w:rFonts w:ascii="Times New Roman" w:hAnsi="Times New Roman" w:cs="Times New Roman" w:eastAsia="Times New Roman" w:hint="default"/>
        </w:rPr>
        <w:t>”</w:t>
      </w:r>
      <w:r>
        <w:rPr/>
        <w:t>已变更名称为 </w:t>
      </w:r>
      <w:r>
        <w:rPr>
          <w:rFonts w:ascii="Times New Roman" w:hAnsi="Times New Roman" w:cs="Times New Roman" w:eastAsia="Times New Roman" w:hint="default"/>
        </w:rPr>
        <w:t>“</w:t>
      </w:r>
      <w:r>
        <w:rPr/>
        <w:t>内蒙古仁东科技有限公司</w:t>
      </w:r>
      <w:r>
        <w:rPr>
          <w:rFonts w:ascii="Times New Roman" w:hAnsi="Times New Roman" w:cs="Times New Roman" w:eastAsia="Times New Roman" w:hint="default"/>
        </w:rPr>
        <w:t>”</w:t>
      </w:r>
      <w:r>
        <w:rPr/>
        <w:t>）</w:t>
      </w:r>
    </w:p>
    <w:p>
      <w:pPr>
        <w:pStyle w:val="BodyText"/>
        <w:spacing w:line="300" w:lineRule="auto" w:before="13"/>
        <w:ind w:right="1032" w:firstLine="360"/>
        <w:jc w:val="left"/>
      </w:pPr>
      <w:r>
        <w:rPr>
          <w:rFonts w:ascii="Times New Roman" w:hAnsi="Times New Roman" w:cs="Times New Roman" w:eastAsia="Times New Roman" w:hint="default"/>
        </w:rPr>
        <w:t>3</w:t>
      </w:r>
      <w:r>
        <w:rPr/>
        <w:t>、公司间接控股子公司合利宝公司收到全国高新技术企业认定管理工作领导小组办公室发布的《关于广东省</w:t>
      </w:r>
      <w:r>
        <w:rPr>
          <w:rFonts w:ascii="Times New Roman" w:hAnsi="Times New Roman" w:cs="Times New Roman" w:eastAsia="Times New Roman" w:hint="default"/>
        </w:rPr>
        <w:t>2017</w:t>
      </w:r>
      <w:r>
        <w:rPr/>
        <w:t>年第 一批高新技术企业备案的复函》（国科火字〔</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25</w:t>
      </w:r>
      <w:r>
        <w:rPr/>
        <w:t>号），合利宝公司通过了广东省</w:t>
      </w:r>
      <w:r>
        <w:rPr>
          <w:rFonts w:ascii="Times New Roman" w:hAnsi="Times New Roman" w:cs="Times New Roman" w:eastAsia="Times New Roman" w:hint="default"/>
        </w:rPr>
        <w:t>2017</w:t>
      </w:r>
      <w:r>
        <w:rPr/>
        <w:t>年第一批高新技术企业的认定，</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9"/>
        <w:jc w:val="both"/>
      </w:pPr>
      <w:r>
        <w:rPr/>
        <w:t>高新技术企业证书编号为</w:t>
      </w:r>
      <w:r>
        <w:rPr>
          <w:rFonts w:ascii="Times New Roman" w:hAnsi="Times New Roman" w:cs="Times New Roman" w:eastAsia="Times New Roman" w:hint="default"/>
        </w:rPr>
        <w:t>GR201744001270</w:t>
      </w:r>
      <w:r>
        <w:rPr/>
        <w:t>，发证日期：</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日，有效期三年。</w:t>
      </w:r>
      <w:r>
        <w:rPr>
          <w:spacing w:val="-19"/>
        </w:rPr>
        <w:t> </w:t>
      </w:r>
      <w:r>
        <w:rPr/>
        <w:t>根据《中华人民共和国企业所得税</w:t>
      </w:r>
      <w:r>
        <w:rPr/>
        <w:t> 法》以及国家高新技术企业的相关税收规定，合利宝公司可连续三年（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-2019</w:t>
      </w:r>
      <w:r>
        <w:rPr/>
        <w:t>年）享受国家关于高新技术企业所得</w:t>
      </w:r>
      <w:r>
        <w:rPr>
          <w:spacing w:val="-49"/>
        </w:rPr>
        <w:t> </w:t>
      </w:r>
      <w:r>
        <w:rPr/>
        <w:t>税</w:t>
      </w:r>
      <w:r>
        <w:rPr/>
        <w:t> 的优惠政策，即按</w:t>
      </w:r>
      <w:r>
        <w:rPr>
          <w:rFonts w:ascii="Times New Roman" w:hAnsi="Times New Roman" w:cs="Times New Roman" w:eastAsia="Times New Roman" w:hint="default"/>
        </w:rPr>
        <w:t>15%</w:t>
      </w:r>
      <w:r>
        <w:rPr/>
        <w:t>的税率缴纳企业所得税。</w:t>
      </w:r>
    </w:p>
    <w:p>
      <w:pPr>
        <w:pStyle w:val="BodyText"/>
        <w:spacing w:line="300" w:lineRule="auto" w:before="13"/>
        <w:ind w:right="1032" w:firstLine="360"/>
        <w:jc w:val="left"/>
      </w:pPr>
      <w:r>
        <w:rPr>
          <w:rFonts w:ascii="Times New Roman" w:hAnsi="Times New Roman" w:cs="Times New Roman" w:eastAsia="Times New Roman" w:hint="default"/>
        </w:rPr>
        <w:t>4</w:t>
      </w:r>
      <w:r>
        <w:rPr/>
        <w:t>、公司控股股东仁东科技于</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22 </w:t>
      </w:r>
      <w:r>
        <w:rPr/>
        <w:t>日至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26 </w:t>
      </w:r>
      <w:r>
        <w:rPr/>
        <w:t>日通过二级市场累计增持公司股份 </w:t>
      </w:r>
      <w:r>
        <w:rPr>
          <w:rFonts w:ascii="Times New Roman" w:hAnsi="Times New Roman" w:cs="Times New Roman" w:eastAsia="Times New Roman" w:hint="default"/>
        </w:rPr>
        <w:t>560,000 </w:t>
      </w:r>
      <w:r>
        <w:rPr/>
        <w:t>股，占</w:t>
      </w:r>
      <w:r>
        <w:rPr>
          <w:spacing w:val="7"/>
        </w:rPr>
        <w:t> </w:t>
      </w:r>
      <w:r>
        <w:rPr/>
        <w:t>公司总</w:t>
      </w:r>
      <w:r>
        <w:rPr/>
        <w:t> 股份的比例为 </w:t>
      </w:r>
      <w:r>
        <w:rPr>
          <w:rFonts w:ascii="Times New Roman" w:hAnsi="Times New Roman" w:cs="Times New Roman" w:eastAsia="Times New Roman" w:hint="default"/>
        </w:rPr>
        <w:t>0.10%</w:t>
      </w:r>
      <w:r>
        <w:rPr/>
        <w:t>，完成增持承诺。本次增持完成后，仁东科技直接持有公司股份 </w:t>
      </w:r>
      <w:r>
        <w:rPr>
          <w:rFonts w:ascii="Times New Roman" w:hAnsi="Times New Roman" w:cs="Times New Roman" w:eastAsia="Times New Roman" w:hint="default"/>
        </w:rPr>
        <w:t>60,849,875 </w:t>
      </w:r>
      <w:r>
        <w:rPr/>
        <w:t>股（占公司总股</w:t>
      </w:r>
      <w:r>
        <w:rPr>
          <w:spacing w:val="-50"/>
        </w:rPr>
        <w:t> </w:t>
      </w:r>
      <w:r>
        <w:rPr/>
        <w:t>本的比例</w:t>
      </w:r>
      <w:r>
        <w:rPr/>
        <w:t> 为 </w:t>
      </w:r>
      <w:r>
        <w:rPr>
          <w:rFonts w:ascii="Times New Roman" w:hAnsi="Times New Roman" w:cs="Times New Roman" w:eastAsia="Times New Roman" w:hint="default"/>
          <w:spacing w:val="-5"/>
        </w:rPr>
        <w:t>10.87%</w:t>
      </w:r>
      <w:r>
        <w:rPr>
          <w:spacing w:val="-5"/>
        </w:rPr>
        <w:t>），其一致行动人仁东（天津）科技有限公司直接持有公司股 </w:t>
      </w:r>
      <w:r>
        <w:rPr/>
        <w:t>份 </w:t>
      </w:r>
      <w:r>
        <w:rPr>
          <w:rFonts w:ascii="Times New Roman" w:hAnsi="Times New Roman" w:cs="Times New Roman" w:eastAsia="Times New Roman" w:hint="default"/>
        </w:rPr>
        <w:t>29,480,958 </w:t>
      </w:r>
      <w:r>
        <w:rPr>
          <w:spacing w:val="-3"/>
        </w:rPr>
        <w:t>股（占公司总股本的比例为</w:t>
      </w:r>
      <w:r>
        <w:rPr>
          <w:spacing w:val="-57"/>
        </w:rPr>
        <w:t> </w:t>
      </w:r>
      <w:r>
        <w:rPr>
          <w:rFonts w:ascii="Times New Roman" w:hAnsi="Times New Roman" w:cs="Times New Roman" w:eastAsia="Times New Roman" w:hint="default"/>
          <w:spacing w:val="-10"/>
        </w:rPr>
        <w:t>5.27%</w:t>
      </w:r>
      <w:r>
        <w:rPr>
          <w:spacing w:val="-10"/>
        </w:rPr>
        <w:t>），</w:t>
      </w:r>
      <w:r>
        <w:rPr>
          <w:spacing w:val="-34"/>
        </w:rPr>
        <w:t> </w:t>
      </w:r>
      <w:r>
        <w:rPr/>
        <w:t>其一致行动人赵美持有 </w:t>
      </w:r>
      <w:r>
        <w:rPr>
          <w:rFonts w:ascii="Times New Roman" w:hAnsi="Times New Roman" w:cs="Times New Roman" w:eastAsia="Times New Roman" w:hint="default"/>
        </w:rPr>
        <w:t>292,969 </w:t>
      </w:r>
      <w:r>
        <w:rPr/>
        <w:t>股（占公司总股本的比例为 </w:t>
      </w:r>
      <w:r>
        <w:rPr>
          <w:rFonts w:ascii="Times New Roman" w:hAnsi="Times New Roman" w:cs="Times New Roman" w:eastAsia="Times New Roman" w:hint="default"/>
        </w:rPr>
        <w:t>0.05%</w:t>
      </w:r>
      <w:r>
        <w:rPr/>
        <w:t>）。公司控股股东仁东科技及其前述一</w:t>
      </w:r>
      <w:r>
        <w:rPr>
          <w:spacing w:val="-30"/>
        </w:rPr>
        <w:t> </w:t>
      </w:r>
      <w:r>
        <w:rPr/>
        <w:t>致行动人合计持</w:t>
      </w:r>
      <w:r>
        <w:rPr/>
        <w:t> 有公司股份</w:t>
      </w:r>
      <w:r>
        <w:rPr>
          <w:spacing w:val="-20"/>
        </w:rPr>
        <w:t> </w:t>
      </w:r>
      <w:r>
        <w:rPr>
          <w:rFonts w:ascii="Times New Roman" w:hAnsi="Times New Roman" w:cs="Times New Roman" w:eastAsia="Times New Roman" w:hint="default"/>
        </w:rPr>
        <w:t>90,623,802</w:t>
      </w:r>
      <w:r>
        <w:rPr>
          <w:rFonts w:ascii="Times New Roman" w:hAnsi="Times New Roman" w:cs="Times New Roman" w:eastAsia="Times New Roman" w:hint="default"/>
          <w:spacing w:val="25"/>
        </w:rPr>
        <w:t> </w:t>
      </w:r>
      <w:r>
        <w:rPr>
          <w:spacing w:val="-3"/>
        </w:rPr>
        <w:t>股（占公司总股本的比例为</w:t>
      </w:r>
      <w:r>
        <w:rPr>
          <w:spacing w:val="-20"/>
        </w:rPr>
        <w:t> </w:t>
      </w:r>
      <w:r>
        <w:rPr>
          <w:rFonts w:ascii="Times New Roman" w:hAnsi="Times New Roman" w:cs="Times New Roman" w:eastAsia="Times New Roman" w:hint="default"/>
          <w:spacing w:val="-4"/>
        </w:rPr>
        <w:t>16.18%</w:t>
      </w:r>
      <w:r>
        <w:rPr>
          <w:spacing w:val="-4"/>
        </w:rPr>
        <w:t>）。</w:t>
      </w:r>
      <w:r>
        <w:rPr>
          <w:spacing w:val="-44"/>
        </w:rPr>
        <w:t> </w:t>
      </w:r>
      <w:r>
        <w:rPr/>
        <w:t>同时，仁东科技通过表决权受托的方式持有公司</w:t>
      </w:r>
      <w:r>
        <w:rPr>
          <w:spacing w:val="-20"/>
        </w:rPr>
        <w:t> </w:t>
      </w:r>
      <w:r>
        <w:rPr>
          <w:rFonts w:ascii="Times New Roman" w:hAnsi="Times New Roman" w:cs="Times New Roman" w:eastAsia="Times New Roman" w:hint="default"/>
        </w:rPr>
        <w:t>77,357,256 </w:t>
      </w:r>
      <w:r>
        <w:rPr/>
        <w:t>股股份对应的 表决权（占公司总股本的比例为 </w:t>
      </w:r>
      <w:r>
        <w:rPr>
          <w:rFonts w:ascii="Times New Roman" w:hAnsi="Times New Roman" w:cs="Times New Roman" w:eastAsia="Times New Roman" w:hint="default"/>
        </w:rPr>
        <w:t>13.82%</w:t>
      </w:r>
      <w:r>
        <w:rPr/>
        <w:t>）。仁东科技及其一致行动人在公司中拥</w:t>
      </w:r>
      <w:r>
        <w:rPr>
          <w:spacing w:val="-55"/>
        </w:rPr>
        <w:t> </w:t>
      </w:r>
      <w:r>
        <w:rPr/>
        <w:t>有表决权的股份数量合计</w:t>
      </w:r>
      <w:r>
        <w:rPr/>
        <w:t> 为 </w:t>
      </w:r>
      <w:r>
        <w:rPr>
          <w:rFonts w:ascii="Times New Roman" w:hAnsi="Times New Roman" w:cs="Times New Roman" w:eastAsia="Times New Roman" w:hint="default"/>
        </w:rPr>
        <w:t>167,981,058  </w:t>
      </w:r>
      <w:r>
        <w:rPr/>
        <w:t>股（占上市公司总股本的</w:t>
      </w:r>
      <w:r>
        <w:rPr>
          <w:spacing w:val="-56"/>
        </w:rPr>
        <w:t> </w:t>
      </w:r>
      <w:r>
        <w:rPr>
          <w:rFonts w:ascii="Times New Roman" w:hAnsi="Times New Roman" w:cs="Times New Roman" w:eastAsia="Times New Roman" w:hint="default"/>
        </w:rPr>
        <w:t>30.00%</w:t>
      </w:r>
      <w:r>
        <w:rPr/>
        <w:t>）。</w:t>
      </w:r>
    </w:p>
    <w:p>
      <w:pPr>
        <w:pStyle w:val="BodyText"/>
        <w:spacing w:line="312" w:lineRule="auto" w:before="13"/>
        <w:ind w:right="1130" w:firstLine="360"/>
        <w:jc w:val="both"/>
      </w:pPr>
      <w:r>
        <w:rPr>
          <w:rFonts w:ascii="Times New Roman" w:hAnsi="Times New Roman" w:cs="Times New Roman" w:eastAsia="Times New Roman" w:hint="default"/>
          <w:spacing w:val="-1"/>
        </w:rPr>
        <w:t>5</w:t>
      </w:r>
      <w:r>
        <w:rPr>
          <w:spacing w:val="-1"/>
        </w:rPr>
        <w:t>、公司控股股东仁东科技拟集中资源积极推动公司发展壮大，将公司定位于其旗下金融科技控股平台</w:t>
      </w:r>
      <w:r>
        <w:rPr>
          <w:rFonts w:ascii="Times New Roman" w:hAnsi="Times New Roman" w:cs="Times New Roman" w:eastAsia="Times New Roman" w:hint="default"/>
          <w:spacing w:val="-1"/>
        </w:rPr>
        <w:t>,</w:t>
      </w:r>
      <w:r>
        <w:rPr>
          <w:spacing w:val="-1"/>
        </w:rPr>
        <w:t>进一步推进产业</w:t>
      </w:r>
      <w:r>
        <w:rPr/>
        <w:t> </w:t>
      </w:r>
      <w:r>
        <w:rPr>
          <w:spacing w:val="-2"/>
        </w:rPr>
        <w:t>转型升级步伐，增强企业核心竞争力，强化内控管理水平，改善公司外部形象，促进公司稳健发展。鉴于公司控股股东、办</w:t>
      </w:r>
      <w:r>
        <w:rPr>
          <w:spacing w:val="-67"/>
        </w:rPr>
        <w:t> </w:t>
      </w:r>
      <w:r>
        <w:rPr>
          <w:spacing w:val="-67"/>
        </w:rPr>
      </w:r>
      <w:r>
        <w:rPr>
          <w:spacing w:val="-2"/>
        </w:rPr>
        <w:t>公场所均发生了重大变化，为与控股股东统一字号，促进公司产业转型升级，便于开拓相关金融科技业务需要，树立全新企</w:t>
      </w:r>
      <w:r>
        <w:rPr>
          <w:spacing w:val="-66"/>
        </w:rPr>
        <w:t> </w:t>
      </w:r>
      <w:r>
        <w:rPr>
          <w:spacing w:val="-66"/>
        </w:rPr>
      </w:r>
      <w:r>
        <w:rPr/>
        <w:t>业形象，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日，公司正式变更公司名称为仁东控股股份有限公司、变更证券简称为仁东控股。</w:t>
      </w:r>
    </w:p>
    <w:p>
      <w:pPr>
        <w:pStyle w:val="BodyText"/>
        <w:spacing w:line="300" w:lineRule="auto" w:before="3"/>
        <w:ind w:right="1132" w:firstLine="360"/>
        <w:jc w:val="both"/>
      </w:pPr>
      <w:r>
        <w:rPr>
          <w:rFonts w:ascii="Times New Roman" w:hAnsi="Times New Roman" w:cs="Times New Roman" w:eastAsia="Times New Roman" w:hint="default"/>
        </w:rPr>
        <w:t>6</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日召开第四届董事会第六次会议，审议通过了《公司关于拟对外投资的议案》。仁东控股股份 </w:t>
      </w:r>
      <w:r>
        <w:rPr>
          <w:spacing w:val="-1"/>
        </w:rPr>
        <w:t>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）拟以自有资金和自筹资金不超过人民币</w:t>
      </w:r>
      <w:r>
        <w:rPr>
          <w:rFonts w:ascii="Times New Roman" w:hAnsi="Times New Roman" w:cs="Times New Roman" w:eastAsia="Times New Roman" w:hint="default"/>
          <w:spacing w:val="-1"/>
        </w:rPr>
        <w:t>1.5</w:t>
      </w:r>
      <w:r>
        <w:rPr>
          <w:spacing w:val="-1"/>
        </w:rPr>
        <w:t>亿元资金参与投资北京产权交易所挂牌的</w:t>
      </w:r>
      <w:r>
        <w:rPr>
          <w:rFonts w:ascii="Times New Roman" w:hAnsi="Times New Roman" w:cs="Times New Roman" w:eastAsia="Times New Roman" w:hint="default"/>
          <w:spacing w:val="-1"/>
        </w:rPr>
        <w:t>“</w:t>
      </w:r>
      <w:r>
        <w:rPr>
          <w:spacing w:val="-1"/>
        </w:rPr>
        <w:t>北京海淀</w:t>
      </w:r>
      <w:r>
        <w:rPr>
          <w:spacing w:val="-43"/>
        </w:rPr>
        <w:t> </w:t>
      </w:r>
      <w:r>
        <w:rPr/>
        <w:t>科技金融资本控股集团股份有限公司增资项目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日，公司及其他投资方与海科金及海科金原股东方签署《北 京海淀科技金融资本控股集团股份有限公司增资协议》，公司将认购海科金</w:t>
      </w:r>
      <w:r>
        <w:rPr>
          <w:rFonts w:ascii="Times New Roman" w:hAnsi="Times New Roman" w:cs="Times New Roman" w:eastAsia="Times New Roman" w:hint="default"/>
        </w:rPr>
        <w:t>82,644,628.1</w:t>
      </w:r>
      <w:r>
        <w:rPr/>
        <w:t>股，认购价格为每股</w:t>
      </w:r>
      <w:r>
        <w:rPr>
          <w:rFonts w:ascii="Times New Roman" w:hAnsi="Times New Roman" w:cs="Times New Roman" w:eastAsia="Times New Roman" w:hint="default"/>
        </w:rPr>
        <w:t>1.815</w:t>
      </w:r>
      <w:r>
        <w:rPr/>
        <w:t>元，认购 金额为</w:t>
      </w:r>
      <w:r>
        <w:rPr>
          <w:rFonts w:ascii="Times New Roman" w:hAnsi="Times New Roman" w:cs="Times New Roman" w:eastAsia="Times New Roman" w:hint="default"/>
        </w:rPr>
        <w:t>15,000</w:t>
      </w:r>
      <w:r>
        <w:rPr/>
        <w:t>万元。增资完成后，公司持股占比</w:t>
      </w:r>
      <w:r>
        <w:rPr>
          <w:rFonts w:ascii="Times New Roman" w:hAnsi="Times New Roman" w:cs="Times New Roman" w:eastAsia="Times New Roman" w:hint="default"/>
        </w:rPr>
        <w:t>3.0236%</w:t>
      </w:r>
      <w:r>
        <w:rPr/>
        <w:t>。</w:t>
      </w:r>
    </w:p>
    <w:p>
      <w:pPr>
        <w:pStyle w:val="BodyText"/>
        <w:spacing w:line="300" w:lineRule="auto" w:before="13"/>
        <w:ind w:right="1122" w:firstLine="360"/>
        <w:jc w:val="left"/>
      </w:pPr>
      <w:r>
        <w:rPr>
          <w:rFonts w:ascii="Times New Roman" w:hAnsi="Times New Roman" w:cs="Times New Roman" w:eastAsia="Times New Roman" w:hint="default"/>
        </w:rPr>
        <w:t>7</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日披露控股股东仁东科技、一致行动人及实际控制人增持计划：控股股东或其一致行动人仁东天 津、实际控制人霍东先生拟在未来</w:t>
      </w:r>
      <w:r>
        <w:rPr>
          <w:rFonts w:ascii="Times New Roman" w:hAnsi="Times New Roman" w:cs="Times New Roman" w:eastAsia="Times New Roman" w:hint="default"/>
        </w:rPr>
        <w:t>6</w:t>
      </w:r>
      <w:r>
        <w:rPr/>
        <w:t>个月内通过深圳证券交易所允许的方式（包括但不限于集中竞价和大宗交易）累计增持 </w:t>
      </w:r>
      <w:r>
        <w:rPr>
          <w:spacing w:val="-2"/>
        </w:rPr>
        <w:t>公司股票不低于</w:t>
      </w:r>
      <w:r>
        <w:rPr>
          <w:rFonts w:ascii="Times New Roman" w:hAnsi="Times New Roman" w:cs="Times New Roman" w:eastAsia="Times New Roman" w:hint="default"/>
          <w:spacing w:val="-2"/>
        </w:rPr>
        <w:t>1%</w:t>
      </w:r>
      <w:r>
        <w:rPr>
          <w:spacing w:val="-2"/>
        </w:rPr>
        <w:t>且不超过</w:t>
      </w:r>
      <w:r>
        <w:rPr>
          <w:rFonts w:ascii="Times New Roman" w:hAnsi="Times New Roman" w:cs="Times New Roman" w:eastAsia="Times New Roman" w:hint="default"/>
          <w:spacing w:val="-2"/>
        </w:rPr>
        <w:t>2%</w:t>
      </w:r>
      <w:r>
        <w:rPr>
          <w:spacing w:val="-2"/>
        </w:rPr>
        <w:t>的股份（含</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21</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日，通过二级市场买入的</w:t>
      </w:r>
      <w:r>
        <w:rPr>
          <w:rFonts w:ascii="Times New Roman" w:hAnsi="Times New Roman" w:cs="Times New Roman" w:eastAsia="Times New Roman" w:hint="default"/>
          <w:spacing w:val="-2"/>
        </w:rPr>
        <w:t>535,700</w:t>
      </w:r>
      <w:r>
        <w:rPr>
          <w:spacing w:val="-2"/>
        </w:rPr>
        <w:t>股）。截至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9"/>
        </w:rPr>
        <w:t> </w:t>
      </w:r>
      <w:r>
        <w:rPr/>
        <w:t>月</w:t>
      </w:r>
      <w:r>
        <w:rPr>
          <w:rFonts w:ascii="Times New Roman" w:hAnsi="Times New Roman" w:cs="Times New Roman" w:eastAsia="Times New Roman" w:hint="default"/>
        </w:rPr>
        <w:t>7</w:t>
      </w:r>
      <w:r>
        <w:rPr/>
        <w:t>日，控股股东仁东科技通过集中竞价方式累计增持公司股份</w:t>
      </w:r>
      <w:r>
        <w:rPr>
          <w:rFonts w:ascii="Times New Roman" w:hAnsi="Times New Roman" w:cs="Times New Roman" w:eastAsia="Times New Roman" w:hint="default"/>
        </w:rPr>
        <w:t>6,025,486</w:t>
      </w:r>
      <w:r>
        <w:rPr/>
        <w:t>股，占公司总股本的</w:t>
      </w:r>
      <w:r>
        <w:rPr>
          <w:rFonts w:ascii="Times New Roman" w:hAnsi="Times New Roman" w:cs="Times New Roman" w:eastAsia="Times New Roman" w:hint="default"/>
        </w:rPr>
        <w:t>1.08%</w:t>
      </w:r>
      <w:r>
        <w:rPr/>
        <w:t>，已超过此次增持计划 的下限，未超过此次增持计划的上限；累计增持金额</w:t>
      </w:r>
      <w:r>
        <w:rPr>
          <w:rFonts w:ascii="Times New Roman" w:hAnsi="Times New Roman" w:cs="Times New Roman" w:eastAsia="Times New Roman" w:hint="default"/>
        </w:rPr>
        <w:t>80,099,901.5</w:t>
      </w:r>
      <w:r>
        <w:rPr/>
        <w:t>元。</w:t>
      </w:r>
    </w:p>
    <w:p>
      <w:pPr>
        <w:pStyle w:val="BodyText"/>
        <w:spacing w:line="309" w:lineRule="auto" w:before="13"/>
        <w:ind w:right="1042" w:firstLine="360"/>
        <w:jc w:val="both"/>
      </w:pPr>
      <w:r>
        <w:rPr>
          <w:rFonts w:ascii="Times New Roman" w:hAnsi="Times New Roman" w:cs="Times New Roman" w:eastAsia="Times New Roman" w:hint="default"/>
        </w:rPr>
        <w:t>8</w:t>
      </w:r>
      <w:r>
        <w:rPr/>
        <w:t>、公司于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日分别召开了第三届二十六次董事会、</w:t>
      </w:r>
      <w:r>
        <w:rPr>
          <w:rFonts w:ascii="Times New Roman" w:hAnsi="Times New Roman" w:cs="Times New Roman" w:eastAsia="Times New Roman" w:hint="default"/>
        </w:rPr>
        <w:t>2016</w:t>
      </w:r>
      <w:r>
        <w:rPr/>
        <w:t>年第八次临时股东大会，审议通 </w:t>
      </w:r>
      <w:r>
        <w:rPr>
          <w:spacing w:val="-2"/>
        </w:rPr>
        <w:t>过了公司本次资产出售暨关联交易事项相关的议案。根据本次资产出售暨关联交易安排，公司向交易对手浙江泰晟新材料科</w:t>
      </w:r>
      <w:r>
        <w:rPr>
          <w:spacing w:val="-64"/>
        </w:rPr>
        <w:t> </w:t>
      </w:r>
      <w:r>
        <w:rPr>
          <w:spacing w:val="-64"/>
        </w:rPr>
      </w:r>
      <w:r>
        <w:rPr/>
        <w:t>技有限公司（以下简称</w:t>
      </w:r>
      <w:r>
        <w:rPr>
          <w:rFonts w:ascii="Times New Roman" w:hAnsi="Times New Roman" w:cs="Times New Roman" w:eastAsia="Times New Roman" w:hint="default"/>
        </w:rPr>
        <w:t>“</w:t>
      </w:r>
      <w:r>
        <w:rPr/>
        <w:t>浙江泰晟</w:t>
      </w:r>
      <w:r>
        <w:rPr>
          <w:rFonts w:ascii="Times New Roman" w:hAnsi="Times New Roman" w:cs="Times New Roman" w:eastAsia="Times New Roman" w:hint="default"/>
        </w:rPr>
        <w:t>”</w:t>
      </w:r>
      <w:r>
        <w:rPr/>
        <w:t>）转让截至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日母公司土地使用权、房屋建筑物、设备类固定资产以及与其相 </w:t>
      </w:r>
      <w:r>
        <w:rPr>
          <w:spacing w:val="-2"/>
        </w:rPr>
        <w:t>关联的债权、债务和劳动力安置；商标权、专利权。浙江泰晟以现金的方式支付本次交易涉及的款项。（具体内容详见公司</w:t>
      </w:r>
      <w:r>
        <w:rPr>
          <w:spacing w:val="-69"/>
        </w:rPr>
        <w:t> </w:t>
      </w:r>
      <w:r>
        <w:rPr>
          <w:spacing w:val="-69"/>
        </w:rPr>
      </w:r>
      <w:r>
        <w:rPr>
          <w:rFonts w:ascii="Times New Roman" w:hAnsi="Times New Roman" w:cs="Times New Roman" w:eastAsia="Times New Roman" w:hint="default"/>
          <w:spacing w:val="-4"/>
        </w:rPr>
        <w:t>2016-197</w:t>
      </w:r>
      <w:r>
        <w:rPr>
          <w:spacing w:val="-4"/>
        </w:rPr>
        <w:t>号《关于资产出售暨关联交易的公告》）公司与交易对手方浙江泰晟按照双方于</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8</w:t>
      </w:r>
      <w:r>
        <w:rPr>
          <w:spacing w:val="-4"/>
        </w:rPr>
        <w:t>日签署的《转让协议》、</w:t>
      </w:r>
    </w:p>
    <w:p>
      <w:pPr>
        <w:pStyle w:val="BodyText"/>
        <w:spacing w:line="302" w:lineRule="auto" w:before="5"/>
        <w:ind w:right="0"/>
        <w:jc w:val="left"/>
      </w:pPr>
      <w:r>
        <w:rPr>
          <w:spacing w:val="-2"/>
        </w:rPr>
        <w:t>《注册商标转让合同》、《专利权转让合同》有关条款，进行了标的物的移交工作，截至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日，交易双方已完成</w:t>
      </w:r>
      <w:r>
        <w:rPr>
          <w:spacing w:val="-62"/>
        </w:rPr>
        <w:t> </w:t>
      </w:r>
      <w:r>
        <w:rPr>
          <w:spacing w:val="-62"/>
        </w:rPr>
      </w:r>
      <w:r>
        <w:rPr>
          <w:spacing w:val="-5"/>
        </w:rPr>
        <w:t>标的物交割手续，并于</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日签署《交割确认书》，标的物实际已转移至浙江泰晟新材料科技有限公司。公司于</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日收到交易对手浙江泰晟支付的第一次交易款人民币</w:t>
      </w:r>
      <w:r>
        <w:rPr>
          <w:rFonts w:ascii="Times New Roman" w:hAnsi="Times New Roman" w:cs="Times New Roman" w:eastAsia="Times New Roman" w:hint="default"/>
        </w:rPr>
        <w:t>15,600,000.00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日收到交易对手浙江泰晟支付的 第二次交易款</w:t>
      </w:r>
      <w:r>
        <w:rPr>
          <w:rFonts w:ascii="Times New Roman" w:hAnsi="Times New Roman" w:cs="Times New Roman" w:eastAsia="Times New Roman" w:hint="default"/>
        </w:rPr>
        <w:t>175,792,855.98</w:t>
      </w:r>
      <w:r>
        <w:rPr/>
        <w:t>元。公司又于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w:t>
      </w:r>
      <w:r>
        <w:rPr/>
        <w:t>日共收到交易对手浙江泰晟支付的交易款</w:t>
      </w:r>
      <w:r>
        <w:rPr>
          <w:rFonts w:ascii="Times New Roman" w:hAnsi="Times New Roman" w:cs="Times New Roman" w:eastAsia="Times New Roman" w:hint="default"/>
        </w:rPr>
        <w:t>183,963,727.94</w:t>
      </w:r>
      <w:r>
        <w:rPr/>
        <w:t>元， </w:t>
      </w:r>
      <w:r>
        <w:rPr>
          <w:spacing w:val="-2"/>
        </w:rPr>
        <w:t>至此已收到本次资产出售暨关联交易事项涉及的交易款项合</w:t>
      </w:r>
      <w:r>
        <w:rPr>
          <w:rFonts w:ascii="Times New Roman" w:hAnsi="Times New Roman" w:cs="Times New Roman" w:eastAsia="Times New Roman" w:hint="default"/>
          <w:spacing w:val="-2"/>
        </w:rPr>
        <w:t>375,356,583.92</w:t>
      </w:r>
      <w:r>
        <w:rPr>
          <w:spacing w:val="-2"/>
        </w:rPr>
        <w:t>元（含税），尚余</w:t>
      </w:r>
      <w:r>
        <w:rPr>
          <w:rFonts w:ascii="Times New Roman" w:hAnsi="Times New Roman" w:cs="Times New Roman" w:eastAsia="Times New Roman" w:hint="default"/>
          <w:spacing w:val="-2"/>
        </w:rPr>
        <w:t>7,500,000.00</w:t>
      </w:r>
      <w:r>
        <w:rPr>
          <w:spacing w:val="-2"/>
        </w:rPr>
        <w:t>元交易尾款未收到。</w:t>
      </w:r>
      <w:r>
        <w:rPr>
          <w:spacing w:val="-42"/>
        </w:rPr>
        <w:t> </w:t>
      </w:r>
      <w:r>
        <w:rPr>
          <w:spacing w:val="-42"/>
        </w:rPr>
      </w:r>
      <w:r>
        <w:rPr/>
        <w:t>鉴于本次交易事项涉及的大部分事项已经完成，公司尚未收到的交易尾款占本次交易金额的比例仅为</w:t>
      </w:r>
      <w:r>
        <w:rPr>
          <w:rFonts w:ascii="Times New Roman" w:hAnsi="Times New Roman" w:cs="Times New Roman" w:eastAsia="Times New Roman" w:hint="default"/>
        </w:rPr>
        <w:t>1.96%</w:t>
      </w:r>
      <w:r>
        <w:rPr/>
        <w:t>，不会对公司的 </w:t>
      </w:r>
      <w:r>
        <w:rPr>
          <w:spacing w:val="-2"/>
        </w:rPr>
        <w:t>财务状况及经营成果造成重大不利影响。下阶段公司及董事会将与交易对手按照双方签署的《转让协议》、《注册商标转让</w:t>
      </w:r>
      <w:r>
        <w:rPr>
          <w:spacing w:val="-66"/>
        </w:rPr>
        <w:t> </w:t>
      </w:r>
      <w:r>
        <w:rPr>
          <w:spacing w:val="-66"/>
        </w:rPr>
      </w:r>
      <w:r>
        <w:rPr/>
        <w:t>合同》、《专利权转让合同》协商催促交易对手尽快支付交易尾款。</w:t>
      </w:r>
    </w:p>
    <w:p>
      <w:pPr>
        <w:pStyle w:val="BodyText"/>
        <w:spacing w:line="300" w:lineRule="auto" w:before="29"/>
        <w:ind w:right="1110" w:firstLine="360"/>
        <w:jc w:val="left"/>
      </w:pPr>
      <w:r>
        <w:rPr>
          <w:rFonts w:ascii="Times New Roman" w:hAnsi="Times New Roman" w:cs="Times New Roman" w:eastAsia="Times New Roman" w:hint="default"/>
        </w:rPr>
        <w:t>9</w:t>
      </w:r>
      <w:r>
        <w:rPr/>
        <w:t>、公司于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日分别召开了第三届二十一次董事会、</w:t>
      </w:r>
      <w:r>
        <w:rPr>
          <w:rFonts w:ascii="Times New Roman" w:hAnsi="Times New Roman" w:cs="Times New Roman" w:eastAsia="Times New Roman" w:hint="default"/>
        </w:rPr>
        <w:t>2016</w:t>
      </w:r>
      <w:r>
        <w:rPr/>
        <w:t>年第五次临时股东大会，审议通过 了公司重大资产购买重组事项相关的议案，公司以现金</w:t>
      </w:r>
      <w:r>
        <w:rPr>
          <w:rFonts w:ascii="Times New Roman" w:hAnsi="Times New Roman" w:cs="Times New Roman" w:eastAsia="Times New Roman" w:hint="default"/>
        </w:rPr>
        <w:t>140,000</w:t>
      </w:r>
      <w:r>
        <w:rPr/>
        <w:t>万元的价格购买张军红持有的广东合利</w:t>
      </w:r>
      <w:r>
        <w:rPr>
          <w:rFonts w:ascii="Times New Roman" w:hAnsi="Times New Roman" w:cs="Times New Roman" w:eastAsia="Times New Roman" w:hint="default"/>
        </w:rPr>
        <w:t>90%</w:t>
      </w:r>
      <w:r>
        <w:rPr/>
        <w:t>股权。按照公司 </w:t>
      </w:r>
      <w:r>
        <w:rPr>
          <w:rFonts w:ascii="Times New Roman" w:hAnsi="Times New Roman" w:cs="Times New Roman" w:eastAsia="Times New Roman" w:hint="default"/>
        </w:rPr>
        <w:t>2016</w:t>
      </w:r>
      <w:r>
        <w:rPr/>
        <w:t>年第五次临时股东大会的授权，公司积极实施本次交易的相关工作。</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日，公司已按照《关于</w:t>
      </w:r>
      <w:r>
        <w:rPr>
          <w:rFonts w:ascii="Times New Roman" w:hAnsi="Times New Roman" w:cs="Times New Roman" w:eastAsia="Times New Roman" w:hint="default"/>
        </w:rPr>
        <w:t>&lt;</w:t>
      </w:r>
      <w:r>
        <w:rPr/>
        <w:t>公司重大资 产购买报告书（草案）</w:t>
      </w:r>
      <w:r>
        <w:rPr>
          <w:rFonts w:ascii="Times New Roman" w:hAnsi="Times New Roman" w:cs="Times New Roman" w:eastAsia="Times New Roman" w:hint="default"/>
        </w:rPr>
        <w:t>&gt;</w:t>
      </w:r>
      <w:r>
        <w:rPr/>
        <w:t>及其摘要的议案》</w:t>
      </w:r>
      <w:r>
        <w:rPr>
          <w:spacing w:val="-48"/>
        </w:rPr>
        <w:t> </w:t>
      </w:r>
      <w:r>
        <w:rPr/>
        <w:t>及相关协议给交易对手方张军红支付了第一期股权转让款人民币</w:t>
      </w:r>
      <w:r>
        <w:rPr>
          <w:rFonts w:ascii="Times New Roman" w:hAnsi="Times New Roman" w:cs="Times New Roman" w:eastAsia="Times New Roman" w:hint="default"/>
        </w:rPr>
        <w:t>10,000</w:t>
      </w:r>
      <w:r>
        <w:rPr/>
        <w:t>万元。截 </w:t>
      </w:r>
      <w:r>
        <w:rPr>
          <w:spacing w:val="-2"/>
        </w:rPr>
        <w:t>止</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日，公司已向双方共同委托的监管账户支付第二期股权转让款（扣除交易对手方相关借款后的第二期股权转</w:t>
      </w:r>
      <w:r>
        <w:rPr>
          <w:spacing w:val="-56"/>
        </w:rPr>
        <w:t> </w:t>
      </w:r>
      <w:r>
        <w:rPr>
          <w:spacing w:val="-56"/>
        </w:rPr>
      </w:r>
      <w:r>
        <w:rPr/>
        <w:t>让款）为</w:t>
      </w:r>
      <w:r>
        <w:rPr>
          <w:rFonts w:ascii="Times New Roman" w:hAnsi="Times New Roman" w:cs="Times New Roman" w:eastAsia="Times New Roman" w:hint="default"/>
        </w:rPr>
        <w:t>895,111,504.16</w:t>
      </w:r>
      <w:r>
        <w:rPr/>
        <w:t>元。截止目前，本次交易涉及的股权转让、法定代表人、执行董事、监事、高级管理人员、支付牌 </w:t>
      </w:r>
      <w:r>
        <w:rPr>
          <w:spacing w:val="-2"/>
        </w:rPr>
        <w:t>照信息等已全部完成相关的过户或变更备案手续。公司将根据当前公司实际情况与交易对手张军红协商按照本次重组报告书</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相关条款尽快履行后续的交易程序，并披露重组实施完成报告书。</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二十、公司子公司重大事项" w:id="105"/>
      <w:bookmarkEnd w:id="105"/>
      <w:r>
        <w:rPr>
          <w:b w:val="0"/>
          <w:bCs w:val="0"/>
        </w:rPr>
      </w:r>
      <w:r>
        <w:rPr/>
        <w:t>二十、公司子公司重大事项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2"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月，公司全资子公司深圳民盛大数据技术有限公司投资</w:t>
      </w:r>
      <w:r>
        <w:rPr>
          <w:rFonts w:ascii="Times New Roman" w:hAnsi="Times New Roman" w:cs="Times New Roman" w:eastAsia="Times New Roman" w:hint="default"/>
        </w:rPr>
        <w:t>600</w:t>
      </w:r>
      <w:r>
        <w:rPr/>
        <w:t>万元控股北京仁东无双信息科技有限公司，持股 比例为</w:t>
      </w:r>
      <w:r>
        <w:rPr>
          <w:rFonts w:ascii="Times New Roman" w:hAnsi="Times New Roman" w:cs="Times New Roman" w:eastAsia="Times New Roman" w:hint="default"/>
        </w:rPr>
        <w:t>60%</w:t>
      </w:r>
      <w:r>
        <w:rPr/>
        <w:t>。</w:t>
      </w:r>
    </w:p>
    <w:p>
      <w:pPr>
        <w:pStyle w:val="BodyText"/>
        <w:spacing w:line="300" w:lineRule="auto" w:before="13"/>
        <w:ind w:right="1122"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月，公司全资子公司共青城民盛金控投资管理有限公司作为战略投资</w:t>
      </w:r>
      <w:r>
        <w:rPr>
          <w:rFonts w:ascii="Times New Roman" w:hAnsi="Times New Roman" w:cs="Times New Roman" w:eastAsia="Times New Roman" w:hint="default"/>
        </w:rPr>
        <w:t>500</w:t>
      </w:r>
      <w:r>
        <w:rPr/>
        <w:t>万元参股深圳锦城长久资本管理有 限公司，持股比例为</w:t>
      </w:r>
      <w:r>
        <w:rPr>
          <w:rFonts w:ascii="Times New Roman" w:hAnsi="Times New Roman" w:cs="Times New Roman" w:eastAsia="Times New Roman" w:hint="default"/>
        </w:rPr>
        <w:t>10%</w:t>
      </w:r>
      <w:r>
        <w:rPr/>
        <w:t>。</w:t>
      </w:r>
    </w:p>
    <w:p>
      <w:pPr>
        <w:pStyle w:val="BodyText"/>
        <w:spacing w:line="240" w:lineRule="auto" w:before="13"/>
        <w:ind w:left="51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日，公司下属子公司北京柚信科技有限公司更名为北京仁东科技有限公司，注册资本由</w:t>
      </w:r>
      <w:r>
        <w:rPr>
          <w:rFonts w:ascii="Times New Roman" w:hAnsi="Times New Roman" w:cs="Times New Roman" w:eastAsia="Times New Roman" w:hint="default"/>
        </w:rPr>
        <w:t>100</w:t>
      </w:r>
      <w:r>
        <w:rPr/>
        <w:t>万元变更为</w:t>
      </w:r>
    </w:p>
    <w:p>
      <w:pPr>
        <w:pStyle w:val="BodyText"/>
        <w:spacing w:line="240" w:lineRule="auto" w:before="63"/>
        <w:ind w:right="0"/>
        <w:jc w:val="left"/>
      </w:pPr>
      <w:r>
        <w:rPr>
          <w:rFonts w:ascii="Times New Roman" w:hAnsi="Times New Roman" w:cs="Times New Roman" w:eastAsia="Times New Roman" w:hint="default"/>
        </w:rPr>
        <w:t>300</w:t>
      </w:r>
      <w:r>
        <w:rPr/>
        <w:t>万元。</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六节 股份变动及股东情况" w:id="106"/>
      <w:bookmarkEnd w:id="106"/>
      <w:r>
        <w:rPr>
          <w:b w:val="0"/>
          <w:bCs w:val="0"/>
        </w:rPr>
      </w:r>
      <w:bookmarkStart w:name="_bookmark5" w:id="107"/>
      <w:bookmarkEnd w:id="107"/>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股份变动情况" w:id="108"/>
      <w:bookmarkEnd w:id="108"/>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28"/>
        <w:gridCol w:w="823"/>
        <w:gridCol w:w="824"/>
        <w:gridCol w:w="822"/>
        <w:gridCol w:w="822"/>
        <w:gridCol w:w="822"/>
        <w:gridCol w:w="822"/>
        <w:gridCol w:w="822"/>
        <w:gridCol w:w="794"/>
        <w:gridCol w:w="794"/>
      </w:tblGrid>
      <w:tr>
        <w:trPr>
          <w:trHeight w:val="402"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28"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28"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28"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373,291,1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186,645,5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186,645,5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559,936,6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373,291,1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186,645,5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186,645,5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559,936,6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373,291,1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186,645,5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186,645,5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559,936,6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股份变动的原因</w:t>
      </w:r>
    </w:p>
    <w:p>
      <w:pPr>
        <w:pStyle w:val="BodyText"/>
        <w:spacing w:line="338" w:lineRule="auto" w:before="117"/>
        <w:ind w:left="514" w:right="11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w:t>
      </w:r>
      <w:r>
        <w:rPr>
          <w:rFonts w:ascii="Times New Roman" w:hAnsi="Times New Roman" w:cs="Times New Roman" w:eastAsia="Times New Roman" w:hint="default"/>
        </w:rPr>
        <w:t>2017</w:t>
      </w:r>
      <w:r>
        <w:rPr/>
        <w:t>年年度权益分派方案已获</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日召开的</w:t>
      </w:r>
      <w:r>
        <w:rPr>
          <w:rFonts w:ascii="Times New Roman" w:hAnsi="Times New Roman" w:cs="Times New Roman" w:eastAsia="Times New Roman" w:hint="default"/>
        </w:rPr>
        <w:t>2017</w:t>
      </w:r>
      <w:r>
        <w:rPr/>
        <w:t>年年度股东大会审议通过，</w:t>
      </w:r>
      <w:r>
        <w:rPr>
          <w:rFonts w:ascii="Times New Roman" w:hAnsi="Times New Roman" w:cs="Times New Roman" w:eastAsia="Times New Roman" w:hint="default"/>
        </w:rPr>
        <w:t>2017</w:t>
      </w:r>
      <w:r>
        <w:rPr/>
        <w:t>年年度权益分派方案为：</w:t>
      </w:r>
    </w:p>
    <w:p>
      <w:pPr>
        <w:pStyle w:val="BodyText"/>
        <w:spacing w:line="230" w:lineRule="exact"/>
        <w:ind w:right="0"/>
        <w:jc w:val="left"/>
      </w:pPr>
      <w:r>
        <w:rPr/>
        <w:t>以公司现有总股本</w:t>
      </w:r>
      <w:r>
        <w:rPr>
          <w:rFonts w:ascii="Times New Roman" w:hAnsi="Times New Roman" w:cs="Times New Roman" w:eastAsia="Times New Roman" w:hint="default"/>
        </w:rPr>
        <w:t>373,291,100</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股。分红前本公司总股本为</w:t>
      </w:r>
      <w:r>
        <w:rPr>
          <w:rFonts w:ascii="Times New Roman" w:hAnsi="Times New Roman" w:cs="Times New Roman" w:eastAsia="Times New Roman" w:hint="default"/>
        </w:rPr>
        <w:t>373,291,100</w:t>
      </w:r>
      <w:r>
        <w:rPr/>
        <w:t>股，</w:t>
      </w:r>
    </w:p>
    <w:p>
      <w:pPr>
        <w:pStyle w:val="BodyText"/>
        <w:spacing w:line="340" w:lineRule="auto" w:before="63"/>
        <w:ind w:right="8052"/>
        <w:jc w:val="left"/>
      </w:pPr>
      <w:r>
        <w:rPr/>
        <w:t>分红后总股本增至</w:t>
      </w:r>
      <w:r>
        <w:rPr>
          <w:rFonts w:ascii="Times New Roman" w:hAnsi="Times New Roman" w:cs="Times New Roman" w:eastAsia="Times New Roman" w:hint="default"/>
        </w:rPr>
        <w:t>559,936,650</w:t>
      </w:r>
      <w:r>
        <w:rPr/>
        <w:t>股。 股份变动的批准情况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2"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日召开第三届董事会第四十七次会议，审议通过《</w:t>
      </w:r>
      <w:r>
        <w:rPr>
          <w:rFonts w:ascii="Times New Roman" w:hAnsi="Times New Roman" w:cs="Times New Roman" w:eastAsia="Times New Roman" w:hint="default"/>
        </w:rPr>
        <w:t>2017</w:t>
      </w:r>
      <w:r>
        <w:rPr/>
        <w:t>年度利润分配预案》；公司</w:t>
      </w:r>
      <w:r>
        <w:rPr>
          <w:rFonts w:ascii="Times New Roman" w:hAnsi="Times New Roman" w:cs="Times New Roman" w:eastAsia="Times New Roman" w:hint="default"/>
        </w:rPr>
        <w:t>2017</w:t>
      </w:r>
      <w:r>
        <w:rPr/>
        <w:t>年年度权益分派方 案已获</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日召开的</w:t>
      </w:r>
      <w:r>
        <w:rPr>
          <w:rFonts w:ascii="Times New Roman" w:hAnsi="Times New Roman" w:cs="Times New Roman" w:eastAsia="Times New Roman" w:hint="default"/>
        </w:rPr>
        <w:t>2017</w:t>
      </w:r>
      <w:r>
        <w:rPr/>
        <w:t>年年度股东大会审议通过。</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日已实施完毕。</w:t>
      </w:r>
    </w:p>
    <w:p>
      <w:pPr>
        <w:pStyle w:val="BodyText"/>
        <w:spacing w:line="240" w:lineRule="auto" w:before="53"/>
        <w:ind w:right="0"/>
        <w:jc w:val="left"/>
      </w:pPr>
      <w:r>
        <w:rPr/>
        <w:t>股份变动的过户情况</w:t>
      </w:r>
    </w:p>
    <w:p>
      <w:pPr>
        <w:pStyle w:val="BodyText"/>
        <w:spacing w:line="338" w:lineRule="auto" w:before="117"/>
        <w:ind w:left="514" w:right="355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上述股份变动，公司已委托中国证券登记结算有限责任公司深圳分公司进行相关过户。</w:t>
      </w:r>
    </w:p>
    <w:p>
      <w:pPr>
        <w:pStyle w:val="BodyText"/>
        <w:spacing w:line="240" w:lineRule="auto" w:before="43"/>
        <w:ind w:right="0"/>
        <w:jc w:val="left"/>
      </w:pPr>
      <w:r>
        <w:rPr/>
        <w:t>股份回购的实施进展情况</w:t>
      </w:r>
    </w:p>
    <w:p>
      <w:pPr>
        <w:pStyle w:val="BodyText"/>
        <w:spacing w:line="338" w:lineRule="auto" w:before="117"/>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38" w:lineRule="auto" w:before="43"/>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19" w:lineRule="auto" w:before="42"/>
        <w:ind w:left="514" w:right="2427"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本年公司资本公积转增股本后，每股收益为</w:t>
      </w:r>
      <w:r>
        <w:rPr>
          <w:rFonts w:ascii="Times New Roman" w:hAnsi="Times New Roman" w:cs="Times New Roman" w:eastAsia="Times New Roman" w:hint="default"/>
        </w:rPr>
        <w:t>0.0946</w:t>
      </w:r>
      <w:r>
        <w:rPr/>
        <w:t>元，稀释每股收益为</w:t>
      </w:r>
      <w:r>
        <w:rPr>
          <w:rFonts w:ascii="Times New Roman" w:hAnsi="Times New Roman" w:cs="Times New Roman" w:eastAsia="Times New Roman" w:hint="default"/>
        </w:rPr>
        <w:t>0.0946</w:t>
      </w:r>
      <w:r>
        <w:rPr/>
        <w:t>元，每股净资产为</w:t>
      </w:r>
      <w:r>
        <w:rPr>
          <w:rFonts w:ascii="Times New Roman" w:hAnsi="Times New Roman" w:cs="Times New Roman" w:eastAsia="Times New Roman" w:hint="default"/>
        </w:rPr>
        <w:t>1.73</w:t>
      </w:r>
      <w:r>
        <w:rPr/>
        <w:t>元 如不进行资本公积转增股本每股收益为</w:t>
      </w:r>
      <w:r>
        <w:rPr>
          <w:rFonts w:ascii="Times New Roman" w:hAnsi="Times New Roman" w:cs="Times New Roman" w:eastAsia="Times New Roman" w:hint="default"/>
        </w:rPr>
        <w:t>0.1419</w:t>
      </w:r>
      <w:r>
        <w:rPr/>
        <w:t>元，稀释每股收益为</w:t>
      </w:r>
      <w:r>
        <w:rPr>
          <w:rFonts w:ascii="Times New Roman" w:hAnsi="Times New Roman" w:cs="Times New Roman" w:eastAsia="Times New Roman" w:hint="default"/>
        </w:rPr>
        <w:t>0.1419</w:t>
      </w:r>
      <w:r>
        <w:rPr/>
        <w:t>元，每股净资产为</w:t>
      </w:r>
      <w:r>
        <w:rPr>
          <w:rFonts w:ascii="Times New Roman" w:hAnsi="Times New Roman" w:cs="Times New Roman" w:eastAsia="Times New Roman" w:hint="default"/>
        </w:rPr>
        <w:t>2.60</w:t>
      </w:r>
      <w:r>
        <w:rPr/>
        <w:t>元</w:t>
      </w:r>
    </w:p>
    <w:p>
      <w:pPr>
        <w:pStyle w:val="BodyText"/>
        <w:spacing w:line="240" w:lineRule="auto" w:before="38"/>
        <w:ind w:right="0"/>
        <w:jc w:val="left"/>
      </w:pPr>
      <w:r>
        <w:rPr/>
        <w:t>公司认为必要或证券监管机构要求披露的其他内容</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11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w:t>
      </w:r>
      <w:r>
        <w:rPr>
          <w:rFonts w:ascii="Times New Roman" w:hAnsi="Times New Roman" w:cs="Times New Roman" w:eastAsia="Times New Roman" w:hint="default"/>
        </w:rPr>
        <w:t>2017</w:t>
      </w:r>
      <w:r>
        <w:rPr/>
        <w:t>年年度权益分派方案已获</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日召开的</w:t>
      </w:r>
      <w:r>
        <w:rPr>
          <w:rFonts w:ascii="Times New Roman" w:hAnsi="Times New Roman" w:cs="Times New Roman" w:eastAsia="Times New Roman" w:hint="default"/>
        </w:rPr>
        <w:t>2017</w:t>
      </w:r>
      <w:r>
        <w:rPr/>
        <w:t>年年度股东大会审议通过，</w:t>
      </w:r>
      <w:r>
        <w:rPr>
          <w:rFonts w:ascii="Times New Roman" w:hAnsi="Times New Roman" w:cs="Times New Roman" w:eastAsia="Times New Roman" w:hint="default"/>
        </w:rPr>
        <w:t>2017</w:t>
      </w:r>
      <w:r>
        <w:rPr/>
        <w:t>年年度权益分派方案为：</w:t>
      </w:r>
    </w:p>
    <w:p>
      <w:pPr>
        <w:pStyle w:val="BodyText"/>
        <w:spacing w:line="230" w:lineRule="exact"/>
        <w:ind w:right="0"/>
        <w:jc w:val="left"/>
      </w:pPr>
      <w:r>
        <w:rPr/>
        <w:t>以公司现有总股本</w:t>
      </w:r>
      <w:r>
        <w:rPr>
          <w:rFonts w:ascii="Times New Roman" w:hAnsi="Times New Roman" w:cs="Times New Roman" w:eastAsia="Times New Roman" w:hint="default"/>
        </w:rPr>
        <w:t>373,291,100</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股。分红前本公司总股本为</w:t>
      </w:r>
      <w:r>
        <w:rPr>
          <w:rFonts w:ascii="Times New Roman" w:hAnsi="Times New Roman" w:cs="Times New Roman" w:eastAsia="Times New Roman" w:hint="default"/>
        </w:rPr>
        <w:t>373,291,100</w:t>
      </w:r>
      <w:r>
        <w:rPr/>
        <w:t>股，</w:t>
      </w:r>
    </w:p>
    <w:p>
      <w:pPr>
        <w:pStyle w:val="BodyText"/>
        <w:spacing w:line="240" w:lineRule="auto" w:before="63"/>
        <w:ind w:right="0"/>
        <w:jc w:val="left"/>
      </w:pPr>
      <w:r>
        <w:rPr/>
        <w:t>分红后总股本增至</w:t>
      </w:r>
      <w:r>
        <w:rPr>
          <w:rFonts w:ascii="Times New Roman" w:hAnsi="Times New Roman" w:cs="Times New Roman" w:eastAsia="Times New Roman" w:hint="default"/>
        </w:rPr>
        <w:t>559,936,650</w:t>
      </w:r>
      <w:r>
        <w:rPr/>
        <w:t>股。</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6,516</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62" w:right="0"/>
              <w:jc w:val="left"/>
              <w:rPr>
                <w:rFonts w:ascii="Times New Roman" w:hAnsi="Times New Roman" w:cs="Times New Roman" w:eastAsia="Times New Roman" w:hint="default"/>
                <w:sz w:val="18"/>
                <w:szCs w:val="18"/>
              </w:rPr>
            </w:pPr>
            <w:r>
              <w:rPr>
                <w:rFonts w:ascii="Times New Roman"/>
                <w:sz w:val="18"/>
              </w:rPr>
              <w:t>8,462</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7"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9"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1"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和柚技术集团有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28.35%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158,733,8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158,733,8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97,288,819</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内蒙古仁东科技 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11.94%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66,875,36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+66,875,3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61</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66,875,36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58,000,000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陈家荣</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7.76%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43,460,23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43,460,23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42,818,824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78.85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景华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32,877,62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32,877,62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12,750,000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仁东（天津）科技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29,480,95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29,480,95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29,480,958</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阿拉山口市民众 创新股权投资有 限合伙企业</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28,197,75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-75,725,8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28,197,75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28,197,750</w:t>
                        </w: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重庆信三威投资 </w:t>
                        </w:r>
                        <w:r>
                          <w:rPr>
                            <w:rFonts w:ascii="宋体" w:hAnsi="宋体" w:cs="宋体" w:eastAsia="宋体" w:hint="default"/>
                            <w:spacing w:val="-4"/>
                            <w:sz w:val="18"/>
                            <w:szCs w:val="18"/>
                          </w:rPr>
                          <w:t>咨询中心（有限合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伙）－润泽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号私 募基金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20,101,55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20,101,55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曾锴</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15,679,28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+13,963,3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15,679,28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芜湖渝惠一号投 资中心（有限合 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11,435,55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+11,435,5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11,435,55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许涵笑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7,409,100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+7,409,10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7,409,100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3"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10" w:space="0" w:color="D2D2D2"/>
                          <w:right w:val="single" w:sz="4" w:space="0" w:color="000000"/>
                        </w:tcBorders>
                      </w:tcPr>
                      <w:p>
                        <w:pPr>
                          <w:pStyle w:val="TableParagraph"/>
                          <w:spacing w:line="309" w:lineRule="auto" w:before="51"/>
                          <w:ind w:left="15" w:right="-6"/>
                          <w:jc w:val="both"/>
                          <w:rPr>
                            <w:rFonts w:ascii="宋体" w:hAnsi="宋体" w:cs="宋体" w:eastAsia="宋体" w:hint="default"/>
                            <w:sz w:val="18"/>
                            <w:szCs w:val="18"/>
                          </w:rPr>
                        </w:pPr>
                        <w:r>
                          <w:rPr>
                            <w:rFonts w:ascii="宋体" w:hAnsi="宋体" w:cs="宋体" w:eastAsia="宋体" w:hint="default"/>
                            <w:sz w:val="18"/>
                            <w:szCs w:val="18"/>
                          </w:rPr>
                          <w:t>内蒙古仁东科技有限公司（更名前为内蒙古正东云驱科技有限公司）与仁东（天津） </w:t>
                        </w:r>
                        <w:r>
                          <w:rPr>
                            <w:rFonts w:ascii="宋体" w:hAnsi="宋体" w:cs="宋体" w:eastAsia="宋体" w:hint="default"/>
                            <w:spacing w:val="-3"/>
                            <w:sz w:val="18"/>
                            <w:szCs w:val="18"/>
                          </w:rPr>
                          <w:t>科技有限公司系一致行动人。景华先生系重庆信三威投资咨询中心（有限合伙）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润泽</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号私募基金项下份额最终享有人。景华先生及重庆信三威投资咨询中心（有限合伙</w:t>
                        </w:r>
                      </w:p>
                      <w:p>
                        <w:pPr>
                          <w:pStyle w:val="TableParagraph"/>
                          <w:spacing w:line="302" w:lineRule="auto" w:before="5"/>
                          <w:ind w:left="15" w:right="111"/>
                          <w:jc w:val="left"/>
                          <w:rPr>
                            <w:rFonts w:ascii="宋体" w:hAnsi="宋体" w:cs="宋体" w:eastAsia="宋体" w:hint="default"/>
                            <w:sz w:val="18"/>
                            <w:szCs w:val="18"/>
                          </w:rPr>
                        </w:pPr>
                        <w:r>
                          <w:rPr>
                            <w:rFonts w:ascii="宋体" w:hAnsi="宋体" w:cs="宋体" w:eastAsia="宋体" w:hint="default"/>
                            <w:sz w:val="18"/>
                            <w:szCs w:val="18"/>
                          </w:rPr>
                          <w:t>－润泽</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号私募基金名下股份表决权已委托内蒙古仁东科技有限公司行使。除此之外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公司未知其他股东是否存在关联关系或一致行动关系。</w:t>
                        </w:r>
                      </w:p>
                    </w:tc>
                  </w:tr>
                  <w:tr>
                    <w:trPr>
                      <w:trHeight w:val="704"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10" w:space="0" w:color="D2D2D2"/>
                          <w:right w:val="single" w:sz="4" w:space="0" w:color="000000"/>
                        </w:tcBorders>
                      </w:tcPr>
                      <w:p>
                        <w:pPr/>
                      </w:p>
                    </w:tc>
                  </w:tr>
                  <w:tr>
                    <w:trPr>
                      <w:trHeight w:val="473"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和柚技术集团有限公司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158,733,847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158,733,847</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内蒙古仁东科技有限公司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66,875,361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66,875,361</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陈家荣</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43,460,236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43,460,236</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景华</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32,877,624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32,877,624</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仁东（天津）科技有限公司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29,480,958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29,480,958</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阿拉山口市民众创新股权投资有限 合伙企业</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28,197,750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28,197,750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重庆信三威投资咨询中心（有限合 伙）－润泽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号私募基金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20,101,555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20,101,555</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0" w:right="1141"/>
        <w:jc w:val="right"/>
      </w:pPr>
      <w:r>
        <w:rPr/>
        <w:t>）</w:t>
      </w:r>
    </w:p>
    <w:p>
      <w:pPr>
        <w:pStyle w:val="BodyText"/>
        <w:spacing w:line="240" w:lineRule="auto" w:before="76"/>
        <w:ind w:left="0" w:right="1140"/>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before="44"/>
        <w:ind w:left="0" w:right="1141"/>
        <w:jc w:val="right"/>
      </w:pPr>
      <w:r>
        <w:rPr/>
        <w:pict>
          <v:shape style="position:absolute;margin-left:56.459999pt;margin-top:-92.368256pt;width:479.2pt;height:225.8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2"/>
                    <w:gridCol w:w="3990"/>
                    <w:gridCol w:w="1349"/>
                    <w:gridCol w:w="1348"/>
                  </w:tblGrid>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曾锴</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15,679,288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15,679,288</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芜湖渝惠一号投资中心（有限合伙）</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11,435,559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11,435,559</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许涵笑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7,409,100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7,409,100</w:t>
                        </w:r>
                      </w:p>
                    </w:tc>
                  </w:tr>
                  <w:tr>
                    <w:trPr>
                      <w:trHeight w:val="1650"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
                          <w:jc w:val="both"/>
                          <w:rPr>
                            <w:rFonts w:ascii="宋体" w:hAnsi="宋体" w:cs="宋体" w:eastAsia="宋体" w:hint="default"/>
                            <w:sz w:val="18"/>
                            <w:szCs w:val="18"/>
                          </w:rPr>
                        </w:pPr>
                        <w:r>
                          <w:rPr>
                            <w:rFonts w:ascii="宋体" w:hAnsi="宋体" w:cs="宋体" w:eastAsia="宋体" w:hint="default"/>
                            <w:sz w:val="18"/>
                            <w:szCs w:val="18"/>
                          </w:rPr>
                          <w:t>内蒙古仁东科技有限公司（更名前为内蒙古正东云驱科技有限公司）与仁东（天津） </w:t>
                        </w:r>
                        <w:r>
                          <w:rPr>
                            <w:rFonts w:ascii="宋体" w:hAnsi="宋体" w:cs="宋体" w:eastAsia="宋体" w:hint="default"/>
                            <w:spacing w:val="-3"/>
                            <w:sz w:val="18"/>
                            <w:szCs w:val="18"/>
                          </w:rPr>
                          <w:t>科技有限公司系一致行动人。景华先生系重庆信三威投资咨询中心（有限合伙）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润泽</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4"/>
                            <w:sz w:val="18"/>
                            <w:szCs w:val="18"/>
                          </w:rPr>
                          <w:t> </w:t>
                        </w:r>
                        <w:r>
                          <w:rPr>
                            <w:rFonts w:ascii="宋体" w:hAnsi="宋体" w:cs="宋体" w:eastAsia="宋体" w:hint="default"/>
                            <w:spacing w:val="-4"/>
                            <w:sz w:val="18"/>
                            <w:szCs w:val="18"/>
                          </w:rPr>
                          <w:t>号私募基金项下份额最终享有人。景华先生及重庆信三威投资咨询中心（有限合伙</w:t>
                        </w:r>
                      </w:p>
                      <w:p>
                        <w:pPr>
                          <w:pStyle w:val="TableParagraph"/>
                          <w:spacing w:line="302" w:lineRule="auto" w:before="5"/>
                          <w:ind w:left="22" w:right="111"/>
                          <w:jc w:val="left"/>
                          <w:rPr>
                            <w:rFonts w:ascii="宋体" w:hAnsi="宋体" w:cs="宋体" w:eastAsia="宋体" w:hint="default"/>
                            <w:sz w:val="18"/>
                            <w:szCs w:val="18"/>
                          </w:rPr>
                        </w:pPr>
                        <w:r>
                          <w:rPr>
                            <w:rFonts w:ascii="宋体" w:hAnsi="宋体" w:cs="宋体" w:eastAsia="宋体" w:hint="default"/>
                            <w:sz w:val="18"/>
                            <w:szCs w:val="18"/>
                          </w:rPr>
                          <w:t>－润泽</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号私募基金名下股份表决权已委托内蒙古仁东科技有限公司行使。除此之外</w:t>
                        </w:r>
                        <w:r>
                          <w:rPr>
                            <w:rFonts w:ascii="宋体" w:hAnsi="宋体" w:cs="宋体" w:eastAsia="宋体" w:hint="default"/>
                            <w:sz w:val="18"/>
                            <w:szCs w:val="18"/>
                          </w:rPr>
                          <w:t> 公司未知其他股东是否存在关联关系或一致行动关系。</w:t>
                        </w:r>
                      </w:p>
                    </w:tc>
                  </w:tr>
                  <w:tr>
                    <w:trPr>
                      <w:trHeight w:val="1650"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2" w:lineRule="auto"/>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股东和柚技术集团有限公司在普通证券账户持股数量为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97,470,340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股，在东北证券股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份有限公司客户信用交易担保证券账户持股数为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61,263,507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股，总计持股数量</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158,733,847 </w:t>
                        </w:r>
                        <w:r>
                          <w:rPr>
                            <w:rFonts w:ascii="宋体" w:hAnsi="宋体" w:cs="宋体" w:eastAsia="宋体" w:hint="default"/>
                            <w:sz w:val="18"/>
                            <w:szCs w:val="18"/>
                          </w:rPr>
                          <w:t>股，持股比例为公司总股本的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28.35%</w:t>
                        </w:r>
                        <w:r>
                          <w:rPr>
                            <w:rFonts w:ascii="宋体" w:hAnsi="宋体" w:cs="宋体" w:eastAsia="宋体" w:hint="default"/>
                            <w:sz w:val="18"/>
                            <w:szCs w:val="18"/>
                          </w:rPr>
                          <w:t>；股东景华在普通证券账户持股数</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量为</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12,750,000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股，在国泰君安证券股份有限公司客户信用交易担保证券账户持股数</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20,127,624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股，总计持股数量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32,877,624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股，持股比例为公司总股本的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5.87%</w:t>
                        </w:r>
                        <w:r>
                          <w:rPr>
                            <w:rFonts w:ascii="宋体" w:hAnsi="宋体" w:cs="宋体" w:eastAsia="宋体" w:hint="default"/>
                            <w:sz w:val="18"/>
                            <w:szCs w:val="18"/>
                          </w:rPr>
                          <w:t>。</w:t>
                        </w:r>
                      </w:p>
                    </w:tc>
                  </w:tr>
                </w:tbl>
                <w:p>
                  <w:pPr/>
                </w:p>
              </w:txbxContent>
            </v:textbox>
            <w10:wrap type="none"/>
          </v:shape>
        </w:pict>
      </w:r>
      <w:r>
        <w:rPr/>
        <w:t>）</w:t>
      </w:r>
    </w:p>
    <w:p>
      <w:pPr>
        <w:pStyle w:val="BodyText"/>
        <w:spacing w:line="240" w:lineRule="auto" w:before="76"/>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2"/>
        <w:jc w:val="left"/>
      </w:pPr>
      <w:r>
        <w:rPr/>
        <w:t>控股股东性质：自然人控股 控股股东类型：法人</w:t>
      </w:r>
    </w:p>
    <w:tbl>
      <w:tblPr>
        <w:tblW w:w="0" w:type="auto"/>
        <w:jc w:val="left"/>
        <w:tblInd w:w="121" w:type="dxa"/>
        <w:tblLayout w:type="fixed"/>
        <w:tblCellMar>
          <w:top w:w="0" w:type="dxa"/>
          <w:left w:w="0" w:type="dxa"/>
          <w:bottom w:w="0" w:type="dxa"/>
          <w:right w:w="0" w:type="dxa"/>
        </w:tblCellMar>
        <w:tblLook w:val="01E0"/>
      </w:tblPr>
      <w:tblGrid>
        <w:gridCol w:w="1035"/>
        <w:gridCol w:w="511"/>
        <w:gridCol w:w="601"/>
        <w:gridCol w:w="1941"/>
        <w:gridCol w:w="5607"/>
      </w:tblGrid>
      <w:tr>
        <w:trPr>
          <w:trHeight w:val="1650" w:hRule="exact"/>
        </w:trPr>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22" w:right="60" w:hanging="360"/>
              <w:jc w:val="left"/>
              <w:rPr>
                <w:rFonts w:ascii="宋体" w:hAnsi="宋体" w:cs="宋体" w:eastAsia="宋体" w:hint="default"/>
                <w:sz w:val="18"/>
                <w:szCs w:val="18"/>
              </w:rPr>
            </w:pPr>
            <w:r>
              <w:rPr>
                <w:rFonts w:ascii="宋体" w:hAnsi="宋体" w:cs="宋体" w:eastAsia="宋体" w:hint="default"/>
                <w:sz w:val="18"/>
                <w:szCs w:val="18"/>
              </w:rPr>
              <w:t>控股股东名 称</w:t>
            </w:r>
          </w:p>
        </w:tc>
        <w:tc>
          <w:tcPr>
            <w:tcW w:w="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4" w:right="44" w:firstLine="25"/>
              <w:jc w:val="both"/>
              <w:rPr>
                <w:rFonts w:ascii="宋体" w:hAnsi="宋体" w:cs="宋体" w:eastAsia="宋体" w:hint="default"/>
                <w:sz w:val="18"/>
                <w:szCs w:val="18"/>
              </w:rPr>
            </w:pPr>
            <w:r>
              <w:rPr>
                <w:rFonts w:ascii="宋体" w:hAnsi="宋体" w:cs="宋体" w:eastAsia="宋体" w:hint="default"/>
                <w:sz w:val="18"/>
                <w:szCs w:val="18"/>
              </w:rPr>
              <w:t>法定 代表 人</w:t>
            </w:r>
            <w:r>
              <w:rPr>
                <w:rFonts w:ascii="Times New Roman" w:hAnsi="Times New Roman" w:cs="Times New Roman" w:eastAsia="Times New Roman" w:hint="default"/>
                <w:sz w:val="18"/>
                <w:szCs w:val="18"/>
              </w:rPr>
              <w:t>/</w:t>
            </w:r>
            <w:r>
              <w:rPr>
                <w:rFonts w:ascii="宋体" w:hAnsi="宋体" w:cs="宋体" w:eastAsia="宋体" w:hint="default"/>
                <w:sz w:val="18"/>
                <w:szCs w:val="18"/>
              </w:rPr>
              <w:t>单 位负 责人</w:t>
            </w:r>
          </w:p>
        </w:tc>
        <w:tc>
          <w:tcPr>
            <w:tcW w:w="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05" w:right="24" w:hanging="180"/>
              <w:jc w:val="left"/>
              <w:rPr>
                <w:rFonts w:ascii="宋体" w:hAnsi="宋体" w:cs="宋体" w:eastAsia="宋体" w:hint="default"/>
                <w:sz w:val="18"/>
                <w:szCs w:val="18"/>
              </w:rPr>
            </w:pPr>
            <w:r>
              <w:rPr>
                <w:rFonts w:ascii="宋体" w:hAnsi="宋体" w:cs="宋体" w:eastAsia="宋体" w:hint="default"/>
                <w:sz w:val="18"/>
                <w:szCs w:val="18"/>
              </w:rPr>
              <w:t>成立日 期</w:t>
            </w:r>
          </w:p>
        </w:tc>
        <w:tc>
          <w:tcPr>
            <w:tcW w:w="1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5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274"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00"/>
              <w:jc w:val="both"/>
              <w:rPr>
                <w:rFonts w:ascii="宋体" w:hAnsi="宋体" w:cs="宋体" w:eastAsia="宋体" w:hint="default"/>
                <w:sz w:val="18"/>
                <w:szCs w:val="18"/>
              </w:rPr>
            </w:pPr>
            <w:r>
              <w:rPr>
                <w:rFonts w:ascii="宋体" w:hAnsi="宋体" w:cs="宋体" w:eastAsia="宋体" w:hint="default"/>
                <w:sz w:val="18"/>
                <w:szCs w:val="18"/>
              </w:rPr>
              <w:t>内蒙古仁东 科技有限公 司</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霍东</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91152921MA0NRBT85U</w:t>
            </w:r>
          </w:p>
        </w:tc>
        <w:tc>
          <w:tcPr>
            <w:tcW w:w="560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人才咨询</w:t>
            </w:r>
            <w:r>
              <w:rPr>
                <w:rFonts w:ascii="Times New Roman" w:hAnsi="Times New Roman" w:cs="Times New Roman" w:eastAsia="Times New Roman" w:hint="default"/>
                <w:sz w:val="18"/>
                <w:szCs w:val="18"/>
              </w:rPr>
              <w:t>;</w:t>
            </w:r>
            <w:r>
              <w:rPr>
                <w:rFonts w:ascii="宋体" w:hAnsi="宋体" w:cs="宋体" w:eastAsia="宋体" w:hint="default"/>
                <w:sz w:val="18"/>
                <w:szCs w:val="18"/>
              </w:rPr>
              <w:t>云计算、人工智能、物联网、区块链的技术研发应用及推广</w:t>
            </w:r>
            <w:r>
              <w:rPr>
                <w:rFonts w:ascii="Times New Roman" w:hAnsi="Times New Roman" w:cs="Times New Roman" w:eastAsia="Times New Roman" w:hint="default"/>
                <w:sz w:val="18"/>
                <w:szCs w:val="18"/>
              </w:rPr>
              <w:t>; </w:t>
            </w:r>
            <w:r>
              <w:rPr>
                <w:rFonts w:ascii="宋体" w:hAnsi="宋体" w:cs="宋体" w:eastAsia="宋体" w:hint="default"/>
                <w:sz w:val="18"/>
                <w:szCs w:val="18"/>
              </w:rPr>
              <w:t>货物贸易及商务咨询</w:t>
            </w:r>
            <w:r>
              <w:rPr>
                <w:rFonts w:ascii="Times New Roman" w:hAnsi="Times New Roman" w:cs="Times New Roman" w:eastAsia="Times New Roman" w:hint="default"/>
                <w:sz w:val="18"/>
                <w:szCs w:val="18"/>
              </w:rPr>
              <w:t>;</w:t>
            </w:r>
            <w:r>
              <w:rPr>
                <w:rFonts w:ascii="宋体" w:hAnsi="宋体" w:cs="宋体" w:eastAsia="宋体" w:hint="default"/>
                <w:sz w:val="18"/>
                <w:szCs w:val="18"/>
              </w:rPr>
              <w:t>货运代理</w:t>
            </w:r>
            <w:r>
              <w:rPr>
                <w:rFonts w:ascii="Times New Roman" w:hAnsi="Times New Roman" w:cs="Times New Roman" w:eastAsia="Times New Roman" w:hint="default"/>
                <w:sz w:val="18"/>
                <w:szCs w:val="18"/>
              </w:rPr>
              <w:t>;</w:t>
            </w:r>
            <w:r>
              <w:rPr>
                <w:rFonts w:ascii="宋体" w:hAnsi="宋体" w:cs="宋体" w:eastAsia="宋体" w:hint="default"/>
                <w:sz w:val="18"/>
                <w:szCs w:val="18"/>
              </w:rPr>
              <w:t>煤炭、钢材、有色金属材料及制品、建 </w:t>
            </w:r>
            <w:r>
              <w:rPr>
                <w:rFonts w:ascii="宋体" w:hAnsi="宋体" w:cs="宋体" w:eastAsia="宋体" w:hint="default"/>
                <w:spacing w:val="-1"/>
                <w:sz w:val="18"/>
                <w:szCs w:val="18"/>
              </w:rPr>
              <w:t>筑材料、农产品、矿产品、通讯设备、机械设备、润滑油、五金、塑料</w:t>
            </w:r>
            <w:r>
              <w:rPr>
                <w:rFonts w:ascii="宋体" w:hAnsi="宋体" w:cs="宋体" w:eastAsia="宋体" w:hint="default"/>
                <w:sz w:val="18"/>
                <w:szCs w:val="18"/>
              </w:rPr>
              <w:t> </w:t>
            </w:r>
            <w:r>
              <w:rPr>
                <w:rFonts w:ascii="宋体" w:hAnsi="宋体" w:cs="宋体" w:eastAsia="宋体" w:hint="default"/>
                <w:spacing w:val="-3"/>
                <w:sz w:val="18"/>
                <w:szCs w:val="18"/>
              </w:rPr>
              <w:t>制品、皮革、电缆、电线、电机、消防制品、预包装食品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凭相关许可经</w:t>
            </w:r>
            <w:r>
              <w:rPr>
                <w:rFonts w:ascii="宋体" w:hAnsi="宋体" w:cs="宋体" w:eastAsia="宋体" w:hint="default"/>
                <w:spacing w:val="-86"/>
                <w:sz w:val="18"/>
                <w:szCs w:val="18"/>
              </w:rPr>
              <w:t> </w:t>
            </w:r>
            <w:r>
              <w:rPr>
                <w:rFonts w:ascii="宋体" w:hAnsi="宋体" w:cs="宋体" w:eastAsia="宋体" w:hint="default"/>
                <w:sz w:val="18"/>
                <w:szCs w:val="18"/>
              </w:rPr>
              <w:t>营</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、计算机芯片的销售</w:t>
            </w:r>
            <w:r>
              <w:rPr>
                <w:rFonts w:ascii="Times New Roman" w:hAnsi="Times New Roman" w:cs="Times New Roman" w:eastAsia="Times New Roman" w:hint="default"/>
                <w:sz w:val="18"/>
                <w:szCs w:val="18"/>
              </w:rPr>
              <w:t>;</w:t>
            </w:r>
            <w:r>
              <w:rPr>
                <w:rFonts w:ascii="宋体" w:hAnsi="宋体" w:cs="宋体" w:eastAsia="宋体" w:hint="default"/>
                <w:sz w:val="18"/>
                <w:szCs w:val="18"/>
              </w:rPr>
              <w:t>仓储</w:t>
            </w:r>
            <w:r>
              <w:rPr>
                <w:rFonts w:ascii="Times New Roman" w:hAnsi="Times New Roman" w:cs="Times New Roman" w:eastAsia="Times New Roman" w:hint="default"/>
                <w:sz w:val="18"/>
                <w:szCs w:val="18"/>
              </w:rPr>
              <w:t>(</w:t>
            </w:r>
            <w:r>
              <w:rPr>
                <w:rFonts w:ascii="宋体" w:hAnsi="宋体" w:cs="宋体" w:eastAsia="宋体" w:hint="default"/>
                <w:sz w:val="18"/>
                <w:szCs w:val="18"/>
              </w:rPr>
              <w:t>不含危险化学品</w:t>
            </w:r>
            <w:r>
              <w:rPr>
                <w:rFonts w:ascii="Times New Roman" w:hAnsi="Times New Roman" w:cs="Times New Roman" w:eastAsia="Times New Roman" w:hint="default"/>
                <w:sz w:val="18"/>
                <w:szCs w:val="18"/>
              </w:rPr>
              <w:t>);</w:t>
            </w:r>
            <w:r>
              <w:rPr>
                <w:rFonts w:ascii="宋体" w:hAnsi="宋体" w:cs="宋体" w:eastAsia="宋体" w:hint="default"/>
                <w:sz w:val="18"/>
                <w:szCs w:val="18"/>
              </w:rPr>
              <w:t>节能环保技术的开发</w:t>
            </w:r>
            <w:r>
              <w:rPr>
                <w:rFonts w:ascii="Times New Roman" w:hAnsi="Times New Roman" w:cs="Times New Roman" w:eastAsia="Times New Roman" w:hint="default"/>
                <w:sz w:val="18"/>
                <w:szCs w:val="18"/>
              </w:rPr>
              <w:t>;</w:t>
            </w:r>
            <w:r>
              <w:rPr>
                <w:rFonts w:ascii="宋体" w:hAnsi="宋体" w:cs="宋体" w:eastAsia="宋体" w:hint="default"/>
                <w:sz w:val="18"/>
                <w:szCs w:val="18"/>
              </w:rPr>
              <w:t>节 能环保产品设备的制造、销售、安装及维护</w:t>
            </w:r>
            <w:r>
              <w:rPr>
                <w:rFonts w:ascii="Times New Roman" w:hAnsi="Times New Roman" w:cs="Times New Roman" w:eastAsia="Times New Roman" w:hint="default"/>
                <w:sz w:val="18"/>
                <w:szCs w:val="18"/>
              </w:rPr>
              <w:t>;</w:t>
            </w:r>
            <w:r>
              <w:rPr>
                <w:rFonts w:ascii="宋体" w:hAnsi="宋体" w:cs="宋体" w:eastAsia="宋体" w:hint="default"/>
                <w:sz w:val="18"/>
                <w:szCs w:val="18"/>
              </w:rPr>
              <w:t>合同能源管理</w:t>
            </w:r>
            <w:r>
              <w:rPr>
                <w:rFonts w:ascii="Times New Roman" w:hAnsi="Times New Roman" w:cs="Times New Roman" w:eastAsia="Times New Roman" w:hint="default"/>
                <w:sz w:val="18"/>
                <w:szCs w:val="18"/>
              </w:rPr>
              <w:t>;</w:t>
            </w:r>
            <w:r>
              <w:rPr>
                <w:rFonts w:ascii="宋体" w:hAnsi="宋体" w:cs="宋体" w:eastAsia="宋体" w:hint="default"/>
                <w:sz w:val="18"/>
                <w:szCs w:val="18"/>
              </w:rPr>
              <w:t>电机系统节 能改造</w:t>
            </w:r>
            <w:r>
              <w:rPr>
                <w:rFonts w:ascii="Times New Roman" w:hAnsi="Times New Roman" w:cs="Times New Roman" w:eastAsia="Times New Roman" w:hint="default"/>
                <w:sz w:val="18"/>
                <w:szCs w:val="18"/>
              </w:rPr>
              <w:t>;</w:t>
            </w:r>
            <w:r>
              <w:rPr>
                <w:rFonts w:ascii="宋体" w:hAnsi="宋体" w:cs="宋体" w:eastAsia="宋体" w:hint="default"/>
                <w:sz w:val="18"/>
                <w:szCs w:val="18"/>
              </w:rPr>
              <w:t>节能设备</w:t>
            </w:r>
          </w:p>
        </w:tc>
      </w:tr>
      <w:tr>
        <w:trPr>
          <w:trHeight w:val="1962" w:hRule="exact"/>
        </w:trPr>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0"/>
              <w:jc w:val="both"/>
              <w:rPr>
                <w:rFonts w:ascii="宋体" w:hAnsi="宋体" w:cs="宋体" w:eastAsia="宋体" w:hint="default"/>
                <w:sz w:val="18"/>
                <w:szCs w:val="18"/>
              </w:rPr>
            </w:pPr>
            <w:r>
              <w:rPr>
                <w:rFonts w:ascii="宋体" w:hAnsi="宋体" w:cs="宋体" w:eastAsia="宋体" w:hint="default"/>
                <w:sz w:val="18"/>
                <w:szCs w:val="18"/>
              </w:rPr>
              <w:t>控股股东报 告期内控股 和参股的其 他境内外上 市公司的股 权情况</w:t>
            </w:r>
          </w:p>
        </w:tc>
        <w:tc>
          <w:tcPr>
            <w:tcW w:w="86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控股股东报告期内变更</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内蒙古仁东科技有限公司（变更名称前为内蒙古正东云驱科 技有限公司）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公司实际控制人及其一致行动人" w:id="118"/>
      <w:bookmarkEnd w:id="118"/>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霍东</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硕士学位，新加坡国立大学 </w:t>
            </w:r>
            <w:r>
              <w:rPr>
                <w:rFonts w:ascii="Times New Roman" w:hAnsi="Times New Roman" w:cs="Times New Roman" w:eastAsia="Times New Roman" w:hint="default"/>
                <w:spacing w:val="-3"/>
                <w:sz w:val="18"/>
                <w:szCs w:val="18"/>
              </w:rPr>
              <w:t>EMBA</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2010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年，就职于中国庆华能源集团有限公 </w:t>
            </w:r>
            <w:r>
              <w:rPr>
                <w:rFonts w:ascii="宋体" w:hAnsi="宋体" w:cs="宋体" w:eastAsia="宋体" w:hint="default"/>
                <w:spacing w:val="-3"/>
                <w:sz w:val="18"/>
                <w:szCs w:val="18"/>
              </w:rPr>
              <w:t>司，历任青海庆华矿冶煤化集团、新疆庆华能源集团、中国庆华能源集团有限公司等公司高</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级管理人员。</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月创办仁东集团，担任董事长兼总经理，同时兼任仁东天津监事， 仁东科技执行董事兼经理。</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月至今，任公司董事长。霍东先生为中国青年企业家 协会会员，中国民族贸易促进会理事。曾获得</w:t>
            </w:r>
            <w:r>
              <w:rPr>
                <w:rFonts w:ascii="Times New Roman" w:hAnsi="Times New Roman" w:cs="Times New Roman" w:eastAsia="Times New Roman" w:hint="default"/>
                <w:sz w:val="18"/>
                <w:szCs w:val="18"/>
              </w:rPr>
              <w:t>“</w:t>
            </w:r>
            <w:r>
              <w:rPr>
                <w:rFonts w:ascii="宋体" w:hAnsi="宋体" w:cs="宋体" w:eastAsia="宋体" w:hint="default"/>
                <w:sz w:val="18"/>
                <w:szCs w:val="18"/>
              </w:rPr>
              <w:t>中国妇女儿童慈善奖</w:t>
            </w:r>
            <w:r>
              <w:rPr>
                <w:rFonts w:ascii="Times New Roman" w:hAnsi="Times New Roman" w:cs="Times New Roman" w:eastAsia="Times New Roman" w:hint="default"/>
                <w:sz w:val="18"/>
                <w:szCs w:val="18"/>
              </w:rPr>
              <w:t>”</w:t>
            </w:r>
            <w:r>
              <w:rPr>
                <w:rFonts w:ascii="宋体" w:hAnsi="宋体" w:cs="宋体" w:eastAsia="宋体" w:hint="default"/>
                <w:sz w:val="18"/>
                <w:szCs w:val="18"/>
              </w:rPr>
              <w:t>等荣誉。</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实际控制人报告期内变更</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霍东</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公司与实际控制人之间的产权及控制关系的方框图</w:t>
      </w:r>
    </w:p>
    <w:p>
      <w:pPr>
        <w:spacing w:after="0" w:line="240" w:lineRule="auto"/>
        <w:jc w:val="left"/>
        <w:sectPr>
          <w:pgSz w:w="11910" w:h="16840"/>
          <w:pgMar w:header="747" w:footer="979" w:top="1060" w:bottom="1160" w:left="980" w:right="0"/>
        </w:sectPr>
      </w:pPr>
    </w:p>
    <w:p>
      <w:pPr>
        <w:spacing w:line="240" w:lineRule="auto" w:before="3"/>
        <w:rPr>
          <w:rFonts w:ascii="宋体" w:hAnsi="宋体" w:cs="宋体" w:eastAsia="宋体" w:hint="default"/>
          <w:sz w:val="29"/>
          <w:szCs w:val="29"/>
        </w:rPr>
      </w:pPr>
    </w:p>
    <w:p>
      <w:pPr>
        <w:spacing w:line="4035" w:lineRule="exact"/>
        <w:ind w:left="1358"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591685" cy="256222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5" cstate="print"/>
                    <a:stretch>
                      <a:fillRect/>
                    </a:stretch>
                  </pic:blipFill>
                  <pic:spPr>
                    <a:xfrm>
                      <a:off x="0" y="0"/>
                      <a:ext cx="4591685" cy="2562225"/>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1"/>
        <w:rPr>
          <w:rFonts w:ascii="宋体" w:hAnsi="宋体" w:cs="宋体" w:eastAsia="宋体" w:hint="default"/>
          <w:sz w:val="25"/>
          <w:szCs w:val="25"/>
        </w:rPr>
      </w:pPr>
    </w:p>
    <w:p>
      <w:pPr>
        <w:spacing w:before="11"/>
        <w:ind w:left="154"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30"/>
          <w:szCs w:val="3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before="44"/>
        <w:ind w:left="0" w:right="1139"/>
        <w:jc w:val="right"/>
      </w:pPr>
      <w:r>
        <w:rPr/>
        <w:pict>
          <v:shape style="position:absolute;margin-left:56.459999pt;margin-top:-145.708282pt;width:479.2pt;height:212.3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79"/>
                    <w:gridCol w:w="1817"/>
                    <w:gridCol w:w="1411"/>
                    <w:gridCol w:w="1637"/>
                    <w:gridCol w:w="2124"/>
                  </w:tblGrid>
                  <w:tr>
                    <w:trPr>
                      <w:trHeight w:val="714"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43"/>
                          <w:jc w:val="righ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12" w:right="69"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3522"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744"/>
                          <w:jc w:val="right"/>
                          <w:rPr>
                            <w:rFonts w:ascii="宋体" w:hAnsi="宋体" w:cs="宋体" w:eastAsia="宋体" w:hint="default"/>
                            <w:sz w:val="18"/>
                            <w:szCs w:val="18"/>
                          </w:rPr>
                        </w:pPr>
                        <w:r>
                          <w:rPr>
                            <w:rFonts w:ascii="宋体" w:hAnsi="宋体" w:cs="宋体" w:eastAsia="宋体" w:hint="default"/>
                            <w:sz w:val="18"/>
                            <w:szCs w:val="18"/>
                          </w:rPr>
                          <w:t>和柚技术集团有限公司</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郝江波</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91120116340879218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9</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技术推广服务业；自营和 代理货物及技术的进出 口；计算机科技及软件、 电子产品的销售；人工智 能技术、自动化技术的研 发、应用及服务；企业管 理咨询；经济贸易咨询； 市场调研服务；通讯工程 </w:t>
                        </w:r>
                        <w:r>
                          <w:rPr>
                            <w:rFonts w:ascii="宋体" w:hAnsi="宋体" w:cs="宋体" w:eastAsia="宋体" w:hint="default"/>
                            <w:spacing w:val="-8"/>
                            <w:sz w:val="18"/>
                            <w:szCs w:val="18"/>
                          </w:rPr>
                          <w:t>资产管理。（依法须经批准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的项目，经相关部门批准 后方可开展经营活动）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4"/>
        <w:spacing w:line="240" w:lineRule="auto" w:before="35"/>
        <w:ind w:right="0"/>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21"/>
      <w:bookmarkEnd w:id="121"/>
      <w:r>
        <w:rPr>
          <w:b w:val="0"/>
          <w:bCs w:val="0"/>
        </w:rPr>
      </w:r>
      <w:bookmarkStart w:name="_bookmark6" w:id="122"/>
      <w:bookmarkEnd w:id="122"/>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3"/>
      <w:bookmarkEnd w:id="123"/>
      <w:r>
        <w:rPr>
          <w:b w:val="0"/>
          <w:bCs w:val="0"/>
        </w:rPr>
      </w:r>
      <w:bookmarkStart w:name="_bookmark7" w:id="124"/>
      <w:bookmarkEnd w:id="124"/>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霍东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王石山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副董事 长、总经 理、财务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刘长勇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章凯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孟湫云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狄瑞鹏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康晓岳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柴晓丽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杜辉强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崔朕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刘春阳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吴波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常务副总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闫伟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董事、总 经理、财 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丁云林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周海滨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任荣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陈美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田铮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胡正清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曾凡跃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冯瑞丽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胡德明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田超斌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宣坚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right="0"/>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44"/>
        <w:ind w:left="0" w:right="1139"/>
        <w:jc w:val="right"/>
      </w:pPr>
      <w:r>
        <w:rPr/>
        <w:pict>
          <v:shape style="position:absolute;margin-left:56.459999pt;margin-top:-123.538254pt;width:479.2pt;height:460.1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王石山</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35"/>
                          <w:jc w:val="left"/>
                          <w:rPr>
                            <w:rFonts w:ascii="宋体" w:hAnsi="宋体" w:cs="宋体" w:eastAsia="宋体" w:hint="default"/>
                            <w:sz w:val="18"/>
                            <w:szCs w:val="18"/>
                          </w:rPr>
                        </w:pPr>
                        <w:r>
                          <w:rPr>
                            <w:rFonts w:ascii="宋体" w:hAnsi="宋体" w:cs="宋体" w:eastAsia="宋体" w:hint="default"/>
                            <w:sz w:val="18"/>
                            <w:szCs w:val="18"/>
                          </w:rPr>
                          <w:t>副董事长、总经 理、财务总监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2"/>
                          <w:jc w:val="left"/>
                          <w:rPr>
                            <w:rFonts w:ascii="宋体" w:hAnsi="宋体" w:cs="宋体" w:eastAsia="宋体" w:hint="default"/>
                            <w:sz w:val="18"/>
                            <w:szCs w:val="18"/>
                          </w:rPr>
                        </w:pPr>
                        <w:r>
                          <w:rPr>
                            <w:rFonts w:ascii="宋体" w:hAnsi="宋体" w:cs="宋体" w:eastAsia="宋体" w:hint="default"/>
                            <w:sz w:val="18"/>
                            <w:szCs w:val="18"/>
                          </w:rPr>
                          <w:t>鉴于闫伟先生辞去公司总经理、财务总监职务，董事 会决议聘任王石山先生担任公司总经理、财务总监</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章凯</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3"/>
                          <w:jc w:val="both"/>
                          <w:rPr>
                            <w:rFonts w:ascii="宋体" w:hAnsi="宋体" w:cs="宋体" w:eastAsia="宋体" w:hint="default"/>
                            <w:sz w:val="18"/>
                            <w:szCs w:val="18"/>
                          </w:rPr>
                        </w:pPr>
                        <w:r>
                          <w:rPr>
                            <w:rFonts w:ascii="宋体" w:hAnsi="宋体" w:cs="宋体" w:eastAsia="宋体" w:hint="default"/>
                            <w:sz w:val="18"/>
                            <w:szCs w:val="18"/>
                          </w:rPr>
                          <w:t>鉴于闫伟先生辞去公司董事职务，公司董事会决定补 </w:t>
                        </w:r>
                        <w:r>
                          <w:rPr>
                            <w:rFonts w:ascii="宋体" w:hAnsi="宋体" w:cs="宋体" w:eastAsia="宋体" w:hint="default"/>
                            <w:spacing w:val="-3"/>
                            <w:sz w:val="18"/>
                            <w:szCs w:val="18"/>
                          </w:rPr>
                          <w:t>选章凯先生为公司董事候选人，并经公司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年第一 次临时股东大会审议通过</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闫伟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4" w:right="35"/>
                          <w:jc w:val="left"/>
                          <w:rPr>
                            <w:rFonts w:ascii="宋体" w:hAnsi="宋体" w:cs="宋体" w:eastAsia="宋体" w:hint="default"/>
                            <w:sz w:val="18"/>
                            <w:szCs w:val="18"/>
                          </w:rPr>
                        </w:pPr>
                        <w:r>
                          <w:rPr>
                            <w:rFonts w:ascii="宋体" w:hAnsi="宋体" w:cs="宋体" w:eastAsia="宋体" w:hint="default"/>
                            <w:sz w:val="18"/>
                            <w:szCs w:val="18"/>
                          </w:rPr>
                          <w:t>董事、总经理、 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72"/>
                          <w:jc w:val="both"/>
                          <w:rPr>
                            <w:rFonts w:ascii="宋体" w:hAnsi="宋体" w:cs="宋体" w:eastAsia="宋体" w:hint="default"/>
                            <w:sz w:val="18"/>
                            <w:szCs w:val="18"/>
                          </w:rPr>
                        </w:pPr>
                        <w:r>
                          <w:rPr>
                            <w:rFonts w:ascii="宋体" w:hAnsi="宋体" w:cs="宋体" w:eastAsia="宋体" w:hint="default"/>
                            <w:sz w:val="18"/>
                            <w:szCs w:val="18"/>
                          </w:rPr>
                          <w:t>由于工作调整原因，闫伟先生申请辞去公司董事、总 </w:t>
                        </w:r>
                        <w:r>
                          <w:rPr>
                            <w:rFonts w:ascii="宋体" w:hAnsi="宋体" w:cs="宋体" w:eastAsia="宋体" w:hint="default"/>
                            <w:spacing w:val="-2"/>
                            <w:sz w:val="18"/>
                            <w:szCs w:val="18"/>
                          </w:rPr>
                          <w:t>经理、财务总监职务，辞去上述职务后仍在公司任职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担任公司总裁职务</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35"/>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2"/>
                          <w:jc w:val="both"/>
                          <w:rPr>
                            <w:rFonts w:ascii="宋体" w:hAnsi="宋体" w:cs="宋体" w:eastAsia="宋体" w:hint="default"/>
                            <w:sz w:val="18"/>
                            <w:szCs w:val="18"/>
                          </w:rPr>
                        </w:pPr>
                        <w:r>
                          <w:rPr>
                            <w:rFonts w:ascii="宋体" w:hAnsi="宋体" w:cs="宋体" w:eastAsia="宋体" w:hint="default"/>
                            <w:sz w:val="18"/>
                            <w:szCs w:val="18"/>
                          </w:rPr>
                          <w:t>由于工作调整原因，杨凯先生申请辞去公司董事会秘 书、副总经理职务，辞去上述职务后仍在公司任职， 担任公司副总裁职务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丁云林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周海滨</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任荣</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田铮</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胡正清</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曾凡跃</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2"/>
                          <w:jc w:val="left"/>
                          <w:rPr>
                            <w:rFonts w:ascii="宋体" w:hAnsi="宋体" w:cs="宋体" w:eastAsia="宋体" w:hint="default"/>
                            <w:sz w:val="18"/>
                            <w:szCs w:val="18"/>
                          </w:rPr>
                        </w:pPr>
                        <w:r>
                          <w:rPr>
                            <w:rFonts w:ascii="宋体" w:hAnsi="宋体" w:cs="宋体" w:eastAsia="宋体" w:hint="default"/>
                            <w:sz w:val="18"/>
                            <w:szCs w:val="18"/>
                          </w:rPr>
                          <w:t>由于个人原因，曾凡跃先生申请辞去公司独立董事职 务</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冯瑞丽</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胡德明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田超斌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宣坚</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bl>
    <w:p>
      <w:pPr>
        <w:spacing w:line="240" w:lineRule="auto" w:before="2"/>
        <w:rPr>
          <w:rFonts w:ascii="宋体" w:hAnsi="宋体" w:cs="宋体" w:eastAsia="宋体" w:hint="default"/>
          <w:sz w:val="18"/>
          <w:szCs w:val="18"/>
        </w:rPr>
      </w:pPr>
    </w:p>
    <w:p>
      <w:pPr>
        <w:pStyle w:val="Heading3"/>
        <w:spacing w:line="240" w:lineRule="auto" w:before="26"/>
        <w:ind w:right="0"/>
        <w:jc w:val="both"/>
        <w:rPr>
          <w:b w:val="0"/>
          <w:bCs w:val="0"/>
        </w:rPr>
      </w:pPr>
      <w:bookmarkStart w:name="三、任职情况" w:id="127"/>
      <w:bookmarkEnd w:id="127"/>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4" w:right="0" w:hanging="360"/>
        <w:jc w:val="left"/>
      </w:pPr>
      <w:r>
        <w:rPr/>
        <w:t>公司现任董事、监事、高级管理人员专业背景、主要工作经历以及目前在公司的主要职责 </w:t>
      </w:r>
      <w:r>
        <w:rPr>
          <w:spacing w:val="-2"/>
        </w:rPr>
        <w:t>霍东，硕士学位，新加坡国立大学</w:t>
      </w:r>
      <w:r>
        <w:rPr>
          <w:rFonts w:ascii="Times New Roman" w:hAnsi="Times New Roman" w:cs="Times New Roman" w:eastAsia="Times New Roman" w:hint="default"/>
          <w:spacing w:val="-2"/>
        </w:rPr>
        <w:t>EMBA</w:t>
      </w:r>
      <w:r>
        <w:rPr>
          <w:spacing w:val="-2"/>
        </w:rPr>
        <w:t>。</w:t>
      </w:r>
      <w:r>
        <w:rPr>
          <w:rFonts w:ascii="Times New Roman" w:hAnsi="Times New Roman" w:cs="Times New Roman" w:eastAsia="Times New Roman" w:hint="default"/>
          <w:spacing w:val="-2"/>
        </w:rPr>
        <w:t>2010</w:t>
      </w:r>
      <w:r>
        <w:rPr>
          <w:spacing w:val="-2"/>
        </w:rPr>
        <w:t>年至</w:t>
      </w:r>
      <w:r>
        <w:rPr>
          <w:rFonts w:ascii="Times New Roman" w:hAnsi="Times New Roman" w:cs="Times New Roman" w:eastAsia="Times New Roman" w:hint="default"/>
          <w:spacing w:val="-2"/>
        </w:rPr>
        <w:t>2017</w:t>
      </w:r>
      <w:r>
        <w:rPr>
          <w:spacing w:val="-2"/>
        </w:rPr>
        <w:t>年，就职于中国庆华能源集团有限公司，历任青海庆华矿冶煤</w:t>
      </w:r>
    </w:p>
    <w:p>
      <w:pPr>
        <w:pStyle w:val="BodyText"/>
        <w:spacing w:line="214" w:lineRule="exact"/>
        <w:ind w:right="0"/>
        <w:jc w:val="both"/>
      </w:pPr>
      <w:r>
        <w:rPr/>
        <w:t>化集团、新疆庆华能源集团、中国庆华能源集团有限公司等公司高级管理人员。</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月创办仁东集团，担任董事长兼总</w:t>
      </w:r>
    </w:p>
    <w:p>
      <w:pPr>
        <w:pStyle w:val="BodyText"/>
        <w:spacing w:line="316" w:lineRule="auto" w:before="63"/>
        <w:ind w:right="1133"/>
        <w:jc w:val="both"/>
      </w:pPr>
      <w:r>
        <w:rPr>
          <w:spacing w:val="-2"/>
        </w:rPr>
        <w:t>经理，同时兼任天津仁东监事，仁东科技执行董事兼经理。现任公司董事长。霍东先生为中国青年企业家协会会员，中国民</w:t>
      </w:r>
      <w:r>
        <w:rPr>
          <w:spacing w:val="-66"/>
        </w:rPr>
        <w:t> </w:t>
      </w:r>
      <w:r>
        <w:rPr>
          <w:spacing w:val="-66"/>
        </w:rPr>
      </w:r>
      <w:r>
        <w:rPr/>
        <w:t>族贸易促进会理事。曾获得</w:t>
      </w:r>
      <w:r>
        <w:rPr>
          <w:rFonts w:ascii="Times New Roman" w:hAnsi="Times New Roman" w:cs="Times New Roman" w:eastAsia="Times New Roman" w:hint="default"/>
        </w:rPr>
        <w:t>“</w:t>
      </w:r>
      <w:r>
        <w:rPr/>
        <w:t>中国妇女儿童慈善奖</w:t>
      </w:r>
      <w:r>
        <w:rPr>
          <w:rFonts w:ascii="Times New Roman" w:hAnsi="Times New Roman" w:cs="Times New Roman" w:eastAsia="Times New Roman" w:hint="default"/>
        </w:rPr>
        <w:t>”</w:t>
      </w:r>
      <w:r>
        <w:rPr/>
        <w:t>等荣誉。</w:t>
      </w:r>
    </w:p>
    <w:p>
      <w:pPr>
        <w:pStyle w:val="BodyText"/>
        <w:spacing w:line="316" w:lineRule="auto"/>
        <w:ind w:left="514" w:right="0"/>
        <w:jc w:val="left"/>
      </w:pPr>
      <w:r>
        <w:rPr/>
        <w:t>赵佳，本科学历。历任中金玉盈（北京）资产管理有限公司副总经理等。现任公司董事。 </w:t>
      </w:r>
      <w:r>
        <w:rPr>
          <w:spacing w:val="-2"/>
        </w:rPr>
        <w:t>王石山，硕士学历，教授级高级经济师。历任南车投资租赁有限公司总经理、南车投资租赁有限公司执行董事、天津南</w:t>
      </w:r>
    </w:p>
    <w:p>
      <w:pPr>
        <w:pStyle w:val="BodyText"/>
        <w:spacing w:line="316" w:lineRule="auto" w:before="19"/>
        <w:ind w:right="1133"/>
        <w:jc w:val="both"/>
      </w:pPr>
      <w:r>
        <w:rPr>
          <w:spacing w:val="-2"/>
        </w:rPr>
        <w:t>车投资租赁有限公司执行董事、南车天津融资租赁有限公司执行董事、上海中车融资租赁有限公司执行董事、中车投资租赁</w:t>
      </w:r>
      <w:r>
        <w:rPr>
          <w:spacing w:val="-66"/>
        </w:rPr>
        <w:t> </w:t>
      </w:r>
      <w:r>
        <w:rPr>
          <w:spacing w:val="-66"/>
        </w:rPr>
      </w:r>
      <w:r>
        <w:rPr>
          <w:spacing w:val="-2"/>
        </w:rPr>
        <w:t>有限公司董事长、中车金融租赁有限公司董事长（筹备）等。现任公司副董事长、总经理、财务总监，民盛租赁有限公司董</w:t>
      </w:r>
      <w:r>
        <w:rPr>
          <w:spacing w:val="-72"/>
        </w:rPr>
        <w:t> </w:t>
      </w:r>
      <w:r>
        <w:rPr>
          <w:spacing w:val="-72"/>
        </w:rPr>
      </w:r>
      <w:r>
        <w:rPr/>
        <w:t>事长、总经理。</w:t>
      </w:r>
    </w:p>
    <w:p>
      <w:pPr>
        <w:pStyle w:val="BodyText"/>
        <w:spacing w:line="316" w:lineRule="auto" w:before="19"/>
        <w:ind w:right="1129" w:firstLine="360"/>
        <w:jc w:val="both"/>
      </w:pPr>
      <w:r>
        <w:rPr>
          <w:spacing w:val="-2"/>
        </w:rPr>
        <w:t>刘长勇，对外经济贸易大学国际法专业，硕士学历。历任北京市中伦律师事务所律师、正东致远（天津）实业有限公司</w:t>
      </w:r>
      <w:r>
        <w:rPr/>
        <w:t> </w:t>
      </w:r>
      <w:r>
        <w:rPr>
          <w:spacing w:val="-2"/>
        </w:rPr>
        <w:t>副总经理等。现任公司董事、副总经理。浙江仁东新材料科技有限公司经理、共青城民盛金控投资管理有限公司经理、深圳</w:t>
      </w:r>
      <w:r>
        <w:rPr>
          <w:spacing w:val="-66"/>
        </w:rPr>
        <w:t> </w:t>
      </w:r>
      <w:r>
        <w:rPr>
          <w:spacing w:val="-66"/>
        </w:rPr>
      </w:r>
      <w:r>
        <w:rPr/>
        <w:t>前海民盛天宫供应链管理有限公司执行董事兼经理、北京仁东科技有限公司执行董事兼经理。</w:t>
      </w:r>
    </w:p>
    <w:p>
      <w:pPr>
        <w:pStyle w:val="BodyText"/>
        <w:spacing w:line="309" w:lineRule="auto" w:before="19"/>
        <w:ind w:right="0" w:firstLine="360"/>
        <w:jc w:val="left"/>
      </w:pPr>
      <w:r>
        <w:rPr>
          <w:spacing w:val="-2"/>
        </w:rPr>
        <w:t>章凯，毕业于中国青年政治学院网络技术与软件工程专业和清华大学经管学院工商管理专业，硕士学历。曾任职北京沐</w:t>
      </w:r>
      <w:r>
        <w:rPr/>
        <w:t> </w:t>
      </w:r>
      <w:r>
        <w:rPr>
          <w:spacing w:val="-2"/>
        </w:rPr>
        <w:t>泽电脑科技发展公司技术经理，上海新娱动数码科技有限公司商务经理，</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月任职易宝支付有限公司副总裁。</w:t>
      </w:r>
      <w:r>
        <w:rPr>
          <w:spacing w:val="-53"/>
        </w:rPr>
        <w:t> </w:t>
      </w:r>
      <w:r>
        <w:rPr/>
        <w:t>现任公司董事、副总经理。</w:t>
      </w:r>
    </w:p>
    <w:p>
      <w:pPr>
        <w:pStyle w:val="BodyText"/>
        <w:spacing w:line="316" w:lineRule="auto" w:before="24"/>
        <w:ind w:left="514" w:right="0"/>
        <w:jc w:val="left"/>
      </w:pPr>
      <w:r>
        <w:rPr/>
        <w:t>孟湫云，吉林农业大学财务管理专业，本科。历任于中金玉盈（北京）资产管理有限公司财务部等，现任公司董事。 </w:t>
      </w:r>
      <w:r>
        <w:rPr>
          <w:spacing w:val="-2"/>
        </w:rPr>
        <w:t>狄瑞鹏，北京大学国际经济学硕士，美国新奥尔良大学金融经济学博士（财务管理方向）。历任清华大学金融系助理教</w:t>
      </w:r>
    </w:p>
    <w:p>
      <w:pPr>
        <w:pStyle w:val="BodyText"/>
        <w:spacing w:line="300" w:lineRule="auto" w:before="19"/>
        <w:ind w:right="1194"/>
        <w:jc w:val="both"/>
      </w:pPr>
      <w:r>
        <w:rPr/>
        <w:t>授、清华大学</w:t>
      </w:r>
      <w:r>
        <w:rPr>
          <w:rFonts w:ascii="Times New Roman" w:hAnsi="Times New Roman" w:cs="Times New Roman" w:eastAsia="Times New Roman" w:hint="default"/>
        </w:rPr>
        <w:t>EMBA </w:t>
      </w:r>
      <w:r>
        <w:rPr/>
        <w:t>项目副主任、清华大学经管学院助理院长，</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rFonts w:ascii="Times New Roman" w:hAnsi="Times New Roman" w:cs="Times New Roman" w:eastAsia="Times New Roman" w:hint="default"/>
        </w:rPr>
        <w:t>1</w:t>
      </w:r>
      <w:r>
        <w:rPr/>
        <w:t>月至今任清华大学经济管理学院全球高管课程项 目主任。现任公司独立董事。</w:t>
      </w:r>
    </w:p>
    <w:p>
      <w:pPr>
        <w:pStyle w:val="BodyText"/>
        <w:spacing w:line="316" w:lineRule="auto" w:before="31"/>
        <w:ind w:right="0" w:firstLine="360"/>
        <w:jc w:val="left"/>
      </w:pPr>
      <w:r>
        <w:rPr>
          <w:spacing w:val="-2"/>
        </w:rPr>
        <w:t>康晓岳，北京大学法律专业，本科学历，持有律师资格证书。曾先后任职于江西省司法厅科员、深圳法制报社记者等职</w:t>
      </w:r>
      <w:r>
        <w:rPr/>
        <w:t> 务，现任公司独立董事。</w:t>
      </w:r>
    </w:p>
    <w:p>
      <w:pPr>
        <w:pStyle w:val="BodyText"/>
        <w:spacing w:line="316" w:lineRule="auto" w:before="19"/>
        <w:ind w:right="1032" w:firstLine="360"/>
        <w:jc w:val="left"/>
      </w:pPr>
      <w:r>
        <w:rPr/>
        <w:t>柴晓丽，西安科技大学企业管理专业，硕士学历，中级会计师、注册税务师，持有证券从业资格、基金从业资格证书。 曾任职于瑞华会计师事务所、中睿资本管理有限公司、中融国际信托有限公司、丰汇租赁有限公司，现任公司独立董事。</w:t>
      </w:r>
    </w:p>
    <w:p>
      <w:pPr>
        <w:pStyle w:val="BodyText"/>
        <w:spacing w:line="316" w:lineRule="auto" w:before="19"/>
        <w:ind w:right="0" w:firstLine="360"/>
        <w:jc w:val="left"/>
      </w:pPr>
      <w:r>
        <w:rPr>
          <w:spacing w:val="-2"/>
        </w:rPr>
        <w:t>杜辉强，内蒙古财经学院人力资源管理专业，本科学历。曾任职于易宝支付股份有限公司，现任合利宝支付科技有限公</w:t>
      </w:r>
      <w:r>
        <w:rPr/>
        <w:t> 司副总经理、公司监事会主席。</w:t>
      </w:r>
    </w:p>
    <w:p>
      <w:pPr>
        <w:pStyle w:val="BodyText"/>
        <w:spacing w:line="316" w:lineRule="auto" w:before="19"/>
        <w:ind w:right="0" w:firstLine="360"/>
        <w:jc w:val="left"/>
      </w:pPr>
      <w:r>
        <w:rPr>
          <w:spacing w:val="-4"/>
        </w:rPr>
        <w:t>刘春阳，武汉大学财务管理及理财学专业，本科学历。历任紫光集团有限公司财务经理、财务高级经理、财务副总经理。</w:t>
      </w:r>
      <w:r>
        <w:rPr/>
        <w:t> 现任公司监事。</w:t>
      </w:r>
    </w:p>
    <w:p>
      <w:pPr>
        <w:pStyle w:val="BodyText"/>
        <w:spacing w:line="316" w:lineRule="auto" w:before="19"/>
        <w:ind w:right="0" w:firstLine="360"/>
        <w:jc w:val="left"/>
      </w:pPr>
      <w:r>
        <w:rPr>
          <w:spacing w:val="-2"/>
        </w:rPr>
        <w:t>崔朕，中国矿业大学工商管理专业，本科学历。历任职于中国建设银行北京分行和总行、星展银行企业银行部、渣打银</w:t>
      </w:r>
      <w:r>
        <w:rPr/>
        <w:t> 行商业客户部、开滦国际融资租赁有限公司。现任公司融资部总经理、公司监事。</w:t>
      </w:r>
    </w:p>
    <w:p>
      <w:pPr>
        <w:pStyle w:val="BodyText"/>
        <w:spacing w:line="316" w:lineRule="auto" w:before="19"/>
        <w:ind w:right="1032" w:firstLine="360"/>
        <w:jc w:val="left"/>
      </w:pPr>
      <w:r>
        <w:rPr/>
        <w:t>吴波，硕士学历。历任国电保险经纪（北京）有限公司总经理、国电资本控股有限公司战略发展（保险业务）部经理、 </w:t>
      </w:r>
      <w:r>
        <w:rPr>
          <w:spacing w:val="-4"/>
        </w:rPr>
        <w:t>国电融资租赁有限公司总经理、国电资本控股有限公司总经理助理、国电农银致远投资（天津）合伙企业（有限合伙）高管。</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60" w:lineRule="auto" w:before="44"/>
        <w:ind w:right="8772"/>
        <w:jc w:val="left"/>
      </w:pPr>
      <w:r>
        <w:rPr/>
        <w:t>现任公司常务副总经理。 在股东单位任职情况</w:t>
      </w:r>
    </w:p>
    <w:p>
      <w:pPr>
        <w:pStyle w:val="BodyText"/>
        <w:spacing w:line="240" w:lineRule="auto" w:before="2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霍东</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仁东（天津）科技发展集团有限公司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董事长、总经</w:t>
            </w:r>
            <w:r>
              <w:rPr>
                <w:rFonts w:ascii="宋体" w:hAnsi="宋体" w:cs="宋体" w:eastAsia="宋体" w:hint="default"/>
                <w:sz w:val="18"/>
                <w:szCs w:val="18"/>
              </w:rPr>
              <w:t> 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霍东</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内蒙古仁东科技有限公司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执行董事、经</w:t>
            </w:r>
            <w:r>
              <w:rPr>
                <w:rFonts w:ascii="宋体" w:hAnsi="宋体" w:cs="宋体" w:eastAsia="宋体" w:hint="default"/>
                <w:sz w:val="18"/>
                <w:szCs w:val="18"/>
              </w:rPr>
              <w:t> 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霍东</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仁东（天津）科技有限公司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霍东</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北京仁东实业有限公司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执行董事、经</w:t>
            </w:r>
            <w:r>
              <w:rPr>
                <w:rFonts w:ascii="宋体" w:hAnsi="宋体" w:cs="宋体" w:eastAsia="宋体" w:hint="default"/>
                <w:sz w:val="18"/>
                <w:szCs w:val="18"/>
              </w:rPr>
              <w:t> 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霍东</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仁东（天津）科技发展集团有限公司北京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分公司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赵佳</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仁东（天津）科技发展集团有限公司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副董事长、常</w:t>
            </w:r>
            <w:r>
              <w:rPr>
                <w:rFonts w:ascii="宋体" w:hAnsi="宋体" w:cs="宋体" w:eastAsia="宋体" w:hint="default"/>
                <w:sz w:val="18"/>
                <w:szCs w:val="18"/>
              </w:rPr>
              <w:t> 务副总经理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刘长勇</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仁东（天津）科技发展集团有限公司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孟湫云</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仁东（天津）科技发展集团有限公司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财务经理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孟湫云</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仁东区块链有限公司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执行董事、经</w:t>
            </w:r>
            <w:r>
              <w:rPr>
                <w:rFonts w:ascii="宋体" w:hAnsi="宋体" w:cs="宋体" w:eastAsia="宋体" w:hint="default"/>
                <w:sz w:val="18"/>
                <w:szCs w:val="18"/>
              </w:rPr>
              <w:t> 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孟湫云</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上海骆印贸易有限公司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执行董事、经</w:t>
            </w:r>
            <w:r>
              <w:rPr>
                <w:rFonts w:ascii="宋体" w:hAnsi="宋体" w:cs="宋体" w:eastAsia="宋体" w:hint="default"/>
                <w:sz w:val="18"/>
                <w:szCs w:val="18"/>
              </w:rPr>
              <w:t> 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孟湫云</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宁波财东贸易有限公司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执行董事、经</w:t>
            </w:r>
            <w:r>
              <w:rPr>
                <w:rFonts w:ascii="宋体" w:hAnsi="宋体" w:cs="宋体" w:eastAsia="宋体" w:hint="default"/>
                <w:sz w:val="18"/>
                <w:szCs w:val="18"/>
              </w:rPr>
              <w:t> 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孟湫云</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京晋日盛（北京）科技发展有限公司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执行董事、经</w:t>
            </w:r>
            <w:r>
              <w:rPr>
                <w:rFonts w:ascii="宋体" w:hAnsi="宋体" w:cs="宋体" w:eastAsia="宋体" w:hint="default"/>
                <w:sz w:val="18"/>
                <w:szCs w:val="18"/>
              </w:rPr>
              <w:t> 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孟湫云</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北京天下大成科技发展有限公司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执行董事、经</w:t>
            </w:r>
            <w:r>
              <w:rPr>
                <w:rFonts w:ascii="宋体" w:hAnsi="宋体" w:cs="宋体" w:eastAsia="宋体" w:hint="default"/>
                <w:sz w:val="18"/>
                <w:szCs w:val="18"/>
              </w:rPr>
              <w:t> 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东佳置业（北京）有限公司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章凯</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北京市音乐舞蹈学校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康晓岳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广东万乘律师事务所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康晓岳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广州海鸥卫浴用品股份有限公司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柴晓丽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北京万维汇通科技有限公司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狄瑞鹏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清华大学经济管理学院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全球高管课 程项目主任</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狄瑞鹏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青海华鼎实业股份有限公司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狄瑞鹏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深圳市远望谷信息技术股份有限公司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狄瑞鹏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上海证大房地产有限公司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狄瑞鹏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江南模塑科技股份有限公司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刘春阳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呈东致远（北京）资产管理有限公司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2" w:lineRule="auto" w:before="101"/>
        <w:ind w:right="1131"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22</w:t>
      </w:r>
      <w:r>
        <w:rPr>
          <w:spacing w:val="-2"/>
        </w:rPr>
        <w:t>日，中国证券监督管理委员会浙江监管局出具行政监管措施决定书《关于对闫伟采取认定为不适当人选措</w:t>
      </w:r>
      <w:r>
        <w:rPr/>
        <w:t> </w:t>
      </w:r>
      <w:r>
        <w:rPr>
          <w:spacing w:val="-2"/>
        </w:rPr>
        <w:t>施的决定》、《关于对仁东控股股份有限公司及相关人员采取出具警示函措施的决定》，认定闫伟为不适当人选，在收到决</w:t>
      </w:r>
      <w:r>
        <w:rPr>
          <w:spacing w:val="-69"/>
        </w:rPr>
        <w:t> </w:t>
      </w:r>
      <w:r>
        <w:rPr>
          <w:spacing w:val="-69"/>
        </w:rPr>
      </w:r>
      <w:r>
        <w:rPr>
          <w:spacing w:val="-2"/>
        </w:rPr>
        <w:t>定书之日起一年内，不得担任上市公司的董事、监事和高级管理人员等职务或者实际履行上述职务。对杨凯予以警示并记入</w:t>
      </w:r>
      <w:r>
        <w:rPr>
          <w:spacing w:val="-66"/>
        </w:rPr>
        <w:t> </w:t>
      </w:r>
      <w:r>
        <w:rPr>
          <w:spacing w:val="-66"/>
        </w:rPr>
      </w:r>
      <w:r>
        <w:rPr/>
        <w:t>证券期货诚信档案。</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9" w:lineRule="auto" w:before="115"/>
        <w:ind w:right="1132" w:firstLine="360"/>
        <w:jc w:val="both"/>
      </w:pPr>
      <w:r>
        <w:rPr>
          <w:rFonts w:ascii="Times New Roman" w:hAnsi="Times New Roman" w:cs="Times New Roman" w:eastAsia="Times New Roman" w:hint="default"/>
        </w:rPr>
        <w:t>1</w:t>
      </w:r>
      <w:r>
        <w:rPr/>
        <w:t>、董事、监事、高级管理人员报酬的决策程序：董事、监事的薪酬与津贴由公司董事会薪酬与考核委员会制订方案， </w:t>
      </w:r>
      <w:r>
        <w:rPr>
          <w:spacing w:val="-2"/>
        </w:rPr>
        <w:t>董事会审议通过并报股东大会批准后执行。高级管理人员报酬由公司董事会薪酬与考核委员会制订方案，董事会审议通过后</w:t>
      </w:r>
      <w:r>
        <w:rPr>
          <w:spacing w:val="-64"/>
        </w:rPr>
        <w:t> </w:t>
      </w:r>
      <w:r>
        <w:rPr>
          <w:spacing w:val="-64"/>
        </w:rPr>
      </w:r>
      <w:r>
        <w:rPr/>
        <w:t>执行。其中独立董事根据公司《独立董事津贴制度》领取相应津贴。</w:t>
      </w:r>
    </w:p>
    <w:p>
      <w:pPr>
        <w:pStyle w:val="BodyText"/>
        <w:spacing w:line="300" w:lineRule="auto" w:before="24"/>
        <w:ind w:right="1140" w:firstLine="360"/>
        <w:jc w:val="both"/>
      </w:pPr>
      <w:r>
        <w:rPr>
          <w:rFonts w:ascii="Times New Roman" w:hAnsi="Times New Roman" w:cs="Times New Roman" w:eastAsia="Times New Roman" w:hint="default"/>
        </w:rPr>
        <w:t>2</w:t>
      </w:r>
      <w:r>
        <w:rPr/>
        <w:t>、董事、监事、高级管理人员报酬确定依据：公司制定的《薪酬与考核委员会工作细则》、《董事、监事及高级管理 人员薪酬管理办法》等内部规定。</w:t>
      </w:r>
    </w:p>
    <w:p>
      <w:pPr>
        <w:pStyle w:val="BodyText"/>
        <w:spacing w:line="309" w:lineRule="auto" w:before="31"/>
        <w:ind w:right="1131" w:firstLine="360"/>
        <w:jc w:val="both"/>
      </w:pPr>
      <w:r>
        <w:rPr>
          <w:rFonts w:ascii="Times New Roman" w:hAnsi="Times New Roman" w:cs="Times New Roman" w:eastAsia="Times New Roman" w:hint="default"/>
        </w:rPr>
        <w:t>3</w:t>
      </w:r>
      <w:r>
        <w:rPr/>
        <w:t>、董事、监事和高级管理人员报酬的实际支付情况：高级管理人员按董事会核定的标准按月发放基本薪酬；独立董事 </w:t>
      </w:r>
      <w:r>
        <w:rPr>
          <w:spacing w:val="-2"/>
        </w:rPr>
        <w:t>津贴按月发放津贴；公司监事报酬根据公司内部考核制度发放；在公司担任非独立董事、监事，同时又在其他单位任职高级</w:t>
      </w:r>
      <w:r>
        <w:rPr>
          <w:spacing w:val="-66"/>
        </w:rPr>
        <w:t> </w:t>
      </w:r>
      <w:r>
        <w:rPr>
          <w:spacing w:val="-66"/>
        </w:rPr>
      </w:r>
      <w:r>
        <w:rPr/>
        <w:t>管理人员的，公司不支付报酬。</w:t>
      </w:r>
    </w:p>
    <w:p>
      <w:pPr>
        <w:pStyle w:val="BodyText"/>
        <w:spacing w:line="240" w:lineRule="auto" w:before="65"/>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霍东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王石山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副董事长、总经 理、财务总监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刘长勇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孟湫云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狄瑞鹏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康晓岳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柴晓丽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杜辉强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刘春阳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董事、总经理、 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丁云林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周海滨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胡正清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曾凡跃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冯瑞丽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胡德明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田超斌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562.02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五、公司员工情况" w:id="129"/>
      <w:bookmarkEnd w:id="129"/>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211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032" w:firstLine="360"/>
        <w:jc w:val="left"/>
      </w:pPr>
      <w:r>
        <w:rPr>
          <w:spacing w:val="-2"/>
        </w:rPr>
        <w:t>公司根据《中华人民共和国劳动合同法》和国家及地方其他有关劳动法律、法规的规定，结合公司自身的实际情况，采</w:t>
      </w:r>
      <w:r>
        <w:rPr/>
        <w:t> 取按劳分配为主，效率优先兼顾公平，员工工资增长与公司经营发展和效益提高相适应的薪酬制度。公司实行劳动合同制， </w:t>
      </w:r>
      <w:r>
        <w:rPr>
          <w:spacing w:val="-4"/>
        </w:rPr>
        <w:t>与所有员工签订劳动合同，并按照国家规定为员工缴纳医疗保险、养老保险、失业保险、工伤保险、生育保险及住房公积金。</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公司根据企业管理和日常经营业务的实际需要，制定员工培训计划，通过内部培训、参加外部培训、联合培养等多种方</w:t>
      </w:r>
      <w:r>
        <w:rPr/>
        <w:t> </w:t>
      </w:r>
      <w:r>
        <w:rPr>
          <w:spacing w:val="-4"/>
        </w:rPr>
        <w:t>式开展后续职业培训，加强员工对公司规范运作的合规意识，改善员工的知识结构、专业结构，提升员工的业务素质和技能。</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73"/>
        <w:jc w:val="center"/>
        <w:rPr>
          <w:b w:val="0"/>
          <w:bCs w:val="0"/>
        </w:rPr>
      </w:pPr>
      <w:bookmarkStart w:name="第九节 公司治理" w:id="134"/>
      <w:bookmarkEnd w:id="134"/>
      <w:r>
        <w:rPr>
          <w:b w:val="0"/>
          <w:bCs w:val="0"/>
        </w:rPr>
      </w:r>
      <w:bookmarkStart w:name="_bookmark8" w:id="135"/>
      <w:bookmarkEnd w:id="135"/>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4" w:right="0"/>
        <w:jc w:val="left"/>
      </w:pPr>
      <w:r>
        <w:rPr/>
        <w:t>报告期内，公司按照现代企业制度要求，进一步优化公司治理结构，规范三会运作。 </w:t>
      </w:r>
      <w:r>
        <w:rPr>
          <w:spacing w:val="-2"/>
        </w:rPr>
        <w:t>报告期内，公司董事会不断完善公司法人治理结构，健全内部控制体系，在公司控股股东及实际控制人发生变更时调整</w:t>
      </w:r>
    </w:p>
    <w:p>
      <w:pPr>
        <w:pStyle w:val="BodyText"/>
        <w:spacing w:line="316" w:lineRule="auto" w:before="19"/>
        <w:ind w:right="1032"/>
        <w:jc w:val="left"/>
      </w:pPr>
      <w:r>
        <w:rPr>
          <w:spacing w:val="-2"/>
        </w:rPr>
        <w:t>了董事会、监事会的成员组成，充分发挥独立董事的职能和监事会的监督作用，约束实际控制人的决策和经营行为。公司经</w:t>
      </w:r>
      <w:r>
        <w:rPr>
          <w:spacing w:val="-66"/>
        </w:rPr>
        <w:t> </w:t>
      </w:r>
      <w:r>
        <w:rPr>
          <w:spacing w:val="-66"/>
        </w:rPr>
      </w:r>
      <w:r>
        <w:rPr/>
        <w:t>营层、相关部门进一步完善了资金管理制度、重大合同管理制度、采购等内控制度，规范资金及合同审核流程及审批权限； </w:t>
      </w:r>
      <w:r>
        <w:rPr>
          <w:spacing w:val="-2"/>
        </w:rPr>
        <w:t>落实防范控股股东及关联方资金占用管理制度、关联交易管理制度、信息披露管理制度、重大信息内部报告制度、大股东定</w:t>
      </w:r>
      <w:r>
        <w:rPr>
          <w:spacing w:val="-66"/>
        </w:rPr>
        <w:t> </w:t>
      </w:r>
      <w:r>
        <w:rPr>
          <w:spacing w:val="-66"/>
        </w:rPr>
      </w:r>
      <w:r>
        <w:rPr>
          <w:spacing w:val="-2"/>
        </w:rPr>
        <w:t>期沟通机制等相关制度的执行力度；切实保护投资者利益，自觉履行信息披露义务，做好投资者关系管理，提升企业规范运</w:t>
      </w:r>
      <w:r>
        <w:rPr>
          <w:spacing w:val="-66"/>
        </w:rPr>
        <w:t> </w:t>
      </w:r>
      <w:r>
        <w:rPr>
          <w:spacing w:val="-66"/>
        </w:rPr>
      </w:r>
      <w:r>
        <w:rPr>
          <w:spacing w:val="-2"/>
        </w:rPr>
        <w:t>作水平。加强对内部审计部门的建设，对内部控制管理制度进行整理，强化资金管理力度，完善资金使用管理制度，规范审</w:t>
      </w:r>
      <w:r>
        <w:rPr>
          <w:spacing w:val="-66"/>
        </w:rPr>
        <w:t> </w:t>
      </w:r>
      <w:r>
        <w:rPr>
          <w:spacing w:val="-66"/>
        </w:rPr>
      </w:r>
      <w:r>
        <w:rPr>
          <w:spacing w:val="-2"/>
        </w:rPr>
        <w:t>批流程。同时，公司董事会办公室组织新任董事、监事、高级管理人员学习相关证券法律法规及公司内控制度，提高对上市</w:t>
      </w:r>
      <w:r>
        <w:rPr>
          <w:spacing w:val="-65"/>
        </w:rPr>
        <w:t> </w:t>
      </w:r>
      <w:r>
        <w:rPr>
          <w:spacing w:val="-65"/>
        </w:rPr>
      </w:r>
      <w:r>
        <w:rPr>
          <w:spacing w:val="-2"/>
        </w:rPr>
        <w:t>公司独立性、关联交易、资金占用、对外担保、对外投资等重要事项的认识，提升遵章守法的意识，建立和完善重大信息内</w:t>
      </w:r>
      <w:r>
        <w:rPr>
          <w:spacing w:val="-68"/>
        </w:rPr>
        <w:t> </w:t>
      </w:r>
      <w:r>
        <w:rPr>
          <w:spacing w:val="-68"/>
        </w:rPr>
      </w:r>
      <w:r>
        <w:rPr/>
        <w:t>部报告制度，确保公司经营管理规范运作。</w:t>
      </w:r>
    </w:p>
    <w:p>
      <w:pPr>
        <w:pStyle w:val="BodyText"/>
        <w:spacing w:line="316" w:lineRule="auto" w:before="19"/>
        <w:ind w:left="514" w:right="1122"/>
        <w:jc w:val="left"/>
      </w:pPr>
      <w:r>
        <w:rPr/>
        <w:t>（一）关于股东和股东大会 报告期内，公司严格遵守法律法规，规范地召集、召开了</w:t>
      </w:r>
      <w:r>
        <w:rPr>
          <w:rFonts w:ascii="Times New Roman" w:hAnsi="Times New Roman" w:cs="Times New Roman" w:eastAsia="Times New Roman" w:hint="default"/>
        </w:rPr>
        <w:t>7</w:t>
      </w:r>
      <w:r>
        <w:rPr/>
        <w:t>次股东大会。历次股东大会的召集、召开程序、出席股东大</w:t>
      </w:r>
    </w:p>
    <w:p>
      <w:pPr>
        <w:pStyle w:val="BodyText"/>
        <w:spacing w:line="316" w:lineRule="auto"/>
        <w:ind w:right="1131"/>
        <w:jc w:val="both"/>
      </w:pPr>
      <w:r>
        <w:rPr>
          <w:spacing w:val="-2"/>
        </w:rPr>
        <w:t>会的人员资格及股东大会的表决程序均符合《公司法》、《证券法》、《深圳证券交易所股票上市规则》、《深圳证券交易</w:t>
      </w:r>
      <w:r>
        <w:rPr>
          <w:spacing w:val="-67"/>
        </w:rPr>
        <w:t> </w:t>
      </w:r>
      <w:r>
        <w:rPr>
          <w:spacing w:val="-67"/>
        </w:rPr>
      </w:r>
      <w:r>
        <w:rPr>
          <w:spacing w:val="-2"/>
        </w:rPr>
        <w:t>所中小企业板上市公司规范运作指引》、《公司章程》、《股东大会议事规则》及其他法律法规的规定，能够确保全体股东</w:t>
      </w:r>
      <w:r>
        <w:rPr>
          <w:spacing w:val="-67"/>
        </w:rPr>
        <w:t> </w:t>
      </w:r>
      <w:r>
        <w:rPr>
          <w:spacing w:val="-67"/>
        </w:rPr>
      </w:r>
      <w:r>
        <w:rPr>
          <w:spacing w:val="-2"/>
        </w:rPr>
        <w:t>尤其是中小股东享有平等地位，充分行使自己的权利。报告期内召开的股东大会均由董事会召集召开，并邀请见证律师进行</w:t>
      </w:r>
      <w:r>
        <w:rPr>
          <w:spacing w:val="-66"/>
        </w:rPr>
        <w:t> </w:t>
      </w:r>
      <w:r>
        <w:rPr>
          <w:spacing w:val="-66"/>
        </w:rPr>
      </w:r>
      <w:r>
        <w:rPr/>
        <w:t>现场见证。</w:t>
      </w:r>
    </w:p>
    <w:p>
      <w:pPr>
        <w:pStyle w:val="BodyText"/>
        <w:spacing w:line="316" w:lineRule="auto" w:before="19"/>
        <w:ind w:left="514" w:right="0"/>
        <w:jc w:val="left"/>
      </w:pPr>
      <w:r>
        <w:rPr/>
        <w:t>（二）关于上市公司与实际控制人的关系 </w:t>
      </w:r>
      <w:r>
        <w:rPr>
          <w:spacing w:val="-2"/>
        </w:rPr>
        <w:t>报告期内，公司实际控制人为自然人，公司实际控制人能够严格按照《深圳证券交易所中小企业板上市公司规范运作指</w:t>
      </w:r>
    </w:p>
    <w:p>
      <w:pPr>
        <w:pStyle w:val="BodyText"/>
        <w:spacing w:line="240" w:lineRule="auto" w:before="19"/>
        <w:ind w:right="0"/>
        <w:jc w:val="left"/>
      </w:pPr>
      <w:r>
        <w:rPr/>
        <w:t>引》的规定和要求，规范行为，履行义务。没有超越公司股东大会直接或间接干预公司的决策和经营活动的行为。</w:t>
      </w:r>
    </w:p>
    <w:p>
      <w:pPr>
        <w:pStyle w:val="BodyText"/>
        <w:spacing w:line="316" w:lineRule="auto" w:before="76"/>
        <w:ind w:left="514" w:right="0"/>
        <w:jc w:val="left"/>
      </w:pPr>
      <w:r>
        <w:rPr/>
        <w:t>（三）关于董事与董事会 </w:t>
      </w:r>
      <w:r>
        <w:rPr>
          <w:spacing w:val="-2"/>
        </w:rPr>
        <w:t>公司所有董事能按照公司和股东利益最大化的要求诚信、勤勉地履行职责。公司独立董事严格遵守《关于在上市公司建</w:t>
      </w:r>
    </w:p>
    <w:p>
      <w:pPr>
        <w:pStyle w:val="BodyText"/>
        <w:spacing w:line="316" w:lineRule="auto" w:before="19"/>
        <w:ind w:right="1032"/>
        <w:jc w:val="left"/>
      </w:pPr>
      <w:r>
        <w:rPr/>
        <w:t>立独立董事制度的指导意见》及公司《独立董事工作制度》等规定，积极参与公司决策，对诸多重大事项发表了独立意见， </w:t>
      </w:r>
      <w:r>
        <w:rPr>
          <w:spacing w:val="-2"/>
        </w:rPr>
        <w:t>充分发挥了独立董事特有的职能。董事会下设战略委员会、审计委员会、提名委员会、薪酬与考核委员会，各专门委员会严</w:t>
      </w:r>
      <w:r>
        <w:rPr>
          <w:spacing w:val="-66"/>
        </w:rPr>
        <w:t> </w:t>
      </w:r>
      <w:r>
        <w:rPr>
          <w:spacing w:val="-66"/>
        </w:rPr>
      </w:r>
      <w:r>
        <w:rPr/>
        <w:t>格遵守相关制度规定，各行其责，有力加强了公司董事会工作的规范运作。</w:t>
      </w:r>
    </w:p>
    <w:p>
      <w:pPr>
        <w:pStyle w:val="BodyText"/>
        <w:spacing w:line="316" w:lineRule="auto" w:before="19"/>
        <w:ind w:left="514" w:right="1032"/>
        <w:jc w:val="left"/>
      </w:pPr>
      <w:r>
        <w:rPr/>
        <w:t>（四）关于监事和监事会 报告期内，公司现任监事共三名，包括二名股东代表和一名职工代表，监事会人数和人员构成符合法律、法规的要求。</w:t>
      </w:r>
    </w:p>
    <w:p>
      <w:pPr>
        <w:pStyle w:val="BodyText"/>
        <w:spacing w:line="316" w:lineRule="auto" w:before="19"/>
        <w:ind w:right="1131"/>
        <w:jc w:val="both"/>
      </w:pPr>
      <w:r>
        <w:rPr>
          <w:spacing w:val="-2"/>
        </w:rPr>
        <w:t>公司监事根据法律、法规及公司章程授予的职权认真履行职责，本着对股东负责的态度，对公司财务以及公司董事、总经理</w:t>
      </w:r>
      <w:r>
        <w:rPr>
          <w:spacing w:val="-66"/>
        </w:rPr>
        <w:t> </w:t>
      </w:r>
      <w:r>
        <w:rPr>
          <w:spacing w:val="-66"/>
        </w:rPr>
      </w:r>
      <w:r>
        <w:rPr>
          <w:spacing w:val="-2"/>
        </w:rPr>
        <w:t>和其他高级管理人员履行职责的合法、合规性进行有效监督；对公司重大事项、财务状况、董事和经理的履职情况等进行有</w:t>
      </w:r>
      <w:r>
        <w:rPr>
          <w:spacing w:val="-66"/>
        </w:rPr>
        <w:t> </w:t>
      </w:r>
      <w:r>
        <w:rPr>
          <w:spacing w:val="-66"/>
        </w:rPr>
      </w:r>
      <w:r>
        <w:rPr/>
        <w:t>效监督并发表意见，维护公司和全体股东的利益。</w:t>
      </w:r>
    </w:p>
    <w:p>
      <w:pPr>
        <w:pStyle w:val="BodyText"/>
        <w:spacing w:line="316" w:lineRule="auto" w:before="19"/>
        <w:ind w:left="514" w:right="0"/>
        <w:jc w:val="left"/>
      </w:pPr>
      <w:r>
        <w:rPr/>
        <w:t>（五）关于绩效评价与激励约束机制 </w:t>
      </w:r>
      <w:r>
        <w:rPr>
          <w:spacing w:val="-4"/>
        </w:rPr>
        <w:t>公司建立了公正、透明、有效的董事、监事和高管人员的绩效评价标准和激励约束机制，公司高级管理人员的聘任公开、</w:t>
      </w:r>
    </w:p>
    <w:p>
      <w:pPr>
        <w:pStyle w:val="BodyText"/>
        <w:spacing w:line="316" w:lineRule="auto" w:before="19"/>
        <w:ind w:right="0"/>
        <w:jc w:val="left"/>
      </w:pPr>
      <w:r>
        <w:rPr>
          <w:spacing w:val="-2"/>
        </w:rPr>
        <w:t>透明，严格按照有关法律法规的规定进行。公司未来还将探索更多形式的激励方式，形成多层次的综合激励机制，完善绩效</w:t>
      </w:r>
      <w:r>
        <w:rPr>
          <w:spacing w:val="-66"/>
        </w:rPr>
        <w:t> </w:t>
      </w:r>
      <w:r>
        <w:rPr>
          <w:spacing w:val="-66"/>
        </w:rPr>
      </w:r>
      <w:r>
        <w:rPr/>
        <w:t>评价标准，更好地调动管理人员的工作积极性，吸引和稳定优秀管理人才和技术、业务骨干。</w:t>
      </w:r>
    </w:p>
    <w:p>
      <w:pPr>
        <w:pStyle w:val="BodyText"/>
        <w:spacing w:line="319" w:lineRule="auto" w:before="19"/>
        <w:ind w:left="514" w:right="1032"/>
        <w:jc w:val="left"/>
      </w:pPr>
      <w:r>
        <w:rPr/>
        <w:t>（六）关于投资者关系管理工作 报告期内，公司严格按照有关法律法规及《深圳证券交易所股票上市规则》中关于公司信息披露的规定，真实、准确、</w:t>
      </w:r>
    </w:p>
    <w:p>
      <w:pPr>
        <w:pStyle w:val="BodyText"/>
        <w:spacing w:line="316" w:lineRule="auto" w:before="17"/>
        <w:ind w:right="1032"/>
        <w:jc w:val="left"/>
      </w:pPr>
      <w:r>
        <w:rPr/>
        <w:t>完整、及时地履行信息披露义务，并确保所有股东以平等的机会获得信息。公司明确董事会秘书为投资者关系管理负责人， </w:t>
      </w:r>
      <w:r>
        <w:rPr>
          <w:spacing w:val="-2"/>
        </w:rPr>
        <w:t>组织实施投资者关系的日常管理工作，指定证券部为专门的投资者关系管理机构，加强与投资者的沟通，充分保证广大投资</w:t>
      </w:r>
      <w:r>
        <w:rPr>
          <w:spacing w:val="-66"/>
        </w:rPr>
        <w:t> </w:t>
      </w:r>
      <w:r>
        <w:rPr>
          <w:spacing w:val="-66"/>
        </w:rPr>
      </w:r>
      <w:r>
        <w:rPr/>
        <w:t>者的知情权。</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0"/>
        <w:jc w:val="left"/>
      </w:pPr>
      <w:r>
        <w:rPr/>
        <w:t>（七）关于信息披露 </w:t>
      </w:r>
      <w:r>
        <w:rPr>
          <w:spacing w:val="-2"/>
        </w:rPr>
        <w:t>公司按照《深圳证券交易所股票上市规则》、《公司章程》、《信息披露事务管理制度》、《投资者关系管理制度》等</w:t>
      </w:r>
    </w:p>
    <w:p>
      <w:pPr>
        <w:pStyle w:val="BodyText"/>
        <w:spacing w:line="319" w:lineRule="auto" w:before="19"/>
        <w:ind w:right="1032"/>
        <w:jc w:val="left"/>
      </w:pPr>
      <w:r>
        <w:rPr/>
        <w:t>的规定，依法真实、准确、及时、公平、完整地披露有关信息。报告期内，除了按照监管要求披露信息外，公司通过电话、 </w:t>
      </w:r>
      <w:r>
        <w:rPr>
          <w:spacing w:val="-2"/>
        </w:rPr>
        <w:t>传真、电子邮件等形式加强与投资者的沟通，力求提高信息披露的透明度。同时，公司进一步加强了与监管机构的经常性联</w:t>
      </w:r>
      <w:r>
        <w:rPr>
          <w:spacing w:val="-66"/>
        </w:rPr>
        <w:t> </w:t>
      </w:r>
      <w:r>
        <w:rPr>
          <w:spacing w:val="-66"/>
        </w:rPr>
      </w:r>
      <w:r>
        <w:rPr/>
        <w:t>系和主动沟通，积极向监管机构报告公司相关事项，确保公司信息披露更加规范。</w:t>
      </w:r>
    </w:p>
    <w:p>
      <w:pPr>
        <w:pStyle w:val="BodyText"/>
        <w:spacing w:line="316" w:lineRule="auto" w:before="17"/>
        <w:ind w:left="514" w:right="0"/>
        <w:jc w:val="left"/>
      </w:pPr>
      <w:r>
        <w:rPr/>
        <w:t>（八）关于利益相关者 </w:t>
      </w:r>
      <w:r>
        <w:rPr>
          <w:spacing w:val="-2"/>
        </w:rPr>
        <w:t>公司在保持稳健发展、实现股东利益最大化的同时，积极关注所在地区环境保护、公益事业等问题，重视社会责任，充</w:t>
      </w:r>
    </w:p>
    <w:p>
      <w:pPr>
        <w:pStyle w:val="BodyText"/>
        <w:spacing w:line="316" w:lineRule="auto" w:before="19"/>
        <w:ind w:right="1132"/>
        <w:jc w:val="both"/>
      </w:pPr>
      <w:r>
        <w:rPr>
          <w:spacing w:val="-2"/>
        </w:rPr>
        <w:t>分尊重和维护相关利益者的合法权利，加强与各方的沟通和合作，努力实现股东、社会、员工等各方利益的均衡，共同推动</w:t>
      </w:r>
      <w:r>
        <w:rPr>
          <w:spacing w:val="-66"/>
        </w:rPr>
        <w:t> </w:t>
      </w:r>
      <w:r>
        <w:rPr>
          <w:spacing w:val="-66"/>
        </w:rPr>
      </w:r>
      <w:r>
        <w:rPr>
          <w:spacing w:val="-2"/>
        </w:rPr>
        <w:t>公司持续、健康地发展。公司治理的实际情况与中国证监会有关上市公司治理的规范性文件要求基本符合，并能严格按照相</w:t>
      </w:r>
      <w:r>
        <w:rPr>
          <w:spacing w:val="-66"/>
        </w:rPr>
        <w:t> </w:t>
      </w:r>
      <w:r>
        <w:rPr>
          <w:spacing w:val="-66"/>
        </w:rPr>
      </w:r>
      <w:r>
        <w:rPr/>
        <w:t>关规定履行义务。</w:t>
      </w:r>
    </w:p>
    <w:p>
      <w:pPr>
        <w:pStyle w:val="BodyText"/>
        <w:spacing w:line="240" w:lineRule="auto" w:before="59"/>
        <w:ind w:right="0"/>
        <w:jc w:val="both"/>
      </w:pPr>
      <w:r>
        <w:rPr/>
        <w:t>公司治理的实际状况与中国证监会发布的有关上市公司治理的规范性文件是否存在重大差异</w:t>
      </w:r>
    </w:p>
    <w:p>
      <w:pPr>
        <w:pStyle w:val="BodyText"/>
        <w:spacing w:line="338" w:lineRule="auto" w:before="11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3"/>
        <w:spacing w:line="240" w:lineRule="auto"/>
        <w:ind w:right="0"/>
        <w:jc w:val="both"/>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t>公司一直按照《公司法》、《证券法》等法律法规和《公司章程》的要求规范运作，建立、健全了公司法人治理结构。 </w:t>
      </w:r>
      <w:r>
        <w:rPr>
          <w:spacing w:val="-2"/>
        </w:rPr>
        <w:t>公司与控股股东、实际控制人在业务、人员、资产、机构、财务等方面完全分开，具有独立完整的业务及自主经营能力。公</w:t>
      </w:r>
      <w:r>
        <w:rPr>
          <w:spacing w:val="-71"/>
        </w:rPr>
        <w:t> </w:t>
      </w:r>
      <w:r>
        <w:rPr>
          <w:spacing w:val="-71"/>
        </w:rPr>
      </w:r>
      <w:r>
        <w:rPr>
          <w:spacing w:val="-2"/>
        </w:rPr>
        <w:t>司所有的生产经营或重大事项均根据《公司章程》及相关制度的规定由经理层、董事会、股东大会讨论确定，不存在受控于</w:t>
      </w:r>
      <w:r>
        <w:rPr>
          <w:spacing w:val="-66"/>
        </w:rPr>
        <w:t> </w:t>
      </w:r>
      <w:r>
        <w:rPr>
          <w:spacing w:val="-66"/>
        </w:rPr>
      </w:r>
      <w:r>
        <w:rPr/>
        <w:t>控股股东、实际控制人的情形。</w:t>
      </w:r>
    </w:p>
    <w:p>
      <w:pPr>
        <w:pStyle w:val="BodyText"/>
        <w:spacing w:line="316" w:lineRule="auto" w:before="19"/>
        <w:ind w:left="514" w:right="0"/>
        <w:jc w:val="left"/>
      </w:pPr>
      <w:r>
        <w:rPr/>
        <w:t>（一）业务独立情况 </w:t>
      </w:r>
      <w:r>
        <w:rPr>
          <w:spacing w:val="-4"/>
        </w:rPr>
        <w:t>公司与控股股东、实际控制人及其控制的其他企业不存在同业竞争。报告期内，公司主要从事第三方支付、供应链管理、</w:t>
      </w:r>
    </w:p>
    <w:p>
      <w:pPr>
        <w:pStyle w:val="BodyText"/>
        <w:spacing w:line="316" w:lineRule="auto" w:before="19"/>
        <w:ind w:right="0"/>
        <w:jc w:val="left"/>
      </w:pPr>
      <w:r>
        <w:rPr>
          <w:spacing w:val="-2"/>
        </w:rPr>
        <w:t>商业保理相关的业务，拥有独立完整的运营系统，拥有具体系统的经营计划、财务核算、合规风控、法律、劳动人事等业务</w:t>
      </w:r>
      <w:r>
        <w:rPr>
          <w:spacing w:val="-68"/>
        </w:rPr>
        <w:t> </w:t>
      </w:r>
      <w:r>
        <w:rPr>
          <w:spacing w:val="-68"/>
        </w:rPr>
      </w:r>
      <w:r>
        <w:rPr/>
        <w:t>体系，具备独立的面向市场自主经营能力，均由公司自主决策、自负盈亏，不存在对股东及其他机构依赖的情况。</w:t>
      </w:r>
    </w:p>
    <w:p>
      <w:pPr>
        <w:pStyle w:val="BodyText"/>
        <w:spacing w:line="316" w:lineRule="auto" w:before="19"/>
        <w:ind w:left="514" w:right="0"/>
        <w:jc w:val="left"/>
      </w:pPr>
      <w:r>
        <w:rPr/>
        <w:t>（二）人员独立情况 </w:t>
      </w:r>
      <w:r>
        <w:rPr>
          <w:spacing w:val="-2"/>
        </w:rPr>
        <w:t>公司的董事、监事、高级管理人员的任职，均按照《公司法》及其他法律、法规、规范性文件、《公司章程》规定的程</w:t>
      </w:r>
    </w:p>
    <w:p>
      <w:pPr>
        <w:pStyle w:val="BodyText"/>
        <w:spacing w:line="316" w:lineRule="auto" w:before="19"/>
        <w:ind w:right="1131"/>
        <w:jc w:val="both"/>
      </w:pPr>
      <w:r>
        <w:rPr>
          <w:spacing w:val="-2"/>
        </w:rPr>
        <w:t>序进行。公司总经理、副总经理、财务总监和董事会秘书等高级管理人员均在公司工作并领取薪酬，没有在控股股东、实际</w:t>
      </w:r>
      <w:r>
        <w:rPr>
          <w:spacing w:val="-66"/>
        </w:rPr>
        <w:t> </w:t>
      </w:r>
      <w:r>
        <w:rPr>
          <w:spacing w:val="-66"/>
        </w:rPr>
      </w:r>
      <w:r>
        <w:rPr>
          <w:spacing w:val="-2"/>
        </w:rPr>
        <w:t>控制人及其控制的其他企业中担任除董事、监事以外的任何职务及领取薪酬。公司的财务人员也不存在在控股股东、实际控</w:t>
      </w:r>
      <w:r>
        <w:rPr>
          <w:spacing w:val="-66"/>
        </w:rPr>
        <w:t> </w:t>
      </w:r>
      <w:r>
        <w:rPr>
          <w:spacing w:val="-66"/>
        </w:rPr>
      </w:r>
      <w:r>
        <w:rPr>
          <w:spacing w:val="-2"/>
        </w:rPr>
        <w:t>制人或其控制的其他企业中兼职的情况。公司建立独立的人事管理系统，与员工签订了劳动合同，建立独立的工资管理、福</w:t>
      </w:r>
      <w:r>
        <w:rPr>
          <w:spacing w:val="-66"/>
        </w:rPr>
        <w:t> </w:t>
      </w:r>
      <w:r>
        <w:rPr>
          <w:spacing w:val="-66"/>
        </w:rPr>
      </w:r>
      <w:r>
        <w:rPr/>
        <w:t>利与社会保障体系。</w:t>
      </w:r>
    </w:p>
    <w:p>
      <w:pPr>
        <w:pStyle w:val="BodyText"/>
        <w:spacing w:line="316" w:lineRule="auto" w:before="19"/>
        <w:ind w:left="514" w:right="1032"/>
        <w:jc w:val="left"/>
      </w:pPr>
      <w:r>
        <w:rPr/>
        <w:t>（三）资产独立情况 公司合法拥有与主营业务相关的商标、专利、非专利技术的所有权或者使用权。公司与股东之间的资产产权界定清晰，</w:t>
      </w:r>
    </w:p>
    <w:p>
      <w:pPr>
        <w:pStyle w:val="BodyText"/>
        <w:spacing w:line="316" w:lineRule="auto" w:before="19"/>
        <w:ind w:right="0"/>
        <w:jc w:val="left"/>
      </w:pPr>
      <w:r>
        <w:rPr>
          <w:spacing w:val="-2"/>
        </w:rPr>
        <w:t>生产经营场所独立，不存在依靠股东的生产经营场所进行生产经营的情况。公司不存在以资产、权益或信誉为股东的债务提</w:t>
      </w:r>
      <w:r>
        <w:rPr>
          <w:spacing w:val="-66"/>
        </w:rPr>
        <w:t> </w:t>
      </w:r>
      <w:r>
        <w:rPr>
          <w:spacing w:val="-66"/>
        </w:rPr>
      </w:r>
      <w:r>
        <w:rPr/>
        <w:t>供担保的情况，公司对所有资产拥有完全的控制支配权，不存在资产、资金被股东占用而损害公司利益的情况。</w:t>
      </w:r>
    </w:p>
    <w:p>
      <w:pPr>
        <w:pStyle w:val="BodyText"/>
        <w:spacing w:line="316" w:lineRule="auto" w:before="19"/>
        <w:ind w:left="514" w:right="0"/>
        <w:jc w:val="left"/>
      </w:pPr>
      <w:r>
        <w:rPr/>
        <w:t>（四）机构独立情况 </w:t>
      </w:r>
      <w:r>
        <w:rPr>
          <w:spacing w:val="-2"/>
        </w:rPr>
        <w:t>公司设立健全的组织体系，股东大会、董事会、监事会及各职能部门均独立运作，依法独立行使各自职权。公司经营和</w:t>
      </w:r>
    </w:p>
    <w:p>
      <w:pPr>
        <w:pStyle w:val="BodyText"/>
        <w:spacing w:line="316" w:lineRule="auto" w:before="19"/>
        <w:ind w:right="0"/>
        <w:jc w:val="left"/>
      </w:pPr>
      <w:r>
        <w:rPr>
          <w:spacing w:val="-2"/>
        </w:rPr>
        <w:t>办公机构完全独立，不存在与股东混合经营的情形。公司的机构设置均独立于控股股东，未发生控股股东及其关联企业干预</w:t>
      </w:r>
      <w:r>
        <w:rPr>
          <w:spacing w:val="-66"/>
        </w:rPr>
        <w:t> </w:t>
      </w:r>
      <w:r>
        <w:rPr>
          <w:spacing w:val="-66"/>
        </w:rPr>
      </w:r>
      <w:r>
        <w:rPr/>
        <w:t>公司机构设置和生产经营活动的情况。</w:t>
      </w:r>
    </w:p>
    <w:p>
      <w:pPr>
        <w:pStyle w:val="BodyText"/>
        <w:spacing w:line="316" w:lineRule="auto" w:before="19"/>
        <w:ind w:left="514" w:right="0"/>
        <w:jc w:val="left"/>
      </w:pPr>
      <w:r>
        <w:rPr/>
        <w:t>（五）财务独立情况 </w:t>
      </w:r>
      <w:r>
        <w:rPr>
          <w:spacing w:val="-2"/>
        </w:rPr>
        <w:t>公司设有独立的财务会计部门和内部审计部门，并配备专职财务管理人员及内部审计人员。公司制定了独立于控股股东</w:t>
      </w:r>
    </w:p>
    <w:p>
      <w:pPr>
        <w:pStyle w:val="BodyText"/>
        <w:spacing w:line="240" w:lineRule="auto" w:before="19"/>
        <w:ind w:right="0"/>
        <w:jc w:val="both"/>
      </w:pPr>
      <w:r>
        <w:rPr/>
        <w:t>的财务管理制度和内部审计管理制度，并建立了独立的会计核算体系。公司具有独立的银行账户并依法独立纳税。</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三、同业竞争情况" w:id="138"/>
      <w:bookmarkEnd w:id="138"/>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2018-045</w:t>
            </w:r>
            <w:r>
              <w:rPr>
                <w:rFonts w:ascii="宋体" w:hAnsi="宋体" w:cs="宋体" w:eastAsia="宋体" w:hint="default"/>
                <w:sz w:val="18"/>
                <w:szCs w:val="18"/>
              </w:rPr>
              <w:t>）</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2018-059</w:t>
            </w:r>
            <w:r>
              <w:rPr>
                <w:rFonts w:ascii="宋体" w:hAnsi="宋体" w:cs="宋体" w:eastAsia="宋体" w:hint="default"/>
                <w:sz w:val="18"/>
                <w:szCs w:val="18"/>
              </w:rPr>
              <w:t>）</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2018-086</w:t>
            </w:r>
            <w:r>
              <w:rPr>
                <w:rFonts w:ascii="宋体" w:hAnsi="宋体" w:cs="宋体" w:eastAsia="宋体" w:hint="default"/>
                <w:sz w:val="18"/>
                <w:szCs w:val="18"/>
              </w:rPr>
              <w:t>）</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2018-119</w:t>
            </w:r>
            <w:r>
              <w:rPr>
                <w:rFonts w:ascii="宋体" w:hAnsi="宋体" w:cs="宋体" w:eastAsia="宋体" w:hint="default"/>
                <w:sz w:val="18"/>
                <w:szCs w:val="18"/>
              </w:rPr>
              <w:t>）</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2018-129</w:t>
            </w:r>
            <w:r>
              <w:rPr>
                <w:rFonts w:ascii="宋体" w:hAnsi="宋体" w:cs="宋体" w:eastAsia="宋体" w:hint="default"/>
                <w:sz w:val="18"/>
                <w:szCs w:val="18"/>
              </w:rPr>
              <w:t>）</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20"/>
              <w:jc w:val="left"/>
              <w:rPr>
                <w:rFonts w:ascii="宋体" w:hAnsi="宋体" w:cs="宋体" w:eastAsia="宋体"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2018-145</w:t>
            </w:r>
            <w:r>
              <w:rPr>
                <w:rFonts w:ascii="宋体" w:hAnsi="宋体" w:cs="宋体" w:eastAsia="宋体" w:hint="default"/>
                <w:sz w:val="18"/>
                <w:szCs w:val="18"/>
              </w:rPr>
              <w:t>）</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2018-162</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狄瑞鹏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康晓岳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柴晓丽</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曾凡跃</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pStyle w:val="BodyText"/>
        <w:spacing w:line="240" w:lineRule="auto" w:before="44"/>
        <w:ind w:right="0"/>
        <w:jc w:val="left"/>
      </w:pPr>
      <w:r>
        <w:rPr/>
        <w:t>连续两次未亲自出席董事会的说明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1043" w:firstLine="360"/>
        <w:jc w:val="both"/>
      </w:pPr>
      <w:r>
        <w:rPr>
          <w:spacing w:val="-2"/>
        </w:rPr>
        <w:t>报告期内，公司独立董事积极出席公司召开的董事会和股东大会，定期听取公司经营情况汇报，了解公司的经营情况和</w:t>
      </w:r>
      <w:r>
        <w:rPr/>
        <w:t> </w:t>
      </w:r>
      <w:r>
        <w:rPr>
          <w:spacing w:val="-2"/>
        </w:rPr>
        <w:t>财务状况，对公司转型为金融科技相关业务的合规性提出建议，并对公司的关联交易、内部控制及审计、聘任高管等事项发</w:t>
      </w:r>
      <w:r>
        <w:rPr>
          <w:spacing w:val="-66"/>
        </w:rPr>
        <w:t> </w:t>
      </w:r>
      <w:r>
        <w:rPr>
          <w:spacing w:val="-66"/>
        </w:rPr>
      </w:r>
      <w:r>
        <w:rPr>
          <w:spacing w:val="-2"/>
        </w:rPr>
        <w:t>表独立意见；并通过电话和邮件，独立董事积极与公司其他董事、高管人员及相关工作人员保持密切联系，时刻关注国内外</w:t>
      </w:r>
      <w:r>
        <w:rPr>
          <w:spacing w:val="-66"/>
        </w:rPr>
        <w:t> </w:t>
      </w:r>
      <w:r>
        <w:rPr>
          <w:spacing w:val="-66"/>
        </w:rPr>
      </w:r>
      <w:r>
        <w:rPr>
          <w:spacing w:val="-2"/>
        </w:rPr>
        <w:t>经济形势和行业发展态势对公司经营状况的影响，关注传媒、网络有关公司的相关报道，及时获悉公司各重大事项的进展情</w:t>
      </w:r>
      <w:r>
        <w:rPr>
          <w:spacing w:val="-66"/>
        </w:rPr>
        <w:t> </w:t>
      </w:r>
      <w:r>
        <w:rPr>
          <w:spacing w:val="-66"/>
        </w:rPr>
      </w:r>
      <w:r>
        <w:rPr>
          <w:spacing w:val="-2"/>
        </w:rPr>
        <w:t>况，定期审阅公司提供的信息报告，及时了解掌握公司经营与发展情况，深入探讨公司经营发展中的机遇与挑战，及时提示</w:t>
      </w:r>
      <w:r>
        <w:rPr>
          <w:spacing w:val="-66"/>
        </w:rPr>
        <w:t> </w:t>
      </w:r>
      <w:r>
        <w:rPr>
          <w:spacing w:val="-66"/>
        </w:rPr>
      </w:r>
      <w:r>
        <w:rPr>
          <w:spacing w:val="-2"/>
        </w:rPr>
        <w:t>风险。本年度重点关注主营业务转型状况、重大对外投资、关联交易等重大经营活动，掌握公司的运行动态，在充分掌握实</w:t>
      </w:r>
      <w:r>
        <w:rPr>
          <w:spacing w:val="-66"/>
        </w:rPr>
        <w:t> </w:t>
      </w:r>
      <w:r>
        <w:rPr>
          <w:spacing w:val="-66"/>
        </w:rPr>
      </w:r>
      <w:r>
        <w:rPr>
          <w:spacing w:val="-4"/>
        </w:rPr>
        <w:t>际情况的基础上提出相关意见与建议，独立董事对董事会各项议案的审议表决、对重大事项发表独立意见提供了有力的支持。</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spacing w:val="-2"/>
        </w:rPr>
        <w:t>公司董事会下设四个专门委员会，分别为战略委员会、审计委员会、提名委员会、薪酬与考核委员会。本年度各专门委</w:t>
      </w:r>
      <w:r>
        <w:rPr/>
        <w:t> </w:t>
      </w:r>
      <w:r>
        <w:rPr>
          <w:spacing w:val="-2"/>
        </w:rPr>
        <w:t>员会本着勤勉尽责的原则，根据《公司法》、《上市公司治理准则》等有关法律法规及《公司章程》、《公司董事会各专门</w:t>
      </w:r>
      <w:r>
        <w:rPr>
          <w:spacing w:val="-69"/>
        </w:rPr>
        <w:t> </w:t>
      </w:r>
      <w:r>
        <w:rPr>
          <w:spacing w:val="-69"/>
        </w:rPr>
      </w:r>
      <w:r>
        <w:rPr/>
        <w:t>委员会工作细则》的有关规定开展相关工作，报告期内，各专门委员会履职情况如下：</w:t>
      </w:r>
    </w:p>
    <w:p>
      <w:pPr>
        <w:pStyle w:val="BodyText"/>
        <w:spacing w:line="300" w:lineRule="auto" w:before="19"/>
        <w:ind w:left="514" w:right="0"/>
        <w:jc w:val="left"/>
      </w:pPr>
      <w:r>
        <w:rPr>
          <w:rFonts w:ascii="Times New Roman" w:hAnsi="Times New Roman" w:cs="Times New Roman" w:eastAsia="Times New Roman" w:hint="default"/>
        </w:rPr>
        <w:t>1</w:t>
      </w:r>
      <w:r>
        <w:rPr/>
        <w:t>、战略委员会 </w:t>
      </w:r>
      <w:r>
        <w:rPr>
          <w:spacing w:val="-4"/>
        </w:rPr>
        <w:t>报告期内，战略委员会根据有关规定积极开展工作，认真履行职责。报告期内，战略委员会对公司对外投资、新设公司、</w:t>
      </w:r>
    </w:p>
    <w:p>
      <w:pPr>
        <w:pStyle w:val="BodyText"/>
        <w:spacing w:line="240" w:lineRule="auto" w:before="31"/>
        <w:ind w:right="0"/>
        <w:jc w:val="left"/>
      </w:pPr>
      <w:r>
        <w:rPr/>
        <w:t>关联交易等重大事项进行了深入分析探讨，对公司发展战略的实施提出了合理建议。</w:t>
      </w:r>
    </w:p>
    <w:p>
      <w:pPr>
        <w:pStyle w:val="BodyText"/>
        <w:spacing w:line="300" w:lineRule="auto" w:before="76"/>
        <w:ind w:left="514" w:right="1118"/>
        <w:jc w:val="left"/>
      </w:pPr>
      <w:r>
        <w:rPr>
          <w:rFonts w:ascii="Times New Roman" w:hAnsi="Times New Roman" w:cs="Times New Roman" w:eastAsia="Times New Roman" w:hint="default"/>
        </w:rPr>
        <w:t>2</w:t>
      </w:r>
      <w:r>
        <w:rPr/>
        <w:t>、审计委员会 </w:t>
      </w:r>
      <w:r>
        <w:rPr>
          <w:spacing w:val="-2"/>
        </w:rPr>
        <w:t>报告期内，审计委员会根据有关规定，积极履行职责。报告期内，审计委员会审议了公司审计部提交的各项包括定期及</w:t>
      </w:r>
    </w:p>
    <w:p>
      <w:pPr>
        <w:pStyle w:val="BodyText"/>
        <w:spacing w:line="316" w:lineRule="auto" w:before="31"/>
        <w:ind w:right="0"/>
        <w:jc w:val="left"/>
      </w:pPr>
      <w:r>
        <w:rPr>
          <w:spacing w:val="-2"/>
        </w:rPr>
        <w:t>不定期的内部审计报告，听取了审计部年度工作总结和工作计划安排，对审计部的工作开展给予了一定的指导。对公司年度</w:t>
      </w:r>
      <w:r>
        <w:rPr>
          <w:spacing w:val="-66"/>
        </w:rPr>
        <w:t> </w:t>
      </w:r>
      <w:r>
        <w:rPr>
          <w:spacing w:val="-66"/>
        </w:rPr>
      </w:r>
      <w:r>
        <w:rPr/>
        <w:t>审计、外部审计机构的聘任等事项给予合理的建议，对财务报告、内部控制建设等情况进行审核。</w:t>
      </w:r>
    </w:p>
    <w:p>
      <w:pPr>
        <w:pStyle w:val="BodyText"/>
        <w:spacing w:line="300" w:lineRule="auto" w:before="19"/>
        <w:ind w:left="514" w:right="1118"/>
        <w:jc w:val="left"/>
      </w:pPr>
      <w:r>
        <w:rPr>
          <w:rFonts w:ascii="Times New Roman" w:hAnsi="Times New Roman" w:cs="Times New Roman" w:eastAsia="Times New Roman" w:hint="default"/>
        </w:rPr>
        <w:t>3</w:t>
      </w:r>
      <w:r>
        <w:rPr/>
        <w:t>、提名委员会 </w:t>
      </w:r>
      <w:r>
        <w:rPr>
          <w:spacing w:val="-2"/>
        </w:rPr>
        <w:t>报告期内，提名委员会按照《董事会提名委员会工作细则》履行职责，对公司选举部分高管进行提名，对其任职资格进</w:t>
      </w:r>
    </w:p>
    <w:p>
      <w:pPr>
        <w:pStyle w:val="BodyText"/>
        <w:spacing w:line="240" w:lineRule="auto" w:before="31"/>
        <w:ind w:right="0"/>
        <w:jc w:val="left"/>
      </w:pPr>
      <w:r>
        <w:rPr/>
        <w:t>行了审查，并发表审查意见和建议。</w:t>
      </w:r>
    </w:p>
    <w:p>
      <w:pPr>
        <w:pStyle w:val="BodyText"/>
        <w:spacing w:line="300" w:lineRule="auto" w:before="76"/>
        <w:ind w:left="514" w:right="0"/>
        <w:jc w:val="left"/>
      </w:pPr>
      <w:r>
        <w:rPr>
          <w:rFonts w:ascii="Times New Roman" w:hAnsi="Times New Roman" w:cs="Times New Roman" w:eastAsia="Times New Roman" w:hint="default"/>
        </w:rPr>
        <w:t>4</w:t>
      </w:r>
      <w:r>
        <w:rPr/>
        <w:t>、薪酬与考核委员会 </w:t>
      </w:r>
      <w:r>
        <w:rPr>
          <w:spacing w:val="-2"/>
        </w:rPr>
        <w:t>报告期内，薪酬与考核委员会根据有关规定，积极履行职责。薪酬与考核委员会对公司董事、监事和高级管理人员的薪</w:t>
      </w:r>
    </w:p>
    <w:p>
      <w:pPr>
        <w:pStyle w:val="BodyText"/>
        <w:spacing w:line="316" w:lineRule="auto" w:before="31"/>
        <w:ind w:right="0"/>
        <w:jc w:val="left"/>
      </w:pPr>
      <w:r>
        <w:rPr>
          <w:spacing w:val="-2"/>
        </w:rPr>
        <w:t>酬审核后认为，公司逐步建立公正、公平、公开、有效的高级管理人员绩效评价标准和激励约束机制，公司高级管理人员实</w:t>
      </w:r>
      <w:r>
        <w:rPr>
          <w:spacing w:val="-66"/>
        </w:rPr>
        <w:t> </w:t>
      </w:r>
      <w:r>
        <w:rPr>
          <w:spacing w:val="-66"/>
        </w:rPr>
      </w:r>
      <w:r>
        <w:rPr>
          <w:spacing w:val="-4"/>
        </w:rPr>
        <w:t>行基本年薪与年终绩效考核相结合的薪酬制度。公司董事、监事和高级管理人员报告期内薪酬真实，符合公司绩效考核指标。</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七、监事会工作情况" w:id="147"/>
      <w:bookmarkEnd w:id="147"/>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1" w:firstLine="360"/>
        <w:jc w:val="both"/>
      </w:pPr>
      <w:r>
        <w:rPr>
          <w:spacing w:val="-2"/>
        </w:rPr>
        <w:t>高级管理人员实行年薪制，依据行业薪酬水平，经营效益、岗位职级等因素确定。年终对高级管理人员的履行职责情况</w:t>
      </w:r>
      <w:r>
        <w:rPr/>
        <w:t> </w:t>
      </w:r>
      <w:r>
        <w:rPr>
          <w:spacing w:val="-2"/>
        </w:rPr>
        <w:t>和年度实际业绩进行绩效考核，并根据考核情况核发年度绩效薪酬。</w:t>
      </w:r>
      <w:r>
        <w:rPr>
          <w:rFonts w:ascii="Times New Roman" w:hAnsi="Times New Roman" w:cs="Times New Roman" w:eastAsia="Times New Roman" w:hint="default"/>
          <w:spacing w:val="-2"/>
        </w:rPr>
        <w:t>2018</w:t>
      </w:r>
      <w:r>
        <w:rPr>
          <w:spacing w:val="-2"/>
        </w:rPr>
        <w:t>年度高级管理人员的考核均为合格。</w:t>
      </w:r>
      <w:r>
        <w:rPr>
          <w:rFonts w:ascii="Times New Roman" w:hAnsi="Times New Roman" w:cs="Times New Roman" w:eastAsia="Times New Roman" w:hint="default"/>
          <w:spacing w:val="-2"/>
        </w:rPr>
        <w:t>2018</w:t>
      </w:r>
      <w:r>
        <w:rPr>
          <w:spacing w:val="-2"/>
        </w:rPr>
        <w:t>年度公司</w:t>
      </w:r>
      <w:r>
        <w:rPr>
          <w:spacing w:val="-57"/>
        </w:rPr>
        <w:t> </w:t>
      </w:r>
      <w:r>
        <w:rPr/>
        <w:t>未实行股权激励的事项。</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九、内部控制评价报告" w:id="149"/>
      <w:bookmarkEnd w:id="149"/>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480"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重大缺陷：单独缺陷或连同其他缺陷导致 不能及时防止或发现并纠正财务报告中的 重大错报。出现下列情形的，认定为重大 </w:t>
            </w:r>
            <w:r>
              <w:rPr>
                <w:rFonts w:ascii="宋体" w:hAnsi="宋体" w:cs="宋体" w:eastAsia="宋体" w:hint="default"/>
                <w:spacing w:val="-5"/>
                <w:sz w:val="18"/>
                <w:szCs w:val="18"/>
              </w:rPr>
              <w:t>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）公司董事、监事和高级管理人</w:t>
            </w:r>
            <w:r>
              <w:rPr>
                <w:rFonts w:ascii="宋体" w:hAnsi="宋体" w:cs="宋体" w:eastAsia="宋体" w:hint="default"/>
                <w:spacing w:val="-85"/>
                <w:sz w:val="18"/>
                <w:szCs w:val="18"/>
              </w:rPr>
              <w:t> </w:t>
            </w:r>
            <w:r>
              <w:rPr>
                <w:rFonts w:ascii="宋体" w:hAnsi="宋体" w:cs="宋体" w:eastAsia="宋体" w:hint="default"/>
                <w:sz w:val="18"/>
                <w:szCs w:val="18"/>
              </w:rPr>
              <w:t>员舞弊并给企业造成重大损失和不利影 </w:t>
            </w:r>
            <w:r>
              <w:rPr>
                <w:rFonts w:ascii="宋体" w:hAnsi="宋体" w:cs="宋体" w:eastAsia="宋体" w:hint="default"/>
                <w:spacing w:val="-5"/>
                <w:sz w:val="18"/>
                <w:szCs w:val="18"/>
              </w:rPr>
              <w:t>响；（</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）外部审计发现当期财务报告存在</w:t>
            </w:r>
            <w:r>
              <w:rPr>
                <w:rFonts w:ascii="宋体" w:hAnsi="宋体" w:cs="宋体" w:eastAsia="宋体" w:hint="default"/>
                <w:spacing w:val="-85"/>
                <w:sz w:val="18"/>
                <w:szCs w:val="18"/>
              </w:rPr>
              <w:t> </w:t>
            </w:r>
            <w:r>
              <w:rPr>
                <w:rFonts w:ascii="宋体" w:hAnsi="宋体" w:cs="宋体" w:eastAsia="宋体" w:hint="default"/>
                <w:spacing w:val="-5"/>
                <w:sz w:val="18"/>
                <w:szCs w:val="18"/>
              </w:rPr>
              <w:t>重大错报，公司未能首先发现；（</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）已经</w:t>
            </w:r>
            <w:r>
              <w:rPr>
                <w:rFonts w:ascii="宋体" w:hAnsi="宋体" w:cs="宋体" w:eastAsia="宋体" w:hint="default"/>
                <w:spacing w:val="-85"/>
                <w:sz w:val="18"/>
                <w:szCs w:val="18"/>
              </w:rPr>
              <w:t> </w:t>
            </w:r>
            <w:r>
              <w:rPr>
                <w:rFonts w:ascii="宋体" w:hAnsi="宋体" w:cs="宋体" w:eastAsia="宋体" w:hint="default"/>
                <w:sz w:val="18"/>
                <w:szCs w:val="18"/>
              </w:rPr>
              <w:t>发现并报告给管理层的重大缺陷在合理的 </w:t>
            </w:r>
            <w:r>
              <w:rPr>
                <w:rFonts w:ascii="宋体" w:hAnsi="宋体" w:cs="宋体" w:eastAsia="宋体" w:hint="default"/>
                <w:spacing w:val="-5"/>
                <w:sz w:val="18"/>
                <w:szCs w:val="18"/>
              </w:rPr>
              <w:t>时间内未加以改正；（</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）公司审计委员会</w:t>
            </w:r>
            <w:r>
              <w:rPr>
                <w:rFonts w:ascii="宋体" w:hAnsi="宋体" w:cs="宋体" w:eastAsia="宋体" w:hint="default"/>
                <w:spacing w:val="-85"/>
                <w:sz w:val="18"/>
                <w:szCs w:val="18"/>
              </w:rPr>
              <w:t> </w:t>
            </w:r>
            <w:r>
              <w:rPr>
                <w:rFonts w:ascii="宋体" w:hAnsi="宋体" w:cs="宋体" w:eastAsia="宋体" w:hint="default"/>
                <w:sz w:val="18"/>
                <w:szCs w:val="18"/>
              </w:rPr>
              <w:t>和公司内部审计部门对内部控制的监督无 效。重要缺陷：公司财务报告内部控制重 </w:t>
            </w:r>
            <w:r>
              <w:rPr>
                <w:rFonts w:ascii="宋体" w:hAnsi="宋体" w:cs="宋体" w:eastAsia="宋体" w:hint="default"/>
                <w:spacing w:val="-5"/>
                <w:sz w:val="18"/>
                <w:szCs w:val="18"/>
              </w:rPr>
              <w:t>要缺陷的定性标准：（</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）未按公认会计准</w:t>
            </w:r>
            <w:r>
              <w:rPr>
                <w:rFonts w:ascii="宋体" w:hAnsi="宋体" w:cs="宋体" w:eastAsia="宋体" w:hint="default"/>
                <w:spacing w:val="-85"/>
                <w:sz w:val="18"/>
                <w:szCs w:val="18"/>
              </w:rPr>
              <w:t> </w:t>
            </w:r>
            <w:r>
              <w:rPr>
                <w:rFonts w:ascii="宋体" w:hAnsi="宋体" w:cs="宋体" w:eastAsia="宋体" w:hint="default"/>
                <w:spacing w:val="-5"/>
                <w:sz w:val="18"/>
                <w:szCs w:val="18"/>
              </w:rPr>
              <w:t>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）未建立反舞</w:t>
            </w:r>
            <w:r>
              <w:rPr>
                <w:rFonts w:ascii="宋体" w:hAnsi="宋体" w:cs="宋体" w:eastAsia="宋体" w:hint="default"/>
                <w:spacing w:val="-85"/>
                <w:sz w:val="18"/>
                <w:szCs w:val="18"/>
              </w:rPr>
              <w:t> </w:t>
            </w:r>
            <w:r>
              <w:rPr>
                <w:rFonts w:ascii="宋体" w:hAnsi="宋体" w:cs="宋体" w:eastAsia="宋体" w:hint="default"/>
                <w:spacing w:val="-5"/>
                <w:sz w:val="18"/>
                <w:szCs w:val="18"/>
              </w:rPr>
              <w:t>弊和重要的制衡制度和控制措施；（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）财</w:t>
            </w:r>
            <w:r>
              <w:rPr>
                <w:rFonts w:ascii="宋体" w:hAnsi="宋体" w:cs="宋体" w:eastAsia="宋体" w:hint="default"/>
                <w:spacing w:val="-85"/>
                <w:sz w:val="18"/>
                <w:szCs w:val="18"/>
              </w:rPr>
              <w:t> </w:t>
            </w:r>
            <w:r>
              <w:rPr>
                <w:rFonts w:ascii="宋体" w:hAnsi="宋体" w:cs="宋体" w:eastAsia="宋体" w:hint="default"/>
                <w:sz w:val="18"/>
                <w:szCs w:val="18"/>
              </w:rPr>
              <w:t>务报告过程中出现单独或多项缺陷，虽然 未达到重大缺陷认定标准，但影响到财务 报告的真实、准确目标。一般缺陷：未构</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的可能性高，会严重降低工作效率或效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之严重偏离预期目标为重大缺陷。以上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定量标准将随着公司经营规模的扩大 而作适当调整。</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482"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BodyText"/>
        <w:spacing w:line="240" w:lineRule="auto" w:before="44"/>
        <w:ind w:left="0" w:right="1139"/>
        <w:jc w:val="right"/>
      </w:pPr>
      <w:r>
        <w:rPr/>
        <w:pict>
          <v:shape style="position:absolute;margin-left:56.459999pt;margin-top:-315.328278pt;width:479.2pt;height:431.1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35"/>
                    <w:gridCol w:w="3039"/>
                  </w:tblGrid>
                  <w:tr>
                    <w:trPr>
                      <w:trHeight w:val="67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60"/>
                          <w:jc w:val="left"/>
                          <w:rPr>
                            <w:rFonts w:ascii="宋体" w:hAnsi="宋体" w:cs="宋体" w:eastAsia="宋体" w:hint="default"/>
                            <w:sz w:val="18"/>
                            <w:szCs w:val="18"/>
                          </w:rPr>
                        </w:pPr>
                        <w:r>
                          <w:rPr>
                            <w:rFonts w:ascii="宋体" w:hAnsi="宋体" w:cs="宋体" w:eastAsia="宋体" w:hint="default"/>
                            <w:sz w:val="18"/>
                            <w:szCs w:val="18"/>
                          </w:rPr>
                          <w:t>成重大缺陷、重要缺陷标准的其他内部控 制缺陷。</w:t>
                        </w:r>
                      </w:p>
                    </w:tc>
                    <w:tc>
                      <w:tcPr>
                        <w:tcW w:w="3039" w:type="dxa"/>
                        <w:tcBorders>
                          <w:top w:val="single" w:sz="4" w:space="0" w:color="000000"/>
                          <w:left w:val="single" w:sz="4" w:space="0" w:color="000000"/>
                          <w:bottom w:val="single" w:sz="4" w:space="0" w:color="000000"/>
                          <w:right w:val="single" w:sz="4" w:space="0" w:color="000000"/>
                        </w:tcBorders>
                      </w:tcPr>
                      <w:p>
                        <w:pPr/>
                      </w:p>
                    </w:tc>
                  </w:tr>
                  <w:tr>
                    <w:trPr>
                      <w:trHeight w:val="633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2" w:lineRule="auto"/>
                          <w:ind w:left="23" w:right="-28"/>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指标。内部控制缺陷可能导致或导致的损 </w:t>
                        </w:r>
                        <w:r>
                          <w:rPr>
                            <w:rFonts w:ascii="宋体" w:hAnsi="宋体" w:cs="宋体" w:eastAsia="宋体" w:hint="default"/>
                            <w:spacing w:val="-6"/>
                            <w:sz w:val="18"/>
                            <w:szCs w:val="18"/>
                          </w:rPr>
                          <w:t>失与利润表相关的，以营业收入指标衡量。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如果该缺陷单独或连同其他缺陷可能导致</w:t>
                        </w:r>
                        <w:r>
                          <w:rPr>
                            <w:rFonts w:ascii="宋体" w:hAnsi="宋体" w:cs="宋体" w:eastAsia="宋体" w:hint="default"/>
                            <w:sz w:val="18"/>
                            <w:szCs w:val="18"/>
                          </w:rPr>
                          <w:t> 的财务报告错报金额不超过营业收入的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，则认定为一般缺陷；如果超过营业收 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但不超过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，则为重要缺陷；如 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，则认定为重大缺 陷。内部控制缺陷可能导致或导致的损失 </w:t>
                        </w:r>
                        <w:r>
                          <w:rPr>
                            <w:rFonts w:ascii="宋体" w:hAnsi="宋体" w:cs="宋体" w:eastAsia="宋体" w:hint="default"/>
                            <w:spacing w:val="-6"/>
                            <w:sz w:val="18"/>
                            <w:szCs w:val="18"/>
                          </w:rPr>
                          <w:t>与资产管理相关的，以资产总额指标衡量。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如果该缺陷单独或连同其他缺陷可能导致</w:t>
                        </w:r>
                        <w:r>
                          <w:rPr>
                            <w:rFonts w:ascii="宋体" w:hAnsi="宋体" w:cs="宋体" w:eastAsia="宋体" w:hint="default"/>
                            <w:sz w:val="18"/>
                            <w:szCs w:val="18"/>
                          </w:rPr>
                          <w:t> 的财务报告错报金额不超过资产总额的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，则认定为一般缺陷；如果超过资产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认定为重要缺 陷；如果超过资产总额</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，则认定为重 大缺陷。</w:t>
                        </w:r>
                      </w:p>
                    </w:tc>
                    <w:tc>
                      <w:tcPr>
                        <w:tcW w:w="3039" w:type="dxa"/>
                        <w:tcBorders>
                          <w:top w:val="single" w:sz="4" w:space="0" w:color="000000"/>
                          <w:left w:val="single" w:sz="9" w:space="0" w:color="FFFFFF"/>
                          <w:bottom w:val="single" w:sz="4" w:space="0" w:color="000000"/>
                          <w:right w:val="single" w:sz="4" w:space="0" w:color="000000"/>
                        </w:tcBorders>
                      </w:tcPr>
                      <w:p>
                        <w:pPr>
                          <w:pStyle w:val="TableParagraph"/>
                          <w:spacing w:line="312" w:lineRule="auto" w:before="51"/>
                          <w:ind w:left="4" w:right="-42"/>
                          <w:jc w:val="left"/>
                          <w:rPr>
                            <w:rFonts w:ascii="宋体" w:hAnsi="宋体" w:cs="宋体" w:eastAsia="宋体" w:hint="default"/>
                            <w:sz w:val="18"/>
                            <w:szCs w:val="18"/>
                          </w:rPr>
                        </w:pPr>
                        <w:r>
                          <w:rPr>
                            <w:rFonts w:ascii="宋体" w:hAnsi="宋体" w:cs="宋体" w:eastAsia="宋体" w:hint="default"/>
                            <w:sz w:val="18"/>
                            <w:szCs w:val="18"/>
                          </w:rPr>
                          <w:t>参照财务报告内部控制缺陷的定量标 </w:t>
                        </w:r>
                        <w:r>
                          <w:rPr>
                            <w:rFonts w:ascii="宋体" w:hAnsi="宋体" w:cs="宋体" w:eastAsia="宋体" w:hint="default"/>
                            <w:spacing w:val="-4"/>
                            <w:sz w:val="18"/>
                            <w:szCs w:val="18"/>
                          </w:rPr>
                          <w:t>准，确定上市公司非财务报告内部控制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缺陷重要程度的定量标准为：定量标准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以营业收入、资产总额作为衡量指标。 内部控制缺陷可能导致或导致的损失 </w:t>
                        </w:r>
                        <w:r>
                          <w:rPr>
                            <w:rFonts w:ascii="宋体" w:hAnsi="宋体" w:cs="宋体" w:eastAsia="宋体" w:hint="default"/>
                            <w:spacing w:val="-4"/>
                            <w:sz w:val="18"/>
                            <w:szCs w:val="18"/>
                          </w:rPr>
                          <w:t>与利润报表相关的，以营业收入指标衡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量。如果该缺陷单独或连同其他缺陷可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能导致的财务报告错报金额不超过营 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，则认定为一般缺陷；如 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但不超过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认 定为重要缺陷；如果超过营业收入的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，则认定为重大缺陷。内部控制缺 陷可能导致或导致的损失与资产管理 </w:t>
                        </w:r>
                        <w:r>
                          <w:rPr>
                            <w:rFonts w:ascii="宋体" w:hAnsi="宋体" w:cs="宋体" w:eastAsia="宋体" w:hint="default"/>
                            <w:spacing w:val="-4"/>
                            <w:sz w:val="18"/>
                            <w:szCs w:val="18"/>
                          </w:rPr>
                          <w:t>相关的，以资产总额指标衡量。如果该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缺陷单独或连同其他缺陷可能导致的 财务报告错报金额不超过资产总额的 </w:t>
                        </w: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，则认定为一般缺陷；如果超过资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产总额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的，则认定 </w:t>
                        </w:r>
                        <w:r>
                          <w:rPr>
                            <w:rFonts w:ascii="宋体" w:hAnsi="宋体" w:cs="宋体" w:eastAsia="宋体" w:hint="default"/>
                            <w:spacing w:val="-3"/>
                            <w:sz w:val="18"/>
                            <w:szCs w:val="18"/>
                          </w:rPr>
                          <w:t>为重要缺陷；如果超过资产总额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则认定为重大缺陷。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3"/>
        <w:spacing w:line="240" w:lineRule="auto" w:before="26"/>
        <w:ind w:right="0"/>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我们认为，仁东控股公司按照《企业内部控制基本规范》和相关规定于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 报告相关的有效的内部控制。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会计师事务所是否出具非标准意见的内部控制鉴证报告</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会计师事务所出具的内部控制鉴证报告与董事会的自我评价报告意见是否一致</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3"/>
      <w:bookmarkEnd w:id="153"/>
      <w:r>
        <w:rPr>
          <w:b w:val="0"/>
          <w:bCs w:val="0"/>
        </w:rPr>
      </w:r>
      <w:bookmarkStart w:name="_bookmark9" w:id="154"/>
      <w:bookmarkEnd w:id="154"/>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第十一节 财务报告" w:id="155"/>
      <w:bookmarkEnd w:id="155"/>
      <w:r>
        <w:rPr>
          <w:b w:val="0"/>
          <w:bCs w:val="0"/>
        </w:rPr>
      </w:r>
      <w:bookmarkStart w:name="_bookmark10" w:id="156"/>
      <w:bookmarkEnd w:id="156"/>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审计报告" w:id="157"/>
      <w:bookmarkEnd w:id="15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中兴财光华审会字（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齐正华、王雅栋</w:t>
            </w:r>
          </w:p>
        </w:tc>
      </w:tr>
    </w:tbl>
    <w:p>
      <w:pPr>
        <w:pStyle w:val="BodyText"/>
        <w:spacing w:line="240" w:lineRule="auto" w:before="51"/>
        <w:ind w:left="495" w:right="1471"/>
        <w:jc w:val="center"/>
      </w:pPr>
      <w:r>
        <w:rPr/>
        <w:t>审计报告正文</w:t>
      </w:r>
    </w:p>
    <w:p>
      <w:pPr>
        <w:spacing w:line="240" w:lineRule="auto" w:before="6"/>
        <w:rPr>
          <w:rFonts w:ascii="宋体" w:hAnsi="宋体" w:cs="宋体" w:eastAsia="宋体" w:hint="default"/>
          <w:sz w:val="14"/>
          <w:szCs w:val="14"/>
        </w:rPr>
      </w:pPr>
    </w:p>
    <w:p>
      <w:pPr>
        <w:pStyle w:val="Heading2"/>
        <w:spacing w:line="240" w:lineRule="auto"/>
        <w:ind w:left="495" w:right="912"/>
        <w:jc w:val="center"/>
        <w:rPr>
          <w:b w:val="0"/>
          <w:bCs w:val="0"/>
        </w:rPr>
      </w:pPr>
      <w:r>
        <w:rPr/>
        <w:t>审计报告</w:t>
      </w:r>
      <w:r>
        <w:rPr>
          <w:b w:val="0"/>
          <w:bCs w:val="0"/>
        </w:rPr>
      </w:r>
    </w:p>
    <w:p>
      <w:pPr>
        <w:spacing w:line="240" w:lineRule="auto" w:before="8"/>
        <w:rPr>
          <w:rFonts w:ascii="宋体" w:hAnsi="宋体" w:cs="宋体" w:eastAsia="宋体" w:hint="default"/>
          <w:b/>
          <w:bCs/>
          <w:sz w:val="10"/>
          <w:szCs w:val="10"/>
        </w:rPr>
      </w:pPr>
    </w:p>
    <w:p>
      <w:pPr>
        <w:spacing w:after="0" w:line="240" w:lineRule="auto"/>
        <w:rPr>
          <w:rFonts w:ascii="宋体" w:hAnsi="宋体" w:cs="宋体" w:eastAsia="宋体" w:hint="default"/>
          <w:sz w:val="10"/>
          <w:szCs w:val="10"/>
        </w:rPr>
        <w:sectPr>
          <w:pgSz w:w="11910" w:h="16840"/>
          <w:pgMar w:header="747" w:footer="979" w:top="1060" w:bottom="1160" w:left="980" w:right="0"/>
        </w:sectPr>
      </w:pPr>
    </w:p>
    <w:p>
      <w:pPr>
        <w:spacing w:line="240" w:lineRule="auto" w:before="0"/>
        <w:rPr>
          <w:rFonts w:ascii="宋体" w:hAnsi="宋体" w:cs="宋体" w:eastAsia="宋体" w:hint="default"/>
          <w:b/>
          <w:bCs/>
          <w:sz w:val="18"/>
          <w:szCs w:val="18"/>
        </w:rPr>
      </w:pPr>
    </w:p>
    <w:p>
      <w:pPr>
        <w:spacing w:line="316" w:lineRule="auto" w:before="121"/>
        <w:ind w:left="636" w:right="-19" w:hanging="483"/>
        <w:jc w:val="left"/>
        <w:rPr>
          <w:rFonts w:ascii="宋体" w:hAnsi="宋体" w:cs="宋体" w:eastAsia="宋体" w:hint="default"/>
          <w:sz w:val="18"/>
          <w:szCs w:val="18"/>
        </w:rPr>
      </w:pPr>
      <w:r>
        <w:rPr>
          <w:rFonts w:ascii="宋体" w:hAnsi="宋体" w:cs="宋体" w:eastAsia="宋体" w:hint="default"/>
          <w:sz w:val="18"/>
          <w:szCs w:val="18"/>
        </w:rPr>
        <w:t>仁东控股股份有限公司全体股东：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240" w:lineRule="auto" w:before="44"/>
        <w:ind w:left="153" w:right="0"/>
        <w:jc w:val="left"/>
      </w:pPr>
      <w:r>
        <w:rPr/>
        <w:br w:type="column"/>
      </w:r>
      <w:r>
        <w:rPr/>
        <w:t>中兴财光华审会字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105017</w:t>
      </w:r>
      <w:r>
        <w:rPr/>
        <w:t>号</w:t>
      </w:r>
    </w:p>
    <w:p>
      <w:pPr>
        <w:spacing w:after="0" w:line="240" w:lineRule="auto"/>
        <w:jc w:val="left"/>
        <w:sectPr>
          <w:type w:val="continuous"/>
          <w:pgSz w:w="11910" w:h="16840"/>
          <w:pgMar w:top="1060" w:bottom="1160" w:left="980" w:right="0"/>
          <w:cols w:num="2" w:equalWidth="0">
            <w:col w:w="2855" w:space="3965"/>
            <w:col w:w="4110"/>
          </w:cols>
        </w:sectPr>
      </w:pPr>
    </w:p>
    <w:p>
      <w:pPr>
        <w:pStyle w:val="BodyText"/>
        <w:spacing w:line="300" w:lineRule="auto" w:before="19"/>
        <w:ind w:right="1131" w:firstLine="480"/>
        <w:jc w:val="both"/>
      </w:pPr>
      <w:r>
        <w:rPr/>
        <w:t>我们审计了仁东控股股份有限公司（以下简称仁东控股公司）财务报表，包括</w:t>
      </w:r>
      <w:r>
        <w:rPr>
          <w:spacing w:val="52"/>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日的合并及公司资产负 债表，</w:t>
      </w:r>
      <w:r>
        <w:rPr>
          <w:rFonts w:ascii="Times New Roman" w:hAnsi="Times New Roman" w:cs="Times New Roman" w:eastAsia="Times New Roman" w:hint="default"/>
        </w:rPr>
        <w:t>2018</w:t>
      </w:r>
      <w:r>
        <w:rPr/>
        <w:t>年度的合并及公司利润表、合并及公司现金流量表、合并及公司股东权益变动表以及财务报表附注。</w:t>
      </w:r>
    </w:p>
    <w:p>
      <w:pPr>
        <w:pStyle w:val="BodyText"/>
        <w:spacing w:line="300" w:lineRule="auto" w:before="13"/>
        <w:ind w:right="1130" w:firstLine="480"/>
        <w:jc w:val="both"/>
      </w:pPr>
      <w:r>
        <w:rPr>
          <w:spacing w:val="-1"/>
        </w:rPr>
        <w:t>我们认为，后附的财务报表在所有重大方面按照企业会计准则的规定编制，公允反映了仁东控股公司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t> 的合并及公司财务状况以及</w:t>
      </w:r>
      <w:r>
        <w:rPr>
          <w:rFonts w:ascii="Times New Roman" w:hAnsi="Times New Roman" w:cs="Times New Roman" w:eastAsia="Times New Roman" w:hint="default"/>
        </w:rPr>
        <w:t>2018</w:t>
      </w:r>
      <w:r>
        <w:rPr/>
        <w:t>年度的合并及公司经营成果和现金流量。</w:t>
      </w:r>
    </w:p>
    <w:p>
      <w:pPr>
        <w:pStyle w:val="BodyText"/>
        <w:spacing w:line="316" w:lineRule="auto" w:before="13"/>
        <w:ind w:left="634" w:right="1112" w:firstLine="2"/>
        <w:jc w:val="left"/>
      </w:pPr>
      <w:r>
        <w:rPr>
          <w:rFonts w:ascii="宋体" w:hAnsi="宋体" w:cs="宋体" w:eastAsia="宋体" w:hint="default"/>
          <w:b/>
          <w:bCs/>
        </w:rPr>
        <w:t>二、形成审计意见的基础</w:t>
      </w:r>
      <w:r>
        <w:rPr>
          <w:rFonts w:ascii="宋体" w:hAnsi="宋体" w:cs="宋体" w:eastAsia="宋体" w:hint="default"/>
          <w:b/>
          <w:bCs/>
          <w:w w:val="99"/>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w:t>
      </w:r>
    </w:p>
    <w:p>
      <w:pPr>
        <w:pStyle w:val="BodyText"/>
        <w:spacing w:line="316" w:lineRule="auto"/>
        <w:ind w:right="0"/>
        <w:jc w:val="left"/>
      </w:pPr>
      <w:r>
        <w:rPr>
          <w:spacing w:val="-2"/>
        </w:rPr>
        <w:t>步阐述了我们在这些准则下的责任。按照中国注册会计师职业道德守则，我们独立于仁东控股公司，并履行了职业道德方面</w:t>
      </w:r>
      <w:r>
        <w:rPr>
          <w:spacing w:val="-66"/>
        </w:rPr>
        <w:t> </w:t>
      </w:r>
      <w:r>
        <w:rPr>
          <w:spacing w:val="-66"/>
        </w:rPr>
      </w:r>
      <w:r>
        <w:rPr/>
        <w:t>的其他责任。我们相信，我们获取的审计证据是充分、适当的，为发表审计意见提供了基础。</w:t>
      </w:r>
    </w:p>
    <w:p>
      <w:pPr>
        <w:pStyle w:val="Heading5"/>
        <w:spacing w:line="240" w:lineRule="auto"/>
        <w:ind w:right="0"/>
        <w:jc w:val="left"/>
        <w:rPr>
          <w:b w:val="0"/>
          <w:bCs w:val="0"/>
        </w:rPr>
      </w:pPr>
      <w:r>
        <w:rPr/>
        <w:t>三、其他事项</w:t>
      </w:r>
      <w:r>
        <w:rPr>
          <w:b w:val="0"/>
          <w:bCs w:val="0"/>
        </w:rPr>
      </w:r>
    </w:p>
    <w:p>
      <w:pPr>
        <w:pStyle w:val="BodyText"/>
        <w:spacing w:line="300" w:lineRule="auto" w:before="76"/>
        <w:ind w:right="1131" w:firstLine="48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日的合并及公司资产负债表，</w:t>
      </w:r>
      <w:r>
        <w:rPr>
          <w:rFonts w:ascii="Times New Roman" w:hAnsi="Times New Roman" w:cs="Times New Roman" w:eastAsia="Times New Roman" w:hint="default"/>
          <w:spacing w:val="-1"/>
        </w:rPr>
        <w:t>2017</w:t>
      </w:r>
      <w:r>
        <w:rPr>
          <w:spacing w:val="-1"/>
        </w:rPr>
        <w:t>年度的合并及公司利润表、合并及公司现金流量表、合并及公司股东</w:t>
      </w:r>
      <w:r>
        <w:rPr/>
        <w:t> </w:t>
      </w:r>
      <w:r>
        <w:rPr>
          <w:spacing w:val="4"/>
        </w:rPr>
        <w:t>权益变动表以及财务报表附注由中汇会计师事务所（特殊普通合伙）进行审计，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16"/>
        </w:rPr>
        <w:t> </w:t>
      </w:r>
      <w:r>
        <w:rPr>
          <w:spacing w:val="4"/>
        </w:rPr>
        <w:t>日出具了《中汇会审</w:t>
      </w:r>
      <w:r>
        <w:rPr/>
        <w:t> </w:t>
      </w:r>
      <w:r>
        <w:rPr>
          <w:rFonts w:ascii="Times New Roman" w:hAnsi="Times New Roman" w:cs="Times New Roman" w:eastAsia="Times New Roman" w:hint="default"/>
        </w:rPr>
        <w:t>[2018]2539</w:t>
      </w:r>
      <w:r>
        <w:rPr/>
        <w:t>号》保留意见审计报告。</w:t>
      </w:r>
    </w:p>
    <w:p>
      <w:pPr>
        <w:pStyle w:val="BodyText"/>
        <w:spacing w:line="316" w:lineRule="auto" w:before="13"/>
        <w:ind w:left="634" w:right="0" w:firstLine="2"/>
        <w:jc w:val="left"/>
      </w:pPr>
      <w:r>
        <w:rPr>
          <w:rFonts w:ascii="宋体" w:hAnsi="宋体" w:cs="宋体" w:eastAsia="宋体" w:hint="default"/>
          <w:b/>
          <w:bCs/>
        </w:rPr>
        <w:t>四、关键审计事项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关键审计事项是我们根据职业判断，认为对本期财务报表审计最为重要的事项。这些事项的应对以对财务报表整体进</w:t>
      </w:r>
    </w:p>
    <w:p>
      <w:pPr>
        <w:pStyle w:val="BodyText"/>
        <w:spacing w:line="316" w:lineRule="auto" w:before="19"/>
        <w:ind w:right="1118"/>
        <w:jc w:val="left"/>
      </w:pPr>
      <w:r>
        <w:rPr>
          <w:spacing w:val="-2"/>
        </w:rPr>
        <w:t>行审计并形成审计意见为背景，我们不对这些事项单独发表意见。我们确定下列事项是需要在审计报告中沟通的关键审计事</w:t>
      </w:r>
      <w:r>
        <w:rPr>
          <w:spacing w:val="-64"/>
        </w:rPr>
        <w:t> </w:t>
      </w:r>
      <w:r>
        <w:rPr>
          <w:spacing w:val="-64"/>
        </w:rPr>
      </w:r>
      <w:r>
        <w:rPr/>
        <w:t>项。</w:t>
      </w:r>
    </w:p>
    <w:p>
      <w:pPr>
        <w:pStyle w:val="BodyText"/>
        <w:spacing w:line="300" w:lineRule="auto" w:before="19"/>
        <w:ind w:left="634" w:right="9179" w:firstLine="7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商誉减值</w:t>
      </w:r>
      <w:r>
        <w:rPr>
          <w:w w:val="99"/>
        </w:rPr>
        <w:t> </w:t>
      </w:r>
      <w:r>
        <w:rPr>
          <w:rFonts w:ascii="Times New Roman" w:hAnsi="Times New Roman" w:cs="Times New Roman" w:eastAsia="Times New Roman" w:hint="default"/>
        </w:rPr>
        <w:t>1.</w:t>
      </w:r>
      <w:r>
        <w:rPr/>
        <w:t>事项描述</w:t>
      </w:r>
    </w:p>
    <w:p>
      <w:pPr>
        <w:pStyle w:val="BodyText"/>
        <w:spacing w:line="307" w:lineRule="auto" w:before="13"/>
        <w:ind w:right="1032" w:firstLine="360"/>
        <w:jc w:val="left"/>
      </w:pPr>
      <w:r>
        <w:rPr>
          <w:spacing w:val="-3"/>
        </w:rPr>
        <w:t>关于商誉详见附注</w:t>
      </w:r>
      <w:r>
        <w:rPr>
          <w:rFonts w:ascii="Times New Roman" w:hAnsi="Times New Roman" w:cs="Times New Roman" w:eastAsia="Times New Roman" w:hint="default"/>
          <w:spacing w:val="-3"/>
        </w:rPr>
        <w:t>“</w:t>
      </w:r>
      <w:r>
        <w:rPr>
          <w:spacing w:val="-3"/>
        </w:rPr>
        <w:t>五、注释</w:t>
      </w:r>
      <w:r>
        <w:rPr>
          <w:rFonts w:ascii="Times New Roman" w:hAnsi="Times New Roman" w:cs="Times New Roman" w:eastAsia="Times New Roman" w:hint="default"/>
          <w:spacing w:val="-3"/>
        </w:rPr>
        <w:t>14</w:t>
      </w:r>
      <w:r>
        <w:rPr>
          <w:spacing w:val="-3"/>
        </w:rPr>
        <w:t>、截至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日，仁东控股公司合并财务报表中商誉的账面余额为</w:t>
      </w:r>
      <w:r>
        <w:rPr>
          <w:rFonts w:ascii="Times New Roman" w:hAnsi="Times New Roman" w:cs="Times New Roman" w:eastAsia="Times New Roman" w:hint="default"/>
          <w:spacing w:val="-3"/>
        </w:rPr>
        <w:t>119,449.54</w:t>
      </w:r>
      <w:r>
        <w:rPr>
          <w:spacing w:val="-3"/>
        </w:rPr>
        <w:t>万元，</w:t>
      </w:r>
      <w:r>
        <w:rPr/>
        <w:t> 商誉减值准备为</w:t>
      </w:r>
      <w:r>
        <w:rPr>
          <w:rFonts w:ascii="Times New Roman" w:hAnsi="Times New Roman" w:cs="Times New Roman" w:eastAsia="Times New Roman" w:hint="default"/>
        </w:rPr>
        <w:t>19,585.31</w:t>
      </w:r>
      <w:r>
        <w:rPr/>
        <w:t>万元，净值为</w:t>
      </w:r>
      <w:r>
        <w:rPr>
          <w:rFonts w:ascii="Times New Roman" w:hAnsi="Times New Roman" w:cs="Times New Roman" w:eastAsia="Times New Roman" w:hint="default"/>
        </w:rPr>
        <w:t>99,864.23</w:t>
      </w:r>
      <w:r>
        <w:rPr/>
        <w:t>万元，占合并财务报表资产总额的</w:t>
      </w:r>
      <w:r>
        <w:rPr>
          <w:rFonts w:ascii="Times New Roman" w:hAnsi="Times New Roman" w:cs="Times New Roman" w:eastAsia="Times New Roman" w:hint="default"/>
        </w:rPr>
        <w:t>19.91%</w:t>
      </w:r>
      <w:r>
        <w:rPr/>
        <w:t>。该商誉主要系仁东控股公司于</w:t>
      </w:r>
      <w:r>
        <w:rPr>
          <w:spacing w:val="-24"/>
        </w:rPr>
        <w:t> </w:t>
      </w:r>
      <w:r>
        <w:rPr>
          <w:spacing w:val="-24"/>
        </w:rPr>
      </w:r>
      <w:r>
        <w:rPr>
          <w:rFonts w:ascii="Times New Roman" w:hAnsi="Times New Roman" w:cs="Times New Roman" w:eastAsia="Times New Roman" w:hint="default"/>
          <w:spacing w:val="-2"/>
        </w:rPr>
        <w:t>2016</w:t>
      </w:r>
      <w:r>
        <w:rPr>
          <w:spacing w:val="-2"/>
        </w:rPr>
        <w:t>年度因收购合利金融公司形成的。管理层在每年年度终了对商誉进行减值测试，并依据减值测试的结果调整商誉的账面</w:t>
      </w:r>
      <w:r>
        <w:rPr>
          <w:spacing w:val="-60"/>
        </w:rPr>
        <w:t> </w:t>
      </w:r>
      <w:r>
        <w:rPr>
          <w:spacing w:val="-60"/>
        </w:rPr>
      </w:r>
      <w:r>
        <w:rPr>
          <w:spacing w:val="-2"/>
        </w:rPr>
        <w:t>价值。因商誉减值测试的评估过程复杂，需要管理层做出重大估计和判断，减值评估涉及确定折现率等评估参数及对未来若</w:t>
      </w:r>
      <w:r>
        <w:rPr>
          <w:spacing w:val="-66"/>
        </w:rPr>
        <w:t> </w:t>
      </w:r>
      <w:r>
        <w:rPr>
          <w:spacing w:val="-66"/>
        </w:rPr>
      </w:r>
      <w:r>
        <w:rPr/>
        <w:t>干年的经营和财务情况的假计，包括未来若干年的销售增长率和毛利率等。因为商誉账面价值较大，对财务报表影响重大， 我们将商誉减值识别为关键审计事项。</w:t>
      </w:r>
    </w:p>
    <w:p>
      <w:pPr>
        <w:pStyle w:val="BodyText"/>
        <w:spacing w:line="240" w:lineRule="auto" w:before="26"/>
        <w:ind w:left="514" w:right="0"/>
        <w:jc w:val="left"/>
      </w:pPr>
      <w:r>
        <w:rPr>
          <w:rFonts w:ascii="Times New Roman" w:hAnsi="Times New Roman" w:cs="Times New Roman" w:eastAsia="Times New Roman" w:hint="default"/>
        </w:rPr>
        <w:t>2.</w:t>
      </w:r>
      <w:r>
        <w:rPr/>
        <w:t>审计应对</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left="634" w:right="1138"/>
        <w:jc w:val="left"/>
      </w:pPr>
      <w:r>
        <w:rPr/>
        <w:t>我们执行的与商誉减值相关的审计程序主要包括： </w:t>
      </w:r>
      <w:r>
        <w:rPr>
          <w:rFonts w:ascii="Times New Roman" w:hAnsi="Times New Roman" w:cs="Times New Roman" w:eastAsia="Times New Roman" w:hint="default"/>
        </w:rPr>
        <w:t>(1)</w:t>
      </w:r>
      <w:r>
        <w:rPr/>
        <w:t>评估及测试了与商誉减值测试相关的内部控制的设计及执行有效性； </w:t>
      </w:r>
      <w:r>
        <w:rPr>
          <w:rFonts w:ascii="Times New Roman" w:hAnsi="Times New Roman" w:cs="Times New Roman" w:eastAsia="Times New Roman" w:hint="default"/>
          <w:spacing w:val="2"/>
        </w:rPr>
        <w:t>(2)</w:t>
      </w:r>
      <w:r>
        <w:rPr>
          <w:spacing w:val="2"/>
        </w:rPr>
        <w:t>分析管理层对商誉所属资产组的认定和进行商誉减值测试时采用的关键假设和方法，检查相关假设和方法的合理</w:t>
      </w:r>
    </w:p>
    <w:p>
      <w:pPr>
        <w:pStyle w:val="BodyText"/>
        <w:spacing w:line="240" w:lineRule="auto" w:before="5"/>
        <w:ind w:right="0"/>
        <w:jc w:val="left"/>
      </w:pPr>
      <w:r>
        <w:rPr/>
        <w:t>性；</w:t>
      </w:r>
    </w:p>
    <w:p>
      <w:pPr>
        <w:pStyle w:val="BodyText"/>
        <w:spacing w:line="300" w:lineRule="auto" w:before="77"/>
        <w:ind w:left="634" w:right="1115"/>
        <w:jc w:val="left"/>
      </w:pPr>
      <w:r>
        <w:rPr>
          <w:rFonts w:ascii="Times New Roman" w:hAnsi="Times New Roman" w:cs="Times New Roman" w:eastAsia="Times New Roman" w:hint="default"/>
        </w:rPr>
        <w:t>(3)</w:t>
      </w:r>
      <w:r>
        <w:rPr/>
        <w:t>了解资产组的历史业绩情况及发展规划，以及行业的发展趋势</w:t>
      </w:r>
      <w:r>
        <w:rPr>
          <w:w w:val="99"/>
        </w:rPr>
        <w:t> </w:t>
      </w:r>
      <w:r>
        <w:rPr>
          <w:rFonts w:ascii="Times New Roman" w:hAnsi="Times New Roman" w:cs="Times New Roman" w:eastAsia="Times New Roman" w:hint="default"/>
          <w:spacing w:val="-1"/>
        </w:rPr>
        <w:t>(4)</w:t>
      </w:r>
      <w:r>
        <w:rPr>
          <w:spacing w:val="-1"/>
        </w:rPr>
        <w:t>将管理层在上年计算预计未来现金流量现值时采用的估计与本年实际情况进行比较，以考虑管理层预测结果的历史</w:t>
      </w:r>
    </w:p>
    <w:p>
      <w:pPr>
        <w:pStyle w:val="BodyText"/>
        <w:spacing w:line="240" w:lineRule="auto" w:before="13"/>
        <w:ind w:right="0"/>
        <w:jc w:val="left"/>
      </w:pPr>
      <w:r>
        <w:rPr/>
        <w:t>准确性。</w:t>
      </w:r>
    </w:p>
    <w:p>
      <w:pPr>
        <w:pStyle w:val="BodyText"/>
        <w:spacing w:line="300" w:lineRule="auto" w:before="76"/>
        <w:ind w:left="634" w:right="1115"/>
        <w:jc w:val="left"/>
      </w:pPr>
      <w:r>
        <w:rPr>
          <w:rFonts w:ascii="Times New Roman" w:hAnsi="Times New Roman" w:cs="Times New Roman" w:eastAsia="Times New Roman" w:hint="default"/>
        </w:rPr>
        <w:t>(5)</w:t>
      </w:r>
      <w:r>
        <w:rPr/>
        <w:t>评价管理层委聘的外部估值专家的胜任能力、专业素质和客观性；</w:t>
      </w:r>
      <w:r>
        <w:rPr>
          <w:w w:val="99"/>
        </w:rPr>
        <w:t> </w:t>
      </w:r>
      <w:r>
        <w:rPr>
          <w:rFonts w:ascii="Times New Roman" w:hAnsi="Times New Roman" w:cs="Times New Roman" w:eastAsia="Times New Roman" w:hint="default"/>
        </w:rPr>
        <w:t>(6)</w:t>
      </w:r>
      <w:r>
        <w:rPr/>
        <w:t>复核外部估值专家对资产组的估值方法及出具的评估报告的恰当性和准确性；</w:t>
      </w:r>
      <w:r>
        <w:rPr>
          <w:w w:val="99"/>
        </w:rPr>
        <w:t> </w:t>
      </w:r>
      <w:r>
        <w:rPr>
          <w:rFonts w:ascii="Times New Roman" w:hAnsi="Times New Roman" w:cs="Times New Roman" w:eastAsia="Times New Roman" w:hint="default"/>
          <w:spacing w:val="-1"/>
        </w:rPr>
        <w:t>(7)</w:t>
      </w:r>
      <w:r>
        <w:rPr>
          <w:spacing w:val="-1"/>
        </w:rPr>
        <w:t>获取并测试了管理层编制的商誉所属资产组可收回金额的计算表，比较包含商誉资产组的账面价值与其可收回金额</w:t>
      </w:r>
    </w:p>
    <w:p>
      <w:pPr>
        <w:pStyle w:val="BodyText"/>
        <w:spacing w:line="240" w:lineRule="auto" w:before="13"/>
        <w:ind w:right="0"/>
        <w:jc w:val="left"/>
      </w:pPr>
      <w:r>
        <w:rPr/>
        <w:t>的差异，确认是否存在商誉减值情况；</w:t>
      </w:r>
    </w:p>
    <w:p>
      <w:pPr>
        <w:pStyle w:val="BodyText"/>
        <w:spacing w:line="240" w:lineRule="auto" w:before="76"/>
        <w:ind w:left="634" w:right="0"/>
        <w:jc w:val="left"/>
      </w:pPr>
      <w:r>
        <w:rPr>
          <w:rFonts w:ascii="Times New Roman" w:hAnsi="Times New Roman" w:cs="Times New Roman" w:eastAsia="Times New Roman" w:hint="default"/>
        </w:rPr>
        <w:t>(8)</w:t>
      </w:r>
      <w:r>
        <w:rPr/>
        <w:t>检查与商誉减值相关的信息是否已在财务报表中作出恰当列报和披露。</w:t>
      </w:r>
    </w:p>
    <w:p>
      <w:pPr>
        <w:pStyle w:val="BodyText"/>
        <w:spacing w:line="240" w:lineRule="auto" w:before="63"/>
        <w:ind w:left="495" w:right="8951"/>
        <w:jc w:val="center"/>
      </w:pPr>
      <w:r>
        <w:rPr/>
        <w:t>（二）收入的确认</w:t>
      </w:r>
    </w:p>
    <w:p>
      <w:pPr>
        <w:pStyle w:val="BodyText"/>
        <w:spacing w:line="300" w:lineRule="auto" w:before="76"/>
        <w:ind w:left="634" w:right="103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事项描述 </w:t>
      </w:r>
      <w:r>
        <w:rPr>
          <w:spacing w:val="-2"/>
        </w:rPr>
        <w:t>关于收入详见财务报表附注</w:t>
      </w:r>
      <w:r>
        <w:rPr>
          <w:rFonts w:ascii="Times New Roman" w:hAnsi="Times New Roman" w:cs="Times New Roman" w:eastAsia="Times New Roman" w:hint="default"/>
          <w:spacing w:val="-2"/>
        </w:rPr>
        <w:t>“</w:t>
      </w:r>
      <w:r>
        <w:rPr>
          <w:spacing w:val="-2"/>
        </w:rPr>
        <w:t>三、公司重要会计政策和会计估计</w:t>
      </w:r>
      <w:r>
        <w:rPr>
          <w:rFonts w:ascii="Times New Roman" w:hAnsi="Times New Roman" w:cs="Times New Roman" w:eastAsia="Times New Roman" w:hint="default"/>
          <w:spacing w:val="-2"/>
        </w:rPr>
        <w:t>”24</w:t>
      </w:r>
      <w:r>
        <w:rPr>
          <w:spacing w:val="-2"/>
        </w:rPr>
        <w:t>所述的会计政策及</w:t>
      </w:r>
      <w:r>
        <w:rPr>
          <w:rFonts w:ascii="Times New Roman" w:hAnsi="Times New Roman" w:cs="Times New Roman" w:eastAsia="Times New Roman" w:hint="default"/>
          <w:spacing w:val="-2"/>
        </w:rPr>
        <w:t>“</w:t>
      </w:r>
      <w:r>
        <w:rPr>
          <w:spacing w:val="-2"/>
        </w:rPr>
        <w:t>五、合并财务报表项目注释</w:t>
      </w:r>
      <w:r>
        <w:rPr>
          <w:rFonts w:ascii="Times New Roman" w:hAnsi="Times New Roman" w:cs="Times New Roman" w:eastAsia="Times New Roman" w:hint="default"/>
          <w:spacing w:val="-2"/>
        </w:rPr>
        <w:t>”33</w:t>
      </w:r>
      <w:r>
        <w:rPr>
          <w:spacing w:val="-2"/>
        </w:rPr>
        <w:t>。</w:t>
      </w:r>
      <w:r>
        <w:rPr>
          <w:spacing w:val="-50"/>
        </w:rPr>
        <w:t> </w:t>
      </w:r>
      <w:r>
        <w:rPr/>
        <w:t>仁东控股公司及其子公司主要从事供应链、保理、第三方支付、小贷、租赁业务。</w:t>
      </w:r>
      <w:r>
        <w:rPr>
          <w:rFonts w:ascii="Times New Roman" w:hAnsi="Times New Roman" w:cs="Times New Roman" w:eastAsia="Times New Roman" w:hint="default"/>
        </w:rPr>
        <w:t>2018</w:t>
      </w:r>
      <w:r>
        <w:rPr/>
        <w:t>年度，仁东控股公司营业收入</w:t>
      </w:r>
    </w:p>
    <w:p>
      <w:pPr>
        <w:pStyle w:val="BodyText"/>
        <w:spacing w:line="300" w:lineRule="auto" w:before="13"/>
        <w:ind w:left="634" w:right="0" w:hanging="480"/>
        <w:jc w:val="left"/>
      </w:pPr>
      <w:r>
        <w:rPr/>
        <w:t>为人民币</w:t>
      </w:r>
      <w:r>
        <w:rPr>
          <w:rFonts w:ascii="Times New Roman" w:hAnsi="Times New Roman" w:cs="Times New Roman" w:eastAsia="Times New Roman" w:hint="default"/>
        </w:rPr>
        <w:t>148,593</w:t>
      </w:r>
      <w:r>
        <w:rPr/>
        <w:t>万元，较上年增长</w:t>
      </w:r>
      <w:r>
        <w:rPr>
          <w:rFonts w:ascii="Times New Roman" w:hAnsi="Times New Roman" w:cs="Times New Roman" w:eastAsia="Times New Roman" w:hint="default"/>
        </w:rPr>
        <w:t>55.84%</w:t>
      </w:r>
      <w:r>
        <w:rPr/>
        <w:t>，主要为国内销售产生的收入。 </w:t>
      </w:r>
      <w:r>
        <w:rPr>
          <w:spacing w:val="-1"/>
        </w:rPr>
        <w:t>由于收入是仁东控股公司的关键业绩指标之一，从而存在管理层为了达到特定目标或期望而操纵收入确认时点的固有</w:t>
      </w:r>
    </w:p>
    <w:p>
      <w:pPr>
        <w:pStyle w:val="BodyText"/>
        <w:spacing w:line="240" w:lineRule="auto" w:before="31"/>
        <w:ind w:right="0"/>
        <w:jc w:val="left"/>
      </w:pPr>
      <w:r>
        <w:rPr/>
        <w:t>风险，我们将仁东控股公司收入确认识别为关键审计事项。</w:t>
      </w:r>
    </w:p>
    <w:p>
      <w:pPr>
        <w:pStyle w:val="BodyText"/>
        <w:spacing w:line="316" w:lineRule="auto" w:before="76"/>
        <w:ind w:left="634" w:right="6312"/>
        <w:jc w:val="left"/>
      </w:pPr>
      <w:r>
        <w:rPr/>
        <w:t>（二）审计应对 我们执行的与收入确认相关的审计程序主要包括：</w:t>
      </w:r>
    </w:p>
    <w:p>
      <w:pPr>
        <w:pStyle w:val="BodyText"/>
        <w:spacing w:line="240" w:lineRule="auto" w:before="19"/>
        <w:ind w:left="634" w:right="0"/>
        <w:jc w:val="left"/>
      </w:pPr>
      <w:r>
        <w:rPr/>
        <w:t>（</w:t>
      </w:r>
      <w:r>
        <w:rPr>
          <w:rFonts w:ascii="宋体" w:hAnsi="宋体" w:cs="宋体" w:eastAsia="宋体" w:hint="default"/>
        </w:rPr>
        <w:t>1</w:t>
      </w:r>
      <w:r>
        <w:rPr/>
        <w:t>）了解和评价管理层与收入确认相关的关键内部控制的设计和运行有效性；</w:t>
      </w:r>
    </w:p>
    <w:p>
      <w:pPr>
        <w:pStyle w:val="BodyText"/>
        <w:spacing w:line="316" w:lineRule="auto" w:before="77"/>
        <w:ind w:right="0" w:firstLine="480"/>
        <w:jc w:val="left"/>
      </w:pPr>
      <w:r>
        <w:rPr/>
        <w:t>（</w:t>
      </w:r>
      <w:r>
        <w:rPr>
          <w:rFonts w:ascii="宋体" w:hAnsi="宋体" w:cs="宋体" w:eastAsia="宋体" w:hint="default"/>
        </w:rPr>
        <w:t>2</w:t>
      </w:r>
      <w:r>
        <w:rPr/>
        <w:t>）选取样本检查销售合同，识别与商品所有权上的风险和报酬转移相关的合同条款与条件，评价仁东控股公司的 收入确认时点是否符合企业会计准则的要求；</w:t>
      </w:r>
    </w:p>
    <w:p>
      <w:pPr>
        <w:pStyle w:val="BodyText"/>
        <w:spacing w:line="316" w:lineRule="auto" w:before="19"/>
        <w:ind w:right="0" w:firstLine="480"/>
        <w:jc w:val="left"/>
      </w:pPr>
      <w:r>
        <w:rPr/>
        <w:t>（</w:t>
      </w:r>
      <w:r>
        <w:rPr>
          <w:rFonts w:ascii="宋体" w:hAnsi="宋体" w:cs="宋体" w:eastAsia="宋体" w:hint="default"/>
        </w:rPr>
        <w:t>3</w:t>
      </w:r>
      <w:r>
        <w:rPr/>
        <w:t>）对本年记录的收入交易选取样本，核对发票、业务合同及客户验收回单，评价相关收入确认是否符合仁东控股 公司收入确认的会计政策；</w:t>
      </w:r>
    </w:p>
    <w:p>
      <w:pPr>
        <w:pStyle w:val="BodyText"/>
        <w:spacing w:line="316" w:lineRule="auto" w:before="19"/>
        <w:ind w:right="0" w:firstLine="480"/>
        <w:jc w:val="left"/>
      </w:pPr>
      <w:r>
        <w:rPr/>
        <w:t>（</w:t>
      </w:r>
      <w:r>
        <w:rPr>
          <w:rFonts w:ascii="宋体" w:hAnsi="宋体" w:cs="宋体" w:eastAsia="宋体" w:hint="default"/>
        </w:rPr>
        <w:t>4</w:t>
      </w:r>
      <w:r>
        <w:rPr/>
        <w:t>）对于第三方支付业务，我们对信息系统进行了审计，以审核其是否有效，抽取交易样本，取得交易明细，按照 合同费率测算与系统得出的结果是否一致。</w:t>
      </w:r>
    </w:p>
    <w:p>
      <w:pPr>
        <w:pStyle w:val="BodyText"/>
        <w:spacing w:line="316" w:lineRule="auto" w:before="19"/>
        <w:ind w:right="1118" w:firstLine="480"/>
        <w:jc w:val="left"/>
      </w:pPr>
      <w:r>
        <w:rPr/>
        <w:t>（</w:t>
      </w:r>
      <w:r>
        <w:rPr>
          <w:rFonts w:ascii="宋体" w:hAnsi="宋体" w:cs="宋体" w:eastAsia="宋体" w:hint="default"/>
        </w:rPr>
        <w:t>5</w:t>
      </w:r>
      <w:r>
        <w:rPr/>
        <w:t>）就资产负债表日前后记录的收入交易，选取样本，核对订单及其他支持性文件，以评价收入是否被记录于恰当 的会计期间；</w:t>
      </w:r>
    </w:p>
    <w:p>
      <w:pPr>
        <w:pStyle w:val="Heading5"/>
        <w:spacing w:line="240" w:lineRule="auto"/>
        <w:ind w:right="0"/>
        <w:jc w:val="left"/>
        <w:rPr>
          <w:b w:val="0"/>
          <w:bCs w:val="0"/>
        </w:rPr>
      </w:pPr>
      <w:r>
        <w:rPr/>
        <w:t>五、其他信息</w:t>
      </w:r>
      <w:r>
        <w:rPr>
          <w:b w:val="0"/>
          <w:bCs w:val="0"/>
        </w:rPr>
      </w:r>
    </w:p>
    <w:p>
      <w:pPr>
        <w:pStyle w:val="BodyText"/>
        <w:spacing w:line="300" w:lineRule="auto" w:before="76"/>
        <w:ind w:right="1080" w:firstLine="480"/>
        <w:jc w:val="left"/>
      </w:pPr>
      <w:r>
        <w:rPr/>
        <w:t>仁东控股公司管理层</w:t>
      </w:r>
      <w:r>
        <w:rPr>
          <w:rFonts w:ascii="Times New Roman" w:hAnsi="Times New Roman" w:cs="Times New Roman" w:eastAsia="Times New Roman" w:hint="default"/>
        </w:rPr>
        <w:t>(</w:t>
      </w:r>
      <w:r>
        <w:rPr/>
        <w:t>以下简称管理层</w:t>
      </w:r>
      <w:r>
        <w:rPr>
          <w:rFonts w:ascii="Times New Roman" w:hAnsi="Times New Roman" w:cs="Times New Roman" w:eastAsia="Times New Roman" w:hint="default"/>
        </w:rPr>
        <w:t>)</w:t>
      </w:r>
      <w:r>
        <w:rPr/>
        <w:t>对其他信息负责。其他信息包括仁东控股公司</w:t>
      </w:r>
      <w:r>
        <w:rPr>
          <w:spacing w:val="-18"/>
        </w:rPr>
        <w:t> </w:t>
      </w:r>
      <w:r>
        <w:rPr>
          <w:rFonts w:ascii="Times New Roman" w:hAnsi="Times New Roman" w:cs="Times New Roman" w:eastAsia="Times New Roman" w:hint="default"/>
        </w:rPr>
        <w:t>2018</w:t>
      </w:r>
      <w:r>
        <w:rPr/>
        <w:t>年年度报告中涵盖的信息， 但不包括财务报表和我们的审计报告。</w:t>
      </w:r>
    </w:p>
    <w:p>
      <w:pPr>
        <w:pStyle w:val="BodyText"/>
        <w:spacing w:line="316" w:lineRule="auto" w:before="31"/>
        <w:ind w:left="634" w:right="0"/>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结合我们对财务报表的审计，我们的责任是阅读其他信息，在此过程中，考虑其他信息是否与财务报表或我们在审计</w:t>
      </w:r>
    </w:p>
    <w:p>
      <w:pPr>
        <w:pStyle w:val="BodyText"/>
        <w:spacing w:line="316" w:lineRule="auto" w:before="19"/>
        <w:ind w:left="634" w:right="0" w:hanging="480"/>
        <w:jc w:val="left"/>
      </w:pPr>
      <w:r>
        <w:rPr/>
        <w:t>过程中了解到的情况存在重大不一致或者似乎存在重大错报。 </w:t>
      </w:r>
      <w:r>
        <w:rPr>
          <w:spacing w:val="-1"/>
        </w:rPr>
        <w:t>基于我们已执行的工作，如果我们确定其他信息存在重大错报，我们应当报告该事实。在这方面，我们无任何事项需</w:t>
      </w:r>
    </w:p>
    <w:p>
      <w:pPr>
        <w:pStyle w:val="BodyText"/>
        <w:spacing w:line="240" w:lineRule="auto" w:before="19"/>
        <w:ind w:right="0"/>
        <w:jc w:val="left"/>
      </w:pPr>
      <w:r>
        <w:rPr/>
        <w:t>要报告。</w:t>
      </w:r>
    </w:p>
    <w:p>
      <w:pPr>
        <w:spacing w:line="316" w:lineRule="auto" w:before="76"/>
        <w:ind w:left="634" w:right="0" w:firstLine="2"/>
        <w:jc w:val="left"/>
        <w:rPr>
          <w:rFonts w:ascii="宋体" w:hAnsi="宋体" w:cs="宋体" w:eastAsia="宋体" w:hint="default"/>
          <w:sz w:val="18"/>
          <w:szCs w:val="18"/>
        </w:rPr>
      </w:pPr>
      <w:r>
        <w:rPr>
          <w:rFonts w:ascii="宋体" w:hAnsi="宋体" w:cs="宋体" w:eastAsia="宋体" w:hint="default"/>
          <w:b/>
          <w:bCs/>
          <w:sz w:val="18"/>
          <w:szCs w:val="18"/>
        </w:rPr>
        <w:t>六、管理层和治理层对财务报表的责任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管理层负责按照企业会计准则的规定编制财务报表，使其实现公允反映，并设计、执行和维护必要的内部控制，以使</w:t>
      </w:r>
    </w:p>
    <w:p>
      <w:pPr>
        <w:pStyle w:val="BodyText"/>
        <w:spacing w:line="316" w:lineRule="auto" w:before="19"/>
        <w:ind w:left="634" w:right="0" w:hanging="480"/>
        <w:jc w:val="left"/>
      </w:pPr>
      <w:r>
        <w:rPr/>
        <w:t>财务报表不存在由于舞弊或错误导致的重大错报。 </w:t>
      </w:r>
      <w:r>
        <w:rPr>
          <w:spacing w:val="-1"/>
        </w:rPr>
        <w:t>在编制财务报表时，管理层负责评估仁东控股公司的持续经营能力，披露与持续经营相关的事项（如适用），并运用</w:t>
      </w:r>
    </w:p>
    <w:p>
      <w:pPr>
        <w:pStyle w:val="BodyText"/>
        <w:spacing w:line="316" w:lineRule="auto" w:before="19"/>
        <w:ind w:left="634" w:right="3912" w:hanging="480"/>
        <w:jc w:val="left"/>
      </w:pPr>
      <w:r>
        <w:rPr/>
        <w:t>持续经营假设，除非管理层计划清算仁东控股公司、终止运营或别无其他现实的选择。 治理层负责监督仁东控股公司的财务报告过程。</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634" w:right="0" w:firstLine="2"/>
        <w:jc w:val="left"/>
        <w:rPr>
          <w:rFonts w:ascii="宋体" w:hAnsi="宋体" w:cs="宋体" w:eastAsia="宋体" w:hint="default"/>
          <w:sz w:val="18"/>
          <w:szCs w:val="18"/>
        </w:rPr>
      </w:pPr>
      <w:r>
        <w:rPr>
          <w:rFonts w:ascii="宋体" w:hAnsi="宋体" w:cs="宋体" w:eastAsia="宋体" w:hint="default"/>
          <w:b/>
          <w:bCs/>
          <w:sz w:val="18"/>
          <w:szCs w:val="18"/>
        </w:rPr>
        <w:t>七、注册会计师对财务报表审计的责任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1"/>
          <w:sz w:val="18"/>
          <w:szCs w:val="18"/>
        </w:rPr>
        <w:t>我们的目标是对财务报表整体是否不存在由于舞弊或错误导致的重大错报获取合理保证，并出具包含审计意见的审计</w:t>
      </w:r>
    </w:p>
    <w:p>
      <w:pPr>
        <w:pStyle w:val="BodyText"/>
        <w:spacing w:line="319" w:lineRule="auto" w:before="19"/>
        <w:ind w:right="1131"/>
        <w:jc w:val="both"/>
      </w:pP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7"/>
        <w:ind w:left="634" w:right="0"/>
        <w:jc w:val="left"/>
      </w:pPr>
      <w:r>
        <w:rPr/>
        <w:t>在按照审计准则执行审计工作的过程中，我们运用职业判断，并保持职业怀疑。同时，我们也执行以下工作：</w:t>
      </w:r>
    </w:p>
    <w:p>
      <w:pPr>
        <w:pStyle w:val="BodyText"/>
        <w:spacing w:line="316" w:lineRule="auto" w:before="76"/>
        <w:ind w:right="1041" w:firstLine="480"/>
        <w:jc w:val="both"/>
      </w:pPr>
      <w:r>
        <w:rPr>
          <w:spacing w:val="-1"/>
        </w:rPr>
        <w:t>（</w:t>
      </w:r>
      <w:r>
        <w:rPr>
          <w:rFonts w:ascii="宋体" w:hAnsi="宋体" w:cs="宋体" w:eastAsia="宋体" w:hint="default"/>
          <w:spacing w:val="-1"/>
        </w:rPr>
        <w:t>1</w:t>
      </w:r>
      <w:r>
        <w:rPr>
          <w:spacing w:val="-1"/>
        </w:rPr>
        <w:t>）识别和评估由于舞弊或错误导致的财务报表重大错报风险，设计和实施审计程序以应对这些风险，并获取充分、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9"/>
        <w:ind w:left="634" w:right="0"/>
        <w:jc w:val="left"/>
      </w:pPr>
      <w:r>
        <w:rPr/>
        <w:t>（</w:t>
      </w:r>
      <w:r>
        <w:rPr>
          <w:rFonts w:ascii="宋体" w:hAnsi="宋体" w:cs="宋体" w:eastAsia="宋体" w:hint="default"/>
        </w:rPr>
        <w:t>2</w:t>
      </w:r>
      <w:r>
        <w:rPr/>
        <w:t>）了解与审计相关的内部控制，以设计恰当的审计程序。</w:t>
      </w:r>
    </w:p>
    <w:p>
      <w:pPr>
        <w:pStyle w:val="BodyText"/>
        <w:spacing w:line="240" w:lineRule="auto" w:before="76"/>
        <w:ind w:left="634" w:right="0"/>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316" w:lineRule="auto" w:before="76"/>
        <w:ind w:right="1132" w:firstLine="480"/>
        <w:jc w:val="both"/>
      </w:pPr>
      <w:r>
        <w:rPr/>
        <w:t>（</w:t>
      </w:r>
      <w:r>
        <w:rPr>
          <w:rFonts w:ascii="宋体" w:hAnsi="宋体" w:cs="宋体" w:eastAsia="宋体" w:hint="default"/>
        </w:rPr>
        <w:t>4</w:t>
      </w:r>
      <w:r>
        <w:rPr/>
        <w:t>）对管理层使用持续经营假设的恰当性得出结论。同时，根据获取的审计证据，就可能导致对仁东控股公司持续 </w:t>
      </w:r>
      <w:r>
        <w:rPr>
          <w:spacing w:val="-2"/>
        </w:rPr>
        <w:t>经营能力产生重大疑虑的事项或情况是否存在重大不确定性得出结论。如果我们得出结论认为存在重大不确定性，审计准则</w:t>
      </w:r>
      <w:r>
        <w:rPr>
          <w:spacing w:val="-64"/>
        </w:rPr>
        <w:t> </w:t>
      </w:r>
      <w:r>
        <w:rPr>
          <w:spacing w:val="-64"/>
        </w:rPr>
      </w:r>
      <w:r>
        <w:rPr>
          <w:spacing w:val="-2"/>
        </w:rPr>
        <w:t>要求我们在审计报告中提请报表使用者注意财务报表中的相关披露；如果披露不充分，我们应当发表非无保留意见。我们的</w:t>
      </w:r>
      <w:r>
        <w:rPr>
          <w:spacing w:val="-66"/>
        </w:rPr>
        <w:t> </w:t>
      </w:r>
      <w:r>
        <w:rPr>
          <w:spacing w:val="-66"/>
        </w:rPr>
      </w:r>
      <w:r>
        <w:rPr/>
        <w:t>结论基于截至审计报告日可获得的信息。然而，未来的事项或情况可能导致仁东控股公司不能持续经营。</w:t>
      </w:r>
    </w:p>
    <w:p>
      <w:pPr>
        <w:pStyle w:val="BodyText"/>
        <w:spacing w:line="240" w:lineRule="auto" w:before="19"/>
        <w:ind w:left="634" w:right="0"/>
        <w:jc w:val="left"/>
      </w:pPr>
      <w:r>
        <w:rPr/>
        <w:t>（</w:t>
      </w:r>
      <w:r>
        <w:rPr>
          <w:rFonts w:ascii="宋体" w:hAnsi="宋体" w:cs="宋体" w:eastAsia="宋体" w:hint="default"/>
        </w:rPr>
        <w:t>5</w:t>
      </w:r>
      <w:r>
        <w:rPr/>
        <w:t>）评价财务报表的总体列报、结构和内容（包括披露），并评价财务报表是否公允反映相关交易和事项。</w:t>
      </w:r>
    </w:p>
    <w:p>
      <w:pPr>
        <w:pStyle w:val="BodyText"/>
        <w:spacing w:line="316" w:lineRule="auto" w:before="76"/>
        <w:ind w:right="1137" w:firstLine="480"/>
        <w:jc w:val="both"/>
      </w:pPr>
      <w:r>
        <w:rPr/>
        <w:t>（</w:t>
      </w:r>
      <w:r>
        <w:rPr>
          <w:rFonts w:ascii="宋体" w:hAnsi="宋体" w:cs="宋体" w:eastAsia="宋体" w:hint="default"/>
        </w:rPr>
        <w:t>6</w:t>
      </w:r>
      <w:r>
        <w:rPr/>
        <w:t>）就仁东控股公司中实体或业务活动的财务信息获取充分、适当的审计证据，以对财务报表发表审计意见。我们 负责指导、监督和执行集团审计，并对审计意见承担全部责任。</w:t>
      </w:r>
    </w:p>
    <w:p>
      <w:pPr>
        <w:pStyle w:val="BodyText"/>
        <w:spacing w:line="316" w:lineRule="auto" w:before="19"/>
        <w:ind w:right="1133" w:firstLine="480"/>
        <w:jc w:val="both"/>
      </w:pPr>
      <w:r>
        <w:rPr>
          <w:spacing w:val="-1"/>
        </w:rPr>
        <w:t>我们与治理层就计划的审计范围、时间安排和重大审计发现等事项进行沟通，包括沟通我们在审计中识别出的值得关</w:t>
      </w:r>
      <w:r>
        <w:rPr/>
        <w:t> 注的内部控制缺陷。</w:t>
      </w:r>
    </w:p>
    <w:p>
      <w:pPr>
        <w:pStyle w:val="BodyText"/>
        <w:spacing w:line="316" w:lineRule="auto" w:before="19"/>
        <w:ind w:right="1133" w:firstLine="480"/>
        <w:jc w:val="both"/>
      </w:pPr>
      <w:r>
        <w:rPr>
          <w:spacing w:val="-1"/>
        </w:rPr>
        <w:t>我们还就遵守与独立性相关的职业道德要求向治理层提供声明，并与治理层沟通可能被合理认为影响我们独立性的所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19"/>
        <w:ind w:right="1133" w:firstLine="480"/>
        <w:jc w:val="both"/>
      </w:pPr>
      <w:r>
        <w:rPr>
          <w:spacing w:val="-1"/>
        </w:rPr>
        <w:t>从与治理层沟通过的事项中，我们确定哪些事项对本期财务报表审计最为重要，因而构成关键审计事项。我们在审计</w:t>
      </w:r>
      <w:r>
        <w:rPr/>
        <w:t>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10"/>
        <w:rPr>
          <w:rFonts w:ascii="宋体" w:hAnsi="宋体" w:cs="宋体" w:eastAsia="宋体" w:hint="default"/>
          <w:sz w:val="20"/>
          <w:szCs w:val="20"/>
        </w:rPr>
      </w:pPr>
    </w:p>
    <w:p>
      <w:pPr>
        <w:pStyle w:val="Heading3"/>
        <w:spacing w:line="240" w:lineRule="auto"/>
        <w:ind w:right="0"/>
        <w:jc w:val="both"/>
        <w:rPr>
          <w:b w:val="0"/>
          <w:bCs w:val="0"/>
        </w:rPr>
      </w:pPr>
      <w:bookmarkStart w:name="二、财务报表" w:id="158"/>
      <w:bookmarkEnd w:id="15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1、合并资产负债表" w:id="159"/>
      <w:bookmarkEnd w:id="15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编制单位：仁东控股股份有限公司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2855" w:space="122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49" w:right="0"/>
              <w:jc w:val="left"/>
              <w:rPr>
                <w:rFonts w:ascii="Times New Roman" w:hAnsi="Times New Roman" w:cs="Times New Roman" w:eastAsia="Times New Roman" w:hint="default"/>
                <w:sz w:val="18"/>
                <w:szCs w:val="18"/>
              </w:rPr>
            </w:pPr>
            <w:r>
              <w:rPr>
                <w:rFonts w:ascii="Times New Roman"/>
                <w:sz w:val="18"/>
              </w:rPr>
              <w:t>631,564,027.25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1" w:right="0"/>
              <w:jc w:val="left"/>
              <w:rPr>
                <w:rFonts w:ascii="Times New Roman" w:hAnsi="Times New Roman" w:cs="Times New Roman" w:eastAsia="Times New Roman" w:hint="default"/>
                <w:sz w:val="18"/>
                <w:szCs w:val="18"/>
              </w:rPr>
            </w:pPr>
            <w:r>
              <w:rPr>
                <w:rFonts w:ascii="Times New Roman"/>
                <w:sz w:val="18"/>
              </w:rPr>
              <w:t>600,831,025.18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343,829,641.52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601,071,735.29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343,829,641.52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569,571,735.29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3,577,720.23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7,470,175.75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32,003,317.52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14,927,746.90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909,826.53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261,981.72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16,185.15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10,166.66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63,394,685.76</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2,537,379,692.82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255,083,509.42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3,611,765,270.25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1,479,394,359.20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8,073,237.03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246,250.00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32,449,065.47</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5,923,984.80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6,815,786.93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38,331,855.25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46,094,385.59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998,642,311.55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998,642,311.55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2,403,907.07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1,847,920.77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154,191.08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1,506,161.68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239,990,332.08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240,423,334.75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1,403,968,884.33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1,368,576,151.27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5,015,734,154.58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2,847,970,510.47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322,150,000.00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21,461,997.10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19,370,887.39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778,764.34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4,274,101.41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11,384,393.96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9,237,568.00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18,229,973.00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16,847,939.26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564,420,930.02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211,073,839.75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1,867,454.94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2,790,209.06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279,650,000.00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2,601,585,025.87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444,804,105.27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3,587,511,084.29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1,147,758,441.08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909,650,000.00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5,029,561.66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5,972,271.67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425,029,561.66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915,622,271.67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4,012,540,645.95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2,063,380,712.75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559,936,650.00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373,291,100.00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191,142,018.58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238,285,168.58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-9,132.84</w:t>
            </w:r>
            <w:r>
              <w:rPr>
                <w:rFonts w:ascii="Times New Roman"/>
                <w:sz w:val="18"/>
              </w:rPr>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-4,780.26</w:t>
            </w:r>
            <w:r>
              <w:rPr>
                <w:rFonts w:ascii="Times New Roman"/>
                <w:sz w:val="18"/>
              </w:rPr>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43,544,814.66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43,544,814.66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3,773.16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3,773.16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174,119,931.13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121,132,981.40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968,738,054.69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776,253,057.54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34,455,453.94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8,336,740.18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1,003,193,508.63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784,589,797.72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5,015,734,154.58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2,847,970,510.47</w:t>
            </w:r>
          </w:p>
        </w:tc>
      </w:tr>
    </w:tbl>
    <w:p>
      <w:pPr>
        <w:spacing w:line="240" w:lineRule="auto" w:before="3"/>
        <w:rPr>
          <w:rFonts w:ascii="Times New Roman" w:hAnsi="Times New Roman" w:cs="Times New Roman" w:eastAsia="Times New Roman" w:hint="default"/>
          <w:sz w:val="23"/>
          <w:szCs w:val="23"/>
        </w:rPr>
      </w:pPr>
    </w:p>
    <w:p>
      <w:pPr>
        <w:pStyle w:val="BodyText"/>
        <w:tabs>
          <w:tab w:pos="3574" w:val="left" w:leader="none"/>
          <w:tab w:pos="7805" w:val="left" w:leader="none"/>
        </w:tabs>
        <w:spacing w:line="240" w:lineRule="auto" w:before="44"/>
        <w:ind w:right="0"/>
        <w:jc w:val="left"/>
      </w:pPr>
      <w:r>
        <w:rPr/>
        <w:t>法定代表人：王石山</w:t>
        <w:tab/>
        <w:t>主管会计工作负责人：王石山</w:t>
        <w:tab/>
        <w:t>会计机构负责人：高硕</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60"/>
      <w:bookmarkEnd w:id="16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8,084,534.08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3,458,017.15</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30,763,438.13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29,763,438.13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1,835,967.48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143,885.76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943,780,892.53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924,396,107.30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329,660.92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286,129.51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954,031,055.01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959,047,577.85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5,051,695,990.00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4,851,677,590.00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253,826.72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438,595.95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512,955.26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32,281.51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420,656.05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5,052,462,771.98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4,852,569,123.51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6,006,493,826.99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5,811,616,701.36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123,100,000.00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24,450.00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1,898,938.24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390,118.41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1,448,451.55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97,438.19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184,003.01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4,436,328,437.05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3,947,711,278.92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1,421,343.83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1,996,925.99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79,650,000.00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4,606,490,443.65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4,194,342,671.72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709,650,000.00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709,650,000.00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5,026,490,443.65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4,903,992,671.72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559,936,650.00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373,291,100.00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309,684,562.96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356,827,712.96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43,544,814.66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43,544,814.66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66,837,355.72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133,960,402.02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0"/>
        <w:gridCol w:w="3314"/>
        <w:gridCol w:w="2966"/>
      </w:tblGrid>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980,003,383.34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907,624,029.64</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6,006,493,826.99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5,811,616,701.36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61"/>
      <w:bookmarkEnd w:id="16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1,485,929,981.01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953,473,662.21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1,485,929,981.01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953,473,662.21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1,409,040,245.28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1,146,802,805.35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1,206,895,191.59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769,458,889.57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3,256,808.86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5,247,720.50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28,700,153.98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20,264,563.82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77,513,627.06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77,634,313.20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34,970,559.10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13,816,925.37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56,455,715.07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61,793,872.02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56,592,764.69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65,077,872.90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1,218,577.59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3,785,600.80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1,248,189.62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198,586,520.87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2,913,019.08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7,532,617.13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15,100.17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87,335,371.94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-193,314,042.97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300,625.66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5,504,837.73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503,506.63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1,404,307.38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87,132,490.97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-189,213,512.62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28,392,931.11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25,321,050.80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58,739,559.86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-214,534,563.42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58,739,559.86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-214,534,563.42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52,986,949.73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-215,741,620.52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5,752,610.13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1,207,057.10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-4,352.58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-4,780.26</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-4,352.58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-4,780.26</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-4,352.58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-4,780.26</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-4,352.58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-4,780.26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58,735,207.28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-214,539,343.68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52,982,597.15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-215,746,400.78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5,752,610.13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1,207,057.10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-0.38</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-0.38</w:t>
            </w:r>
            <w:r>
              <w:rPr>
                <w:rFonts w:ascii="Times New Roman"/>
                <w:sz w:val="18"/>
              </w:rPr>
            </w:r>
          </w:p>
        </w:tc>
      </w:tr>
    </w:tbl>
    <w:p>
      <w:pPr>
        <w:pStyle w:val="BodyText"/>
        <w:tabs>
          <w:tab w:pos="3574" w:val="left" w:leader="none"/>
          <w:tab w:pos="7805" w:val="left" w:leader="none"/>
        </w:tabs>
        <w:spacing w:line="592" w:lineRule="auto" w:before="51"/>
        <w:ind w:right="1229"/>
        <w:jc w:val="left"/>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法定代表人：王石山</w:t>
        <w:tab/>
        <w:t>主管会计工作负责人：王石山</w:t>
        <w:tab/>
        <w:t>会计机构负责人：高硕 </w:t>
      </w:r>
      <w:bookmarkStart w:name="4、母公司利润表" w:id="162"/>
      <w:bookmarkEnd w:id="16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247,682,832.57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86,132,272.14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246,284,537.59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82,128,080.70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130,469.80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906,902.99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337,700.95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4,383,979.23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17,472,954.28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25,401,475.92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49,130,970.31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53,922,942.10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61"/>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49,194,933.70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61,248,701.76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61"/>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97,655.50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7,358,690.78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1,044,342.60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126,327,934.41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52,159.05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-66,665,983.91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-206,939,043.21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457,062.63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1,400,439.13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-67,123,046.30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-208,339,477.34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4,360,728.94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-67,123,046.30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-212,700,206.28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-67,123,046.30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-212,700,206.28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-67,123,046.30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-212,700,206.28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合并现金流量表" w:id="163"/>
      <w:bookmarkEnd w:id="16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1,654,913,498.26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857,504,485.91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717,565,584.12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595,538,947.40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2,372,479,082.38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1,453,043,433.31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1,219,454,772.69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837,916,889.47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8,058,647.05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76,110,323.05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62,012,969.31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53,531,745.53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83,695,200.50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779,946,604.77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1,044,606,526.31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2,137,102,093.09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2,028,481,585.59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235,376,989.29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-575,438,152.28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375,387,884.89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4,642,167.97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1,013,055.56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4,642,167.97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461,400,940.45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3,138,496.95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7,843,669.49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312,085,000.00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47,872,416.78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79,624,888.10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12,550.00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71,023,463.73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399,553,557.59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-66,381,295.76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61,847,382.86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1,275,388,400.00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1,464,388,400.00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2,390,440,000.00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732,150,000.00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112,887,000.00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57,163,484.32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71,221,887.47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728,787,144.62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1,508,375,087.50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1,518,100,628.94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1,692,483,974.97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-53,712,228.94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697,956,025.03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-464.01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-576.35</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115,283,000.58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184,364,679.26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378,147,499.85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193,782,820.59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493,430,500.43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378,147,499.85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bookmarkStart w:name="6、母公司现金流量表" w:id="164"/>
      <w:bookmarkEnd w:id="16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318,488,765.93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75,833,889.08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399,658.18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2,180,808.61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318,888,424.11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78,014,697.69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285,733,771.58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96,231,455.71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6,309,164.35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19,033,526.19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128,022.80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48,399,749.43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21,546,969.09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14,853,754.25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313,717,927.82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178,518,485.58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5,170,496.29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-100,503,787.89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375,356,583.92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760,997,033.33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6,217,890.77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760,997,033.33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516,574,474.69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10,974.00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718,891.40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3,494,531,699.18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47,872,416.78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793,841,983.73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964,020,572.48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1,056,725,374.51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4,459,271,163.06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-295,728,341.18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-3,942,696,688.37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952,750,000.00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1,790,877,668.08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4,469,285,413.62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1,960,877,668.08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5,422,035,413.62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112,887,000.00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49,418,559.62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61,791,839.95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1,083,174,746.64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1,352,819,487.50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1,665,693,306.26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1,527,498,327.45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295,184,361.82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3,894,537,086.17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4,626,516.93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-148,663,390.09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3,458,017.15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152,121,407.24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8,084,534.08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3,458,017.15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合并所有者权益变动表" w:id="165"/>
      <w:bookmarkEnd w:id="16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373,29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1,100.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238,285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,168.58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-4,780.2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814.66</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121,132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,981.40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8,336,7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40.18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784,589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,797.72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373,29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1,100.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238,285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,168.58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-4,780.2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814.66</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121,132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,981.40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8,336,7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40.18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784,589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,797.72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186,64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5,550.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-47,143,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-4,352.5</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52,986,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949.73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26,118,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713.76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218,603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,710.91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-4,352.5</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52,986,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949.73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5,752,6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10.13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58,735,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207.28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20,366,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103.63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20,366,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103.63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19,000,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19,000,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1,366,1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03.63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1,366,1</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03.63</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186,64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5,550.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5,550.0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186,64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5,550.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5,550.0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139,502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139,502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,400.00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559,93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6,650.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191,142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,018.58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-9,132.8</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814.66</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174,119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,931.13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34,455,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453.94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93,508.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63</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219,58</w:t>
            </w:r>
          </w:p>
          <w:p>
            <w:pPr>
              <w:pStyle w:val="TableParagraph"/>
              <w:spacing w:line="240" w:lineRule="auto" w:before="104"/>
              <w:ind w:left="84"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519,872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,486.82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43,544,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814.66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336,878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,375.08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29,280,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064.84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1,149,1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58,741.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40</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219,58</w:t>
            </w:r>
          </w:p>
          <w:p>
            <w:pPr>
              <w:pStyle w:val="TableParagraph"/>
              <w:spacing w:line="240" w:lineRule="auto" w:before="104"/>
              <w:ind w:left="84"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519,872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,486.82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43,544,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814.66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336,878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,375.08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29,280,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064.84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1,149,1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58,741.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40</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153,70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8,100.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-281,58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7,318.2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-4,780.2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-215,74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5,393.6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-20,943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,324.66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-364,56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8,943.6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162"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-4,780.2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-215,74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1,620.5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1,207,0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57.10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-214,53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9,343.6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2"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-127,87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9,218.2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-22,150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,381.76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9,600.0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9,218.2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-22,150</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,381.76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-3,773.1</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-3,773.1</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153,70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8,100.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153,70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8,100.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373,29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1,100.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238,285</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,168.58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-4,780.2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814.66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121,132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,981.40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8,336,7</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40.18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784,589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,797.72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bookmarkStart w:name="8、母公司所有者权益变动表" w:id="166"/>
      <w:bookmarkEnd w:id="16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8"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373,291,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356,827,7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12.96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43,544,81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4.66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133,960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,402.02</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907,624,0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29.64</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373,291,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356,827,7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12.96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43,544,81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4.66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133,960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,402.02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907,624,0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29.64</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186,645,</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550.00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-47,143,1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-67,123,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046.30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72,379,35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3.70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-67,123,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046.30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-67,123,0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46.30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186,645,</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550.00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-186,645,</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550.00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186,645,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550.00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-186,645,</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550.00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139,502,4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139,502,4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559,936,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309,684,5</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62.96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43,544,81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66,837,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355.72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980,003,3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83.34</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219,583,</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510,535,8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12.96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43,544,81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4.66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346,660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,608.30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1,120,324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,235.92</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219,583,</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510,535,8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12.96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43,544,81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4.66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346,660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,608.30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1,120,324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,235.92</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153,708,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100.00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-153,708,</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-212,70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0,206.2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-212,700,</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206.28</w:t>
            </w: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-212,70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0,206.2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-212,700,</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206.28</w:t>
            </w:r>
          </w:p>
        </w:tc>
      </w:tr>
      <w:tr>
        <w:trPr>
          <w:trHeight w:val="70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（二）所有者投入</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153,708,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100.00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-153,708,</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153,708,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100.00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-153,708,</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373,291,</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100.00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356,827,7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43,544,81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133,960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,402.02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907,624,0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29.64</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三、公司基本情况" w:id="167"/>
      <w:bookmarkEnd w:id="167"/>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firstLine="420"/>
        <w:jc w:val="right"/>
      </w:pPr>
      <w:r>
        <w:rPr>
          <w:spacing w:val="-2"/>
        </w:rPr>
        <w:t>仁东控股股份有限公司</w:t>
      </w:r>
      <w:r>
        <w:rPr>
          <w:rFonts w:ascii="Times New Roman" w:hAnsi="Times New Roman" w:cs="Times New Roman" w:eastAsia="Times New Roman" w:hint="default"/>
          <w:spacing w:val="-2"/>
        </w:rPr>
        <w:t>(</w:t>
      </w:r>
      <w:r>
        <w:rPr>
          <w:spacing w:val="-2"/>
        </w:rPr>
        <w:t>以下简称公司或本公司</w:t>
      </w:r>
      <w:r>
        <w:rPr>
          <w:rFonts w:ascii="Times New Roman" w:hAnsi="Times New Roman" w:cs="Times New Roman" w:eastAsia="Times New Roman" w:hint="default"/>
          <w:spacing w:val="-2"/>
        </w:rPr>
        <w:t>)</w:t>
      </w:r>
      <w:r>
        <w:rPr>
          <w:spacing w:val="-2"/>
        </w:rPr>
        <w:t>前身为浙江宏磊铜业股份有限公司，浙江宏磊铜业股份有限公司系在宏</w:t>
      </w:r>
      <w:r>
        <w:rPr/>
        <w:t> </w:t>
      </w:r>
      <w:r>
        <w:rPr>
          <w:spacing w:val="2"/>
        </w:rPr>
        <w:t>磊集团有限公司的基础上采用整体变更方式设立的股份有限公司， </w:t>
      </w:r>
      <w:r>
        <w:rPr/>
        <w:t>于</w:t>
      </w:r>
      <w:r>
        <w:rPr>
          <w:rFonts w:ascii="Times New Roman" w:hAnsi="Times New Roman" w:cs="Times New Roman" w:eastAsia="Times New Roman" w:hint="default"/>
        </w:rPr>
        <w:t>2007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29</w:t>
      </w:r>
      <w:r>
        <w:rPr>
          <w:rFonts w:ascii="Times New Roman" w:hAnsi="Times New Roman" w:cs="Times New Roman" w:eastAsia="Times New Roman" w:hint="default"/>
          <w:spacing w:val="32"/>
        </w:rPr>
        <w:t> </w:t>
      </w:r>
      <w:r>
        <w:rPr>
          <w:spacing w:val="2"/>
        </w:rPr>
        <w:t>日在浙江省工商行政管理局登记注</w:t>
      </w:r>
      <w:r>
        <w:rPr/>
        <w:t> 册，</w:t>
      </w:r>
      <w:r>
        <w:rPr>
          <w:spacing w:val="-19"/>
        </w:rPr>
        <w:t> </w:t>
      </w:r>
      <w:r>
        <w:rPr/>
        <w:t>取得注册号为</w:t>
      </w:r>
      <w:r>
        <w:rPr>
          <w:rFonts w:ascii="Times New Roman" w:hAnsi="Times New Roman" w:cs="Times New Roman" w:eastAsia="Times New Roman" w:hint="default"/>
        </w:rPr>
        <w:t>330681000010590</w:t>
      </w:r>
      <w:r>
        <w:rPr/>
        <w:t>的《企业法人营业执照》。</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月，公司名称变更为民盛金科控股股份有限公司。 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[2011]1923</w:t>
      </w:r>
      <w:r>
        <w:rPr/>
        <w:t>号文</w:t>
      </w:r>
      <w:r>
        <w:rPr>
          <w:rFonts w:ascii="Times New Roman" w:hAnsi="Times New Roman" w:cs="Times New Roman" w:eastAsia="Times New Roman" w:hint="default"/>
        </w:rPr>
        <w:t>)</w:t>
      </w:r>
      <w:r>
        <w:rPr/>
        <w:t>核准，公司获准向社会公开发行人民币普通股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t>股票</w:t>
      </w:r>
      <w:r>
        <w:rPr>
          <w:rFonts w:ascii="Times New Roman" w:hAnsi="Times New Roman" w:cs="Times New Roman" w:eastAsia="Times New Roman" w:hint="default"/>
        </w:rPr>
        <w:t>4,223</w:t>
      </w:r>
      <w:r>
        <w:rPr/>
        <w:t>万</w:t>
      </w:r>
    </w:p>
    <w:p>
      <w:pPr>
        <w:spacing w:after="0" w:line="300" w:lineRule="auto"/>
        <w:jc w:val="righ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，公司股票于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日在深圳证券交易所挂牌交易，发行后公司注册资本为</w:t>
      </w:r>
      <w:r>
        <w:rPr>
          <w:rFonts w:ascii="Times New Roman" w:hAnsi="Times New Roman" w:cs="Times New Roman" w:eastAsia="Times New Roman" w:hint="default"/>
        </w:rPr>
        <w:t>16,891</w:t>
      </w:r>
      <w:r>
        <w:rPr/>
        <w:t>万元，股份总数</w:t>
      </w:r>
    </w:p>
    <w:p>
      <w:pPr>
        <w:pStyle w:val="BodyText"/>
        <w:spacing w:line="300" w:lineRule="auto" w:before="63"/>
        <w:ind w:left="574" w:right="0" w:hanging="420"/>
        <w:jc w:val="left"/>
      </w:pPr>
      <w:r>
        <w:rPr>
          <w:rFonts w:ascii="Times New Roman" w:hAnsi="Times New Roman" w:cs="Times New Roman" w:eastAsia="Times New Roman" w:hint="default"/>
        </w:rPr>
        <w:t>16,891</w:t>
      </w:r>
      <w:r>
        <w:rPr/>
        <w:t>万股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 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日召开的</w:t>
      </w:r>
      <w:r>
        <w:rPr>
          <w:rFonts w:ascii="Times New Roman" w:hAnsi="Times New Roman" w:cs="Times New Roman" w:eastAsia="Times New Roman" w:hint="default"/>
        </w:rPr>
        <w:t>2013</w:t>
      </w:r>
      <w:r>
        <w:rPr/>
        <w:t>年度股东大会决议，以资本公积金向全体股东每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股。以</w:t>
      </w:r>
      <w:r>
        <w:rPr>
          <w:rFonts w:ascii="Times New Roman" w:hAnsi="Times New Roman" w:cs="Times New Roman" w:eastAsia="Times New Roman" w:hint="default"/>
        </w:rPr>
        <w:t>16,891</w:t>
      </w:r>
      <w:r>
        <w:rPr/>
        <w:t>万股为基数，本</w:t>
      </w:r>
    </w:p>
    <w:p>
      <w:pPr>
        <w:pStyle w:val="BodyText"/>
        <w:spacing w:line="300" w:lineRule="auto" w:before="13"/>
        <w:ind w:right="1118"/>
        <w:jc w:val="left"/>
      </w:pPr>
      <w:r>
        <w:rPr>
          <w:spacing w:val="-2"/>
        </w:rPr>
        <w:t>次资本公积转增股本新增公司注册资本</w:t>
      </w:r>
      <w:r>
        <w:rPr>
          <w:rFonts w:ascii="Times New Roman" w:hAnsi="Times New Roman" w:cs="Times New Roman" w:eastAsia="Times New Roman" w:hint="default"/>
          <w:spacing w:val="-2"/>
        </w:rPr>
        <w:t>5,067.30</w:t>
      </w:r>
      <w:r>
        <w:rPr>
          <w:spacing w:val="-2"/>
        </w:rPr>
        <w:t>万元，新增股份</w:t>
      </w:r>
      <w:r>
        <w:rPr>
          <w:rFonts w:ascii="Times New Roman" w:hAnsi="Times New Roman" w:cs="Times New Roman" w:eastAsia="Times New Roman" w:hint="default"/>
          <w:spacing w:val="-2"/>
        </w:rPr>
        <w:t>5,067.30</w:t>
      </w:r>
      <w:r>
        <w:rPr>
          <w:spacing w:val="-2"/>
        </w:rPr>
        <w:t>万股。转增后公司注册资本为</w:t>
      </w:r>
      <w:r>
        <w:rPr>
          <w:rFonts w:ascii="Times New Roman" w:hAnsi="Times New Roman" w:cs="Times New Roman" w:eastAsia="Times New Roman" w:hint="default"/>
          <w:spacing w:val="-2"/>
        </w:rPr>
        <w:t>21,958.30</w:t>
      </w:r>
      <w:r>
        <w:rPr>
          <w:spacing w:val="-2"/>
        </w:rPr>
        <w:t>万元，股份总</w:t>
      </w:r>
      <w:r>
        <w:rPr>
          <w:spacing w:val="-43"/>
        </w:rPr>
        <w:t> </w:t>
      </w:r>
      <w:r>
        <w:rPr>
          <w:spacing w:val="-43"/>
        </w:rPr>
      </w:r>
      <w:r>
        <w:rPr/>
        <w:t>数</w:t>
      </w:r>
      <w:r>
        <w:rPr>
          <w:rFonts w:ascii="Times New Roman" w:hAnsi="Times New Roman" w:cs="Times New Roman" w:eastAsia="Times New Roman" w:hint="default"/>
        </w:rPr>
        <w:t>21,958.30</w:t>
      </w:r>
      <w:r>
        <w:rPr>
          <w:rFonts w:ascii="Times New Roman" w:hAnsi="Times New Roman" w:cs="Times New Roman" w:eastAsia="Times New Roman" w:hint="default"/>
          <w:spacing w:val="25"/>
        </w:rPr>
        <w:t> </w:t>
      </w:r>
      <w:r>
        <w:rPr/>
        <w:t>万股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。公司已于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日办妥工商变更登记。</w:t>
      </w:r>
    </w:p>
    <w:p>
      <w:pPr>
        <w:pStyle w:val="BodyText"/>
        <w:spacing w:line="300" w:lineRule="auto" w:before="13"/>
        <w:ind w:right="1131" w:firstLine="420"/>
        <w:jc w:val="both"/>
      </w:pPr>
      <w:r>
        <w:rPr/>
        <w:t>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日召开的</w:t>
      </w:r>
      <w:r>
        <w:rPr>
          <w:rFonts w:ascii="Times New Roman" w:hAnsi="Times New Roman" w:cs="Times New Roman" w:eastAsia="Times New Roman" w:hint="default"/>
        </w:rPr>
        <w:t>2016</w:t>
      </w:r>
      <w:r>
        <w:rPr/>
        <w:t>年度股东大会决议，以资本公积金向全体股东每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股。以</w:t>
      </w:r>
      <w:r>
        <w:rPr>
          <w:rFonts w:ascii="Times New Roman" w:hAnsi="Times New Roman" w:cs="Times New Roman" w:eastAsia="Times New Roman" w:hint="default"/>
        </w:rPr>
        <w:t>21,958.30</w:t>
      </w:r>
      <w:r>
        <w:rPr/>
        <w:t>万股为基数， </w:t>
      </w:r>
      <w:r>
        <w:rPr>
          <w:spacing w:val="-2"/>
        </w:rPr>
        <w:t>本次资本公积转增股本新增公司注册资本</w:t>
      </w:r>
      <w:r>
        <w:rPr>
          <w:rFonts w:ascii="Times New Roman" w:hAnsi="Times New Roman" w:cs="Times New Roman" w:eastAsia="Times New Roman" w:hint="default"/>
          <w:spacing w:val="-2"/>
        </w:rPr>
        <w:t>15,370.81</w:t>
      </w:r>
      <w:r>
        <w:rPr>
          <w:spacing w:val="-2"/>
        </w:rPr>
        <w:t>万元，新增股份</w:t>
      </w:r>
      <w:r>
        <w:rPr>
          <w:rFonts w:ascii="Times New Roman" w:hAnsi="Times New Roman" w:cs="Times New Roman" w:eastAsia="Times New Roman" w:hint="default"/>
          <w:spacing w:val="-2"/>
        </w:rPr>
        <w:t>15,370.81</w:t>
      </w:r>
      <w:r>
        <w:rPr>
          <w:spacing w:val="-2"/>
        </w:rPr>
        <w:t>万股。转增后公司注册资本为</w:t>
      </w:r>
      <w:r>
        <w:rPr>
          <w:rFonts w:ascii="Times New Roman" w:hAnsi="Times New Roman" w:cs="Times New Roman" w:eastAsia="Times New Roman" w:hint="default"/>
          <w:spacing w:val="-2"/>
        </w:rPr>
        <w:t>37,329.11</w:t>
      </w:r>
      <w:r>
        <w:rPr>
          <w:spacing w:val="-2"/>
        </w:rPr>
        <w:t>万元，股</w:t>
      </w:r>
      <w:r>
        <w:rPr>
          <w:spacing w:val="-40"/>
        </w:rPr>
        <w:t> </w:t>
      </w:r>
      <w:r>
        <w:rPr>
          <w:spacing w:val="-40"/>
        </w:rPr>
      </w:r>
      <w:r>
        <w:rPr/>
        <w:t>份总数</w:t>
      </w:r>
      <w:r>
        <w:rPr>
          <w:rFonts w:ascii="Times New Roman" w:hAnsi="Times New Roman" w:cs="Times New Roman" w:eastAsia="Times New Roman" w:hint="default"/>
        </w:rPr>
        <w:t>37,329.11</w:t>
      </w:r>
      <w:r>
        <w:rPr>
          <w:rFonts w:ascii="Times New Roman" w:hAnsi="Times New Roman" w:cs="Times New Roman" w:eastAsia="Times New Roman" w:hint="default"/>
          <w:spacing w:val="24"/>
        </w:rPr>
        <w:t> </w:t>
      </w:r>
      <w:r>
        <w:rPr/>
        <w:t>万股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日办妥工商变更登记。</w:t>
      </w:r>
    </w:p>
    <w:p>
      <w:pPr>
        <w:pStyle w:val="BodyText"/>
        <w:spacing w:line="300" w:lineRule="auto" w:before="13"/>
        <w:ind w:right="1129" w:firstLine="420"/>
        <w:jc w:val="both"/>
      </w:pP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14</w:t>
      </w:r>
      <w:r>
        <w:rPr>
          <w:rFonts w:ascii="Times New Roman" w:hAnsi="Times New Roman" w:cs="Times New Roman" w:eastAsia="Times New Roman" w:hint="default"/>
          <w:spacing w:val="-9"/>
        </w:rPr>
        <w:t> </w:t>
      </w:r>
      <w:r>
        <w:rPr>
          <w:spacing w:val="-2"/>
        </w:rPr>
        <w:t>日，公司权益变动涉及的协议转让股权在中国证券登记结算有限责任公司深圳分公司完成了过户登记手</w:t>
      </w:r>
      <w:r>
        <w:rPr/>
        <w:t> 续，公司的控股股东由和柚技术集团有限公司变更为内蒙古正东云驱科技有限公司。</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29</w:t>
      </w:r>
      <w:r>
        <w:rPr>
          <w:rFonts w:ascii="Times New Roman" w:hAnsi="Times New Roman" w:cs="Times New Roman" w:eastAsia="Times New Roman" w:hint="default"/>
          <w:spacing w:val="8"/>
        </w:rPr>
        <w:t> </w:t>
      </w:r>
      <w:r>
        <w:rPr/>
        <w:t>日，因控股股东发生 了变更，公司的办公地址由深圳迁至北京，公司的工作区域中心发生变更。</w:t>
      </w:r>
    </w:p>
    <w:p>
      <w:pPr>
        <w:pStyle w:val="BodyText"/>
        <w:spacing w:line="300" w:lineRule="auto" w:before="31"/>
        <w:ind w:right="1132" w:firstLine="420"/>
        <w:jc w:val="both"/>
      </w:pPr>
      <w:r>
        <w:rPr>
          <w:spacing w:val="-3"/>
        </w:rPr>
        <w:t>经</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22</w:t>
      </w:r>
      <w:r>
        <w:rPr>
          <w:spacing w:val="-3"/>
        </w:rPr>
        <w:t>日召开的</w:t>
      </w:r>
      <w:r>
        <w:rPr>
          <w:rFonts w:ascii="Times New Roman" w:hAnsi="Times New Roman" w:cs="Times New Roman" w:eastAsia="Times New Roman" w:hint="default"/>
          <w:spacing w:val="-3"/>
        </w:rPr>
        <w:t>2017</w:t>
      </w:r>
      <w:r>
        <w:rPr>
          <w:spacing w:val="-3"/>
        </w:rPr>
        <w:t>年度股东大会决议，以资本公积金向全体股东每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5</w:t>
      </w:r>
      <w:r>
        <w:rPr>
          <w:spacing w:val="-3"/>
        </w:rPr>
        <w:t>股。以</w:t>
      </w:r>
      <w:r>
        <w:rPr>
          <w:rFonts w:ascii="Times New Roman" w:hAnsi="Times New Roman" w:cs="Times New Roman" w:eastAsia="Times New Roman" w:hint="default"/>
          <w:spacing w:val="-3"/>
        </w:rPr>
        <w:t>37,329.11</w:t>
      </w:r>
      <w:r>
        <w:rPr>
          <w:spacing w:val="-3"/>
        </w:rPr>
        <w:t>万股为基数，本</w:t>
      </w:r>
      <w:r>
        <w:rPr/>
        <w:t> </w:t>
      </w:r>
      <w:r>
        <w:rPr>
          <w:spacing w:val="-2"/>
        </w:rPr>
        <w:t>次资本公积转增股本新增公司注册资本</w:t>
      </w:r>
      <w:r>
        <w:rPr>
          <w:rFonts w:ascii="Times New Roman" w:hAnsi="Times New Roman" w:cs="Times New Roman" w:eastAsia="Times New Roman" w:hint="default"/>
          <w:spacing w:val="-2"/>
        </w:rPr>
        <w:t>18,664.56</w:t>
      </w:r>
      <w:r>
        <w:rPr>
          <w:spacing w:val="-2"/>
        </w:rPr>
        <w:t>万元，新增股份</w:t>
      </w:r>
      <w:r>
        <w:rPr>
          <w:rFonts w:ascii="Times New Roman" w:hAnsi="Times New Roman" w:cs="Times New Roman" w:eastAsia="Times New Roman" w:hint="default"/>
          <w:spacing w:val="-2"/>
        </w:rPr>
        <w:t>18,664.56</w:t>
      </w:r>
      <w:r>
        <w:rPr>
          <w:spacing w:val="-2"/>
        </w:rPr>
        <w:t>万股。转增后公司注册资本为</w:t>
      </w:r>
      <w:r>
        <w:rPr>
          <w:rFonts w:ascii="Times New Roman" w:hAnsi="Times New Roman" w:cs="Times New Roman" w:eastAsia="Times New Roman" w:hint="default"/>
          <w:spacing w:val="-2"/>
        </w:rPr>
        <w:t>55,993.67</w:t>
      </w:r>
      <w:r>
        <w:rPr>
          <w:spacing w:val="-2"/>
        </w:rPr>
        <w:t>万元，股份</w:t>
      </w:r>
      <w:r>
        <w:rPr>
          <w:spacing w:val="-43"/>
        </w:rPr>
        <w:t> </w:t>
      </w:r>
      <w:r>
        <w:rPr>
          <w:spacing w:val="-43"/>
        </w:rPr>
      </w:r>
      <w:r>
        <w:rPr/>
        <w:t>总数</w:t>
      </w:r>
      <w:r>
        <w:rPr>
          <w:rFonts w:ascii="Times New Roman" w:hAnsi="Times New Roman" w:cs="Times New Roman" w:eastAsia="Times New Roman" w:hint="default"/>
        </w:rPr>
        <w:t>55,993.67</w:t>
      </w:r>
      <w:r>
        <w:rPr/>
        <w:t>万股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日办妥工商变更登记。</w:t>
      </w:r>
    </w:p>
    <w:p>
      <w:pPr>
        <w:pStyle w:val="BodyText"/>
        <w:spacing w:line="300" w:lineRule="auto" w:before="13"/>
        <w:ind w:right="1132" w:firstLine="420"/>
        <w:jc w:val="both"/>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t>日公司控股股东内蒙古正东云驱科技有限公司的公司名称发生变更，由内蒙古正东云驱科技有限公司 变更为内蒙古仁东科技有限公司。</w:t>
      </w:r>
    </w:p>
    <w:p>
      <w:pPr>
        <w:pStyle w:val="BodyText"/>
        <w:spacing w:line="300" w:lineRule="auto" w:before="31"/>
        <w:ind w:right="1131" w:firstLine="420"/>
        <w:jc w:val="both"/>
      </w:pP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日公司召开第四届董事会第二次会议，并于 </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日召开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年第四次临时股东大会审议通过 了《关于变更公司名称及证券简称的议案》，公司名称变更为：仁东控股股份有限公司。</w:t>
      </w:r>
    </w:p>
    <w:p>
      <w:pPr>
        <w:pStyle w:val="BodyText"/>
        <w:spacing w:line="300" w:lineRule="auto" w:before="31"/>
        <w:ind w:left="574" w:right="2142"/>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w:t>
      </w:r>
      <w:r>
        <w:rPr>
          <w:rFonts w:ascii="Times New Roman" w:hAnsi="Times New Roman" w:cs="Times New Roman" w:eastAsia="Times New Roman" w:hint="default"/>
        </w:rPr>
        <w:t>559,936,650.00</w:t>
      </w:r>
      <w:r>
        <w:rPr/>
        <w:t>万股，公司注册资本为</w:t>
      </w:r>
      <w:r>
        <w:rPr>
          <w:rFonts w:ascii="Times New Roman" w:hAnsi="Times New Roman" w:cs="Times New Roman" w:eastAsia="Times New Roman" w:hint="default"/>
        </w:rPr>
        <w:t>559,936,650.00</w:t>
      </w:r>
      <w:r>
        <w:rPr/>
        <w:t>元。</w:t>
      </w:r>
      <w:r>
        <w:rPr>
          <w:spacing w:val="-2"/>
        </w:rPr>
        <w:t> </w:t>
      </w:r>
      <w:r>
        <w:rPr/>
        <w:t>法定代表人：闫伟</w:t>
      </w:r>
    </w:p>
    <w:p>
      <w:pPr>
        <w:pStyle w:val="BodyText"/>
        <w:spacing w:line="300" w:lineRule="auto" w:before="31"/>
        <w:ind w:left="574" w:right="5582"/>
        <w:jc w:val="left"/>
      </w:pPr>
      <w:r>
        <w:rPr/>
        <w:t>企业法人营业执照统一社会信用代码：</w:t>
      </w:r>
      <w:r>
        <w:rPr>
          <w:rFonts w:ascii="Times New Roman" w:hAnsi="Times New Roman" w:cs="Times New Roman" w:eastAsia="Times New Roman" w:hint="default"/>
        </w:rPr>
        <w:t>91330000753974205M </w:t>
      </w:r>
      <w:r>
        <w:rPr/>
        <w:t>注册地：浙江省诸暨市大唐镇开元东路</w:t>
      </w:r>
    </w:p>
    <w:p>
      <w:pPr>
        <w:pStyle w:val="BodyText"/>
        <w:spacing w:line="300" w:lineRule="auto" w:before="32"/>
        <w:ind w:right="1130" w:firstLine="420"/>
        <w:jc w:val="both"/>
      </w:pPr>
      <w:r>
        <w:rPr>
          <w:spacing w:val="-1"/>
        </w:rPr>
        <w:t>本公司经营范围：实业投资，资产管理。</w:t>
      </w:r>
      <w:r>
        <w:rPr>
          <w:rFonts w:ascii="Times New Roman" w:hAnsi="Times New Roman" w:cs="Times New Roman" w:eastAsia="Times New Roman" w:hint="default"/>
          <w:spacing w:val="-1"/>
        </w:rPr>
        <w:t>(</w:t>
      </w:r>
      <w:r>
        <w:rPr>
          <w:spacing w:val="-1"/>
        </w:rPr>
        <w:t>未经金融等监管部门批准不得从事向公众融资存款、融资担保、代客理财等</w:t>
      </w:r>
      <w:r>
        <w:rPr/>
        <w:t> </w:t>
      </w:r>
      <w:r>
        <w:rPr>
          <w:spacing w:val="-5"/>
        </w:rPr>
        <w:t>金融服务</w:t>
      </w:r>
      <w:r>
        <w:rPr>
          <w:rFonts w:ascii="Times New Roman" w:hAnsi="Times New Roman" w:cs="Times New Roman" w:eastAsia="Times New Roman" w:hint="default"/>
          <w:spacing w:val="-5"/>
        </w:rPr>
        <w:t>)</w:t>
      </w:r>
      <w:r>
        <w:rPr>
          <w:spacing w:val="-5"/>
        </w:rPr>
        <w:t>，投资咨询服务，信息系统集成服务，信息技术咨询服务，数据处理、数据库服务，企业征信服务，网络技术的</w:t>
      </w:r>
      <w:r>
        <w:rPr>
          <w:spacing w:val="21"/>
        </w:rPr>
        <w:t> </w:t>
      </w:r>
      <w:r>
        <w:rPr/>
        <w:t>研</w:t>
      </w:r>
      <w:r>
        <w:rPr>
          <w:spacing w:val="-83"/>
        </w:rPr>
        <w:t> </w:t>
      </w:r>
      <w:r>
        <w:rPr>
          <w:spacing w:val="-83"/>
        </w:rPr>
      </w:r>
      <w:r>
        <w:rPr/>
        <w:t>究开发、技术咨询、技术服务，软件开发，企业管理咨询服务，供应链管理，从事进出口业务。</w:t>
      </w:r>
      <w:r>
        <w:rPr>
          <w:rFonts w:ascii="Times New Roman" w:hAnsi="Times New Roman" w:cs="Times New Roman" w:eastAsia="Times New Roman" w:hint="default"/>
        </w:rPr>
        <w:t>(</w:t>
      </w:r>
      <w:r>
        <w:rPr/>
        <w:t>依法须经批准的项目，</w:t>
      </w:r>
      <w:r>
        <w:rPr>
          <w:spacing w:val="-50"/>
        </w:rPr>
        <w:t> </w:t>
      </w:r>
      <w:r>
        <w:rPr/>
        <w:t>经</w:t>
      </w:r>
      <w:r>
        <w:rPr/>
        <w:t> 相关部门批准后方可开展经营活动</w:t>
      </w:r>
      <w:r>
        <w:rPr>
          <w:rFonts w:ascii="Times New Roman" w:hAnsi="Times New Roman" w:cs="Times New Roman" w:eastAsia="Times New Roman" w:hint="default"/>
        </w:rPr>
        <w:t>)</w:t>
      </w:r>
      <w:r>
        <w:rPr/>
        <w:t>。</w:t>
      </w:r>
    </w:p>
    <w:p>
      <w:pPr>
        <w:pStyle w:val="BodyText"/>
        <w:spacing w:line="240" w:lineRule="auto" w:before="13"/>
        <w:ind w:left="574" w:right="0"/>
        <w:jc w:val="left"/>
      </w:pPr>
      <w:r>
        <w:rPr/>
        <w:t>本财务报告已于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日经公司第四届董事会第九次会议批准。</w:t>
      </w:r>
    </w:p>
    <w:p>
      <w:pPr>
        <w:pStyle w:val="BodyText"/>
        <w:spacing w:line="300" w:lineRule="auto" w:before="63"/>
        <w:ind w:right="1131" w:firstLine="360"/>
        <w:jc w:val="both"/>
      </w:pPr>
      <w:r>
        <w:rPr/>
        <w:t>本公司 </w:t>
      </w:r>
      <w:r>
        <w:rPr>
          <w:rFonts w:ascii="Times New Roman" w:hAnsi="Times New Roman" w:cs="Times New Roman" w:eastAsia="Times New Roman" w:hint="default"/>
        </w:rPr>
        <w:t>2018</w:t>
      </w:r>
      <w:r>
        <w:rPr>
          <w:rFonts w:ascii="Times New Roman" w:hAnsi="Times New Roman" w:cs="Times New Roman" w:eastAsia="Times New Roman" w:hint="default"/>
          <w:spacing w:val="-19"/>
        </w:rPr>
        <w:t> </w:t>
      </w:r>
      <w:r>
        <w:rPr/>
        <w:t>年度纳入合并范围的子公司共</w:t>
      </w:r>
      <w:r>
        <w:rPr>
          <w:rFonts w:ascii="Times New Roman" w:hAnsi="Times New Roman" w:cs="Times New Roman" w:eastAsia="Times New Roman" w:hint="default"/>
        </w:rPr>
        <w:t>23</w:t>
      </w:r>
      <w:r>
        <w:rPr/>
        <w:t>家，详见附注九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。与上年度相比，本公司本年度合 并范围增加</w:t>
      </w:r>
      <w:r>
        <w:rPr>
          <w:rFonts w:ascii="Times New Roman" w:hAnsi="Times New Roman" w:cs="Times New Roman" w:eastAsia="Times New Roman" w:hint="default"/>
        </w:rPr>
        <w:t>4</w:t>
      </w:r>
      <w:r>
        <w:rPr/>
        <w:t>家，减少</w:t>
      </w:r>
      <w:r>
        <w:rPr>
          <w:rFonts w:ascii="Times New Roman" w:hAnsi="Times New Roman" w:cs="Times New Roman" w:eastAsia="Times New Roman" w:hint="default"/>
        </w:rPr>
        <w:t>4</w:t>
      </w:r>
      <w:r>
        <w:rPr/>
        <w:t>家，详见附注八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四、财务报表的编制基础" w:id="168"/>
      <w:bookmarkEnd w:id="168"/>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编制基础" w:id="169"/>
      <w:bookmarkEnd w:id="16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firstLine="420"/>
        <w:jc w:val="both"/>
      </w:pPr>
      <w:r>
        <w:rPr>
          <w:spacing w:val="-1"/>
        </w:rPr>
        <w:t>本公司财务报表以持续经营假设为基础，根据实际发生的交易和事项，按照财政部于</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15</w:t>
      </w:r>
      <w:r>
        <w:rPr>
          <w:spacing w:val="-1"/>
        </w:rPr>
        <w:t>日及以后颁布的《企</w:t>
      </w:r>
      <w:r>
        <w:rPr/>
        <w:t> </w:t>
      </w:r>
      <w:r>
        <w:rPr>
          <w:spacing w:val="-3"/>
        </w:rPr>
        <w:t>业会计准则</w:t>
      </w:r>
      <w:r>
        <w:rPr>
          <w:rFonts w:ascii="Times New Roman" w:hAnsi="Times New Roman" w:cs="Times New Roman" w:eastAsia="Times New Roman" w:hint="default"/>
          <w:spacing w:val="-3"/>
        </w:rPr>
        <w:t>——</w:t>
      </w:r>
      <w:r>
        <w:rPr>
          <w:spacing w:val="-3"/>
        </w:rPr>
        <w:t>基本准则》和各项具体会计准则、企业会计准则应用指南、企业会计准则解释及其他相关规定（以下合称</w:t>
      </w:r>
      <w:r>
        <w:rPr>
          <w:rFonts w:ascii="Times New Roman" w:hAnsi="Times New Roman" w:cs="Times New Roman" w:eastAsia="Times New Roman" w:hint="default"/>
          <w:spacing w:val="-3"/>
        </w:rPr>
        <w:t>“</w:t>
      </w:r>
      <w:r>
        <w:rPr>
          <w:spacing w:val="-3"/>
        </w:rPr>
        <w:t>企</w:t>
      </w:r>
      <w:r>
        <w:rPr/>
        <w:t> 业会计准则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p>
    <w:p>
      <w:pPr>
        <w:pStyle w:val="BodyText"/>
        <w:spacing w:line="300" w:lineRule="auto" w:before="13"/>
        <w:ind w:left="514" w:right="0" w:hanging="360"/>
        <w:jc w:val="left"/>
      </w:pPr>
      <w:r>
        <w:rPr/>
        <w:t>（</w:t>
      </w:r>
      <w:r>
        <w:rPr>
          <w:rFonts w:ascii="Times New Roman" w:hAnsi="Times New Roman" w:cs="Times New Roman" w:eastAsia="Times New Roman" w:hint="default"/>
        </w:rPr>
        <w:t>2014</w:t>
      </w:r>
      <w:r>
        <w:rPr/>
        <w:t>年修订）的披露规定编制。 </w:t>
      </w:r>
      <w:r>
        <w:rPr>
          <w:spacing w:val="-2"/>
        </w:rPr>
        <w:t>根据企业会计准则的相关规定，本公司会计核算以权责发生制为基础。除某些金融工具外，本财务报表均以历史成本为</w:t>
      </w:r>
    </w:p>
    <w:p>
      <w:pPr>
        <w:pStyle w:val="BodyText"/>
        <w:spacing w:line="240" w:lineRule="auto" w:before="31"/>
        <w:ind w:right="0"/>
        <w:jc w:val="left"/>
      </w:pPr>
      <w:r>
        <w:rPr/>
        <w:t>计量基础。资产如果发生减值，则按照相关规定计提相应的减值准备。</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持续经营" w:id="170"/>
      <w:bookmarkEnd w:id="17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公司自本报告期末至少</w:t>
      </w:r>
      <w:r>
        <w:rPr>
          <w:rFonts w:ascii="宋体" w:hAnsi="宋体" w:cs="宋体" w:eastAsia="宋体" w:hint="default"/>
        </w:rPr>
        <w:t>12</w:t>
      </w:r>
      <w:r>
        <w:rPr/>
        <w:t>个月内具备持续经营能力，无影响持续经营能力的重大事项。</w:t>
      </w:r>
    </w:p>
    <w:p>
      <w:pPr>
        <w:spacing w:after="0" w:line="240" w:lineRule="auto"/>
        <w:jc w:val="left"/>
        <w:sectPr>
          <w:footerReference w:type="default" r:id="rId16"/>
          <w:pgSz w:w="11910" w:h="16840"/>
          <w:pgMar w:footer="979" w:header="747" w:top="1060" w:bottom="1160" w:left="980" w:right="0"/>
          <w:pgNumType w:start="84"/>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五、重要会计政策及会计估计" w:id="171"/>
      <w:bookmarkEnd w:id="171"/>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57" w:lineRule="auto" w:before="29"/>
        <w:ind w:left="514" w:right="0" w:hanging="360"/>
        <w:jc w:val="left"/>
      </w:pPr>
      <w:r>
        <w:rPr/>
        <w:t>具体会计政策和会计估计提示： </w:t>
      </w:r>
      <w:r>
        <w:rPr>
          <w:spacing w:val="-2"/>
        </w:rPr>
        <w:t>本公司及各子公司根据实际生产经营特点，依据相关企业会计准则的规定，对应收款项的坏账准备的确认标准和计提方</w:t>
      </w:r>
    </w:p>
    <w:p>
      <w:pPr>
        <w:pStyle w:val="BodyText"/>
        <w:spacing w:line="224" w:lineRule="exact"/>
        <w:ind w:right="0"/>
        <w:jc w:val="left"/>
      </w:pPr>
      <w:r>
        <w:rPr/>
        <w:t>法、收入确认等交易和事项指定了若干具体会计政策和会计估计，具体会计政策参见附注五</w:t>
      </w:r>
      <w:r>
        <w:rPr>
          <w:rFonts w:ascii="宋体" w:hAnsi="宋体" w:cs="宋体" w:eastAsia="宋体" w:hint="default"/>
        </w:rPr>
        <w:t>(11)</w:t>
      </w:r>
      <w:r>
        <w:rPr/>
        <w:t>、附注五</w:t>
      </w:r>
      <w:r>
        <w:rPr>
          <w:rFonts w:ascii="宋体" w:hAnsi="宋体" w:cs="宋体" w:eastAsia="宋体" w:hint="default"/>
        </w:rPr>
        <w:t>(28)</w:t>
      </w:r>
      <w:r>
        <w:rPr/>
        <w:t>等相关说明。</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遵循企业会计准则的声明" w:id="172"/>
      <w:bookmarkEnd w:id="17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本财务报表符合企业会计准则的要求，真实、完整地反映了本公司</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日的合并及公司财务状况以及</w:t>
      </w:r>
      <w:r>
        <w:rPr>
          <w:rFonts w:ascii="宋体" w:hAnsi="宋体" w:cs="宋体" w:eastAsia="宋体" w:hint="default"/>
          <w:spacing w:val="-2"/>
        </w:rPr>
        <w:t>2018</w:t>
      </w:r>
      <w:r>
        <w:rPr>
          <w:spacing w:val="-2"/>
        </w:rPr>
        <w:t>年度</w:t>
      </w:r>
      <w:r>
        <w:rPr/>
        <w:t> 的合并及公司经营成果和现金流量。</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会计期间" w:id="173"/>
      <w:bookmarkEnd w:id="17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t>本公司的会计期间分为年度和中期，会计中期指短于一个完整的会计年度的报告期间。本公司会计年度采用公历年度， 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3、营业周期" w:id="174"/>
      <w:bookmarkEnd w:id="17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t>正常营业周期是指本公司从购买用于加工的资产起至实现现金或现金等价物的期间。本公司以</w:t>
      </w:r>
      <w:r>
        <w:rPr>
          <w:rFonts w:ascii="宋体" w:hAnsi="宋体" w:cs="宋体" w:eastAsia="宋体" w:hint="default"/>
        </w:rPr>
        <w:t>12</w:t>
      </w:r>
      <w:r>
        <w:rPr/>
        <w:t>个月作为一个营业周 期，并以其作为资产和负债的流动性划分标准。</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4、记账本位币" w:id="175"/>
      <w:bookmarkEnd w:id="17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0"/>
        <w:jc w:val="left"/>
      </w:pPr>
      <w:r>
        <w:rPr/>
        <w:t>本公司以人民币为记账本位币。 </w:t>
      </w:r>
      <w:r>
        <w:rPr>
          <w:spacing w:val="-2"/>
        </w:rPr>
        <w:t>本公司下属子公司、合营企业及联营企业，根据其经营所处的主要经济环境自行决定其记账本位币，编制财务报表时折</w:t>
      </w:r>
    </w:p>
    <w:p>
      <w:pPr>
        <w:pStyle w:val="BodyText"/>
        <w:spacing w:line="240" w:lineRule="auto" w:before="19"/>
        <w:ind w:right="0"/>
        <w:jc w:val="left"/>
      </w:pPr>
      <w:r>
        <w:rPr/>
        <w:t>算为人民币。</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同一控制下和非同一控制下企业合并的会计处理方法" w:id="176"/>
      <w:bookmarkEnd w:id="17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16" w:lineRule="auto" w:before="19"/>
        <w:ind w:left="514" w:right="0"/>
        <w:jc w:val="left"/>
      </w:pPr>
      <w:r>
        <w:rPr/>
        <w:t>（</w:t>
      </w:r>
      <w:r>
        <w:rPr>
          <w:rFonts w:ascii="宋体" w:hAnsi="宋体" w:cs="宋体" w:eastAsia="宋体"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19"/>
        <w:ind w:right="0"/>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9"/>
        <w:ind w:right="1032" w:firstLine="360"/>
        <w:jc w:val="left"/>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9"/>
        <w:ind w:left="514" w:right="0"/>
        <w:jc w:val="left"/>
      </w:pPr>
      <w:r>
        <w:rPr/>
        <w:t>合并方为进行企业合并发生的各项直接费用，于发生时计入当期损益。</w:t>
      </w:r>
    </w:p>
    <w:p>
      <w:pPr>
        <w:pStyle w:val="BodyText"/>
        <w:spacing w:line="316" w:lineRule="auto" w:before="77"/>
        <w:ind w:left="514" w:right="0"/>
        <w:jc w:val="left"/>
      </w:pPr>
      <w:r>
        <w:rPr/>
        <w:t>（</w:t>
      </w:r>
      <w:r>
        <w:rPr>
          <w:rFonts w:ascii="宋体" w:hAnsi="宋体" w:cs="宋体" w:eastAsia="宋体"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19"/>
        <w:ind w:right="0"/>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宋体" w:hAnsi="宋体" w:cs="宋体" w:eastAsia="宋体"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6" w:lineRule="auto" w:before="19"/>
        <w:ind w:right="1128" w:firstLine="360"/>
        <w:jc w:val="both"/>
      </w:pPr>
      <w:r>
        <w:rPr/>
        <w:t>购买方取得被购买方的可抵扣暂时性差异，在购买日因不符合递延所得税资产确认条件而未予确认的，在购买日后</w:t>
      </w:r>
      <w:r>
        <w:rPr>
          <w:rFonts w:ascii="宋体" w:hAnsi="宋体" w:cs="宋体" w:eastAsia="宋体"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t>利益能够实现的，则确认相关的递延所得税资产，同时减少商誉，商誉不足冲减的，差额部分确认为</w:t>
      </w:r>
      <w:r>
        <w:rPr>
          <w:spacing w:val="9"/>
        </w:rPr>
        <w:t> </w:t>
      </w:r>
      <w:r>
        <w:rPr/>
        <w:t>当期损益；除上述情</w:t>
      </w:r>
      <w:r>
        <w:rPr/>
        <w:t> 况以外，确认与企业合并相关的递延所得税资产的，计入当期损益。</w:t>
      </w:r>
    </w:p>
    <w:p>
      <w:pPr>
        <w:pStyle w:val="BodyText"/>
        <w:spacing w:line="316" w:lineRule="auto" w:before="19"/>
        <w:ind w:right="1040" w:firstLine="360"/>
        <w:jc w:val="both"/>
      </w:pPr>
      <w:r>
        <w:rPr>
          <w:spacing w:val="-5"/>
        </w:rPr>
        <w:t>通过多次交易分步实现的非同一控制下企业合并，根据《财政部关于印发企业会计准则解释第</w:t>
      </w:r>
      <w:r>
        <w:rPr>
          <w:rFonts w:ascii="宋体" w:hAnsi="宋体" w:cs="宋体" w:eastAsia="宋体" w:hint="default"/>
          <w:spacing w:val="-5"/>
        </w:rPr>
        <w:t>5</w:t>
      </w:r>
      <w:r>
        <w:rPr>
          <w:spacing w:val="-5"/>
        </w:rPr>
        <w:t>号的通知》（财会〔</w:t>
      </w:r>
      <w:r>
        <w:rPr>
          <w:rFonts w:ascii="宋体" w:hAnsi="宋体" w:cs="宋体" w:eastAsia="宋体" w:hint="default"/>
          <w:spacing w:val="-5"/>
        </w:rPr>
        <w:t>2012</w:t>
      </w:r>
      <w:r>
        <w:rPr>
          <w:spacing w:val="-5"/>
        </w:rPr>
        <w:t>〕</w:t>
      </w:r>
      <w:r>
        <w:rPr/>
        <w:t> </w:t>
      </w:r>
      <w:r>
        <w:rPr>
          <w:rFonts w:ascii="宋体" w:hAnsi="宋体" w:cs="宋体" w:eastAsia="宋体" w:hint="default"/>
          <w:spacing w:val="-4"/>
        </w:rPr>
        <w:t>19</w:t>
      </w:r>
      <w:r>
        <w:rPr>
          <w:spacing w:val="-4"/>
        </w:rPr>
        <w:t>号）和《企业会计准则第</w:t>
      </w:r>
      <w:r>
        <w:rPr>
          <w:rFonts w:ascii="宋体" w:hAnsi="宋体" w:cs="宋体" w:eastAsia="宋体" w:hint="default"/>
          <w:spacing w:val="-4"/>
        </w:rPr>
        <w:t>33</w:t>
      </w:r>
      <w:r>
        <w:rPr>
          <w:spacing w:val="-4"/>
        </w:rPr>
        <w:t>号——合并财务报表》第五十一条关于“一揽子交易”的判断标准（参见本附注三、</w:t>
      </w:r>
      <w:r>
        <w:rPr>
          <w:rFonts w:ascii="宋体" w:hAnsi="宋体" w:cs="宋体" w:eastAsia="宋体" w:hint="default"/>
          <w:spacing w:val="-4"/>
        </w:rPr>
        <w:t>6</w:t>
      </w:r>
      <w:r>
        <w:rPr>
          <w:spacing w:val="-4"/>
        </w:rPr>
        <w:t>（</w:t>
      </w:r>
      <w:r>
        <w:rPr>
          <w:rFonts w:ascii="宋体" w:hAnsi="宋体" w:cs="宋体" w:eastAsia="宋体" w:hint="default"/>
          <w:spacing w:val="-4"/>
        </w:rPr>
        <w:t>2</w:t>
      </w:r>
      <w:r>
        <w:rPr>
          <w:spacing w:val="-4"/>
        </w:rPr>
        <w:t>）），</w:t>
      </w:r>
      <w:r>
        <w:rPr>
          <w:spacing w:val="-47"/>
        </w:rPr>
        <w:t> </w:t>
      </w:r>
      <w:r>
        <w:rPr/>
        <w:t>判断该多次交易是否属于“一揽子交易”。属于“一揽子交易”的，参考本部分前面各段描述及本附注</w:t>
      </w:r>
      <w:r>
        <w:rPr>
          <w:rFonts w:ascii="宋体" w:hAnsi="宋体" w:cs="宋体" w:eastAsia="宋体" w:hint="default"/>
        </w:rPr>
        <w:t>14</w:t>
      </w:r>
      <w:r>
        <w:rPr/>
        <w:t>“长期股权投资” 进行会计处理；不属于“一揽子交易”的，区分个别财务报表和合并财务报表进行相关会计处理：</w:t>
      </w:r>
    </w:p>
    <w:p>
      <w:pPr>
        <w:pStyle w:val="BodyText"/>
        <w:spacing w:line="316" w:lineRule="auto" w:before="19"/>
        <w:ind w:right="1131"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9" w:lineRule="auto" w:before="19"/>
        <w:ind w:right="1132"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5"/>
        <w:rPr>
          <w:rFonts w:ascii="宋体" w:hAnsi="宋体" w:cs="宋体" w:eastAsia="宋体" w:hint="default"/>
          <w:sz w:val="22"/>
          <w:szCs w:val="22"/>
        </w:rPr>
      </w:pPr>
    </w:p>
    <w:p>
      <w:pPr>
        <w:pStyle w:val="Heading4"/>
        <w:spacing w:line="240" w:lineRule="auto"/>
        <w:ind w:right="0"/>
        <w:jc w:val="left"/>
        <w:rPr>
          <w:b w:val="0"/>
          <w:bCs w:val="0"/>
        </w:rPr>
      </w:pPr>
      <w:bookmarkStart w:name="6、合并财务报表的编制方法" w:id="177"/>
      <w:bookmarkEnd w:id="17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0"/>
        <w:jc w:val="left"/>
      </w:pPr>
      <w:r>
        <w:rPr/>
        <w:t>（</w:t>
      </w:r>
      <w:r>
        <w:rPr>
          <w:rFonts w:ascii="宋体" w:hAnsi="宋体" w:cs="宋体" w:eastAsia="宋体"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19"/>
        <w:ind w:right="0"/>
        <w:jc w:val="left"/>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pStyle w:val="BodyText"/>
        <w:spacing w:line="240" w:lineRule="auto" w:before="19"/>
        <w:ind w:left="514" w:right="0"/>
        <w:jc w:val="left"/>
      </w:pPr>
      <w:r>
        <w:rPr/>
        <w:t>一旦相关事实和情况的变化导致上述控制定义涉及的相关要素发生了变化，本公司将进行重新评估。</w:t>
      </w:r>
    </w:p>
    <w:p>
      <w:pPr>
        <w:pStyle w:val="BodyText"/>
        <w:spacing w:line="316" w:lineRule="auto" w:before="76"/>
        <w:ind w:left="514" w:right="0"/>
        <w:jc w:val="left"/>
      </w:pPr>
      <w:r>
        <w:rPr/>
        <w:t>（</w:t>
      </w:r>
      <w:r>
        <w:rPr>
          <w:rFonts w:ascii="宋体" w:hAnsi="宋体" w:cs="宋体" w:eastAsia="宋体"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19"/>
        <w:ind w:right="0"/>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加的子公司及吸收合并下的被合并方，其自合并当期期初至合并日的经营成果和现金流量已经适当地包括在合并利润表和合</w:t>
      </w:r>
      <w:r>
        <w:rPr>
          <w:spacing w:val="-64"/>
        </w:rPr>
        <w:t> </w:t>
      </w:r>
      <w:r>
        <w:rPr>
          <w:spacing w:val="-64"/>
        </w:rPr>
      </w:r>
      <w:r>
        <w:rPr/>
        <w:t>并现金流量表中，并且同时调整合并财务报表的对比数。</w:t>
      </w:r>
    </w:p>
    <w:p>
      <w:pPr>
        <w:pStyle w:val="BodyText"/>
        <w:spacing w:line="316" w:lineRule="auto" w:before="19"/>
        <w:ind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240" w:lineRule="auto" w:before="19"/>
        <w:ind w:left="514" w:right="0"/>
        <w:jc w:val="left"/>
      </w:pPr>
      <w:r>
        <w:rPr/>
        <w:t>公司内往来余额、交易及未实现利润在合并财务报表编制时予以抵销。</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firstLine="360"/>
        <w:jc w:val="both"/>
      </w:pPr>
      <w:r>
        <w:rPr/>
        <w:t>子公司的股东权益及当期净损益中不属于本公司所拥有的部分分别作为少数股东权益及少数股东损益在合并财务报表 </w:t>
      </w:r>
      <w:r>
        <w:rPr>
          <w:spacing w:val="-2"/>
        </w:rPr>
        <w:t>中股东权益及净利润项下单独列示。子公司当期净损益中属于少数股东权益的份额，在合并利润表中净利润项目下以“少数</w:t>
      </w:r>
      <w:r>
        <w:rPr>
          <w:spacing w:val="-65"/>
        </w:rPr>
        <w:t> </w:t>
      </w:r>
      <w:r>
        <w:rPr>
          <w:spacing w:val="-65"/>
        </w:rPr>
      </w:r>
      <w:r>
        <w:rPr>
          <w:spacing w:val="-2"/>
        </w:rPr>
        <w:t>股东损益”项目列示。少数股东分担的子公司的亏损超过了少数股东在该子公司期初股东权益中所享有的份额，仍冲减少数</w:t>
      </w:r>
      <w:r>
        <w:rPr>
          <w:spacing w:val="-66"/>
        </w:rPr>
        <w:t> </w:t>
      </w:r>
      <w:r>
        <w:rPr>
          <w:spacing w:val="-66"/>
        </w:rPr>
      </w:r>
      <w:r>
        <w:rPr/>
        <w:t>股东权益。</w:t>
      </w:r>
    </w:p>
    <w:p>
      <w:pPr>
        <w:pStyle w:val="BodyText"/>
        <w:spacing w:line="316" w:lineRule="auto" w:before="19"/>
        <w:ind w:right="1129"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6"/>
        </w:rPr>
        <w:t> </w:t>
      </w:r>
      <w:r>
        <w:rPr>
          <w:spacing w:val="-66"/>
        </w:rPr>
      </w:r>
      <w:r>
        <w:rPr>
          <w:spacing w:val="-2"/>
        </w:rPr>
        <w:t>制权时采用与被购买方直接处置相关资产或负债相同的基础进行会计处理（即，除了在该原有子公司重新计量设定受益计划</w:t>
      </w:r>
      <w:r>
        <w:rPr>
          <w:spacing w:val="-63"/>
        </w:rPr>
        <w:t> </w:t>
      </w:r>
      <w:r>
        <w:rPr>
          <w:spacing w:val="-63"/>
        </w:rPr>
      </w:r>
      <w:r>
        <w:rPr/>
        <w:t>净负债或净资产导致的变动以外，其余一并转为当期投资收益）。其后，对该部分剩余股权按照《企业会计准则第</w:t>
      </w:r>
      <w:r>
        <w:rPr>
          <w:rFonts w:ascii="宋体" w:hAnsi="宋体" w:cs="宋体" w:eastAsia="宋体" w:hint="default"/>
        </w:rPr>
        <w:t>2</w:t>
      </w:r>
      <w:r>
        <w:rPr/>
        <w:t>号——</w:t>
      </w:r>
      <w:r>
        <w:rPr>
          <w:spacing w:val="-81"/>
        </w:rPr>
        <w:t> </w:t>
      </w:r>
      <w:r>
        <w:rPr>
          <w:spacing w:val="-2"/>
        </w:rPr>
        <w:t>长期股权投资》或《企业会计准则第</w:t>
      </w:r>
      <w:r>
        <w:rPr>
          <w:rFonts w:ascii="宋体" w:hAnsi="宋体" w:cs="宋体" w:eastAsia="宋体" w:hint="default"/>
          <w:spacing w:val="-2"/>
        </w:rPr>
        <w:t>22</w:t>
      </w:r>
      <w:r>
        <w:rPr>
          <w:spacing w:val="-2"/>
        </w:rPr>
        <w:t>号——金融工具确认和计量》等相关规定进行后续计量，详见本附注三、</w:t>
      </w:r>
      <w:r>
        <w:rPr>
          <w:rFonts w:ascii="宋体" w:hAnsi="宋体" w:cs="宋体" w:eastAsia="宋体" w:hint="default"/>
          <w:spacing w:val="-2"/>
        </w:rPr>
        <w:t>14</w:t>
      </w:r>
      <w:r>
        <w:rPr>
          <w:spacing w:val="-2"/>
        </w:rPr>
        <w:t>“长期股</w:t>
      </w:r>
      <w:r>
        <w:rPr>
          <w:spacing w:val="-63"/>
        </w:rPr>
        <w:t> </w:t>
      </w:r>
      <w:r>
        <w:rPr/>
        <w:t>权投资”或本附注三、</w:t>
      </w:r>
      <w:r>
        <w:rPr>
          <w:rFonts w:ascii="宋体" w:hAnsi="宋体" w:cs="宋体" w:eastAsia="宋体" w:hint="default"/>
        </w:rPr>
        <w:t>10</w:t>
      </w:r>
      <w:r>
        <w:rPr/>
        <w:t>“金融工具”。</w:t>
      </w:r>
    </w:p>
    <w:p>
      <w:pPr>
        <w:pStyle w:val="BodyText"/>
        <w:spacing w:line="316" w:lineRule="auto" w:before="19"/>
        <w:ind w:right="1130" w:firstLine="360"/>
        <w:jc w:val="both"/>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5"/>
        </w:rPr>
        <w:t> </w:t>
      </w:r>
      <w:r>
        <w:rPr>
          <w:spacing w:val="-65"/>
        </w:rPr>
      </w:r>
      <w:r>
        <w:rPr/>
        <w:t>表明应将多次交易事项作为一揽子交易进行会计处理：① 这些交易是同时或者在考虑了彼此影响的情况下订立的；②</w:t>
      </w:r>
      <w:r>
        <w:rPr>
          <w:spacing w:val="9"/>
        </w:rPr>
        <w:t> </w:t>
      </w:r>
      <w:r>
        <w:rPr/>
        <w:t>这</w:t>
      </w:r>
      <w:r>
        <w:rPr/>
        <w:t> 些交易整体才能达成一项完整的商业结果；③一项交易的发生取决于其他至少一项交易的发生；④</w:t>
      </w:r>
      <w:r>
        <w:rPr>
          <w:spacing w:val="12"/>
        </w:rPr>
        <w:t> </w:t>
      </w:r>
      <w:r>
        <w:rPr/>
        <w:t>一项交易单独看是不经</w:t>
      </w:r>
      <w:r>
        <w:rPr/>
        <w:t> </w:t>
      </w:r>
      <w:r>
        <w:rPr>
          <w:spacing w:val="-2"/>
        </w:rPr>
        <w:t>济的，但是和其他交易一并考虑时是经济的。不属于一揽子交易的，对其中的每一项交易视情况分别按照“不丧失控制权的</w:t>
      </w:r>
      <w:r>
        <w:rPr>
          <w:spacing w:val="-65"/>
        </w:rPr>
        <w:t> </w:t>
      </w:r>
      <w:r>
        <w:rPr>
          <w:spacing w:val="-65"/>
        </w:rPr>
      </w:r>
      <w:r>
        <w:rPr/>
        <w:t>情况下部分处置对子公司的长期股权投资”（详见本附注三、</w:t>
      </w:r>
      <w:r>
        <w:rPr>
          <w:rFonts w:ascii="宋体" w:hAnsi="宋体" w:cs="宋体" w:eastAsia="宋体" w:hint="default"/>
        </w:rPr>
        <w:t>14</w:t>
      </w:r>
      <w:r>
        <w:rPr/>
        <w:t>、（</w:t>
      </w:r>
      <w:r>
        <w:rPr>
          <w:rFonts w:ascii="宋体" w:hAnsi="宋体" w:cs="宋体" w:eastAsia="宋体" w:hint="default"/>
        </w:rPr>
        <w:t>2</w:t>
      </w:r>
      <w:r>
        <w:rPr/>
        <w:t>）④）和“因处置部分股权投资或其他原因丧失了对</w:t>
      </w:r>
      <w:r>
        <w:rPr>
          <w:spacing w:val="-83"/>
        </w:rPr>
        <w:t> </w:t>
      </w:r>
      <w:r>
        <w:rPr>
          <w:spacing w:val="-83"/>
        </w:rPr>
      </w:r>
      <w:r>
        <w:rPr>
          <w:spacing w:val="-2"/>
        </w:rPr>
        <w:t>原有子公司的控制权”（详见前段）适用的原则进行会计处理。处置对子公司股权投资直至丧失控制权的各项交易属于一揽</w:t>
      </w:r>
      <w:r>
        <w:rPr>
          <w:spacing w:val="-65"/>
        </w:rPr>
        <w:t> </w:t>
      </w:r>
      <w:r>
        <w:rPr>
          <w:spacing w:val="-65"/>
        </w:rPr>
      </w:r>
      <w:r>
        <w:rPr>
          <w:spacing w:val="-2"/>
        </w:rPr>
        <w:t>子交易的，将各项交易作为一项处置子公司并丧失控制权的交易进行会计处理；但是，在丧失控制权之前每一次处置价款与</w:t>
      </w:r>
      <w:r>
        <w:rPr>
          <w:spacing w:val="-66"/>
        </w:rPr>
        <w:t> </w:t>
      </w:r>
      <w:r>
        <w:rPr>
          <w:spacing w:val="-66"/>
        </w:rPr>
      </w:r>
      <w:r>
        <w:rPr>
          <w:spacing w:val="-2"/>
        </w:rPr>
        <w:t>处置投资对应的享有该子公司净资产份额的差额，在合并财务报表中确认为其他综合收益，在丧失控制权时一并转入丧失控</w:t>
      </w:r>
      <w:r>
        <w:rPr>
          <w:spacing w:val="-64"/>
        </w:rPr>
        <w:t> </w:t>
      </w:r>
      <w:r>
        <w:rPr>
          <w:spacing w:val="-64"/>
        </w:rPr>
      </w:r>
      <w:r>
        <w:rPr/>
        <w:t>制权当期的损益。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7、合营安排分类及共同经营会计处理方法" w:id="178"/>
      <w:bookmarkEnd w:id="17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5"/>
        </w:rPr>
        <w:t> </w:t>
      </w:r>
      <w:r>
        <w:rPr>
          <w:spacing w:val="-65"/>
        </w:rPr>
      </w:r>
      <w:r>
        <w:rPr/>
        <w:t>企业，是指本公司仅对该安排的净资产享有权利的合营安排。</w:t>
      </w:r>
    </w:p>
    <w:p>
      <w:pPr>
        <w:pStyle w:val="BodyText"/>
        <w:spacing w:line="316" w:lineRule="auto" w:before="19"/>
        <w:ind w:right="1129" w:firstLine="360"/>
        <w:jc w:val="both"/>
      </w:pPr>
      <w:r>
        <w:rPr>
          <w:spacing w:val="-3"/>
        </w:rPr>
        <w:t>本公司对合营企业的投资采用权益法核算，按照本附注三、</w:t>
      </w:r>
      <w:r>
        <w:rPr>
          <w:rFonts w:ascii="宋体" w:hAnsi="宋体" w:cs="宋体" w:eastAsia="宋体" w:hint="default"/>
          <w:spacing w:val="-3"/>
        </w:rPr>
        <w:t>14</w:t>
      </w:r>
      <w:r>
        <w:rPr>
          <w:spacing w:val="-3"/>
        </w:rPr>
        <w:t>（</w:t>
      </w:r>
      <w:r>
        <w:rPr>
          <w:rFonts w:ascii="宋体" w:hAnsi="宋体" w:cs="宋体" w:eastAsia="宋体" w:hint="default"/>
          <w:spacing w:val="-3"/>
        </w:rPr>
        <w:t>2</w:t>
      </w:r>
      <w:r>
        <w:rPr>
          <w:spacing w:val="-3"/>
        </w:rPr>
        <w:t>）②“</w:t>
      </w:r>
      <w:r>
        <w:rPr>
          <w:spacing w:val="13"/>
        </w:rPr>
        <w:t> </w:t>
      </w:r>
      <w:r>
        <w:rPr/>
        <w:t>权益法核算的长期股权投资”中所述的会计政</w:t>
      </w:r>
      <w:r>
        <w:rPr/>
        <w:t> 策处理。</w:t>
      </w:r>
    </w:p>
    <w:p>
      <w:pPr>
        <w:pStyle w:val="BodyText"/>
        <w:spacing w:line="316" w:lineRule="auto" w:before="19"/>
        <w:ind w:right="1132" w:firstLine="360"/>
        <w:jc w:val="both"/>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w:t>
      </w:r>
    </w:p>
    <w:p>
      <w:pPr>
        <w:pStyle w:val="BodyText"/>
        <w:spacing w:line="316" w:lineRule="auto" w:before="19"/>
        <w:ind w:right="1131" w:firstLine="360"/>
        <w:jc w:val="both"/>
      </w:pPr>
      <w:r>
        <w:rPr>
          <w:spacing w:val="-2"/>
        </w:rPr>
        <w:t>当本公司作为合营方向共同经营投出或出售资产（该资产不构成业务，下同）、或者自共同经营购买资产时，在该等资</w:t>
      </w:r>
      <w:r>
        <w:rPr/>
        <w:t> </w:t>
      </w:r>
      <w:r>
        <w:rPr>
          <w:spacing w:val="-2"/>
        </w:rPr>
        <w:t>产出售给第三方之前，本公司仅确认因该交易产生的损益中归属于共同经营其他参与方的部分。该等资产发生符合《企业会</w:t>
      </w:r>
      <w:r>
        <w:rPr>
          <w:spacing w:val="-66"/>
        </w:rPr>
        <w:t> </w:t>
      </w:r>
      <w:r>
        <w:rPr>
          <w:spacing w:val="-66"/>
        </w:rPr>
      </w:r>
      <w:r>
        <w:rPr/>
        <w:t>计准则第</w:t>
      </w:r>
      <w:r>
        <w:rPr>
          <w:rFonts w:ascii="宋体" w:hAnsi="宋体" w:cs="宋体" w:eastAsia="宋体" w:hint="default"/>
        </w:rPr>
        <w:t>8</w:t>
      </w:r>
      <w:r>
        <w:rPr/>
        <w:t>号——资产减值》等规定的资产减值损失的，对于由本公司向共同经营投出或出售资产的情况，本公司全额确认</w:t>
      </w:r>
      <w:r>
        <w:rPr>
          <w:spacing w:val="-83"/>
        </w:rPr>
        <w:t> </w:t>
      </w:r>
      <w:r>
        <w:rPr>
          <w:spacing w:val="-83"/>
        </w:rPr>
      </w:r>
      <w:r>
        <w:rPr/>
        <w:t>该损失；对于本公司自共同经营购买资产的情况，本公司按承担的份额确认该损失。</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8、现金及现金等价物的确定标准" w:id="179"/>
      <w:bookmarkEnd w:id="17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3" w:firstLine="360"/>
        <w:jc w:val="both"/>
      </w:pPr>
      <w:r>
        <w:rPr>
          <w:spacing w:val="-2"/>
        </w:rPr>
        <w:t>本公司现金及现金等价物包括库存现金、可以随时用于支付的存款以及本公司持有的期限短（一般为从购买日起，三个</w:t>
      </w:r>
      <w:r>
        <w:rPr/>
        <w:t> 月内到期）、流动性强、易于转换为已知金额的现金、价值变动风险很小的投资。</w:t>
      </w:r>
    </w:p>
    <w:p>
      <w:pPr>
        <w:spacing w:line="240" w:lineRule="auto" w:before="5"/>
        <w:rPr>
          <w:rFonts w:ascii="宋体" w:hAnsi="宋体" w:cs="宋体" w:eastAsia="宋体" w:hint="default"/>
          <w:sz w:val="22"/>
          <w:szCs w:val="22"/>
        </w:rPr>
      </w:pPr>
    </w:p>
    <w:p>
      <w:pPr>
        <w:pStyle w:val="Heading4"/>
        <w:spacing w:line="240" w:lineRule="auto"/>
        <w:ind w:right="0"/>
        <w:jc w:val="left"/>
        <w:rPr>
          <w:b w:val="0"/>
          <w:bCs w:val="0"/>
        </w:rPr>
      </w:pPr>
      <w:bookmarkStart w:name="9、外币业务和外币报表折算" w:id="180"/>
      <w:bookmarkEnd w:id="18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w:t>
      </w:r>
      <w:r>
        <w:rPr>
          <w:rFonts w:ascii="宋体" w:hAnsi="宋体" w:cs="宋体" w:eastAsia="宋体" w:hint="default"/>
        </w:rPr>
        <w:t>1</w:t>
      </w:r>
      <w:r>
        <w:rPr/>
        <w:t>）外币交易的折算方法</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2" w:firstLine="360"/>
        <w:jc w:val="left"/>
      </w:pPr>
      <w:r>
        <w:rPr>
          <w:spacing w:val="-4"/>
        </w:rPr>
        <w:t>本公司发生的外币交易在初始确认时，按交易日的即期汇率（通常指中国人民银行公布的当日外汇牌价的中间价，下同）</w:t>
      </w:r>
      <w:r>
        <w:rPr/>
        <w:t> </w:t>
      </w:r>
      <w:r>
        <w:rPr>
          <w:spacing w:val="-2"/>
        </w:rPr>
        <w:t>折算为记账本位币金额，但公司发生的外币兑换业务或涉及外币兑换的交易事项，按照实际采用的汇率折算为记账本位币金</w:t>
      </w:r>
      <w:r>
        <w:rPr>
          <w:spacing w:val="-64"/>
        </w:rPr>
        <w:t> </w:t>
      </w:r>
      <w:r>
        <w:rPr>
          <w:spacing w:val="-64"/>
        </w:rPr>
      </w:r>
      <w:r>
        <w:rPr/>
        <w:t>额。</w:t>
      </w:r>
    </w:p>
    <w:p>
      <w:pPr>
        <w:pStyle w:val="BodyText"/>
        <w:spacing w:line="319" w:lineRule="auto" w:before="19"/>
        <w:ind w:left="514" w:right="0"/>
        <w:jc w:val="left"/>
      </w:pPr>
      <w:r>
        <w:rPr/>
        <w:t>（</w:t>
      </w:r>
      <w:r>
        <w:rPr>
          <w:rFonts w:ascii="宋体" w:hAnsi="宋体" w:cs="宋体" w:eastAsia="宋体" w:hint="default"/>
        </w:rPr>
        <w:t>2</w:t>
      </w:r>
      <w:r>
        <w:rPr/>
        <w:t>）对于外币货币性项目和外币非货币性项目的折算方法 </w:t>
      </w:r>
      <w:r>
        <w:rPr>
          <w:spacing w:val="-2"/>
        </w:rPr>
        <w:t>资产负债表日，对于外币货币性项目采用资产负债表日即期汇率折算，由此产生的汇兑差额，除：属于与购建符合资本</w:t>
      </w:r>
    </w:p>
    <w:p>
      <w:pPr>
        <w:pStyle w:val="BodyText"/>
        <w:spacing w:line="316" w:lineRule="auto" w:before="17"/>
        <w:ind w:right="0"/>
        <w:jc w:val="left"/>
      </w:pPr>
      <w:r>
        <w:rPr>
          <w:spacing w:val="-2"/>
        </w:rPr>
        <w:t>化条件的资产相关的外币专门借款产生的汇兑差额按照借款费用资本化的原则处理，以及可供出售的外币货币性项目除摊余</w:t>
      </w:r>
      <w:r>
        <w:rPr>
          <w:spacing w:val="-64"/>
        </w:rPr>
        <w:t> </w:t>
      </w:r>
      <w:r>
        <w:rPr>
          <w:spacing w:val="-64"/>
        </w:rPr>
      </w:r>
      <w:r>
        <w:rPr/>
        <w:t>成本之外的其他账面余额变动产生的汇兑差额计入其他综合收益之外，均计入当期损益。</w:t>
      </w:r>
    </w:p>
    <w:p>
      <w:pPr>
        <w:pStyle w:val="BodyText"/>
        <w:spacing w:line="316" w:lineRule="auto" w:before="19"/>
        <w:ind w:right="1132"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w:t>
      </w:r>
    </w:p>
    <w:p>
      <w:pPr>
        <w:pStyle w:val="BodyText"/>
        <w:spacing w:line="316" w:lineRule="auto" w:before="19"/>
        <w:ind w:left="514" w:right="0"/>
        <w:jc w:val="left"/>
      </w:pPr>
      <w:r>
        <w:rPr/>
        <w:t>（</w:t>
      </w:r>
      <w:r>
        <w:rPr>
          <w:rFonts w:ascii="宋体" w:hAnsi="宋体" w:cs="宋体" w:eastAsia="宋体"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316" w:lineRule="auto" w:before="19"/>
        <w:ind w:left="514" w:right="0" w:hanging="360"/>
        <w:jc w:val="left"/>
      </w:pPr>
      <w:r>
        <w:rPr/>
        <w:t>额，作为“外币报表折算差额”确认为其他综合收益；处置境外经营时，计入处置当期损益。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316" w:lineRule="auto" w:before="19"/>
        <w:ind w:right="1130"/>
        <w:jc w:val="both"/>
      </w:pPr>
      <w:r>
        <w:rPr>
          <w:spacing w:val="-2"/>
        </w:rPr>
        <w:t>率折算；股东权益类项目除“未分配利润”项目外，其他项目采用发生时的即期汇率折算。利润表中的收入和费用项目，采</w:t>
      </w:r>
      <w:r>
        <w:rPr>
          <w:spacing w:val="-67"/>
        </w:rPr>
        <w:t> </w:t>
      </w:r>
      <w:r>
        <w:rPr>
          <w:spacing w:val="-67"/>
        </w:rPr>
      </w:r>
      <w:r>
        <w:rPr>
          <w:spacing w:val="-2"/>
        </w:rPr>
        <w:t>用交易发生当期平均汇率折算。年初未分配利润为上一年折算后的年末未分配利润；年末未分配利润按折算后的利润分配各</w:t>
      </w:r>
      <w:r>
        <w:rPr>
          <w:spacing w:val="-64"/>
        </w:rPr>
        <w:t> </w:t>
      </w:r>
      <w:r>
        <w:rPr>
          <w:spacing w:val="-64"/>
        </w:rPr>
      </w:r>
      <w:r>
        <w:rPr>
          <w:spacing w:val="-2"/>
        </w:rPr>
        <w:t>项目计算列示；折算后资产类项目与负债类项目和股东权益类项目合计数的差额，作为外币报表折算差额，确认为其他综合</w:t>
      </w:r>
      <w:r>
        <w:rPr>
          <w:spacing w:val="-66"/>
        </w:rPr>
        <w:t> </w:t>
      </w:r>
      <w:r>
        <w:rPr>
          <w:spacing w:val="-66"/>
        </w:rPr>
      </w:r>
      <w:r>
        <w:rPr>
          <w:spacing w:val="-2"/>
        </w:rPr>
        <w:t>收益。处置境外经营并丧失控制权时，将资产负债表中股东权益项目下列示的、与该境外经营相关的外币报表折算差额，全</w:t>
      </w:r>
      <w:r>
        <w:rPr>
          <w:spacing w:val="-66"/>
        </w:rPr>
        <w:t> </w:t>
      </w:r>
      <w:r>
        <w:rPr>
          <w:spacing w:val="-66"/>
        </w:rPr>
      </w:r>
      <w:r>
        <w:rPr/>
        <w:t>部或按处置该境外经营的比例转入处置当期损益。</w:t>
      </w:r>
    </w:p>
    <w:p>
      <w:pPr>
        <w:pStyle w:val="BodyText"/>
        <w:spacing w:line="316" w:lineRule="auto" w:before="19"/>
        <w:ind w:right="1132" w:firstLine="360"/>
        <w:jc w:val="both"/>
      </w:pPr>
      <w:r>
        <w:rPr>
          <w:spacing w:val="-2"/>
        </w:rPr>
        <w:t>外币现金流量以及境外子公司的现金流量，采用现金流量发生当期平均汇率折算。汇率变动对现金的影响额作为调节项</w:t>
      </w:r>
      <w:r>
        <w:rPr/>
        <w:t> 目，在现金流量表中单独列报。</w:t>
      </w:r>
    </w:p>
    <w:p>
      <w:pPr>
        <w:pStyle w:val="BodyText"/>
        <w:spacing w:line="319" w:lineRule="auto" w:before="19"/>
        <w:ind w:left="514" w:right="0"/>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w:t>
      </w:r>
    </w:p>
    <w:p>
      <w:pPr>
        <w:pStyle w:val="BodyText"/>
        <w:spacing w:line="316" w:lineRule="auto" w:before="17"/>
        <w:ind w:left="514" w:right="1032" w:hanging="360"/>
        <w:jc w:val="left"/>
      </w:pPr>
      <w:r>
        <w:rPr/>
        <w:t>表中股东权益项目下列示的、与该境外经营相关的归属于母公司所有者权益的外币报表折算差额，全部转入处置当期损益。 </w:t>
      </w:r>
      <w:r>
        <w:rPr>
          <w:spacing w:val="-2"/>
        </w:rPr>
        <w:t>在处置部分股权投资或其他原因导致持有境外经营权益比例降低但不丧失对境外经营控制权时，与该境外经营处置部分</w:t>
      </w:r>
    </w:p>
    <w:p>
      <w:pPr>
        <w:pStyle w:val="BodyText"/>
        <w:spacing w:line="316" w:lineRule="auto" w:before="19"/>
        <w:ind w:right="1032"/>
        <w:jc w:val="left"/>
      </w:pPr>
      <w:r>
        <w:rPr/>
        <w:t>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0、金融工具" w:id="181"/>
      <w:bookmarkEnd w:id="18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6" w:firstLine="360"/>
        <w:jc w:val="both"/>
      </w:pPr>
      <w:r>
        <w:rPr/>
        <w:t>在本公司成为金融工具合同的一方时确认一项金融资产或金融负债。金融资产和金融负债在初始确认时以公允价值计</w:t>
      </w:r>
      <w:r>
        <w:rPr>
          <w:spacing w:val="2"/>
        </w:rPr>
        <w:t>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16" w:lineRule="auto" w:before="19"/>
        <w:ind w:left="514" w:right="0"/>
        <w:jc w:val="left"/>
      </w:pPr>
      <w:r>
        <w:rPr/>
        <w:t>（</w:t>
      </w:r>
      <w:r>
        <w:rPr>
          <w:rFonts w:ascii="宋体" w:hAnsi="宋体" w:cs="宋体" w:eastAsia="宋体"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before="19"/>
        <w:ind w:right="1032"/>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w:t>
      </w:r>
      <w:r>
        <w:rPr/>
        <w:t>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319" w:lineRule="auto" w:before="19"/>
        <w:ind w:left="514" w:right="0"/>
        <w:jc w:val="left"/>
      </w:pPr>
      <w:r>
        <w:rPr/>
        <w:t>（</w:t>
      </w:r>
      <w:r>
        <w:rPr>
          <w:rFonts w:ascii="宋体" w:hAnsi="宋体" w:cs="宋体" w:eastAsia="宋体"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17"/>
        <w:ind w:right="0"/>
        <w:jc w:val="left"/>
      </w:pPr>
      <w:r>
        <w:rPr/>
        <w:t>计入当期损益的金融资产、持有至到期投资、贷款和应收款项以及可供出售金融资产。</w:t>
      </w:r>
    </w:p>
    <w:p>
      <w:pPr>
        <w:pStyle w:val="BodyText"/>
        <w:spacing w:line="316" w:lineRule="auto" w:before="76"/>
        <w:ind w:left="514" w:right="3912"/>
        <w:jc w:val="left"/>
      </w:pPr>
      <w:r>
        <w:rPr/>
        <w:t>①以公允价值计量且其变动计入当期损益的金融资产 包括交易性金融资产和指定为以公允价值计量且其变动计入当期损益的金融资产。</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firstLine="360"/>
        <w:jc w:val="both"/>
      </w:pPr>
      <w:r>
        <w:rPr>
          <w:spacing w:val="-2"/>
        </w:rPr>
        <w:t>交易性金融资产是指满足下列条件之一的金融资产：</w:t>
      </w:r>
      <w:r>
        <w:rPr>
          <w:rFonts w:ascii="宋体" w:hAnsi="宋体" w:cs="宋体" w:eastAsia="宋体" w:hint="default"/>
          <w:spacing w:val="-2"/>
        </w:rPr>
        <w:t>A.</w:t>
      </w:r>
      <w:r>
        <w:rPr>
          <w:spacing w:val="-2"/>
        </w:rPr>
        <w:t>取得该金融资产的目的，主要是为了近期内出售；</w:t>
      </w:r>
      <w:r>
        <w:rPr>
          <w:rFonts w:ascii="宋体" w:hAnsi="宋体" w:cs="宋体" w:eastAsia="宋体" w:hint="default"/>
          <w:spacing w:val="-2"/>
        </w:rPr>
        <w:t>B.</w:t>
      </w:r>
      <w:r>
        <w:rPr>
          <w:spacing w:val="-2"/>
        </w:rPr>
        <w:t>属于进行集</w:t>
      </w:r>
      <w:r>
        <w:rPr/>
        <w:t> </w:t>
      </w:r>
      <w:r>
        <w:rPr>
          <w:spacing w:val="-2"/>
        </w:rPr>
        <w:t>中管理的可辨认金融工具组合的一部分，且有客观证据表明本公司近期采用短期获利方式对该组合进行管理；</w:t>
      </w:r>
      <w:r>
        <w:rPr>
          <w:rFonts w:ascii="宋体" w:hAnsi="宋体" w:cs="宋体" w:eastAsia="宋体" w:hint="default"/>
          <w:spacing w:val="-2"/>
        </w:rPr>
        <w:t>C.</w:t>
      </w:r>
      <w:r>
        <w:rPr>
          <w:spacing w:val="-2"/>
        </w:rPr>
        <w:t>属于衍生工</w:t>
      </w:r>
      <w:r>
        <w:rPr>
          <w:spacing w:val="-61"/>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316" w:lineRule="auto" w:before="19"/>
        <w:ind w:right="1130" w:firstLine="360"/>
        <w:jc w:val="both"/>
      </w:pPr>
      <w:r>
        <w:rPr>
          <w:spacing w:val="-2"/>
        </w:rPr>
        <w:t>符合下述条件之一的金融资产，在初始确认时可指定为以公允价值计量且其变动计入当期损益的金融资产：</w:t>
      </w:r>
      <w:r>
        <w:rPr>
          <w:rFonts w:ascii="宋体" w:hAnsi="宋体" w:cs="宋体" w:eastAsia="宋体"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宋体" w:hAnsi="宋体" w:cs="宋体" w:eastAsia="宋体" w:hint="default"/>
          <w:spacing w:val="-2"/>
        </w:rPr>
        <w:t>B.</w:t>
      </w:r>
      <w:r>
        <w:rPr>
          <w:spacing w:val="-2"/>
        </w:rPr>
        <w:t>本公司风险</w:t>
      </w:r>
      <w:r>
        <w:rPr>
          <w:spacing w:val="-61"/>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19"/>
        <w:ind w:right="1131"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6" w:lineRule="auto" w:before="19"/>
        <w:ind w:left="514" w:right="1118"/>
        <w:jc w:val="left"/>
      </w:pPr>
      <w:r>
        <w:rPr/>
        <w:t>②持有至到期投资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9"/>
        <w:ind w:right="0"/>
        <w:jc w:val="left"/>
      </w:pPr>
      <w:r>
        <w:rPr/>
        <w:t>当期损益。</w:t>
      </w:r>
    </w:p>
    <w:p>
      <w:pPr>
        <w:pStyle w:val="BodyText"/>
        <w:spacing w:line="316" w:lineRule="auto" w:before="76"/>
        <w:ind w:right="1132"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16" w:lineRule="auto" w:before="19"/>
        <w:ind w:right="1131"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316" w:lineRule="auto" w:before="19"/>
        <w:ind w:left="514" w:right="0"/>
        <w:jc w:val="left"/>
      </w:pPr>
      <w:r>
        <w:rPr/>
        <w:t>③贷款和应收款项 </w:t>
      </w:r>
      <w:r>
        <w:rPr>
          <w:spacing w:val="-2"/>
        </w:rPr>
        <w:t>是指在活跃市场中没有报价、回收金额固定或可确定的非衍生金融资产。本公司划分为贷款和应收款的金融资产包括应</w:t>
      </w:r>
    </w:p>
    <w:p>
      <w:pPr>
        <w:pStyle w:val="BodyText"/>
        <w:spacing w:line="316" w:lineRule="auto" w:before="19"/>
        <w:ind w:left="514" w:right="0"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right="0"/>
        <w:jc w:val="left"/>
      </w:pPr>
      <w:r>
        <w:rPr/>
        <w:t>当期损益。</w:t>
      </w:r>
    </w:p>
    <w:p>
      <w:pPr>
        <w:pStyle w:val="BodyText"/>
        <w:spacing w:line="316" w:lineRule="auto" w:before="76"/>
        <w:ind w:left="514" w:right="1032"/>
        <w:jc w:val="left"/>
      </w:pPr>
      <w:r>
        <w:rPr/>
        <w:t>④可供出售金融资产 包括初始确认时即被指定为可供出售的非衍生金融资产，以及除了以公允价值计量且其变动计入当期损益的金融资产、</w:t>
      </w:r>
    </w:p>
    <w:p>
      <w:pPr>
        <w:pStyle w:val="BodyText"/>
        <w:spacing w:line="316" w:lineRule="auto" w:before="19"/>
        <w:ind w:left="514" w:right="0" w:hanging="360"/>
        <w:jc w:val="left"/>
      </w:pPr>
      <w:r>
        <w:rPr/>
        <w:t>贷款和应收款项、持有至到期投资以外的金融资产。 </w:t>
      </w:r>
      <w:r>
        <w:rPr>
          <w:spacing w:val="-2"/>
        </w:rPr>
        <w:t>可供出售债务工具投资的期末成本按照其摊余成本法确定，即初始确认金额扣除已偿还的本金，加上或减去采用实际利</w:t>
      </w:r>
    </w:p>
    <w:p>
      <w:pPr>
        <w:pStyle w:val="BodyText"/>
        <w:spacing w:line="316" w:lineRule="auto" w:before="19"/>
        <w:ind w:right="1132"/>
        <w:jc w:val="both"/>
      </w:pP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w:t>
      </w:r>
    </w:p>
    <w:p>
      <w:pPr>
        <w:pStyle w:val="BodyText"/>
        <w:spacing w:line="316" w:lineRule="auto" w:before="19"/>
        <w:ind w:right="1131"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6"/>
        </w:rPr>
        <w:t> </w:t>
      </w:r>
      <w:r>
        <w:rPr>
          <w:spacing w:val="-66"/>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240" w:lineRule="auto" w:before="19"/>
        <w:ind w:left="514" w:right="0"/>
        <w:jc w:val="left"/>
      </w:pPr>
      <w:r>
        <w:rPr/>
        <w:t>可供出售金融资产持有期间取得的利息及被投资单位宣告发放的现金股利，计入投资收益。</w:t>
      </w:r>
    </w:p>
    <w:p>
      <w:pPr>
        <w:pStyle w:val="BodyText"/>
        <w:spacing w:line="316" w:lineRule="auto" w:before="76"/>
        <w:ind w:left="514" w:right="0"/>
        <w:jc w:val="left"/>
      </w:pPr>
      <w:r>
        <w:rPr/>
        <w:t>（</w:t>
      </w:r>
      <w:r>
        <w:rPr>
          <w:rFonts w:ascii="宋体" w:hAnsi="宋体" w:cs="宋体" w:eastAsia="宋体"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316" w:lineRule="auto" w:before="19"/>
        <w:ind w:left="514" w:right="0" w:hanging="360"/>
        <w:jc w:val="left"/>
      </w:pPr>
      <w:r>
        <w:rPr/>
        <w:t>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316" w:lineRule="auto" w:before="19"/>
        <w:ind w:right="1131"/>
        <w:jc w:val="both"/>
      </w:pP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240" w:lineRule="auto" w:before="19"/>
        <w:ind w:left="514" w:right="0"/>
        <w:jc w:val="left"/>
      </w:pPr>
      <w:r>
        <w:rPr/>
        <w:t>①持有至到期投资、贷款和应收款项减值</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firstLine="360"/>
        <w:jc w:val="both"/>
      </w:pPr>
      <w:r>
        <w:rPr>
          <w:spacing w:val="-2"/>
        </w:rPr>
        <w:t>以成本或摊余成本计量的金融资产将其账面价值减记至预计未来现金流量现值，减记金额确认为减值损失，计入当期损</w:t>
      </w:r>
      <w:r>
        <w:rPr/>
        <w:t> </w:t>
      </w:r>
      <w:r>
        <w:rPr>
          <w:spacing w:val="-2"/>
        </w:rPr>
        <w:t>益。金融资产在确认减值损失后，如有客观证据表明该金融资产价值已恢复，且客观上与确认该损失后发生的事项有关，原</w:t>
      </w:r>
      <w:r>
        <w:rPr>
          <w:spacing w:val="-65"/>
        </w:rPr>
        <w:t> </w:t>
      </w:r>
      <w:r>
        <w:rPr>
          <w:spacing w:val="-65"/>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9"/>
        <w:ind w:left="514" w:right="0"/>
        <w:jc w:val="left"/>
      </w:pPr>
      <w:r>
        <w:rPr/>
        <w:t>②可供出售金融资产减值 </w:t>
      </w:r>
      <w:r>
        <w:rPr>
          <w:spacing w:val="-2"/>
        </w:rPr>
        <w:t>当综合相关因素判断可供出售权益工具投资公允价值下跌是严重或非暂时性下跌时，表明该可供出售权益工具投资发生</w:t>
      </w:r>
    </w:p>
    <w:p>
      <w:pPr>
        <w:pStyle w:val="BodyText"/>
        <w:spacing w:line="240" w:lineRule="auto" w:before="19"/>
        <w:ind w:right="0"/>
        <w:jc w:val="left"/>
      </w:pPr>
      <w:r>
        <w:rPr/>
        <w:t>减值。</w:t>
      </w:r>
    </w:p>
    <w:p>
      <w:pPr>
        <w:pStyle w:val="BodyText"/>
        <w:spacing w:line="316" w:lineRule="auto" w:before="76"/>
        <w:ind w:right="1050" w:firstLine="360"/>
        <w:jc w:val="both"/>
      </w:pPr>
      <w:r>
        <w:rPr>
          <w:spacing w:val="-2"/>
        </w:rPr>
        <w:t>可供出售金融资产发生减值时，将原计入其他综合收益的因公允价值下降形成的累计损失予以转出并计入当期损益，该</w:t>
      </w:r>
      <w:r>
        <w:rPr/>
        <w:t> 转出的累计损失为该资产初始取得成本扣除已收回本金和已摊销金额、当前公允价值和原已计入损益的减值损失后的余额。</w:t>
      </w:r>
    </w:p>
    <w:p>
      <w:pPr>
        <w:pStyle w:val="BodyText"/>
        <w:spacing w:line="316" w:lineRule="auto" w:before="19"/>
        <w:ind w:right="1132"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9"/>
        <w:ind w:right="1131"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316" w:lineRule="auto" w:before="19"/>
        <w:ind w:left="514" w:right="0"/>
        <w:jc w:val="left"/>
      </w:pPr>
      <w:r>
        <w:rPr/>
        <w:t>（</w:t>
      </w:r>
      <w:r>
        <w:rPr>
          <w:rFonts w:ascii="宋体" w:hAnsi="宋体" w:cs="宋体" w:eastAsia="宋体" w:hint="default"/>
        </w:rPr>
        <w:t>4</w:t>
      </w:r>
      <w:r>
        <w:rPr/>
        <w:t>）金融资产转移的确认依据和计量方法 </w:t>
      </w:r>
      <w:r>
        <w:rPr>
          <w:spacing w:val="-2"/>
        </w:rPr>
        <w:t>满足下列条件之一的金融资产，予以终止确认：①收取该金融资产现金流量的合同权利终止；②该金融资产已转移，且</w:t>
      </w:r>
    </w:p>
    <w:p>
      <w:pPr>
        <w:pStyle w:val="BodyText"/>
        <w:spacing w:line="316" w:lineRule="auto" w:before="19"/>
        <w:ind w:right="0"/>
        <w:jc w:val="left"/>
      </w:pPr>
      <w:r>
        <w:rPr>
          <w:spacing w:val="-2"/>
        </w:rPr>
        <w:t>将金融资产所有权上几乎所有的风险和报酬转移给转入方；③该金融资产已转移，虽然企业既没有转移也没有保留金融资产</w:t>
      </w:r>
      <w:r>
        <w:rPr>
          <w:spacing w:val="-64"/>
        </w:rPr>
        <w:t> </w:t>
      </w:r>
      <w:r>
        <w:rPr>
          <w:spacing w:val="-64"/>
        </w:rPr>
      </w:r>
      <w:r>
        <w:rPr/>
        <w:t>所有权上几乎所有的风险和报酬，但是放弃了对该金融资产控制。</w:t>
      </w:r>
    </w:p>
    <w:p>
      <w:pPr>
        <w:pStyle w:val="BodyText"/>
        <w:spacing w:line="316" w:lineRule="auto" w:before="19"/>
        <w:ind w:right="1132"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pStyle w:val="BodyText"/>
        <w:spacing w:line="319" w:lineRule="auto" w:before="19"/>
        <w:ind w:right="1131"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17"/>
        <w:ind w:right="1131"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6" w:lineRule="auto" w:before="19"/>
        <w:ind w:right="1131"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316" w:lineRule="auto" w:before="19"/>
        <w:ind w:left="514" w:right="1032"/>
        <w:jc w:val="left"/>
      </w:pPr>
      <w:r>
        <w:rPr/>
        <w:t>（</w:t>
      </w:r>
      <w:r>
        <w:rPr>
          <w:rFonts w:ascii="宋体" w:hAnsi="宋体" w:cs="宋体" w:eastAsia="宋体"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19"/>
        <w:ind w:right="0"/>
        <w:jc w:val="left"/>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316" w:lineRule="auto" w:before="19"/>
        <w:ind w:left="514" w:right="0"/>
        <w:jc w:val="left"/>
      </w:pPr>
      <w:r>
        <w:rPr/>
        <w:t>①以公允价值计量且其变动计入当期损益的金融负债 分类为交易性金融负债和在初始确认时指定为以公允价值计量且其变动计入当期损益的金融负债的条件与分类为交易</w:t>
      </w:r>
    </w:p>
    <w:p>
      <w:pPr>
        <w:pStyle w:val="BodyText"/>
        <w:spacing w:line="316" w:lineRule="auto" w:before="19"/>
        <w:ind w:left="514" w:right="0" w:hanging="360"/>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240" w:lineRule="auto" w:before="19"/>
        <w:ind w:right="0"/>
        <w:jc w:val="left"/>
      </w:pPr>
      <w:r>
        <w:rPr/>
        <w:t>与该等金融负债相关的股利和利息支出计入当期损益。</w:t>
      </w:r>
    </w:p>
    <w:p>
      <w:pPr>
        <w:pStyle w:val="BodyText"/>
        <w:spacing w:line="319" w:lineRule="auto" w:before="76"/>
        <w:ind w:left="514" w:right="0"/>
        <w:jc w:val="left"/>
      </w:pPr>
      <w:r>
        <w:rPr/>
        <w:t>②其他金融负债 </w:t>
      </w:r>
      <w:r>
        <w:rPr>
          <w:spacing w:val="-2"/>
        </w:rPr>
        <w:t>与在活跃市场中没有报价、公允价值不能可靠计量的权益工具挂钩并须通过交付该权益工具结算的衍生金融负债，按照</w:t>
      </w:r>
    </w:p>
    <w:p>
      <w:pPr>
        <w:pStyle w:val="BodyText"/>
        <w:spacing w:line="316" w:lineRule="auto" w:before="17"/>
        <w:ind w:right="1118"/>
        <w:jc w:val="left"/>
      </w:pPr>
      <w:r>
        <w:rPr>
          <w:spacing w:val="-2"/>
        </w:rPr>
        <w:t>成本进行后续计量。其他金融负债采用实际利率法，按摊余成本进行后续计量，终止确认或摊销产生的利得或损失计入当期</w:t>
      </w:r>
      <w:r>
        <w:rPr>
          <w:spacing w:val="-66"/>
        </w:rPr>
        <w:t> </w:t>
      </w:r>
      <w:r>
        <w:rPr>
          <w:spacing w:val="-66"/>
        </w:rPr>
      </w:r>
      <w:r>
        <w:rPr/>
        <w:t>损益。</w:t>
      </w:r>
    </w:p>
    <w:p>
      <w:pPr>
        <w:pStyle w:val="BodyText"/>
        <w:spacing w:line="240" w:lineRule="auto" w:before="19"/>
        <w:ind w:left="514" w:right="0"/>
        <w:jc w:val="left"/>
      </w:pPr>
      <w:r>
        <w:rPr/>
        <w:t>（</w:t>
      </w:r>
      <w:r>
        <w:rPr>
          <w:rFonts w:ascii="宋体" w:hAnsi="宋体" w:cs="宋体" w:eastAsia="宋体" w:hint="default"/>
        </w:rPr>
        <w:t>6</w:t>
      </w:r>
      <w:r>
        <w:rPr/>
        <w:t>）金融负债的终止确认</w:t>
      </w:r>
    </w:p>
    <w:p>
      <w:pPr>
        <w:spacing w:after="0" w:line="240" w:lineRule="auto"/>
        <w:jc w:val="left"/>
        <w:sectPr>
          <w:footerReference w:type="default" r:id="rId17"/>
          <w:pgSz w:w="11910" w:h="16840"/>
          <w:pgMar w:footer="979" w:header="747" w:top="1060" w:bottom="1160" w:left="980" w:right="0"/>
          <w:pgNumType w:start="9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金融负债的现时义务全部或部分已经解除的，才能终止确认该金融负债或其一部分。本公司（债务人）与债权人之间签</w:t>
      </w:r>
      <w:r>
        <w:rPr/>
        <w:t> </w:t>
      </w: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319" w:lineRule="auto" w:before="19"/>
        <w:ind w:right="1132" w:firstLine="360"/>
        <w:jc w:val="both"/>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16" w:lineRule="auto" w:before="17"/>
        <w:ind w:left="514" w:right="0"/>
        <w:jc w:val="left"/>
      </w:pPr>
      <w:r>
        <w:rPr/>
        <w:t>（</w:t>
      </w:r>
      <w:r>
        <w:rPr>
          <w:rFonts w:ascii="宋体" w:hAnsi="宋体" w:cs="宋体" w:eastAsia="宋体" w:hint="default"/>
        </w:rPr>
        <w:t>7</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19"/>
        <w:ind w:right="0"/>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316" w:lineRule="auto" w:before="19"/>
        <w:ind w:left="514" w:right="1118"/>
        <w:jc w:val="left"/>
      </w:pPr>
      <w:r>
        <w:rPr/>
        <w:t>（</w:t>
      </w:r>
      <w:r>
        <w:rPr>
          <w:rFonts w:ascii="宋体" w:hAnsi="宋体" w:cs="宋体" w:eastAsia="宋体" w:hint="default"/>
        </w:rPr>
        <w:t>8</w:t>
      </w:r>
      <w:r>
        <w:rPr/>
        <w:t>）权益工具 </w:t>
      </w:r>
      <w:r>
        <w:rPr>
          <w:spacing w:val="-2"/>
        </w:rPr>
        <w:t>权益工具是指能证明拥有本公司在扣除所有负债后的资产中的剩余权益的合同。本公司发行（含再融资）、回购、出售</w:t>
      </w:r>
    </w:p>
    <w:p>
      <w:pPr>
        <w:pStyle w:val="BodyText"/>
        <w:spacing w:line="316" w:lineRule="auto" w:before="19"/>
        <w:ind w:left="514" w:right="1032" w:hanging="360"/>
        <w:jc w:val="left"/>
      </w:pPr>
      <w:r>
        <w:rPr>
          <w:spacing w:val="-4"/>
        </w:rPr>
        <w:t>或注销权益工具作为权益的变动处理。本公司不确认权益工具的公允价值变动。与权益性交易相关的交易费用从权益中扣减。</w:t>
      </w:r>
      <w:r>
        <w:rPr>
          <w:spacing w:val="-44"/>
        </w:rPr>
        <w:t> </w:t>
      </w:r>
      <w:r>
        <w:rPr>
          <w:spacing w:val="-44"/>
        </w:rPr>
      </w:r>
      <w:r>
        <w:rPr/>
        <w:t>本公司对权益工具持有方的各种分配（不包括股票股利），减少股东权益。本公司不确认权益工具的公允价值变动额。</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1、应收票据及应收账款" w:id="182"/>
      <w:bookmarkEnd w:id="182"/>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单项金额重大并单独计提坏账准备的应收款项" w:id="183"/>
      <w:bookmarkEnd w:id="18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金额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或占应收账款账面余 额</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余额列前五位的其他应 收款或金额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或占其他应收款账面余额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经单独进行减值测试有客观证据表明发生减值的，根据其未 来现金流量现值低于其账面价值的差额计提坏账准备；经单 独进行减值测试未发生减值的，将其划入具有类似信用风险 特征的若干组合计提坏账准备。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184"/>
      <w:bookmarkEnd w:id="184"/>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保理业务组合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个月，下同</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214" w:right="6252"/>
        <w:jc w:val="left"/>
      </w:pPr>
      <w:r>
        <w:rPr/>
        <w:t>组合中，采用余额百分比法计提坏账准备的：</w:t>
      </w:r>
    </w:p>
    <w:p>
      <w:pPr>
        <w:pStyle w:val="BodyText"/>
        <w:spacing w:line="338" w:lineRule="auto" w:before="117"/>
        <w:ind w:left="214"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348" w:lineRule="auto" w:before="43"/>
        <w:ind w:left="214" w:right="6252"/>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以保理业务为信用风险组合应收账款坏账准备计提办法： 类别 分类依据 应收账款计提比例</w:t>
      </w:r>
      <w:r>
        <w:rPr>
          <w:rFonts w:ascii="Times New Roman" w:hAnsi="Times New Roman" w:cs="Times New Roman" w:eastAsia="Times New Roman" w:hint="default"/>
        </w:rPr>
        <w:t>(%)</w:t>
      </w:r>
    </w:p>
    <w:p>
      <w:pPr>
        <w:pStyle w:val="BodyText"/>
        <w:tabs>
          <w:tab w:pos="4984" w:val="left" w:leader="none"/>
        </w:tabs>
        <w:spacing w:line="240" w:lineRule="auto" w:before="14"/>
        <w:ind w:left="214" w:right="1072"/>
        <w:jc w:val="left"/>
        <w:rPr>
          <w:rFonts w:ascii="Times New Roman" w:hAnsi="Times New Roman" w:cs="Times New Roman" w:eastAsia="Times New Roman" w:hint="default"/>
        </w:rPr>
      </w:pPr>
      <w:r>
        <w:rPr/>
        <w:t>正常</w:t>
      </w:r>
      <w:r>
        <w:rPr>
          <w:spacing w:val="-30"/>
        </w:rPr>
        <w:t> </w:t>
      </w:r>
      <w:r>
        <w:rPr/>
        <w:t>未逾期</w:t>
      </w:r>
      <w:r>
        <w:rPr>
          <w:rFonts w:ascii="Times New Roman" w:hAnsi="Times New Roman" w:cs="Times New Roman" w:eastAsia="Times New Roman" w:hint="default"/>
        </w:rPr>
        <w:tab/>
        <w:t>0</w:t>
      </w:r>
    </w:p>
    <w:p>
      <w:pPr>
        <w:pStyle w:val="BodyText"/>
        <w:tabs>
          <w:tab w:pos="3154" w:val="left" w:leader="none"/>
        </w:tabs>
        <w:spacing w:line="240" w:lineRule="auto" w:before="102"/>
        <w:ind w:left="214" w:right="6252"/>
        <w:jc w:val="left"/>
        <w:rPr>
          <w:rFonts w:ascii="Times New Roman" w:hAnsi="Times New Roman" w:cs="Times New Roman" w:eastAsia="Times New Roman" w:hint="default"/>
        </w:rPr>
      </w:pPr>
      <w:r>
        <w:rPr/>
        <w:t>关注</w:t>
      </w:r>
      <w:r>
        <w:rPr>
          <w:spacing w:val="-30"/>
        </w:rPr>
        <w:t> </w:t>
      </w:r>
      <w:r>
        <w:rPr/>
        <w:t>逾期</w:t>
      </w:r>
      <w:r>
        <w:rPr>
          <w:spacing w:val="-46"/>
        </w:rPr>
        <w:t> </w:t>
      </w:r>
      <w:r>
        <w:rPr>
          <w:rFonts w:ascii="Times New Roman" w:hAnsi="Times New Roman" w:cs="Times New Roman" w:eastAsia="Times New Roman" w:hint="default"/>
        </w:rPr>
        <w:t>1-90</w:t>
      </w:r>
      <w:r>
        <w:rPr>
          <w:rFonts w:ascii="Times New Roman" w:hAnsi="Times New Roman" w:cs="Times New Roman" w:eastAsia="Times New Roman" w:hint="default"/>
          <w:spacing w:val="-1"/>
        </w:rPr>
        <w:t> </w:t>
      </w:r>
      <w:r>
        <w:rPr/>
        <w:t>天</w:t>
      </w:r>
      <w:r>
        <w:rPr>
          <w:rFonts w:ascii="Times New Roman" w:hAnsi="Times New Roman" w:cs="Times New Roman" w:eastAsia="Times New Roman" w:hint="default"/>
        </w:rPr>
        <w:t>(</w:t>
      </w:r>
      <w:r>
        <w:rPr/>
        <w:t>含</w:t>
      </w:r>
      <w:r>
        <w:rPr>
          <w:spacing w:val="-46"/>
        </w:rPr>
        <w:t> </w:t>
      </w:r>
      <w:r>
        <w:rPr>
          <w:rFonts w:ascii="Times New Roman" w:hAnsi="Times New Roman" w:cs="Times New Roman" w:eastAsia="Times New Roman" w:hint="default"/>
        </w:rPr>
        <w:t>90</w:t>
      </w:r>
      <w:r>
        <w:rPr>
          <w:rFonts w:ascii="Times New Roman" w:hAnsi="Times New Roman" w:cs="Times New Roman" w:eastAsia="Times New Roman" w:hint="default"/>
          <w:spacing w:val="-1"/>
        </w:rPr>
        <w:t> </w:t>
      </w:r>
      <w:r>
        <w:rPr/>
        <w:t>天，下同</w:t>
      </w:r>
      <w:r>
        <w:rPr>
          <w:rFonts w:ascii="Times New Roman" w:hAnsi="Times New Roman" w:cs="Times New Roman" w:eastAsia="Times New Roman" w:hint="default"/>
        </w:rPr>
        <w:t>)</w:t>
        <w:tab/>
        <w:t>3</w:t>
      </w:r>
    </w:p>
    <w:p>
      <w:pPr>
        <w:pStyle w:val="BodyText"/>
        <w:tabs>
          <w:tab w:pos="1894" w:val="left" w:leader="none"/>
        </w:tabs>
        <w:spacing w:line="240" w:lineRule="auto" w:before="102"/>
        <w:ind w:left="214" w:right="6252"/>
        <w:jc w:val="left"/>
        <w:rPr>
          <w:rFonts w:ascii="Times New Roman" w:hAnsi="Times New Roman" w:cs="Times New Roman" w:eastAsia="Times New Roman" w:hint="default"/>
        </w:rPr>
      </w:pPr>
      <w:r>
        <w:rPr/>
        <w:t>次级</w:t>
      </w:r>
      <w:r>
        <w:rPr>
          <w:spacing w:val="-30"/>
        </w:rPr>
        <w:t> </w:t>
      </w:r>
      <w:r>
        <w:rPr/>
        <w:t>逾期</w:t>
      </w:r>
      <w:r>
        <w:rPr>
          <w:spacing w:val="-46"/>
        </w:rPr>
        <w:t> </w:t>
      </w:r>
      <w:r>
        <w:rPr>
          <w:rFonts w:ascii="Times New Roman" w:hAnsi="Times New Roman" w:cs="Times New Roman" w:eastAsia="Times New Roman" w:hint="default"/>
        </w:rPr>
        <w:t>91-180</w:t>
      </w:r>
      <w:r>
        <w:rPr>
          <w:rFonts w:ascii="Times New Roman" w:hAnsi="Times New Roman" w:cs="Times New Roman" w:eastAsia="Times New Roman" w:hint="default"/>
          <w:spacing w:val="-1"/>
        </w:rPr>
        <w:t> </w:t>
      </w:r>
      <w:r>
        <w:rPr/>
        <w:t>天</w:t>
      </w:r>
      <w:r>
        <w:rPr>
          <w:rFonts w:ascii="Times New Roman" w:hAnsi="Times New Roman" w:cs="Times New Roman" w:eastAsia="Times New Roman" w:hint="default"/>
        </w:rPr>
        <w:tab/>
        <w:t>50</w:t>
      </w:r>
    </w:p>
    <w:p>
      <w:pPr>
        <w:pStyle w:val="BodyText"/>
        <w:spacing w:line="240" w:lineRule="auto" w:before="103"/>
        <w:ind w:left="214" w:right="6252"/>
        <w:jc w:val="left"/>
        <w:rPr>
          <w:rFonts w:ascii="Times New Roman" w:hAnsi="Times New Roman" w:cs="Times New Roman" w:eastAsia="Times New Roman" w:hint="default"/>
        </w:rPr>
      </w:pPr>
      <w:r>
        <w:rPr/>
        <w:t>可疑</w:t>
      </w:r>
      <w:r>
        <w:rPr>
          <w:spacing w:val="-30"/>
        </w:rPr>
        <w:t> </w:t>
      </w:r>
      <w:r>
        <w:rPr/>
        <w:t>逾期</w:t>
      </w:r>
      <w:r>
        <w:rPr>
          <w:spacing w:val="-46"/>
        </w:rPr>
        <w:t> </w:t>
      </w:r>
      <w:r>
        <w:rPr>
          <w:rFonts w:ascii="Times New Roman" w:hAnsi="Times New Roman" w:cs="Times New Roman" w:eastAsia="Times New Roman" w:hint="default"/>
        </w:rPr>
        <w:t>181-360 </w:t>
      </w:r>
      <w:r>
        <w:rPr/>
        <w:t>天</w:t>
      </w:r>
      <w:r>
        <w:rPr>
          <w:spacing w:val="-60"/>
        </w:rPr>
        <w:t> </w:t>
      </w:r>
      <w:r>
        <w:rPr>
          <w:rFonts w:ascii="Times New Roman" w:hAnsi="Times New Roman" w:cs="Times New Roman" w:eastAsia="Times New Roman" w:hint="default"/>
        </w:rPr>
        <w:t>80</w:t>
      </w:r>
    </w:p>
    <w:p>
      <w:pPr>
        <w:pStyle w:val="BodyText"/>
        <w:tabs>
          <w:tab w:pos="2314" w:val="left" w:leader="none"/>
        </w:tabs>
        <w:spacing w:line="240" w:lineRule="auto" w:before="102"/>
        <w:ind w:left="214" w:right="6252"/>
        <w:jc w:val="left"/>
        <w:rPr>
          <w:rFonts w:ascii="Times New Roman" w:hAnsi="Times New Roman" w:cs="Times New Roman" w:eastAsia="Times New Roman" w:hint="default"/>
        </w:rPr>
      </w:pPr>
      <w:r>
        <w:rPr/>
        <w:t>损失</w:t>
      </w:r>
      <w:r>
        <w:rPr>
          <w:spacing w:val="-30"/>
        </w:rPr>
        <w:t> </w:t>
      </w:r>
      <w:r>
        <w:rPr/>
        <w:t>逾期</w:t>
      </w:r>
      <w:r>
        <w:rPr>
          <w:spacing w:val="-46"/>
        </w:rPr>
        <w:t> </w:t>
      </w:r>
      <w:r>
        <w:rPr>
          <w:rFonts w:ascii="Times New Roman" w:hAnsi="Times New Roman" w:cs="Times New Roman" w:eastAsia="Times New Roman" w:hint="default"/>
        </w:rPr>
        <w:t>360</w:t>
      </w:r>
      <w:r>
        <w:rPr>
          <w:rFonts w:ascii="Times New Roman" w:hAnsi="Times New Roman" w:cs="Times New Roman" w:eastAsia="Times New Roman" w:hint="default"/>
          <w:spacing w:val="-1"/>
        </w:rPr>
        <w:t> </w:t>
      </w:r>
      <w:r>
        <w:rPr/>
        <w:t>天以上</w:t>
      </w:r>
      <w:r>
        <w:rPr>
          <w:rFonts w:ascii="Times New Roman" w:hAnsi="Times New Roman" w:cs="Times New Roman" w:eastAsia="Times New Roman" w:hint="default"/>
        </w:rPr>
        <w:tab/>
        <w:t>100</w:t>
      </w:r>
    </w:p>
    <w:p>
      <w:pPr>
        <w:pStyle w:val="BodyText"/>
        <w:spacing w:line="309" w:lineRule="auto" w:before="101"/>
        <w:ind w:left="214" w:right="1131" w:firstLine="360"/>
        <w:jc w:val="both"/>
      </w:pPr>
      <w:r>
        <w:rPr>
          <w:spacing w:val="-1"/>
        </w:rPr>
        <w:t>对于其他应收款项</w:t>
      </w:r>
      <w:r>
        <w:rPr>
          <w:rFonts w:ascii="Times New Roman" w:hAnsi="Times New Roman" w:cs="Times New Roman" w:eastAsia="Times New Roman" w:hint="default"/>
          <w:spacing w:val="-1"/>
        </w:rPr>
        <w:t>(</w:t>
      </w:r>
      <w:r>
        <w:rPr>
          <w:spacing w:val="-1"/>
        </w:rPr>
        <w:t>包括应收票据、预付款项、应收利息等</w:t>
      </w:r>
      <w:r>
        <w:rPr>
          <w:rFonts w:ascii="Times New Roman" w:hAnsi="Times New Roman" w:cs="Times New Roman" w:eastAsia="Times New Roman" w:hint="default"/>
          <w:spacing w:val="-1"/>
        </w:rPr>
        <w:t>)</w:t>
      </w:r>
      <w:r>
        <w:rPr>
          <w:spacing w:val="-1"/>
        </w:rPr>
        <w:t>，根据其未来现金流量现值低于其账面价值的差额计提坏账</w:t>
      </w:r>
      <w:r>
        <w:rPr/>
        <w:t> </w:t>
      </w:r>
      <w:r>
        <w:rPr>
          <w:spacing w:val="-2"/>
        </w:rPr>
        <w:t>准备。其中：对于保理业务和贷款业务应收未收的利息，将其根据相应保理业务和贷款业务的风险分类进行划分，并按保理</w:t>
      </w:r>
      <w:r>
        <w:rPr>
          <w:spacing w:val="-66"/>
        </w:rPr>
        <w:t> </w:t>
      </w:r>
      <w:r>
        <w:rPr>
          <w:spacing w:val="-66"/>
        </w:rPr>
      </w:r>
      <w:r>
        <w:rPr/>
        <w:t>业务和贷款业务各风险分类的坏账准备计提比例予以计提。</w:t>
      </w:r>
    </w:p>
    <w:p>
      <w:pPr>
        <w:pStyle w:val="BodyText"/>
        <w:spacing w:line="240" w:lineRule="auto" w:before="65"/>
        <w:ind w:left="574" w:right="1072"/>
        <w:jc w:val="left"/>
      </w:pPr>
      <w:r>
        <w:rPr/>
        <w:t>租赁业务产生的长期应收款、一年内到期长期应收款等其他应收款项坏账准备计提办法：</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134"/>
        <w:gridCol w:w="7339"/>
        <w:gridCol w:w="1559"/>
      </w:tblGrid>
      <w:tr>
        <w:trPr>
          <w:trHeight w:val="455"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资产分类</w:t>
            </w:r>
          </w:p>
        </w:tc>
        <w:tc>
          <w:tcPr>
            <w:tcW w:w="7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分类标准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计提比率</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正常类</w:t>
            </w:r>
          </w:p>
        </w:tc>
        <w:tc>
          <w:tcPr>
            <w:tcW w:w="7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承租人能够正常履行合同，不存在影响租赁本息及时全额偿还的消极因素。</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关注类</w:t>
            </w:r>
          </w:p>
        </w:tc>
        <w:tc>
          <w:tcPr>
            <w:tcW w:w="73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both"/>
              <w:rPr>
                <w:rFonts w:ascii="宋体" w:hAnsi="宋体" w:cs="宋体" w:eastAsia="宋体" w:hint="default"/>
                <w:sz w:val="18"/>
                <w:szCs w:val="18"/>
              </w:rPr>
            </w:pPr>
            <w:r>
              <w:rPr>
                <w:rFonts w:ascii="宋体" w:hAnsi="宋体" w:cs="宋体" w:eastAsia="宋体" w:hint="default"/>
                <w:spacing w:val="-2"/>
                <w:sz w:val="18"/>
                <w:szCs w:val="18"/>
              </w:rPr>
              <w:t>承租人还款能力出现问题或存在一些可能对还款产生不利影响的因素，但考虑租赁物物权价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值、保证人（含担保法人及个人）保证能力、抵质押物等其他增信措施代偿价值等综合因素</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后，即使承租人偿还能力受到影响，租赁本息的清偿也不会受到实质性影响。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次级类</w:t>
            </w:r>
          </w:p>
        </w:tc>
        <w:tc>
          <w:tcPr>
            <w:tcW w:w="73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both"/>
              <w:rPr>
                <w:rFonts w:ascii="宋体" w:hAnsi="宋体" w:cs="宋体" w:eastAsia="宋体" w:hint="default"/>
                <w:sz w:val="18"/>
                <w:szCs w:val="18"/>
              </w:rPr>
            </w:pPr>
            <w:r>
              <w:rPr>
                <w:rFonts w:ascii="宋体" w:hAnsi="宋体" w:cs="宋体" w:eastAsia="宋体" w:hint="default"/>
                <w:spacing w:val="-3"/>
                <w:sz w:val="18"/>
                <w:szCs w:val="18"/>
              </w:rPr>
              <w:t>承租人的还款能力出现问题，即使考虑租赁物物权价值、保证人（含担保法人及个人）保证</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能力、抵质押物等其他增信措施代偿价值等综合因素后，租赁本息的清偿也可能会受到实质</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性影响且可能会造成一定损失。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可疑类</w:t>
            </w:r>
          </w:p>
        </w:tc>
        <w:tc>
          <w:tcPr>
            <w:tcW w:w="73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both"/>
              <w:rPr>
                <w:rFonts w:ascii="宋体" w:hAnsi="宋体" w:cs="宋体" w:eastAsia="宋体" w:hint="default"/>
                <w:sz w:val="18"/>
                <w:szCs w:val="18"/>
              </w:rPr>
            </w:pPr>
            <w:r>
              <w:rPr>
                <w:rFonts w:ascii="宋体" w:hAnsi="宋体" w:cs="宋体" w:eastAsia="宋体" w:hint="default"/>
                <w:spacing w:val="-3"/>
                <w:sz w:val="18"/>
                <w:szCs w:val="18"/>
              </w:rPr>
              <w:t>承租人的还款能力出现问题，即使考虑租赁物物权价值、保证人（含担保法人及个人）保证</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能力、抵质押物等其他增信措施代偿价值等综合因素后，租赁本息的清偿也肯定会受到实质</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性影响且肯定会造成较大损失。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损失类</w:t>
            </w:r>
          </w:p>
        </w:tc>
        <w:tc>
          <w:tcPr>
            <w:tcW w:w="73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left"/>
              <w:rPr>
                <w:rFonts w:ascii="宋体" w:hAnsi="宋体" w:cs="宋体" w:eastAsia="宋体" w:hint="default"/>
                <w:sz w:val="18"/>
                <w:szCs w:val="18"/>
              </w:rPr>
            </w:pPr>
            <w:r>
              <w:rPr>
                <w:rFonts w:ascii="宋体" w:hAnsi="宋体" w:cs="宋体" w:eastAsia="宋体" w:hint="default"/>
                <w:spacing w:val="-2"/>
                <w:sz w:val="18"/>
                <w:szCs w:val="18"/>
              </w:rPr>
              <w:t>在已决诉讼（和解协议）、承租人及保证人重组、兼并、合并后确认的还款计划、租赁物及</w:t>
            </w:r>
            <w:r>
              <w:rPr>
                <w:rFonts w:ascii="宋体" w:hAnsi="宋体" w:cs="宋体" w:eastAsia="宋体" w:hint="default"/>
                <w:sz w:val="18"/>
                <w:szCs w:val="18"/>
              </w:rPr>
              <w:t> 抵质押物处理变现情况及其他全部可执行回款措施全部落实后，租赁资产仍出现损失的。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6"/>
          <w:szCs w:val="26"/>
        </w:rPr>
      </w:pPr>
    </w:p>
    <w:p>
      <w:pPr>
        <w:pStyle w:val="Heading4"/>
        <w:spacing w:line="240" w:lineRule="auto"/>
        <w:ind w:left="214" w:right="1072"/>
        <w:jc w:val="left"/>
        <w:rPr>
          <w:b w:val="0"/>
          <w:bCs w:val="0"/>
        </w:rPr>
      </w:pPr>
      <w:bookmarkStart w:name="（3）单项金额不重大但单独计提坏账准备的应收款项" w:id="185"/>
      <w:bookmarkEnd w:id="18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应收关联方款项；与对方存在争议或涉及诉讼、仲裁的应收 款项；已有明显迹象表明债务人很可能无法履行还款义务的 应收款项</w:t>
            </w:r>
          </w:p>
        </w:tc>
      </w:tr>
      <w:tr>
        <w:trPr>
          <w:trHeight w:val="6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w:t>
            </w:r>
          </w:p>
        </w:tc>
      </w:tr>
    </w:tbl>
    <w:p>
      <w:pPr>
        <w:spacing w:after="0" w:line="316"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2"/>
        <w:rPr>
          <w:rFonts w:ascii="宋体" w:hAnsi="宋体" w:cs="宋体" w:eastAsia="宋体" w:hint="default"/>
          <w:b/>
          <w:bCs/>
          <w:sz w:val="28"/>
          <w:szCs w:val="28"/>
        </w:rPr>
      </w:pPr>
    </w:p>
    <w:p>
      <w:pPr>
        <w:spacing w:line="381" w:lineRule="exact"/>
        <w:ind w:left="38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4;width:4775;height:353" coordorigin="10,14" coordsize="4775,353">
              <v:shape style="position:absolute;left:10;top:14;width:4775;height:353" coordorigin="10,14" coordsize="4775,353" path="m10,367l4784,367,4784,14,10,14,10,367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776;height:2" coordorigin="10,372" coordsize="4776,2">
              <v:shape style="position:absolute;left:10;top:372;width:4776;height:2" coordorigin="10,372" coordsize="4776,0" path="m10,372l4785,372e" filled="false" stroked="true" strokeweight=".48pt" strokecolor="#000000">
                <v:path arrowok="t"/>
              </v:shape>
            </v:group>
            <v:group style="position:absolute;left:4790;top:5;width:2;height:372" coordorigin="4790,5" coordsize="2,372">
              <v:shape style="position:absolute;left:4790;top:5;width:2;height:372" coordorigin="4790,5" coordsize="0,372" path="m4790,5l4790,377e" filled="false" stroked="true" strokeweight=".47998pt" strokecolor="#000000">
                <v:path arrowok="t"/>
              </v:shape>
            </v:group>
            <v:group style="position:absolute;left:4795;top:372;width:4774;height:2" coordorigin="4795,372" coordsize="4774,2">
              <v:shape style="position:absolute;left:4795;top:372;width:4774;height:2" coordorigin="4795,372" coordsize="4774,0" path="m4795,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004pt" strokecolor="#000000">
                <v:path arrowok="t"/>
              </v:shape>
              <v:shape style="position:absolute;left:4789;top:10;width:4785;height:363" type="#_x0000_t202" filled="false" stroked="false">
                <v:textbox inset="0,0,0,0">
                  <w:txbxContent>
                    <w:p>
                      <w:pPr>
                        <w:spacing w:before="16"/>
                        <w:ind w:left="28" w:right="0" w:firstLine="0"/>
                        <w:jc w:val="left"/>
                        <w:rPr>
                          <w:rFonts w:ascii="宋体" w:hAnsi="宋体" w:cs="宋体" w:eastAsia="宋体" w:hint="default"/>
                          <w:sz w:val="18"/>
                          <w:szCs w:val="18"/>
                        </w:rPr>
                      </w:pPr>
                      <w:r>
                        <w:rPr>
                          <w:rFonts w:ascii="宋体" w:hAnsi="宋体" w:cs="宋体" w:eastAsia="宋体" w:hint="default"/>
                          <w:sz w:val="18"/>
                          <w:szCs w:val="18"/>
                        </w:rPr>
                        <w:t>值的应收账款和其他应收款，以账龄为组合计提坏账准备。</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b/>
          <w:bCs/>
          <w:sz w:val="18"/>
          <w:szCs w:val="18"/>
        </w:rPr>
      </w:pPr>
    </w:p>
    <w:p>
      <w:pPr>
        <w:pStyle w:val="Heading4"/>
        <w:spacing w:line="240" w:lineRule="auto" w:before="35"/>
        <w:ind w:left="394" w:right="0"/>
        <w:jc w:val="left"/>
        <w:rPr>
          <w:b w:val="0"/>
          <w:bCs w:val="0"/>
        </w:rPr>
      </w:pPr>
      <w:bookmarkStart w:name="（4）坏账准备的转回" w:id="186"/>
      <w:bookmarkEnd w:id="186"/>
      <w:r>
        <w:rPr>
          <w:b w:val="0"/>
          <w:bCs w:val="0"/>
        </w:rPr>
      </w:r>
      <w:r>
        <w:rPr/>
        <w:t>（</w:t>
      </w:r>
      <w:r>
        <w:rPr>
          <w:rFonts w:ascii="Times New Roman" w:hAnsi="Times New Roman" w:cs="Times New Roman" w:eastAsia="Times New Roman" w:hint="default"/>
        </w:rPr>
        <w:t>4</w:t>
      </w:r>
      <w:r>
        <w:rPr/>
        <w:t>）坏账准备的转回</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394" w:right="0" w:firstLine="360"/>
        <w:jc w:val="left"/>
      </w:pPr>
      <w:r>
        <w:rPr>
          <w:spacing w:val="-2"/>
        </w:rPr>
        <w:t>如有客观证据表明该应收款项价值已恢复，且客观上与确认该损失后发生的事项有关，原确认的减值损失予以转回，计</w:t>
      </w:r>
      <w:r>
        <w:rPr/>
        <w:t> 入当期损益。但是，该转回后的账面价值不超过假定不计提减值准备情况下该应收款项在转回日的摊余成本。</w:t>
      </w:r>
    </w:p>
    <w:p>
      <w:pPr>
        <w:spacing w:line="240" w:lineRule="auto" w:before="3"/>
        <w:rPr>
          <w:rFonts w:ascii="宋体" w:hAnsi="宋体" w:cs="宋体" w:eastAsia="宋体" w:hint="default"/>
          <w:sz w:val="22"/>
          <w:szCs w:val="22"/>
        </w:rPr>
      </w:pPr>
    </w:p>
    <w:p>
      <w:pPr>
        <w:pStyle w:val="Heading4"/>
        <w:spacing w:line="259" w:lineRule="auto"/>
        <w:ind w:left="394" w:right="0"/>
        <w:jc w:val="left"/>
        <w:rPr>
          <w:b w:val="0"/>
          <w:bCs w:val="0"/>
        </w:rPr>
      </w:pPr>
      <w:bookmarkStart w:name="（5）本公司向金融机构以不附追索权方式转让应收款项的，按交易款项扣除已转销其他应" w:id="187"/>
      <w:bookmarkEnd w:id="187"/>
      <w:r>
        <w:rPr>
          <w:b w:val="0"/>
          <w:bCs w:val="0"/>
        </w:rPr>
      </w:r>
      <w:r>
        <w:rPr/>
        <w:t>（</w:t>
      </w:r>
      <w:r>
        <w:rPr>
          <w:rFonts w:ascii="Times New Roman" w:hAnsi="Times New Roman" w:cs="Times New Roman" w:eastAsia="Times New Roman" w:hint="default"/>
        </w:rPr>
        <w:t>5</w:t>
      </w:r>
      <w:r>
        <w:rPr/>
        <w:t>）本公司向金融机构以不附追索权方式转让应收款项的，按交易款项扣除已转销其他应收款的账面价</w:t>
      </w:r>
      <w:r>
        <w:rPr>
          <w:spacing w:val="-63"/>
        </w:rPr>
        <w:t> </w:t>
      </w:r>
      <w:r>
        <w:rPr>
          <w:spacing w:val="-63"/>
        </w:rPr>
      </w:r>
      <w:r>
        <w:rPr/>
        <w:t>值和相关税费后的差额计入当期损益。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394" w:right="0"/>
        <w:jc w:val="left"/>
        <w:rPr>
          <w:b w:val="0"/>
          <w:bCs w:val="0"/>
        </w:rPr>
      </w:pPr>
      <w:bookmarkStart w:name="12、发放贷款及垫款" w:id="188"/>
      <w:bookmarkEnd w:id="188"/>
      <w:r>
        <w:rPr>
          <w:b w:val="0"/>
          <w:bCs w:val="0"/>
        </w:rPr>
      </w:r>
      <w:r>
        <w:rPr>
          <w:rFonts w:ascii="Times New Roman" w:hAnsi="Times New Roman" w:cs="Times New Roman" w:eastAsia="Times New Roman" w:hint="default"/>
        </w:rPr>
        <w:t>12</w:t>
      </w:r>
      <w:r>
        <w:rPr/>
        <w:t>、发放贷款及垫款</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394" w:right="0" w:firstLine="420"/>
        <w:jc w:val="left"/>
      </w:pPr>
      <w:r>
        <w:rPr/>
        <w:t>本公司对贷款减值情况进行综合评估时，根据信用风险特征相似性和相关性对贷款进行分类。公司以五级分类为基础 计提贷款损失准备和一般风险准备。</w:t>
      </w:r>
    </w:p>
    <w:p>
      <w:pPr>
        <w:pStyle w:val="BodyText"/>
        <w:spacing w:line="240" w:lineRule="auto" w:before="19"/>
        <w:ind w:left="814" w:right="0"/>
        <w:jc w:val="left"/>
      </w:pPr>
      <w:r>
        <w:rPr>
          <w:rFonts w:ascii="Times New Roman" w:hAnsi="Times New Roman" w:cs="Times New Roman" w:eastAsia="Times New Roman" w:hint="default"/>
        </w:rPr>
        <w:t>1</w:t>
      </w:r>
      <w:r>
        <w:rPr/>
        <w:t>．公司贷款五级分类及贷款损失准备计提比例：</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852"/>
        <w:gridCol w:w="7231"/>
        <w:gridCol w:w="1559"/>
      </w:tblGrid>
      <w:tr>
        <w:trPr>
          <w:trHeight w:val="34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分类依据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损失准备计提比</w:t>
            </w:r>
          </w:p>
        </w:tc>
      </w:tr>
      <w:tr>
        <w:trPr>
          <w:trHeight w:val="71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3"/>
              <w:jc w:val="left"/>
              <w:rPr>
                <w:rFonts w:ascii="宋体" w:hAnsi="宋体" w:cs="宋体" w:eastAsia="宋体" w:hint="default"/>
                <w:sz w:val="18"/>
                <w:szCs w:val="18"/>
              </w:rPr>
            </w:pPr>
            <w:r>
              <w:rPr>
                <w:rFonts w:ascii="宋体" w:hAnsi="宋体" w:cs="宋体" w:eastAsia="宋体" w:hint="default"/>
                <w:spacing w:val="-3"/>
                <w:sz w:val="18"/>
                <w:szCs w:val="18"/>
              </w:rPr>
              <w:t>借款人能够履行合同或协议，经营状况良好，贷款到期能正常还本付息或一次性还本付息，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风险控制措施价值充足、安全可靠，公司对借款人按时足额偿还贷款本息有充分把握。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w:t>
            </w:r>
          </w:p>
        </w:tc>
      </w:tr>
      <w:tr>
        <w:trPr>
          <w:trHeight w:val="70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关注</w:t>
            </w:r>
          </w:p>
        </w:tc>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借款人目前有能力偿还贷款本息，但存在一些可能对偿还产生不利影响的因素，如这些因 素继续下去，借款人的偿还能力受到影响。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r>
      <w:tr>
        <w:trPr>
          <w:trHeight w:val="69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次级</w:t>
            </w:r>
          </w:p>
        </w:tc>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1" w:right="277"/>
              <w:jc w:val="left"/>
              <w:rPr>
                <w:rFonts w:ascii="宋体" w:hAnsi="宋体" w:cs="宋体" w:eastAsia="宋体" w:hint="default"/>
                <w:sz w:val="18"/>
                <w:szCs w:val="18"/>
              </w:rPr>
            </w:pPr>
            <w:r>
              <w:rPr>
                <w:rFonts w:ascii="宋体" w:hAnsi="宋体" w:cs="宋体" w:eastAsia="宋体" w:hint="default"/>
                <w:sz w:val="18"/>
                <w:szCs w:val="18"/>
              </w:rPr>
              <w:t>借款人的偿还能力出现明显问题，完全依靠其正常经营收入无法足额偿还债务本金及收 益，需要通过处分资产或对外融资乃至执行抵押担保来还款付息。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w:t>
            </w:r>
          </w:p>
        </w:tc>
      </w:tr>
      <w:tr>
        <w:trPr>
          <w:trHeight w:val="44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可疑</w:t>
            </w:r>
          </w:p>
        </w:tc>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1" w:right="0"/>
              <w:jc w:val="left"/>
              <w:rPr>
                <w:rFonts w:ascii="宋体" w:hAnsi="宋体" w:cs="宋体" w:eastAsia="宋体" w:hint="default"/>
                <w:sz w:val="18"/>
                <w:szCs w:val="18"/>
              </w:rPr>
            </w:pPr>
            <w:r>
              <w:rPr>
                <w:rFonts w:ascii="宋体" w:hAnsi="宋体" w:cs="宋体" w:eastAsia="宋体" w:hint="default"/>
                <w:sz w:val="18"/>
                <w:szCs w:val="18"/>
              </w:rPr>
              <w:t>借款人无法足额偿还债务本金及利息，即使执行担保，也肯定要造成较大损失。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18"/>
                <w:szCs w:val="18"/>
              </w:rPr>
            </w:pPr>
            <w:r>
              <w:rPr>
                <w:rFonts w:ascii="Times New Roman"/>
                <w:sz w:val="18"/>
              </w:rPr>
              <w:t>60%</w:t>
            </w:r>
          </w:p>
        </w:tc>
      </w:tr>
      <w:tr>
        <w:trPr>
          <w:trHeight w:val="70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损失</w:t>
            </w:r>
          </w:p>
        </w:tc>
        <w:tc>
          <w:tcPr>
            <w:tcW w:w="72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04"/>
              <w:jc w:val="left"/>
              <w:rPr>
                <w:rFonts w:ascii="宋体" w:hAnsi="宋体" w:cs="宋体" w:eastAsia="宋体" w:hint="default"/>
                <w:sz w:val="18"/>
                <w:szCs w:val="18"/>
              </w:rPr>
            </w:pPr>
            <w:r>
              <w:rPr>
                <w:rFonts w:ascii="宋体" w:hAnsi="宋体" w:cs="宋体" w:eastAsia="宋体" w:hint="default"/>
                <w:sz w:val="18"/>
                <w:szCs w:val="18"/>
              </w:rPr>
              <w:t>在采取所有可能的措施或一切必要的法律程序后，资产及收益仍然无法收回，或只能收回 极少部分。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10"/>
        <w:ind w:left="814" w:right="0"/>
        <w:jc w:val="left"/>
      </w:pPr>
      <w:r>
        <w:rPr>
          <w:rFonts w:ascii="宋体" w:hAnsi="宋体" w:cs="宋体" w:eastAsia="宋体" w:hint="default"/>
        </w:rPr>
        <w:t>2</w:t>
      </w:r>
      <w:r>
        <w:rPr/>
        <w:t>．一般风险准备计提方法</w:t>
      </w:r>
    </w:p>
    <w:p>
      <w:pPr>
        <w:pStyle w:val="BodyText"/>
        <w:spacing w:line="240" w:lineRule="auto" w:before="76"/>
        <w:ind w:left="814" w:right="0"/>
        <w:jc w:val="left"/>
      </w:pPr>
      <w:r>
        <w:rPr/>
        <w:t>公司按期末发放贷款和垫款风险资产余额 </w:t>
      </w:r>
      <w:r>
        <w:rPr>
          <w:rFonts w:ascii="宋体" w:hAnsi="宋体" w:cs="宋体" w:eastAsia="宋体" w:hint="default"/>
        </w:rPr>
        <w:t>1.5%</w:t>
      </w:r>
      <w:r>
        <w:rPr/>
        <w:t>的比例在税后净利润计提一般风险准备。</w:t>
      </w:r>
    </w:p>
    <w:p>
      <w:pPr>
        <w:spacing w:line="240" w:lineRule="auto" w:before="12"/>
        <w:rPr>
          <w:rFonts w:ascii="宋体" w:hAnsi="宋体" w:cs="宋体" w:eastAsia="宋体" w:hint="default"/>
          <w:sz w:val="26"/>
          <w:szCs w:val="26"/>
        </w:rPr>
      </w:pPr>
    </w:p>
    <w:p>
      <w:pPr>
        <w:pStyle w:val="Heading4"/>
        <w:spacing w:line="240" w:lineRule="auto"/>
        <w:ind w:left="394" w:right="0"/>
        <w:jc w:val="left"/>
        <w:rPr>
          <w:b w:val="0"/>
          <w:bCs w:val="0"/>
        </w:rPr>
      </w:pPr>
      <w:bookmarkStart w:name="13、存货" w:id="189"/>
      <w:bookmarkEnd w:id="189"/>
      <w:r>
        <w:rPr>
          <w:b w:val="0"/>
          <w:bCs w:val="0"/>
        </w:rPr>
      </w:r>
      <w:r>
        <w:rPr>
          <w:rFonts w:ascii="Times New Roman" w:hAnsi="Times New Roman" w:cs="Times New Roman" w:eastAsia="Times New Roman" w:hint="default"/>
        </w:rPr>
        <w:t>13</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394" w:right="7692"/>
        <w:jc w:val="left"/>
      </w:pPr>
      <w:r>
        <w:rPr/>
        <w:t>公司是否需要遵守特殊行业的披露要求 否</w:t>
      </w:r>
    </w:p>
    <w:p>
      <w:pPr>
        <w:pStyle w:val="BodyText"/>
        <w:spacing w:line="300" w:lineRule="auto" w:before="28"/>
        <w:ind w:left="814" w:right="5652"/>
        <w:jc w:val="left"/>
      </w:pPr>
      <w:r>
        <w:rPr/>
        <w:t>（</w:t>
      </w:r>
      <w:r>
        <w:rPr>
          <w:rFonts w:ascii="Times New Roman" w:hAnsi="Times New Roman" w:cs="Times New Roman" w:eastAsia="Times New Roman" w:hint="default"/>
        </w:rPr>
        <w:t>1</w:t>
      </w:r>
      <w:r>
        <w:rPr/>
        <w:t>）存货的分类 本公司存货分为原材料、在产品、库存商品、周转材料等。</w:t>
      </w:r>
    </w:p>
    <w:p>
      <w:pPr>
        <w:pStyle w:val="BodyText"/>
        <w:spacing w:line="300" w:lineRule="auto" w:before="31"/>
        <w:ind w:left="814" w:right="0"/>
        <w:jc w:val="left"/>
      </w:pPr>
      <w:r>
        <w:rPr/>
        <w:t>（</w:t>
      </w:r>
      <w:r>
        <w:rPr>
          <w:rFonts w:ascii="Times New Roman" w:hAnsi="Times New Roman" w:cs="Times New Roman" w:eastAsia="Times New Roman" w:hint="default"/>
        </w:rPr>
        <w:t>2</w:t>
      </w:r>
      <w:r>
        <w:rPr/>
        <w:t>）存货取得和发出的计价方法 本公司存货盘存制度采用永续盘存制，存货取得时按实际成本计价。原材料、在产品、库存商品等发出时采用加权平</w:t>
      </w:r>
    </w:p>
    <w:p>
      <w:pPr>
        <w:pStyle w:val="BodyText"/>
        <w:spacing w:line="240" w:lineRule="auto" w:before="31"/>
        <w:ind w:left="394" w:right="0"/>
        <w:jc w:val="left"/>
      </w:pPr>
      <w:r>
        <w:rPr/>
        <w:t>均法计价；周转用包装物和低值易耗品领用时采用一次转销法摊销。</w:t>
      </w:r>
    </w:p>
    <w:p>
      <w:pPr>
        <w:pStyle w:val="BodyText"/>
        <w:spacing w:line="300" w:lineRule="auto" w:before="76"/>
        <w:ind w:left="814" w:right="0"/>
        <w:jc w:val="left"/>
      </w:pPr>
      <w:r>
        <w:rPr/>
        <w:t>（</w:t>
      </w:r>
      <w:r>
        <w:rPr>
          <w:rFonts w:ascii="Times New Roman" w:hAnsi="Times New Roman" w:cs="Times New Roman" w:eastAsia="Times New Roman" w:hint="default"/>
        </w:rPr>
        <w:t>3</w:t>
      </w:r>
      <w:r>
        <w:rPr/>
        <w:t>）存货跌价准备计提方法 本公司期末存货成本高于其可变现净值的，计提存货跌价准备。本公司通常按照类别计提存货跌价准备，期末，以前</w:t>
      </w:r>
    </w:p>
    <w:p>
      <w:pPr>
        <w:pStyle w:val="BodyText"/>
        <w:spacing w:line="240" w:lineRule="auto" w:before="31"/>
        <w:ind w:left="394" w:right="0"/>
        <w:jc w:val="left"/>
      </w:pPr>
      <w:r>
        <w:rPr/>
        <w:t>减记存货价值的影响因素已经消失的，存货跌价准备在原已计提的金额内转回。</w:t>
      </w:r>
    </w:p>
    <w:p>
      <w:pPr>
        <w:pStyle w:val="BodyText"/>
        <w:spacing w:line="300" w:lineRule="auto" w:before="76"/>
        <w:ind w:left="814" w:right="0"/>
        <w:jc w:val="left"/>
      </w:pPr>
      <w:r>
        <w:rPr/>
        <w:t>（</w:t>
      </w:r>
      <w:r>
        <w:rPr>
          <w:rFonts w:ascii="Times New Roman" w:hAnsi="Times New Roman" w:cs="Times New Roman" w:eastAsia="Times New Roman" w:hint="default"/>
        </w:rPr>
        <w:t>4</w:t>
      </w:r>
      <w:r>
        <w:rPr/>
        <w:t>）存货可变现净值的确认方法 期末对存货进行全面清查后，按存货的成本与可变现净值孰低提取或调整存货跌价准备。产成品和用于出售的材料等</w:t>
      </w:r>
    </w:p>
    <w:p>
      <w:pPr>
        <w:pStyle w:val="BodyText"/>
        <w:spacing w:line="240" w:lineRule="auto" w:before="31"/>
        <w:ind w:left="394" w:right="0"/>
        <w:jc w:val="left"/>
      </w:pPr>
      <w:r>
        <w:rPr/>
        <w:t>直接用于出售的商品存货，在正常生产经营过程中，以该存货的估计售价减去估计的销售费用和相关税费后的金额，确定其</w:t>
      </w:r>
    </w:p>
    <w:p>
      <w:pPr>
        <w:spacing w:after="0" w:line="240" w:lineRule="auto"/>
        <w:jc w:val="left"/>
        <w:sectPr>
          <w:pgSz w:w="11910" w:h="16840"/>
          <w:pgMar w:header="747" w:footer="979" w:top="1060" w:bottom="1160" w:left="74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可变现净值；需要经过加工的材料存货，在正常生产经营过程中，以所生产的产成品的估计售价减去至完工时估计将要发生</w:t>
      </w:r>
      <w:r>
        <w:rPr>
          <w:spacing w:val="-66"/>
        </w:rPr>
        <w:t> </w:t>
      </w:r>
      <w:r>
        <w:rPr>
          <w:spacing w:val="-66"/>
        </w:rPr>
      </w:r>
      <w:r>
        <w:rPr>
          <w:spacing w:val="-2"/>
        </w:rPr>
        <w:t>的成本、估计的销售费用和相关税费后的金额，确定其可变现净值；为执行销售合同或者劳务合同而持有的存货，其可变现</w:t>
      </w:r>
      <w:r>
        <w:rPr>
          <w:spacing w:val="-66"/>
        </w:rPr>
        <w:t> </w:t>
      </w:r>
      <w:r>
        <w:rPr>
          <w:spacing w:val="-66"/>
        </w:rPr>
      </w:r>
      <w:r>
        <w:rPr>
          <w:spacing w:val="-2"/>
        </w:rPr>
        <w:t>净值以合同价格为基础计算，若持有存货的数量多于销售合同订购数量的，超出部分的存货的可变现净值以一般销售价格为</w:t>
      </w:r>
      <w:r>
        <w:rPr>
          <w:spacing w:val="-64"/>
        </w:rPr>
        <w:t> </w:t>
      </w:r>
      <w:r>
        <w:rPr>
          <w:spacing w:val="-64"/>
        </w:rPr>
      </w:r>
      <w:r>
        <w:rPr>
          <w:spacing w:val="-4"/>
        </w:rPr>
        <w:t>基础计算。期末按照单个存货项目计提存货跌价准备；但对于数量繁多、单价较低的存货，按照存货类别计提存货跌价准备；</w:t>
      </w:r>
      <w:r>
        <w:rPr>
          <w:spacing w:val="-46"/>
        </w:rPr>
        <w:t> </w:t>
      </w:r>
      <w:r>
        <w:rPr>
          <w:spacing w:val="-46"/>
        </w:rPr>
      </w:r>
      <w:r>
        <w:rPr>
          <w:spacing w:val="-2"/>
        </w:rPr>
        <w:t>与在同一地区生产和销售的产品系列相关、具有相同或类似最终用途或目的，且难以与其他项目分开计量的存货，则合并计</w:t>
      </w:r>
      <w:r>
        <w:rPr>
          <w:spacing w:val="-66"/>
        </w:rPr>
        <w:t> </w:t>
      </w:r>
      <w:r>
        <w:rPr>
          <w:spacing w:val="-66"/>
        </w:rPr>
      </w:r>
      <w:r>
        <w:rPr>
          <w:spacing w:val="-2"/>
        </w:rPr>
        <w:t>提存货跌价准备。除有明确证据表明资产负债表日市场价格异常外，存货项目的可变现净值以资产负债表日市场价格为基础</w:t>
      </w:r>
      <w:r>
        <w:rPr>
          <w:spacing w:val="-64"/>
        </w:rPr>
        <w:t> </w:t>
      </w:r>
      <w:r>
        <w:rPr>
          <w:spacing w:val="-64"/>
        </w:rPr>
      </w:r>
      <w:r>
        <w:rPr/>
        <w:t>确定。本期期末存货项目的可变现净值以资产负债表日市场价格为基础确定。</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4、持有待售资产" w:id="190"/>
      <w:bookmarkEnd w:id="190"/>
      <w:r>
        <w:rPr>
          <w:b w:val="0"/>
          <w:bCs w:val="0"/>
        </w:rPr>
      </w:r>
      <w:r>
        <w:rPr>
          <w:rFonts w:ascii="Times New Roman" w:hAnsi="Times New Roman" w:cs="Times New Roman" w:eastAsia="Times New Roman" w:hint="default"/>
        </w:rPr>
        <w:t>14</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130" w:firstLine="420"/>
        <w:jc w:val="both"/>
      </w:pPr>
      <w:r>
        <w:rPr/>
        <w:t>本公司将通过出售（包括具有商业实质的非货币性资产交换，下同）而非持续使用一项非流动资产或处置组收回其账 面价值，并同时满足以下两个条件的，划分为持有待售类别：</w:t>
      </w:r>
      <w:r>
        <w:rPr>
          <w:rFonts w:ascii="Times New Roman" w:hAnsi="Times New Roman" w:cs="Times New Roman" w:eastAsia="Times New Roman" w:hint="default"/>
        </w:rPr>
        <w:t>(1)</w:t>
      </w:r>
      <w:r>
        <w:rPr/>
        <w:t>某项非流动资产或处置组根据类似交易中出售此类资产或</w:t>
      </w:r>
      <w:r>
        <w:rPr>
          <w:spacing w:val="-30"/>
        </w:rPr>
        <w:t> </w:t>
      </w:r>
      <w:r>
        <w:rPr>
          <w:spacing w:val="-30"/>
        </w:rPr>
      </w:r>
      <w:r>
        <w:rPr/>
        <w:t>处置组的惯例，在当前状况下即可立即出售；</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本公司已经就出售计划作出决议且获得确定的购买承诺，预计出售将在一 年内完成。（有关规定要求相关权力机构或者监管部门批准后方可出售的，已经获得批准。）</w:t>
      </w:r>
    </w:p>
    <w:p>
      <w:pPr>
        <w:pStyle w:val="BodyText"/>
        <w:spacing w:line="300" w:lineRule="auto" w:before="26"/>
        <w:ind w:right="1130" w:firstLine="420"/>
        <w:jc w:val="both"/>
      </w:pPr>
      <w:r>
        <w:rPr/>
        <w:t>本公司将专为转售而取得的非流动资产或处置组，在取得日满足</w:t>
      </w:r>
      <w:r>
        <w:rPr>
          <w:rFonts w:ascii="Times New Roman" w:hAnsi="Times New Roman" w:cs="Times New Roman" w:eastAsia="Times New Roman" w:hint="default"/>
        </w:rPr>
        <w:t>“</w:t>
      </w:r>
      <w:r>
        <w:rPr/>
        <w:t>预计出售将在一年内完成</w:t>
      </w:r>
      <w:r>
        <w:rPr>
          <w:rFonts w:ascii="Times New Roman" w:hAnsi="Times New Roman" w:cs="Times New Roman" w:eastAsia="Times New Roman" w:hint="default"/>
        </w:rPr>
        <w:t>”</w:t>
      </w:r>
      <w:r>
        <w:rPr/>
        <w:t>的规定条件，且短期（通 常为</w:t>
      </w:r>
      <w:r>
        <w:rPr>
          <w:rFonts w:ascii="Times New Roman" w:hAnsi="Times New Roman" w:cs="Times New Roman" w:eastAsia="Times New Roman" w:hint="default"/>
        </w:rPr>
        <w:t>3</w:t>
      </w:r>
      <w:r>
        <w:rPr/>
        <w:t>个月）内很可能满足持有待售类别的其他划分条件的，在取得日划分为持有待售类别。</w:t>
      </w:r>
    </w:p>
    <w:p>
      <w:pPr>
        <w:pStyle w:val="BodyText"/>
        <w:spacing w:line="314" w:lineRule="auto" w:before="13"/>
        <w:ind w:right="0" w:firstLine="420"/>
        <w:jc w:val="left"/>
      </w:pPr>
      <w:r>
        <w:rPr/>
        <w:t>本公司初始计量或在资产负债表日重新计量划分为持有待售的非流动资产和处置组时，其账面价值高于公允价值减去 </w:t>
      </w:r>
      <w:r>
        <w:rPr>
          <w:spacing w:val="-4"/>
        </w:rPr>
        <w:t>出售费用后的净额的，将账面价值减记至公允价值减去出售费用后的净额，减记的金额确认为资产减值损失，计入当期损益，</w:t>
      </w:r>
      <w:r>
        <w:rPr>
          <w:spacing w:val="-44"/>
        </w:rPr>
        <w:t> </w:t>
      </w:r>
      <w:r>
        <w:rPr>
          <w:spacing w:val="-44"/>
        </w:rPr>
      </w:r>
      <w:r>
        <w:rPr>
          <w:spacing w:val="-2"/>
        </w:rPr>
        <w:t>同时计提持有待售资产减值准备。对于持有待售的处置组确认的资产减值损失金额，先抵减处置组中商誉的账面价值，再根</w:t>
      </w:r>
      <w:r>
        <w:rPr>
          <w:spacing w:val="-66"/>
        </w:rPr>
        <w:t> </w:t>
      </w:r>
      <w:r>
        <w:rPr>
          <w:spacing w:val="-66"/>
        </w:rPr>
      </w:r>
      <w:r>
        <w:rPr>
          <w:spacing w:val="-2"/>
        </w:rPr>
        <w:t>据处置组中适用《企业会计准则第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持有待售的非流动资产、处置组和终止经营》计量规定的各项非流动资产账面价</w:t>
      </w:r>
      <w:r>
        <w:rPr>
          <w:spacing w:val="-64"/>
        </w:rPr>
        <w:t> </w:t>
      </w:r>
      <w:r>
        <w:rPr>
          <w:spacing w:val="-64"/>
        </w:rPr>
      </w:r>
      <w:r>
        <w:rPr/>
        <w:t>值所占比重，按比例抵减其账面价值。</w:t>
      </w:r>
    </w:p>
    <w:p>
      <w:pPr>
        <w:pStyle w:val="BodyText"/>
        <w:spacing w:line="312" w:lineRule="auto" w:before="20"/>
        <w:ind w:right="1032" w:firstLine="420"/>
        <w:jc w:val="left"/>
      </w:pPr>
      <w:r>
        <w:rPr/>
        <w:t>后续资产负债表日持有待售的非流动资产公允价值减去出售费用后的净额增加的，以前减记的金额予以恢复，并在划 </w:t>
      </w:r>
      <w:r>
        <w:rPr>
          <w:spacing w:val="-2"/>
        </w:rPr>
        <w:t>分为持有待售类别后确认的资产减值损失金额内转回，转回金额计入当期损益。划分为持有待售类别前确认的资产减值损失</w:t>
      </w:r>
      <w:r>
        <w:rPr>
          <w:spacing w:val="-64"/>
        </w:rPr>
        <w:t> </w:t>
      </w:r>
      <w:r>
        <w:rPr>
          <w:spacing w:val="-64"/>
        </w:rPr>
      </w:r>
      <w:r>
        <w:rPr>
          <w:spacing w:val="-2"/>
        </w:rPr>
        <w:t>不转回。持有待售的处置组以前减记的金额应当予以恢复，并在划分为持有待售类别后适用《企业会计准则第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w:t>
      </w:r>
      <w:r>
        <w:rPr>
          <w:spacing w:val="-63"/>
        </w:rPr>
        <w:t> </w:t>
      </w:r>
      <w:r>
        <w:rPr/>
        <w:t>待售的非流动资产、处置组和终止经营》计量规定的非流动资产确认的资产减值损失金额内转回，转回金额计入当期损益。 </w:t>
      </w:r>
      <w:r>
        <w:rPr>
          <w:spacing w:val="-2"/>
        </w:rPr>
        <w:t>已抵减的商誉账面价值，以及适用《企业会计准则第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持有待售的非流动资产、处置组和终止经营》计量规定的非流</w:t>
      </w:r>
      <w:r>
        <w:rPr>
          <w:spacing w:val="-64"/>
        </w:rPr>
        <w:t> </w:t>
      </w:r>
      <w:r>
        <w:rPr>
          <w:spacing w:val="-64"/>
        </w:rPr>
      </w:r>
      <w:r>
        <w:rPr/>
        <w:t>动资产在划分为持有待售类别前确认的资产减值损失不得转回。</w:t>
      </w:r>
    </w:p>
    <w:p>
      <w:pPr>
        <w:pStyle w:val="BodyText"/>
        <w:spacing w:line="316" w:lineRule="auto" w:before="22"/>
        <w:ind w:right="1133" w:firstLine="420"/>
        <w:jc w:val="both"/>
      </w:pPr>
      <w:r>
        <w:rPr/>
        <w:t>持有待售的非流动资产或处置组中的非流动资产不计提折旧或摊销，持有待售的处置组中负债的利息和其他费用继续 予以确认。</w:t>
      </w:r>
    </w:p>
    <w:p>
      <w:pPr>
        <w:pStyle w:val="BodyText"/>
        <w:spacing w:line="309" w:lineRule="auto" w:before="19"/>
        <w:ind w:right="1130" w:firstLine="420"/>
        <w:jc w:val="both"/>
      </w:pPr>
      <w:r>
        <w:rPr/>
        <w:t>非流动资产或处置组因不再满足持有待售类别的划分条件时，本公司不再将其继续划分为持有待售类别或非流动资产 从持有待售的处置组中移除，并按照以下两者孰低计量：（</w:t>
      </w:r>
      <w:r>
        <w:rPr>
          <w:rFonts w:ascii="Times New Roman" w:hAnsi="Times New Roman" w:cs="Times New Roman" w:eastAsia="Times New Roman" w:hint="default"/>
        </w:rPr>
        <w:t>1</w:t>
      </w:r>
      <w:r>
        <w:rPr/>
        <w:t>）划分为持有待售类别前的账面价值，按照假定不划分为持有</w:t>
      </w:r>
      <w:r>
        <w:rPr>
          <w:spacing w:val="-82"/>
        </w:rPr>
        <w:t> </w:t>
      </w:r>
      <w:r>
        <w:rPr>
          <w:spacing w:val="-82"/>
        </w:rPr>
      </w:r>
      <w:r>
        <w:rPr/>
        <w:t>待售类别情况下本应确认的折旧、摊销或减值等进行调整后的金额；（</w:t>
      </w:r>
      <w:r>
        <w:rPr>
          <w:rFonts w:ascii="Times New Roman" w:hAnsi="Times New Roman" w:cs="Times New Roman" w:eastAsia="Times New Roman" w:hint="default"/>
        </w:rPr>
        <w:t>2</w:t>
      </w:r>
      <w:r>
        <w:rPr/>
        <w:t>）可收回金额。</w:t>
      </w:r>
    </w:p>
    <w:p>
      <w:pPr>
        <w:pStyle w:val="BodyText"/>
        <w:spacing w:line="240" w:lineRule="auto" w:before="5"/>
        <w:ind w:left="574" w:right="0"/>
        <w:jc w:val="left"/>
      </w:pPr>
      <w:r>
        <w:rPr/>
        <w:t>终止确认持有待售的非流动资产或处置组时，本公司将尚未确认的利得或损失计入当期损益。</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5、长期股权投资" w:id="191"/>
      <w:bookmarkEnd w:id="191"/>
      <w:r>
        <w:rPr>
          <w:b w:val="0"/>
          <w:bCs w:val="0"/>
        </w:rPr>
      </w:r>
      <w:r>
        <w:rPr>
          <w:rFonts w:ascii="Times New Roman" w:hAnsi="Times New Roman" w:cs="Times New Roman" w:eastAsia="Times New Roman" w:hint="default"/>
        </w:rPr>
        <w:t>15</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420"/>
        <w:jc w:val="both"/>
      </w:pPr>
      <w:r>
        <w:rPr/>
        <w:t>本部分所指的长期股权投资是指本公司对被投资单位具有控制、共同控制或重大影响的长期股权投资。本公司对被投 </w:t>
      </w:r>
      <w:r>
        <w:rPr>
          <w:spacing w:val="-2"/>
        </w:rPr>
        <w:t>资单位不具有控制、共同控制或重大影响的长期股权投资，作为可供出售金融资产或以公允价值计量且其变动计入当期损益</w:t>
      </w:r>
      <w:r>
        <w:rPr>
          <w:spacing w:val="-64"/>
        </w:rPr>
        <w:t> </w:t>
      </w:r>
      <w:r>
        <w:rPr>
          <w:spacing w:val="-64"/>
        </w:rPr>
      </w:r>
      <w:r>
        <w:rPr/>
        <w:t>的金融资产核算，其会计政策详见</w:t>
      </w:r>
      <w:r>
        <w:rPr>
          <w:rFonts w:ascii="宋体" w:hAnsi="宋体" w:cs="宋体" w:eastAsia="宋体" w:hint="default"/>
        </w:rPr>
        <w:t>10</w:t>
      </w:r>
      <w:r>
        <w:rPr/>
        <w:t>“金融工具”。</w:t>
      </w:r>
    </w:p>
    <w:p>
      <w:pPr>
        <w:pStyle w:val="BodyText"/>
        <w:spacing w:line="319" w:lineRule="auto" w:before="19"/>
        <w:ind w:right="1132" w:firstLine="420"/>
        <w:jc w:val="both"/>
      </w:pPr>
      <w:r>
        <w:rPr/>
        <w:t>共同控制，是指本公司按照相关约定对某项安排所共有的控制，并且该安排的相关活动必须经过分享控制权的参与方 </w:t>
      </w:r>
      <w:r>
        <w:rPr>
          <w:spacing w:val="-2"/>
        </w:rPr>
        <w:t>一致同意后才能决策。重大影响，是指本公司对被投资单位的财务和经营政策有参与决策的权力，但并不能够控制或者与其</w:t>
      </w:r>
      <w:r>
        <w:rPr>
          <w:spacing w:val="-66"/>
        </w:rPr>
        <w:t> </w:t>
      </w:r>
      <w:r>
        <w:rPr>
          <w:spacing w:val="-66"/>
        </w:rPr>
      </w:r>
      <w:r>
        <w:rPr/>
        <w:t>他方一起共同控制这些政策的制定。</w:t>
      </w:r>
    </w:p>
    <w:p>
      <w:pPr>
        <w:pStyle w:val="BodyText"/>
        <w:spacing w:line="316" w:lineRule="auto" w:before="17"/>
        <w:ind w:left="574" w:right="1114"/>
        <w:jc w:val="left"/>
      </w:pPr>
      <w:r>
        <w:rPr/>
        <w:t>（</w:t>
      </w:r>
      <w:r>
        <w:rPr>
          <w:rFonts w:ascii="宋体" w:hAnsi="宋体" w:cs="宋体" w:eastAsia="宋体" w:hint="default"/>
        </w:rPr>
        <w:t>1</w:t>
      </w:r>
      <w:r>
        <w:rPr/>
        <w:t>）投资成本的确定 </w:t>
      </w:r>
      <w:r>
        <w:rPr>
          <w:spacing w:val="-1"/>
        </w:rPr>
        <w:t>对于同一控制下的企业合并取得的长期股权投资，在合并日按照被合并方股东权益</w:t>
      </w:r>
      <w:r>
        <w:rPr>
          <w:rFonts w:ascii="宋体" w:hAnsi="宋体" w:cs="宋体" w:eastAsia="宋体" w:hint="default"/>
          <w:spacing w:val="-1"/>
        </w:rPr>
        <w:t>/</w:t>
      </w:r>
      <w:r>
        <w:rPr>
          <w:spacing w:val="-1"/>
        </w:rPr>
        <w:t>所有者权益在最终控制方合并财务</w:t>
      </w:r>
    </w:p>
    <w:p>
      <w:pPr>
        <w:pStyle w:val="BodyText"/>
        <w:spacing w:line="240" w:lineRule="auto" w:before="19"/>
        <w:ind w:right="0"/>
        <w:jc w:val="left"/>
      </w:pPr>
      <w:r>
        <w:rPr/>
        <w:t>报表中的账面价值的份额作为长期股权投资的初始投资成本。长期股权投资初始投资成本与支付的现金、转让的非现金资产</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jc w:val="both"/>
      </w:pPr>
      <w:r>
        <w:rPr>
          <w:spacing w:val="-2"/>
        </w:rPr>
        <w:t>以及所承担债务账面价值之间的差额，调整资本公积；资本公积不足冲减的，调整留存收益。以发行权益性证券作为合并对</w:t>
      </w:r>
      <w:r>
        <w:rPr>
          <w:spacing w:val="-66"/>
        </w:rPr>
        <w:t> </w:t>
      </w:r>
      <w:r>
        <w:rPr>
          <w:spacing w:val="-66"/>
        </w:rPr>
      </w:r>
      <w:r>
        <w:rPr/>
        <w:t>价的，在合并日按照被合并方股东权益</w:t>
      </w:r>
      <w:r>
        <w:rPr>
          <w:rFonts w:ascii="宋体" w:hAnsi="宋体" w:cs="宋体" w:eastAsia="宋体" w:hint="default"/>
        </w:rPr>
        <w:t>/</w:t>
      </w:r>
      <w:r>
        <w:rPr/>
        <w:t>所有者权益在最终控制方合并财务报表中的账面价值的份额作为长期股权投资的初</w:t>
      </w:r>
      <w:r>
        <w:rPr>
          <w:spacing w:val="-83"/>
        </w:rPr>
        <w:t> </w:t>
      </w:r>
      <w:r>
        <w:rPr>
          <w:spacing w:val="-83"/>
        </w:rPr>
      </w:r>
      <w:r>
        <w:rPr>
          <w:spacing w:val="-2"/>
        </w:rPr>
        <w:t>始投资成本，按照发行股份的面值总额作为股本，长期股权投资初始投资成本与所发行股份面值总额之间的差额，调整资本</w:t>
      </w:r>
      <w:r>
        <w:rPr>
          <w:spacing w:val="-66"/>
        </w:rPr>
        <w:t> </w:t>
      </w:r>
      <w:r>
        <w:rPr>
          <w:spacing w:val="-66"/>
        </w:rPr>
      </w:r>
      <w:r>
        <w:rPr>
          <w:spacing w:val="-2"/>
        </w:rPr>
        <w:t>公积；资本公积不足冲减的，调整留存收益。通过多次交易分步取得同一控制下被合并方的股权，最终形成同一控制下企业</w:t>
      </w:r>
      <w:r>
        <w:rPr>
          <w:spacing w:val="-66"/>
        </w:rPr>
        <w:t> </w:t>
      </w:r>
      <w:r>
        <w:rPr>
          <w:spacing w:val="-66"/>
        </w:rPr>
      </w:r>
      <w:r>
        <w:rPr>
          <w:spacing w:val="-2"/>
        </w:rPr>
        <w:t>合并的，应分别是否属于“一揽子交易”进行处理：属于“一揽子交易”的，将各项交易作为一项取得控制权的交易进行会</w:t>
      </w:r>
      <w:r>
        <w:rPr>
          <w:spacing w:val="-68"/>
        </w:rPr>
        <w:t> </w:t>
      </w:r>
      <w:r>
        <w:rPr>
          <w:spacing w:val="-68"/>
        </w:rPr>
      </w:r>
      <w:r>
        <w:rPr/>
        <w:t>计处理。不属于“一揽子交易”的，在合并日按照应享有被合并方股东权益</w:t>
      </w:r>
      <w:r>
        <w:rPr>
          <w:rFonts w:ascii="宋体" w:hAnsi="宋体" w:cs="宋体" w:eastAsia="宋体" w:hint="default"/>
        </w:rPr>
        <w:t>/</w:t>
      </w:r>
      <w:r>
        <w:rPr/>
        <w:t>所有者权益在最终控制方合并财务报表中的账</w:t>
      </w:r>
      <w:r>
        <w:rPr>
          <w:spacing w:val="-83"/>
        </w:rPr>
        <w:t> </w:t>
      </w:r>
      <w:r>
        <w:rPr>
          <w:spacing w:val="-83"/>
        </w:rPr>
      </w:r>
      <w:r>
        <w:rPr>
          <w:spacing w:val="-2"/>
        </w:rPr>
        <w:t>面价值的份额作为长期股权投资的初始投资成本，长期股权投资初始投资成本与达到合并前的长期股权投资账面价值加上合</w:t>
      </w:r>
      <w:r>
        <w:rPr>
          <w:spacing w:val="-63"/>
        </w:rPr>
        <w:t> </w:t>
      </w:r>
      <w:r>
        <w:rPr>
          <w:spacing w:val="-63"/>
        </w:rPr>
      </w:r>
      <w:r>
        <w:rPr>
          <w:spacing w:val="-2"/>
        </w:rPr>
        <w:t>并日进一步取得股份新支付对价的账面价值之和的差额，调整资本公积；资本公积不足冲减的，调整留存收益。合并日之前</w:t>
      </w:r>
      <w:r>
        <w:rPr>
          <w:spacing w:val="-66"/>
        </w:rPr>
        <w:t> </w:t>
      </w:r>
      <w:r>
        <w:rPr>
          <w:spacing w:val="-66"/>
        </w:rPr>
      </w:r>
      <w:r>
        <w:rPr/>
        <w:t>持有的股权投资因采用权益法核算或为可供出售金融资产而确认的其他综合收益，暂不进行会计处理。</w:t>
      </w:r>
    </w:p>
    <w:p>
      <w:pPr>
        <w:pStyle w:val="BodyText"/>
        <w:spacing w:line="316" w:lineRule="auto" w:before="19"/>
        <w:ind w:right="1131" w:firstLine="420"/>
        <w:jc w:val="both"/>
      </w:pPr>
      <w:r>
        <w:rPr/>
        <w:t>对于非同一控制下的企业合并取得的长期股权投资，在购买日按照合并成本作为长期股权投资的初始投资成本，合并 </w:t>
      </w:r>
      <w:r>
        <w:rPr>
          <w:spacing w:val="-2"/>
        </w:rPr>
        <w:t>成本包括包括购买方付出的资产、发生或承担的负债、发行的权益性证券的公允价值之和。通过多次交易分步取得被购买方</w:t>
      </w:r>
      <w:r>
        <w:rPr>
          <w:spacing w:val="-66"/>
        </w:rPr>
        <w:t> </w:t>
      </w:r>
      <w:r>
        <w:rPr>
          <w:spacing w:val="-66"/>
        </w:rPr>
      </w:r>
      <w:r>
        <w:rPr>
          <w:spacing w:val="-2"/>
        </w:rPr>
        <w:t>的股权，最终形成非同一控制下的企业合并的，应分别是否属于“一揽子交易”进行处理：属于“一揽子交易”的，将各项</w:t>
      </w:r>
      <w:r>
        <w:rPr>
          <w:spacing w:val="-68"/>
        </w:rPr>
        <w:t> </w:t>
      </w:r>
      <w:r>
        <w:rPr>
          <w:spacing w:val="-68"/>
        </w:rPr>
      </w:r>
      <w:r>
        <w:rPr>
          <w:spacing w:val="-2"/>
        </w:rPr>
        <w:t>交易作为一项取得控制权的交易进行会计处理。不属于“一揽子交易”的，按照原持有被购买方的股权投资账面价值加上新</w:t>
      </w:r>
      <w:r>
        <w:rPr>
          <w:spacing w:val="-65"/>
        </w:rPr>
        <w:t> </w:t>
      </w:r>
      <w:r>
        <w:rPr>
          <w:spacing w:val="-65"/>
        </w:rPr>
      </w:r>
      <w:r>
        <w:rPr>
          <w:spacing w:val="-2"/>
        </w:rPr>
        <w:t>增投资成本之和，作为改按成本法核算的长期股权投资的初始投资成本。原持有的股权采用权益法核算的，相关其他综合收</w:t>
      </w:r>
      <w:r>
        <w:rPr>
          <w:spacing w:val="-66"/>
        </w:rPr>
        <w:t> </w:t>
      </w:r>
      <w:r>
        <w:rPr>
          <w:spacing w:val="-66"/>
        </w:rPr>
      </w:r>
      <w:r>
        <w:rPr>
          <w:spacing w:val="-2"/>
        </w:rPr>
        <w:t>益暂不进行会计处理。原持有股权投资为可供出售金融资产的，其公允价值与账面价值之间的差额，以及原计入其他综合收</w:t>
      </w:r>
      <w:r>
        <w:rPr>
          <w:spacing w:val="-66"/>
        </w:rPr>
        <w:t> </w:t>
      </w:r>
      <w:r>
        <w:rPr>
          <w:spacing w:val="-66"/>
        </w:rPr>
      </w:r>
      <w:r>
        <w:rPr/>
        <w:t>益的累计公允价值变动转入当期损益。</w:t>
      </w:r>
    </w:p>
    <w:p>
      <w:pPr>
        <w:pStyle w:val="BodyText"/>
        <w:spacing w:line="316" w:lineRule="auto" w:before="19"/>
        <w:ind w:right="1129" w:firstLine="420"/>
        <w:jc w:val="both"/>
      </w:pPr>
      <w:r>
        <w:rPr/>
        <w:t>合并方或购买方为企业合并发生的审计、法律服务、评估咨询等中介费用以及其他相关管理费用，于发生时计入当期 损益。</w:t>
      </w:r>
    </w:p>
    <w:p>
      <w:pPr>
        <w:pStyle w:val="BodyText"/>
        <w:spacing w:line="316" w:lineRule="auto" w:before="19"/>
        <w:ind w:right="1132" w:firstLine="420"/>
        <w:jc w:val="both"/>
      </w:pPr>
      <w:r>
        <w:rPr/>
        <w:t>除企业合并形成的长期股权投资外的其他股权投资，按成本进行初始计量，该成本视长期股权投资取得方式的不同， </w:t>
      </w:r>
      <w:r>
        <w:rPr>
          <w:spacing w:val="-2"/>
        </w:rPr>
        <w:t>分别按照本公司实际支付的现金购买价款、本公司发行的权益性证券的公允价值、投资合同或协议约定的价值、非货币性资</w:t>
      </w:r>
      <w:r>
        <w:rPr>
          <w:spacing w:val="-66"/>
        </w:rPr>
        <w:t> </w:t>
      </w:r>
      <w:r>
        <w:rPr>
          <w:spacing w:val="-66"/>
        </w:rPr>
      </w:r>
      <w:r>
        <w:rPr>
          <w:spacing w:val="-2"/>
        </w:rPr>
        <w:t>产交换交易中换出资产的公允价值或原账面价值、该项长期股权投资自身的公允价值等方式确定。与取得长期股权投资直接</w:t>
      </w:r>
      <w:r>
        <w:rPr>
          <w:spacing w:val="-64"/>
        </w:rPr>
        <w:t> </w:t>
      </w:r>
      <w:r>
        <w:rPr>
          <w:spacing w:val="-64"/>
        </w:rPr>
      </w:r>
      <w:r>
        <w:rPr>
          <w:spacing w:val="-2"/>
        </w:rPr>
        <w:t>相关的费用、税金及其他必要支出也计入投资成本。对于因追加投资能够对被投资单位实施重大影响或实施共同控制但不构</w:t>
      </w:r>
      <w:r>
        <w:rPr>
          <w:spacing w:val="-64"/>
        </w:rPr>
        <w:t> </w:t>
      </w:r>
      <w:r>
        <w:rPr>
          <w:spacing w:val="-64"/>
        </w:rPr>
      </w:r>
      <w:r>
        <w:rPr>
          <w:spacing w:val="-2"/>
        </w:rPr>
        <w:t>成控制的，长期股权投资成本为按照《企业会计准则第</w:t>
      </w:r>
      <w:r>
        <w:rPr>
          <w:rFonts w:ascii="宋体" w:hAnsi="宋体" w:cs="宋体" w:eastAsia="宋体" w:hint="default"/>
          <w:spacing w:val="-2"/>
        </w:rPr>
        <w:t>22</w:t>
      </w:r>
      <w:r>
        <w:rPr>
          <w:spacing w:val="-2"/>
        </w:rPr>
        <w:t>号——金融工具确认和计量》确定的原持有股权投资的公允价值加</w:t>
      </w:r>
      <w:r>
        <w:rPr>
          <w:spacing w:val="-64"/>
        </w:rPr>
        <w:t> </w:t>
      </w:r>
      <w:r>
        <w:rPr>
          <w:spacing w:val="-64"/>
        </w:rPr>
      </w:r>
      <w:r>
        <w:rPr/>
        <w:t>上新增投资成本之和。</w:t>
      </w:r>
    </w:p>
    <w:p>
      <w:pPr>
        <w:pStyle w:val="BodyText"/>
        <w:spacing w:line="316" w:lineRule="auto" w:before="19"/>
        <w:ind w:left="574" w:right="0"/>
        <w:jc w:val="left"/>
      </w:pPr>
      <w:r>
        <w:rPr/>
        <w:t>（</w:t>
      </w:r>
      <w:r>
        <w:rPr>
          <w:rFonts w:ascii="宋体" w:hAnsi="宋体" w:cs="宋体" w:eastAsia="宋体" w:hint="default"/>
        </w:rPr>
        <w:t>2</w:t>
      </w:r>
      <w:r>
        <w:rPr/>
        <w:t>）后续计量及损益确认方法 对被投资单位具有共同控制（构成共同经营者除外）或重大影响的长期股权投资，采用权益法核算。此外，公司财务</w:t>
      </w:r>
    </w:p>
    <w:p>
      <w:pPr>
        <w:pStyle w:val="BodyText"/>
        <w:spacing w:line="240" w:lineRule="auto" w:before="19"/>
        <w:ind w:right="0"/>
        <w:jc w:val="both"/>
      </w:pPr>
      <w:r>
        <w:rPr/>
        <w:t>报表采用成本法核算能够对被投资单位实施控制的长期股权投资。</w:t>
      </w:r>
    </w:p>
    <w:p>
      <w:pPr>
        <w:pStyle w:val="BodyText"/>
        <w:spacing w:line="316" w:lineRule="auto" w:before="76"/>
        <w:ind w:left="574" w:right="0"/>
        <w:jc w:val="left"/>
      </w:pPr>
      <w:r>
        <w:rPr/>
        <w:t>①成本法核算的长期股权投资 采用成本法核算时，长期股权投资按初始投资成本计价，追加或收回投资调整长期股权投资的成本。除取得投资时实</w:t>
      </w:r>
    </w:p>
    <w:p>
      <w:pPr>
        <w:pStyle w:val="BodyText"/>
        <w:spacing w:line="316" w:lineRule="auto" w:before="19"/>
        <w:ind w:right="1131"/>
        <w:jc w:val="both"/>
      </w:pPr>
      <w:r>
        <w:rPr>
          <w:spacing w:val="-2"/>
        </w:rPr>
        <w:t>际支付的价款或者对价中包含的已宣告但尚未发放的现金股利或者利润外，当期投资收益按照享有被投资单位宣告发放的现</w:t>
      </w:r>
      <w:r>
        <w:rPr>
          <w:spacing w:val="-64"/>
        </w:rPr>
        <w:t> </w:t>
      </w:r>
      <w:r>
        <w:rPr>
          <w:spacing w:val="-64"/>
        </w:rPr>
      </w:r>
      <w:r>
        <w:rPr/>
        <w:t>金股利或利润确认。</w:t>
      </w:r>
    </w:p>
    <w:p>
      <w:pPr>
        <w:pStyle w:val="BodyText"/>
        <w:spacing w:line="316" w:lineRule="auto" w:before="19"/>
        <w:ind w:left="574" w:right="0"/>
        <w:jc w:val="left"/>
      </w:pPr>
      <w:r>
        <w:rPr/>
        <w:t>②权益法核算的长期股权投资 采用权益法核算时，长期股权投资的初始投资成本大于投资时应享有被投资单位可辨认净资产公允价值份额的，不调</w:t>
      </w:r>
    </w:p>
    <w:p>
      <w:pPr>
        <w:pStyle w:val="BodyText"/>
        <w:spacing w:line="316" w:lineRule="auto" w:before="19"/>
        <w:ind w:right="1132"/>
        <w:jc w:val="both"/>
      </w:pPr>
      <w:r>
        <w:rPr>
          <w:spacing w:val="-2"/>
        </w:rPr>
        <w:t>整长期股权投资的初始投资成本；初始投资成本小于投资时应享有被投资单位可辨认净资产公允价值份额的，其差额计入当</w:t>
      </w:r>
      <w:r>
        <w:rPr>
          <w:spacing w:val="-64"/>
        </w:rPr>
        <w:t> </w:t>
      </w:r>
      <w:r>
        <w:rPr>
          <w:spacing w:val="-64"/>
        </w:rPr>
      </w:r>
      <w:r>
        <w:rPr/>
        <w:t>期损益，同时调整长期股权投资的成本。</w:t>
      </w:r>
    </w:p>
    <w:p>
      <w:pPr>
        <w:pStyle w:val="BodyText"/>
        <w:spacing w:line="316" w:lineRule="auto" w:before="19"/>
        <w:ind w:right="1050" w:firstLine="420"/>
        <w:jc w:val="both"/>
      </w:pPr>
      <w:r>
        <w:rPr/>
        <w:t>采用权益法核算时，按照应享有或应分担的被投资单位实现的净损益和其他综合收益的份额，分别确认投资收益和其 </w:t>
      </w:r>
      <w:r>
        <w:rPr>
          <w:spacing w:val="-2"/>
        </w:rPr>
        <w:t>他综合收益，同时调整长期股权投资的账面价值；按照被投资单位宣告分派的利润或现金股利计算应享有的部分，相应减少</w:t>
      </w:r>
      <w:r>
        <w:rPr>
          <w:spacing w:val="-66"/>
        </w:rPr>
        <w:t> </w:t>
      </w:r>
      <w:r>
        <w:rPr>
          <w:spacing w:val="-66"/>
        </w:rPr>
      </w:r>
      <w:r>
        <w:rPr>
          <w:spacing w:val="-2"/>
        </w:rPr>
        <w:t>长期股权投资的账面价值；对于被投资单位除净损益、其他综合收益和利润分配以外所有者权益的其他变动，调整长期股权</w:t>
      </w:r>
      <w:r>
        <w:rPr>
          <w:spacing w:val="-66"/>
        </w:rPr>
        <w:t> </w:t>
      </w:r>
      <w:r>
        <w:rPr>
          <w:spacing w:val="-66"/>
        </w:rPr>
      </w:r>
      <w:r>
        <w:rPr>
          <w:spacing w:val="-2"/>
        </w:rPr>
        <w:t>投资的账面价值并计入资本公积。在确认应享有被投资单位净损益的份额时，以取得投资时被投资单位各项可辨认资产等的</w:t>
      </w:r>
      <w:r>
        <w:rPr>
          <w:spacing w:val="-64"/>
        </w:rPr>
        <w:t> </w:t>
      </w:r>
      <w:r>
        <w:rPr>
          <w:spacing w:val="-64"/>
        </w:rPr>
      </w:r>
      <w:r>
        <w:rPr>
          <w:spacing w:val="-2"/>
        </w:rPr>
        <w:t>公允价值为基础，对被投资单位的净利润进行调整后确认。被投资单位采用的会计政策及会计期间与本公司不一致的，按照</w:t>
      </w:r>
      <w:r>
        <w:rPr>
          <w:spacing w:val="-66"/>
        </w:rPr>
        <w:t> </w:t>
      </w:r>
      <w:r>
        <w:rPr>
          <w:spacing w:val="-66"/>
        </w:rPr>
      </w:r>
      <w:r>
        <w:rPr>
          <w:spacing w:val="-2"/>
        </w:rPr>
        <w:t>本公司的会计政策及会计期间对被投资单位的财务报表进行调整，并据以确认投资收益和其他综合收益。对于本公司与联营</w:t>
      </w:r>
      <w:r>
        <w:rPr>
          <w:spacing w:val="-64"/>
        </w:rPr>
        <w:t> </w:t>
      </w:r>
      <w:r>
        <w:rPr>
          <w:spacing w:val="-64"/>
        </w:rPr>
      </w:r>
      <w:r>
        <w:rPr>
          <w:spacing w:val="-2"/>
        </w:rPr>
        <w:t>企业及合营企业之间发生的交易，投出或出售的资产不构成业务的，未实现内部交易损益按照享有的比例计算归属于本公司</w:t>
      </w:r>
      <w:r>
        <w:rPr>
          <w:spacing w:val="-63"/>
        </w:rPr>
        <w:t> </w:t>
      </w:r>
      <w:r>
        <w:rPr>
          <w:spacing w:val="-63"/>
        </w:rPr>
      </w:r>
      <w:r>
        <w:rPr>
          <w:spacing w:val="-2"/>
        </w:rPr>
        <w:t>的部分予以抵销，在此基础上确认投资损益。但本公司与被投资单位发生的未实现内部交易损失，属于所转让资产减值损失</w:t>
      </w:r>
      <w:r>
        <w:rPr>
          <w:spacing w:val="-66"/>
        </w:rPr>
        <w:t> </w:t>
      </w:r>
      <w:r>
        <w:rPr>
          <w:spacing w:val="-66"/>
        </w:rPr>
      </w:r>
      <w:r>
        <w:rPr/>
        <w:t>的，不予以抵销。本公司向合营企业或联营企业投出的资产构成业务的，投资方因此取得长期股权投资但未取得控制权的，</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以投出业务的公允价值作为新增长期股权投资的初始投资成本，初始投资成本与投出业务的账面价值之差，全额计入当期损</w:t>
      </w:r>
      <w:r>
        <w:rPr>
          <w:spacing w:val="-64"/>
        </w:rPr>
        <w:t> </w:t>
      </w:r>
      <w:r>
        <w:rPr>
          <w:spacing w:val="-64"/>
        </w:rPr>
      </w:r>
      <w:r>
        <w:rPr>
          <w:spacing w:val="-2"/>
        </w:rPr>
        <w:t>益。本公司向合营企业或联营企业出售的资产构成业务的，取得的对价与业务的账面价值之差，全额计入当期损益。本公司</w:t>
      </w:r>
      <w:r>
        <w:rPr>
          <w:spacing w:val="-66"/>
        </w:rPr>
        <w:t> </w:t>
      </w:r>
      <w:r>
        <w:rPr>
          <w:spacing w:val="-66"/>
        </w:rPr>
      </w:r>
      <w:r>
        <w:rPr>
          <w:spacing w:val="-2"/>
        </w:rPr>
        <w:t>自联营企业及合营企业购入的资产构成业务的，按《企业会计准则第</w:t>
      </w:r>
      <w:r>
        <w:rPr>
          <w:rFonts w:ascii="宋体" w:hAnsi="宋体" w:cs="宋体" w:eastAsia="宋体" w:hint="default"/>
          <w:spacing w:val="-2"/>
        </w:rPr>
        <w:t>20</w:t>
      </w:r>
      <w:r>
        <w:rPr>
          <w:spacing w:val="-2"/>
        </w:rPr>
        <w:t>号——企业合并》的规定进行会计处理，全额确认与</w:t>
      </w:r>
      <w:r>
        <w:rPr>
          <w:spacing w:val="-64"/>
        </w:rPr>
        <w:t> </w:t>
      </w:r>
      <w:r>
        <w:rPr>
          <w:spacing w:val="-64"/>
        </w:rPr>
      </w:r>
      <w:r>
        <w:rPr/>
        <w:t>交易相关的利得或损失。</w:t>
      </w:r>
    </w:p>
    <w:p>
      <w:pPr>
        <w:pStyle w:val="BodyText"/>
        <w:spacing w:line="316" w:lineRule="auto" w:before="19"/>
        <w:ind w:right="1131" w:firstLine="420"/>
        <w:jc w:val="both"/>
      </w:pPr>
      <w:r>
        <w:rPr/>
        <w:t>在确认应分担被投资单位发生的净亏损时，以长期股权投资的账面价值和其他实质上构成对被投资单位净投资的长期 </w:t>
      </w:r>
      <w:r>
        <w:rPr>
          <w:spacing w:val="-2"/>
        </w:rPr>
        <w:t>权益减记至零为限。此外，如本公司对被投资单位负有承担额外损失的义务，则按预计承担的义务确认预计负债，计入当期</w:t>
      </w:r>
      <w:r>
        <w:rPr>
          <w:spacing w:val="-66"/>
        </w:rPr>
        <w:t> </w:t>
      </w:r>
      <w:r>
        <w:rPr>
          <w:spacing w:val="-66"/>
        </w:rPr>
      </w:r>
      <w:r>
        <w:rPr/>
        <w:t>投资损失。被投资单位以后期间实现净利润的，本公司在收益分享额弥补未确认的亏损分担额后，恢复确认收益分享额。</w:t>
      </w:r>
    </w:p>
    <w:p>
      <w:pPr>
        <w:pStyle w:val="BodyText"/>
        <w:spacing w:line="316" w:lineRule="auto" w:before="19"/>
        <w:ind w:left="574" w:right="0"/>
        <w:jc w:val="left"/>
      </w:pPr>
      <w:r>
        <w:rPr/>
        <w:t>③收购少数股权 在编制合并财务报表时，因购买少数股权新增的长期股权投资与按照新增持股比例计算应享有子公司自购买日（或合</w:t>
      </w:r>
    </w:p>
    <w:p>
      <w:pPr>
        <w:pStyle w:val="BodyText"/>
        <w:spacing w:line="240" w:lineRule="auto" w:before="19"/>
        <w:ind w:right="0"/>
        <w:jc w:val="both"/>
      </w:pPr>
      <w:r>
        <w:rPr/>
        <w:t>并日）开始持续计算的净资产份额之间的差额，调整资本公积，资本公积不足冲减的，调整留存收益。</w:t>
      </w:r>
    </w:p>
    <w:p>
      <w:pPr>
        <w:pStyle w:val="BodyText"/>
        <w:spacing w:line="316" w:lineRule="auto" w:before="76"/>
        <w:ind w:left="574" w:right="0"/>
        <w:jc w:val="left"/>
      </w:pPr>
      <w:r>
        <w:rPr/>
        <w:t>④处置长期股权投资 在合并财务报表中，母公司在不丧失控制权的情况下部分处置对子公司的长期股权投资，处置价款与处置长期股权投</w:t>
      </w:r>
    </w:p>
    <w:p>
      <w:pPr>
        <w:pStyle w:val="BodyText"/>
        <w:spacing w:line="316" w:lineRule="auto" w:before="19"/>
        <w:ind w:right="0"/>
        <w:jc w:val="left"/>
      </w:pPr>
      <w:r>
        <w:rPr>
          <w:spacing w:val="-2"/>
        </w:rPr>
        <w:t>资相对应享有子公司净资产的差额计入股东权益；母公司部分处置对子公司的长期股权投资导致丧失对子公司控制权的，按</w:t>
      </w:r>
      <w:r>
        <w:rPr>
          <w:spacing w:val="-64"/>
        </w:rPr>
        <w:t> </w:t>
      </w:r>
      <w:r>
        <w:rPr>
          <w:spacing w:val="-64"/>
        </w:rPr>
      </w:r>
      <w:r>
        <w:rPr/>
        <w:t>本附注三、</w:t>
      </w:r>
      <w:r>
        <w:rPr>
          <w:rFonts w:ascii="宋体" w:hAnsi="宋体" w:cs="宋体" w:eastAsia="宋体" w:hint="default"/>
        </w:rPr>
        <w:t>6</w:t>
      </w:r>
      <w:r>
        <w:rPr/>
        <w:t>、（</w:t>
      </w:r>
      <w:r>
        <w:rPr>
          <w:rFonts w:ascii="宋体" w:hAnsi="宋体" w:cs="宋体" w:eastAsia="宋体" w:hint="default"/>
        </w:rPr>
        <w:t>2</w:t>
      </w:r>
      <w:r>
        <w:rPr/>
        <w:t>）“合并财务报表编制的方法”中所述的相关会计政策处理。</w:t>
      </w:r>
    </w:p>
    <w:p>
      <w:pPr>
        <w:pStyle w:val="BodyText"/>
        <w:spacing w:line="316" w:lineRule="auto" w:before="19"/>
        <w:ind w:left="574" w:right="0"/>
        <w:jc w:val="left"/>
      </w:pPr>
      <w:r>
        <w:rPr/>
        <w:t>其他情形下的长期股权投资处置，对于处置的股权，其账面价值与实际取得价款的差额，计入当期损益。 采用权益法核算的长期股权投资，处置后的剩余股权仍采用权益法核算的，在处置时将原计入股东权益的其他综合收</w:t>
      </w:r>
    </w:p>
    <w:p>
      <w:pPr>
        <w:pStyle w:val="BodyText"/>
        <w:spacing w:line="316" w:lineRule="auto" w:before="19"/>
        <w:ind w:right="0"/>
        <w:jc w:val="left"/>
      </w:pPr>
      <w:r>
        <w:rPr>
          <w:spacing w:val="-2"/>
        </w:rPr>
        <w:t>益部分按相应的比例采用与被投资单位直接处置相关资产或负债相同的基础进行会计处理。因被投资方除净损益、其他综合</w:t>
      </w:r>
      <w:r>
        <w:rPr>
          <w:spacing w:val="-64"/>
        </w:rPr>
        <w:t> </w:t>
      </w:r>
      <w:r>
        <w:rPr>
          <w:spacing w:val="-64"/>
        </w:rPr>
      </w:r>
      <w:r>
        <w:rPr/>
        <w:t>收益和利润分配以外的其他所有者权益变动而确认的所有者权益，按比例结转入当期损益。</w:t>
      </w:r>
    </w:p>
    <w:p>
      <w:pPr>
        <w:pStyle w:val="BodyText"/>
        <w:spacing w:line="316" w:lineRule="auto" w:before="19"/>
        <w:ind w:right="1131" w:firstLine="420"/>
        <w:jc w:val="both"/>
      </w:pPr>
      <w:r>
        <w:rPr/>
        <w:t>采用成本法核算的长期股权投资，处置后剩余股权仍采用成本法核算的，其在取得对被投资单位的控制之前因采用权 </w:t>
      </w:r>
      <w:r>
        <w:rPr>
          <w:spacing w:val="-2"/>
        </w:rPr>
        <w:t>益法核算或金融工具确认和计量准则核算而确认的其他综合收益，采用与被投资单位直接处置相关资产或负债相同的基础进</w:t>
      </w:r>
      <w:r>
        <w:rPr>
          <w:spacing w:val="-64"/>
        </w:rPr>
        <w:t> </w:t>
      </w:r>
      <w:r>
        <w:rPr>
          <w:spacing w:val="-64"/>
        </w:rPr>
      </w:r>
      <w:r>
        <w:rPr>
          <w:spacing w:val="-2"/>
        </w:rPr>
        <w:t>行会计处理，并按比例结转当期损益；因采用权益法核算而确认的被投资单位净资产中除净损益、其他综合收益和利润分配</w:t>
      </w:r>
      <w:r>
        <w:rPr>
          <w:spacing w:val="-66"/>
        </w:rPr>
        <w:t> </w:t>
      </w:r>
      <w:r>
        <w:rPr>
          <w:spacing w:val="-66"/>
        </w:rPr>
      </w:r>
      <w:r>
        <w:rPr/>
        <w:t>以外的其他所有者权益变动按比例结转当期损益。</w:t>
      </w:r>
    </w:p>
    <w:p>
      <w:pPr>
        <w:pStyle w:val="BodyText"/>
        <w:spacing w:line="316" w:lineRule="auto" w:before="19"/>
        <w:ind w:right="1130" w:firstLine="420"/>
        <w:jc w:val="both"/>
      </w:pPr>
      <w:r>
        <w:rPr/>
        <w:t>本公司因处置部分股权投资丧失了对被投资单位的控制的，在编制个别财务报表时，处置后的剩余股权能够对被投资 </w:t>
      </w:r>
      <w:r>
        <w:rPr>
          <w:spacing w:val="-2"/>
        </w:rPr>
        <w:t>单位实施共同控制或施加重大影响的，改按权益法核算，并对该剩余股权视同自取得时即采用权益法核算进行调整；处置后</w:t>
      </w:r>
      <w:r>
        <w:rPr>
          <w:spacing w:val="-66"/>
        </w:rPr>
        <w:t> </w:t>
      </w:r>
      <w:r>
        <w:rPr>
          <w:spacing w:val="-66"/>
        </w:rPr>
      </w:r>
      <w:r>
        <w:rPr>
          <w:spacing w:val="-2"/>
        </w:rPr>
        <w:t>的剩余股权不能对被投资单位实施共同控制或施加重大影响的，改按金融工具确认和计量准则的有关规定进行会计处理，其</w:t>
      </w:r>
      <w:r>
        <w:rPr>
          <w:spacing w:val="-64"/>
        </w:rPr>
        <w:t> </w:t>
      </w:r>
      <w:r>
        <w:rPr>
          <w:spacing w:val="-64"/>
        </w:rPr>
      </w:r>
      <w:r>
        <w:rPr>
          <w:spacing w:val="-2"/>
        </w:rPr>
        <w:t>在丧失控制之日的公允价值与账面价值之间的差额计入当期损益。对于本公司取得对被投资单位的控制之前，因采用权益法</w:t>
      </w:r>
      <w:r>
        <w:rPr>
          <w:spacing w:val="-63"/>
        </w:rPr>
        <w:t> </w:t>
      </w:r>
      <w:r>
        <w:rPr>
          <w:spacing w:val="-63"/>
        </w:rPr>
      </w:r>
      <w:r>
        <w:rPr>
          <w:spacing w:val="-2"/>
        </w:rPr>
        <w:t>核算或金融工具确认和计量准则核算而确认的其他综合收益，在丧失对被投资单位控制时采用与被投资单位直接处置相关资</w:t>
      </w:r>
      <w:r>
        <w:rPr>
          <w:spacing w:val="-64"/>
        </w:rPr>
        <w:t> </w:t>
      </w:r>
      <w:r>
        <w:rPr>
          <w:spacing w:val="-64"/>
        </w:rPr>
      </w:r>
      <w:r>
        <w:rPr>
          <w:spacing w:val="-2"/>
        </w:rPr>
        <w:t>产或负债相同的基础进行会计处理，因采用权益法核算而确认的被投资单位净资产中除净损益、其他综合收益和利润分配以</w:t>
      </w:r>
      <w:r>
        <w:rPr>
          <w:spacing w:val="-64"/>
        </w:rPr>
        <w:t> </w:t>
      </w:r>
      <w:r>
        <w:rPr>
          <w:spacing w:val="-64"/>
        </w:rPr>
      </w:r>
      <w:r>
        <w:rPr>
          <w:spacing w:val="-2"/>
        </w:rPr>
        <w:t>外的其他所有者权益变动在丧失对被投资单位控制时结转入当期损益。其中，处置后的剩余股权采用权益法核算的，其他综</w:t>
      </w:r>
      <w:r>
        <w:rPr>
          <w:spacing w:val="-66"/>
        </w:rPr>
        <w:t> </w:t>
      </w:r>
      <w:r>
        <w:rPr>
          <w:spacing w:val="-66"/>
        </w:rPr>
      </w:r>
      <w:r>
        <w:rPr>
          <w:spacing w:val="-2"/>
        </w:rPr>
        <w:t>合收益和其他所有者权益按比例结转；处置后的剩余股权改按金融工具确认和计量准则进行会计处理的，其他综合收益和其</w:t>
      </w:r>
      <w:r>
        <w:rPr>
          <w:spacing w:val="-64"/>
        </w:rPr>
        <w:t> </w:t>
      </w:r>
      <w:r>
        <w:rPr>
          <w:spacing w:val="-64"/>
        </w:rPr>
      </w:r>
      <w:r>
        <w:rPr/>
        <w:t>他所有者权益全部结转。</w:t>
      </w:r>
    </w:p>
    <w:p>
      <w:pPr>
        <w:pStyle w:val="BodyText"/>
        <w:spacing w:line="316" w:lineRule="auto" w:before="19"/>
        <w:ind w:right="1132" w:firstLine="420"/>
        <w:jc w:val="both"/>
      </w:pPr>
      <w:r>
        <w:rPr/>
        <w:t>本公司因处置部分股权投资丧失了对被投资单位的共同控制或重大影响的，处置后的剩余股权改按金融工具确认和计 </w:t>
      </w:r>
      <w:r>
        <w:rPr>
          <w:spacing w:val="-2"/>
        </w:rPr>
        <w:t>量准则核算，其在丧失共同控制或重大影响之日的公允价值与账面价值之间的差额计入当期损益。原股权投资因采用权益法</w:t>
      </w:r>
      <w:r>
        <w:rPr>
          <w:spacing w:val="-64"/>
        </w:rPr>
        <w:t> </w:t>
      </w:r>
      <w:r>
        <w:rPr>
          <w:spacing w:val="-64"/>
        </w:rPr>
      </w:r>
      <w:r>
        <w:rPr/>
        <w:t>核算而确认的其他综合收益，在终止采用权益法核算时采用与被投资单位直接处置相关资产或负债相同的基础进行会计处</w:t>
      </w:r>
      <w:r>
        <w:rPr>
          <w:spacing w:val="-9"/>
        </w:rPr>
        <w:t> </w:t>
      </w:r>
      <w:r>
        <w:rPr>
          <w:spacing w:val="-9"/>
        </w:rPr>
      </w:r>
      <w:r>
        <w:rPr>
          <w:spacing w:val="-2"/>
        </w:rPr>
        <w:t>理，因被投资方除净损益、其他综合收益和利润分配以外的其他所有者权益变动而确认的所有者权益，在终止采用权益法时</w:t>
      </w:r>
      <w:r>
        <w:rPr>
          <w:spacing w:val="-66"/>
        </w:rPr>
        <w:t> </w:t>
      </w:r>
      <w:r>
        <w:rPr>
          <w:spacing w:val="-66"/>
        </w:rPr>
      </w:r>
      <w:r>
        <w:rPr/>
        <w:t>全部转入当期投资收益。</w:t>
      </w:r>
    </w:p>
    <w:p>
      <w:pPr>
        <w:pStyle w:val="BodyText"/>
        <w:spacing w:line="316" w:lineRule="auto" w:before="19"/>
        <w:ind w:right="1128" w:firstLine="420"/>
        <w:jc w:val="both"/>
      </w:pPr>
      <w:r>
        <w:rPr/>
        <w:t>本公司通过多次交易分步处置对子公司股权投资直至丧失控制权，如果上述交易属于一揽子交易的，将各项交易作为 </w:t>
      </w:r>
      <w:r>
        <w:rPr>
          <w:spacing w:val="-2"/>
        </w:rPr>
        <w:t>一项处置子公司股权投资并丧失控制权的交易进行会计处理，在丧失控制权之前每一次处置价款与所处置的股权对应的长期</w:t>
      </w:r>
      <w:r>
        <w:rPr>
          <w:spacing w:val="-64"/>
        </w:rPr>
        <w:t> </w:t>
      </w:r>
      <w:r>
        <w:rPr>
          <w:spacing w:val="-64"/>
        </w:rPr>
      </w:r>
      <w:r>
        <w:rPr/>
        <w:t>股权投资账面价值之间的差额，先确认为其他综合收益，到丧失控制权时再一并转入丧失控制权的当期损益。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16、投资性房地产" w:id="192"/>
      <w:bookmarkEnd w:id="192"/>
      <w:r>
        <w:rPr>
          <w:b w:val="0"/>
          <w:bCs w:val="0"/>
        </w:rPr>
      </w:r>
      <w:r>
        <w:rPr>
          <w:rFonts w:ascii="Times New Roman" w:hAnsi="Times New Roman" w:cs="Times New Roman" w:eastAsia="Times New Roman" w:hint="default"/>
        </w:rPr>
        <w:t>16</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952"/>
        <w:jc w:val="left"/>
      </w:pPr>
      <w:r>
        <w:rPr/>
        <w:t>投资性房地产计量模式 不适用</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7、固定资产" w:id="193"/>
      <w:bookmarkEnd w:id="193"/>
      <w:r>
        <w:rPr>
          <w:b w:val="0"/>
          <w:bCs w:val="0"/>
        </w:rPr>
      </w:r>
      <w:r>
        <w:rPr>
          <w:rFonts w:ascii="Times New Roman" w:hAnsi="Times New Roman" w:cs="Times New Roman" w:eastAsia="Times New Roman" w:hint="default"/>
        </w:rPr>
        <w:t>17</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94"/>
      <w:bookmarkEnd w:id="19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本公司固定资产是指为生产商品、提供劳务、出租或经营管理而持有的，使用寿命超过一个会计年度的有形资产。与该</w:t>
      </w:r>
      <w:r>
        <w:rPr/>
        <w:t> </w:t>
      </w:r>
      <w:r>
        <w:rPr>
          <w:spacing w:val="-2"/>
        </w:rPr>
        <w:t>固定资产有关的经济利益很可能流入企业，并且该固定资产的成本能够可靠地计量时，固定资产才能予以确认。本公司固定</w:t>
      </w:r>
      <w:r>
        <w:rPr>
          <w:spacing w:val="-66"/>
        </w:rPr>
        <w:t> </w:t>
      </w:r>
      <w:r>
        <w:rPr>
          <w:spacing w:val="-66"/>
        </w:rPr>
      </w:r>
      <w:r>
        <w:rPr/>
        <w:t>资产按照取得时的实际成本进行初始计量。</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2）折旧方法" w:id="195"/>
      <w:bookmarkEnd w:id="19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18.00-25.00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18.00-33.33</w:t>
            </w:r>
          </w:p>
        </w:tc>
      </w:tr>
    </w:tbl>
    <w:p>
      <w:pPr>
        <w:pStyle w:val="BodyText"/>
        <w:spacing w:line="316" w:lineRule="auto" w:before="51"/>
        <w:ind w:right="1132" w:firstLine="360"/>
        <w:jc w:val="both"/>
      </w:pPr>
      <w:r>
        <w:rPr>
          <w:spacing w:val="-2"/>
        </w:rPr>
        <w:t>本公司采用年限平均法计提折旧。固定资产自达到预定可使用状态时开始计提折旧，终止确认时或划分为持有待售非流</w:t>
      </w:r>
      <w:r>
        <w:rPr/>
        <w:t> </w:t>
      </w:r>
      <w:r>
        <w:rPr>
          <w:spacing w:val="-2"/>
        </w:rPr>
        <w:t>动资产时停止计提折旧。在不考虑减值准备的情况下，按固定资产类别、预计使用寿命和预计残值，其中，已计提减值准备</w:t>
      </w:r>
      <w:r>
        <w:rPr>
          <w:spacing w:val="-66"/>
        </w:rPr>
        <w:t> </w:t>
      </w:r>
      <w:r>
        <w:rPr>
          <w:spacing w:val="-66"/>
        </w:rPr>
      </w:r>
      <w:r>
        <w:rPr/>
        <w:t>的固定资产，还应扣除已计提的固定资产减值准备累计金额计算确定折旧率。</w:t>
      </w:r>
    </w:p>
    <w:p>
      <w:pPr>
        <w:pStyle w:val="BodyText"/>
        <w:spacing w:line="319" w:lineRule="auto" w:before="57"/>
        <w:ind w:right="1043" w:firstLine="360"/>
        <w:jc w:val="both"/>
      </w:pPr>
      <w:r>
        <w:rPr>
          <w:spacing w:val="-4"/>
        </w:rPr>
        <w:t>本公司对固定资产进行定期检查发生的大修理费用，有确凿证据表明符合固定资产确认条件的部分，计入固定资产成本，</w:t>
      </w:r>
      <w:r>
        <w:rPr/>
        <w:t> 不符合固定资产确认条件的计入当期损益。固定资产在定期大修理间隔期间，照提折旧。</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3）融资租入固定资产的认定依据、计价和折旧方法" w:id="196"/>
      <w:bookmarkEnd w:id="19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firstLine="360"/>
        <w:jc w:val="both"/>
      </w:pPr>
      <w:r>
        <w:rPr>
          <w:spacing w:val="-2"/>
        </w:rPr>
        <w:t>公司与租赁方所签订的租赁协议条款中规定了下列条件之一的，确认为融资租入资产：①租赁期满后租赁资产的所有权</w:t>
      </w:r>
      <w:r>
        <w:rPr/>
        <w:t> </w:t>
      </w:r>
      <w:r>
        <w:rPr>
          <w:spacing w:val="-2"/>
        </w:rPr>
        <w:t>归属于本公司；②公司具有购买资产的选择权，购买价款远低于行使选择权时该资产的公允价值；③租赁期占所租赁资产使</w:t>
      </w:r>
      <w:r>
        <w:rPr>
          <w:spacing w:val="-65"/>
        </w:rPr>
        <w:t> </w:t>
      </w:r>
      <w:r>
        <w:rPr>
          <w:spacing w:val="-65"/>
        </w:rPr>
      </w:r>
      <w:r>
        <w:rPr>
          <w:spacing w:val="-2"/>
        </w:rPr>
        <w:t>用寿命的大部分；④租赁开始日的最低租赁付款额现值，与该资产的公允价值不存在较大的差异。公司在承租开始日，将租</w:t>
      </w:r>
      <w:r>
        <w:rPr>
          <w:spacing w:val="-65"/>
        </w:rPr>
        <w:t> </w:t>
      </w:r>
      <w:r>
        <w:rPr>
          <w:spacing w:val="-65"/>
        </w:rPr>
      </w:r>
      <w:r>
        <w:rPr>
          <w:spacing w:val="-2"/>
        </w:rPr>
        <w:t>赁资产公允价值与最低租赁付款额现值两者中较低者作为租入资产的入账价值，将最低租赁付款额作为长期应付款的入账价</w:t>
      </w:r>
      <w:r>
        <w:rPr>
          <w:spacing w:val="-64"/>
        </w:rPr>
        <w:t> </w:t>
      </w:r>
      <w:r>
        <w:rPr>
          <w:spacing w:val="-64"/>
        </w:rPr>
      </w:r>
      <w:r>
        <w:rPr>
          <w:spacing w:val="-2"/>
        </w:rPr>
        <w:t>值，其差额作为未确认的融资费。融资租入的固定资产，能够合理确定租赁期届满时将会取得租赁资产所有权的，在租赁资</w:t>
      </w:r>
      <w:r>
        <w:rPr>
          <w:spacing w:val="-66"/>
        </w:rPr>
        <w:t> </w:t>
      </w:r>
      <w:r>
        <w:rPr>
          <w:spacing w:val="-66"/>
        </w:rPr>
      </w:r>
      <w:r>
        <w:rPr>
          <w:spacing w:val="-2"/>
        </w:rPr>
        <w:t>产尚可使用年限内计提折旧；无法合理确定租赁期届满时能够取得租赁资产所有权的，在租赁期与租赁资产尚可使用年限两</w:t>
      </w:r>
      <w:r>
        <w:rPr>
          <w:spacing w:val="-64"/>
        </w:rPr>
        <w:t> </w:t>
      </w:r>
      <w:r>
        <w:rPr>
          <w:spacing w:val="-64"/>
        </w:rPr>
      </w:r>
      <w:r>
        <w:rPr>
          <w:spacing w:val="-2"/>
        </w:rPr>
        <w:t>者中较短的期间内计提折旧。每年年度终了，本公司对固定资产的使用寿命、预计净残值和折旧方法进行复核。使用寿命预</w:t>
      </w:r>
      <w:r>
        <w:rPr>
          <w:spacing w:val="-66"/>
        </w:rPr>
        <w:t> </w:t>
      </w:r>
      <w:r>
        <w:rPr>
          <w:spacing w:val="-66"/>
        </w:rPr>
      </w:r>
      <w:r>
        <w:rPr/>
        <w:t>计数与原先估计数有差异的，调整固定资产使用寿命；预计净残值预计数与原先估计数有差异的，调整预计净残值。</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18、在建工程" w:id="197"/>
      <w:bookmarkEnd w:id="197"/>
      <w:r>
        <w:rPr>
          <w:b w:val="0"/>
          <w:bCs w:val="0"/>
        </w:rPr>
      </w:r>
      <w:r>
        <w:rPr>
          <w:rFonts w:ascii="Times New Roman" w:hAnsi="Times New Roman" w:cs="Times New Roman" w:eastAsia="Times New Roman" w:hint="default"/>
        </w:rPr>
        <w:t>18</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19" w:lineRule="auto" w:before="25"/>
        <w:ind w:right="1131" w:firstLine="360"/>
        <w:jc w:val="both"/>
      </w:pPr>
      <w:r>
        <w:rPr>
          <w:spacing w:val="-2"/>
        </w:rPr>
        <w:t>在建工程项目按建造该项资产达到预定可使用状态前所发生的必要支出，作为固定资产的入账价值。所建造的固定资产</w:t>
      </w:r>
      <w:r>
        <w:rPr/>
        <w:t> </w:t>
      </w:r>
      <w:r>
        <w:rPr>
          <w:spacing w:val="-2"/>
        </w:rPr>
        <w:t>在建工程已达到预定可使用状态，但尚未办理竣工决算的，自达到预定可使用状态之日起，根据工程预算、造价或者工程实</w:t>
      </w:r>
      <w:r>
        <w:rPr>
          <w:spacing w:val="-66"/>
        </w:rPr>
        <w:t> </w:t>
      </w:r>
      <w:r>
        <w:rPr>
          <w:spacing w:val="-66"/>
        </w:rPr>
      </w:r>
      <w:r>
        <w:rPr>
          <w:spacing w:val="-2"/>
        </w:rPr>
        <w:t>际成本等，按估计的价值转入固定资产，并按本公司固定资产折旧政策计提固定资产的折旧，待办理竣工决算后，再按实际</w:t>
      </w:r>
      <w:r>
        <w:rPr>
          <w:spacing w:val="-66"/>
        </w:rPr>
        <w:t> </w:t>
      </w:r>
      <w:r>
        <w:rPr>
          <w:spacing w:val="-66"/>
        </w:rPr>
      </w:r>
      <w:r>
        <w:rPr/>
        <w:t>成本调整原来的暂估价值，但不调整原已计提的折旧额。</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19、借款费用" w:id="198"/>
      <w:bookmarkEnd w:id="198"/>
      <w:r>
        <w:rPr>
          <w:b w:val="0"/>
          <w:bCs w:val="0"/>
        </w:rPr>
      </w:r>
      <w:r>
        <w:rPr>
          <w:rFonts w:ascii="Times New Roman" w:hAnsi="Times New Roman" w:cs="Times New Roman" w:eastAsia="Times New Roman" w:hint="default"/>
        </w:rPr>
        <w:t>19</w:t>
      </w:r>
      <w:r>
        <w:rPr/>
        <w:t>、借款费用</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3"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left="214" w:right="1072"/>
        <w:jc w:val="left"/>
      </w:pP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319" w:lineRule="auto" w:before="55"/>
        <w:ind w:left="214" w:right="1131"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57" w:lineRule="auto" w:before="58"/>
        <w:ind w:left="574" w:right="1072"/>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225" w:lineRule="exact"/>
        <w:ind w:left="214" w:right="6252"/>
        <w:jc w:val="left"/>
      </w:pPr>
      <w:r>
        <w:rPr/>
        <w:t>性房地产和存货等资产。</w:t>
      </w:r>
    </w:p>
    <w:p>
      <w:pPr>
        <w:pStyle w:val="BodyText"/>
        <w:spacing w:line="302" w:lineRule="auto" w:before="115"/>
        <w:ind w:left="214" w:right="1130" w:firstLine="360"/>
        <w:jc w:val="both"/>
      </w:pPr>
      <w:r>
        <w:rPr/>
        <w:t>如果符合资本化条件的资产在购建或生产过程中发生非正常中断、并且中断时间连续超过</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spacing w:val="-4"/>
        </w:rPr>
        <w:t>个月的，暂停借款费用的资</w:t>
      </w:r>
      <w:r>
        <w:rPr/>
        <w:t> 本化，直至资产的购建或生产活动重新开始。</w:t>
      </w:r>
    </w:p>
    <w:p>
      <w:pPr>
        <w:spacing w:line="240" w:lineRule="auto" w:before="3"/>
        <w:rPr>
          <w:rFonts w:ascii="宋体" w:hAnsi="宋体" w:cs="宋体" w:eastAsia="宋体" w:hint="default"/>
          <w:sz w:val="23"/>
          <w:szCs w:val="23"/>
        </w:rPr>
      </w:pPr>
    </w:p>
    <w:p>
      <w:pPr>
        <w:pStyle w:val="Heading4"/>
        <w:spacing w:line="240" w:lineRule="auto"/>
        <w:ind w:left="214" w:right="6252"/>
        <w:jc w:val="left"/>
        <w:rPr>
          <w:b w:val="0"/>
          <w:bCs w:val="0"/>
        </w:rPr>
      </w:pPr>
      <w:bookmarkStart w:name="20、生物资产" w:id="199"/>
      <w:bookmarkEnd w:id="199"/>
      <w:r>
        <w:rPr>
          <w:b w:val="0"/>
          <w:bCs w:val="0"/>
        </w:rPr>
      </w:r>
      <w:r>
        <w:rPr>
          <w:rFonts w:ascii="Times New Roman" w:hAnsi="Times New Roman" w:cs="Times New Roman" w:eastAsia="Times New Roman" w:hint="default"/>
        </w:rPr>
        <w:t>20</w:t>
      </w:r>
      <w:r>
        <w:rPr/>
        <w:t>、生物资产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14" w:right="6252"/>
        <w:jc w:val="left"/>
        <w:rPr>
          <w:b w:val="0"/>
          <w:bCs w:val="0"/>
        </w:rPr>
      </w:pPr>
      <w:bookmarkStart w:name="21、油气资产" w:id="200"/>
      <w:bookmarkEnd w:id="200"/>
      <w:r>
        <w:rPr>
          <w:b w:val="0"/>
          <w:bCs w:val="0"/>
        </w:rPr>
      </w:r>
      <w:r>
        <w:rPr>
          <w:rFonts w:ascii="Times New Roman" w:hAnsi="Times New Roman" w:cs="Times New Roman" w:eastAsia="Times New Roman" w:hint="default"/>
        </w:rPr>
        <w:t>21</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14" w:right="6252"/>
        <w:jc w:val="left"/>
        <w:rPr>
          <w:b w:val="0"/>
          <w:bCs w:val="0"/>
        </w:rPr>
      </w:pPr>
      <w:bookmarkStart w:name="22、无形资产" w:id="201"/>
      <w:bookmarkEnd w:id="201"/>
      <w:r>
        <w:rPr>
          <w:b w:val="0"/>
          <w:bCs w:val="0"/>
        </w:rPr>
      </w:r>
      <w:r>
        <w:rPr>
          <w:rFonts w:ascii="Times New Roman" w:hAnsi="Times New Roman" w:cs="Times New Roman" w:eastAsia="Times New Roman" w:hint="default"/>
        </w:rPr>
        <w:t>22</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14" w:right="6252"/>
        <w:jc w:val="left"/>
        <w:rPr>
          <w:b w:val="0"/>
          <w:bCs w:val="0"/>
        </w:rPr>
      </w:pPr>
      <w:bookmarkStart w:name="（1）计价方法、使用寿命、减值测试" w:id="202"/>
      <w:bookmarkEnd w:id="20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214" w:right="1131" w:firstLine="360"/>
        <w:jc w:val="both"/>
      </w:pPr>
      <w:r>
        <w:rPr>
          <w:spacing w:val="-2"/>
        </w:rPr>
        <w:t>公司取得无形资产时按成本进行初始计量。外购无形资产的成本，包括购买价款、相关税费以及直接归属于使该项资产</w:t>
      </w:r>
      <w:r>
        <w:rPr/>
        <w:t> </w:t>
      </w:r>
      <w:r>
        <w:rPr>
          <w:spacing w:val="-2"/>
        </w:rPr>
        <w:t>达到预定用途所发生的其他支出。购买无形资产的价款超过正常信用条件延期支付，实质上具有融资性质的，无形资产的成</w:t>
      </w:r>
      <w:r>
        <w:rPr>
          <w:spacing w:val="-66"/>
        </w:rPr>
        <w:t> </w:t>
      </w:r>
      <w:r>
        <w:rPr>
          <w:spacing w:val="-66"/>
        </w:rPr>
      </w:r>
      <w:r>
        <w:rPr>
          <w:spacing w:val="-2"/>
        </w:rPr>
        <w:t>本以购买价款的现值为基础确定。债务重组取得债务人用以抵债的无形资产，以该无形资产的公允价值为基础确定其入账价</w:t>
      </w:r>
      <w:r>
        <w:rPr>
          <w:spacing w:val="-64"/>
        </w:rPr>
        <w:t> </w:t>
      </w:r>
      <w:r>
        <w:rPr>
          <w:spacing w:val="-64"/>
        </w:rPr>
      </w:r>
      <w:r>
        <w:rPr>
          <w:spacing w:val="-2"/>
        </w:rPr>
        <w:t>值，并将重组债务的账面价值与该用以抵债的无形资产公允价值之间的差额，计入当期损益。在非货币性资产交换具备商业</w:t>
      </w:r>
      <w:r>
        <w:rPr>
          <w:spacing w:val="-65"/>
        </w:rPr>
        <w:t> </w:t>
      </w:r>
      <w:r>
        <w:rPr>
          <w:spacing w:val="-65"/>
        </w:rPr>
      </w:r>
      <w:r>
        <w:rPr>
          <w:spacing w:val="-2"/>
        </w:rPr>
        <w:t>实质且换入资产或换出资产的公允价值能够可靠计量的前提下，非货币性资产交换换入的无形资产以换出资产的公允价值为</w:t>
      </w:r>
      <w:r>
        <w:rPr>
          <w:spacing w:val="-64"/>
        </w:rPr>
        <w:t> </w:t>
      </w:r>
      <w:r>
        <w:rPr>
          <w:spacing w:val="-64"/>
        </w:rPr>
      </w:r>
      <w:r>
        <w:rPr>
          <w:spacing w:val="-2"/>
        </w:rPr>
        <w:t>基础确定其入账价值，除非有确凿证据表明换入资产的公允价值更加可靠；不满足上述前提的非货币性资产交换，以换出资</w:t>
      </w:r>
      <w:r>
        <w:rPr>
          <w:spacing w:val="-66"/>
        </w:rPr>
        <w:t> </w:t>
      </w:r>
      <w:r>
        <w:rPr>
          <w:spacing w:val="-66"/>
        </w:rPr>
      </w:r>
      <w:r>
        <w:rPr/>
        <w:t>产的账面价值和应支付的相关税费作为换入无形资产的成本，不确认损益。</w:t>
      </w:r>
    </w:p>
    <w:p>
      <w:pPr>
        <w:pStyle w:val="BodyText"/>
        <w:spacing w:line="319" w:lineRule="auto" w:before="55"/>
        <w:ind w:left="214" w:right="1132" w:firstLine="360"/>
        <w:jc w:val="both"/>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pStyle w:val="BodyText"/>
        <w:spacing w:line="240" w:lineRule="auto" w:before="56"/>
        <w:ind w:left="574" w:right="6252"/>
        <w:jc w:val="left"/>
      </w:pPr>
      <w:r>
        <w:rPr/>
        <w:t>使用寿命有限的无形资产的使用寿命估计情况</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166"/>
        <w:gridCol w:w="3471"/>
        <w:gridCol w:w="3219"/>
      </w:tblGrid>
      <w:tr>
        <w:trPr>
          <w:trHeight w:val="322"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预计使用寿命依据</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期限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22"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预计受益期限</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20" w:right="0"/>
              <w:jc w:val="center"/>
              <w:rPr>
                <w:rFonts w:ascii="Times New Roman" w:hAnsi="Times New Roman" w:cs="Times New Roman" w:eastAsia="Times New Roman" w:hint="default"/>
                <w:sz w:val="21"/>
                <w:szCs w:val="21"/>
              </w:rPr>
            </w:pPr>
            <w:r>
              <w:rPr>
                <w:rFonts w:ascii="Times New Roman"/>
                <w:sz w:val="21"/>
              </w:rPr>
              <w:t>5-10</w:t>
            </w:r>
          </w:p>
        </w:tc>
      </w:tr>
      <w:tr>
        <w:trPr>
          <w:trHeight w:val="32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23"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预计受益期限</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20" w:right="0"/>
              <w:jc w:val="center"/>
              <w:rPr>
                <w:rFonts w:ascii="Times New Roman" w:hAnsi="Times New Roman" w:cs="Times New Roman" w:eastAsia="Times New Roman" w:hint="default"/>
                <w:sz w:val="21"/>
                <w:szCs w:val="21"/>
              </w:rPr>
            </w:pPr>
            <w:r>
              <w:rPr>
                <w:rFonts w:ascii="Times New Roman"/>
                <w:sz w:val="21"/>
              </w:rPr>
              <w:t>10</w:t>
            </w:r>
          </w:p>
        </w:tc>
      </w:tr>
      <w:tr>
        <w:trPr>
          <w:trHeight w:val="322"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专利</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预计受益期限</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19" w:right="0"/>
              <w:jc w:val="center"/>
              <w:rPr>
                <w:rFonts w:ascii="Times New Roman" w:hAnsi="Times New Roman" w:cs="Times New Roman" w:eastAsia="Times New Roman" w:hint="default"/>
                <w:sz w:val="21"/>
                <w:szCs w:val="21"/>
              </w:rPr>
            </w:pPr>
            <w:r>
              <w:rPr>
                <w:rFonts w:ascii="Times New Roman"/>
                <w:sz w:val="21"/>
              </w:rPr>
              <w:t>5</w:t>
            </w:r>
          </w:p>
        </w:tc>
      </w:tr>
    </w:tbl>
    <w:p>
      <w:pPr>
        <w:pStyle w:val="BodyText"/>
        <w:spacing w:line="360" w:lineRule="auto" w:before="51"/>
        <w:ind w:left="574" w:right="4632"/>
        <w:jc w:val="left"/>
      </w:pPr>
      <w:r>
        <w:rPr/>
        <w:t>每期末，对使用寿命有限的无形资产的使用寿命及摊销方法进行复核。 经复核，本年期末无形资产的使用寿命及摊销方法与以前估计未有不同。</w:t>
      </w:r>
    </w:p>
    <w:p>
      <w:pPr>
        <w:spacing w:line="240" w:lineRule="auto" w:before="11"/>
        <w:rPr>
          <w:rFonts w:ascii="宋体" w:hAnsi="宋体" w:cs="宋体" w:eastAsia="宋体" w:hint="default"/>
          <w:sz w:val="19"/>
          <w:szCs w:val="19"/>
        </w:rPr>
      </w:pPr>
    </w:p>
    <w:p>
      <w:pPr>
        <w:pStyle w:val="Heading4"/>
        <w:spacing w:line="240" w:lineRule="auto"/>
        <w:ind w:left="214" w:right="6252"/>
        <w:jc w:val="left"/>
        <w:rPr>
          <w:b w:val="0"/>
          <w:bCs w:val="0"/>
        </w:rPr>
      </w:pPr>
      <w:bookmarkStart w:name="（2）内部研究开发支出会计政策" w:id="203"/>
      <w:bookmarkEnd w:id="20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74" w:right="1072"/>
        <w:jc w:val="left"/>
      </w:pPr>
      <w:r>
        <w:rPr/>
        <w:t>本公司将内部研究开发项目的支出，区分为研究阶段支出和开发阶段支出。 研究阶段的支出，于发生时计入当期损益。 </w:t>
      </w:r>
      <w:r>
        <w:rPr>
          <w:spacing w:val="-2"/>
        </w:rPr>
        <w:t>开发阶段的支出，同时满足下列条件的，才能予以资本化，即：完成该无形资产以使其能够使用或出售在技术上具有可</w:t>
      </w:r>
    </w:p>
    <w:p>
      <w:pPr>
        <w:pStyle w:val="BodyText"/>
        <w:spacing w:line="224" w:lineRule="exact"/>
        <w:ind w:left="214" w:right="0"/>
        <w:jc w:val="left"/>
      </w:pPr>
      <w:r>
        <w:rPr/>
        <w:t>行性；具有完成该无形资产并使用或出售的意图；无形资产产生经济利益的方式，包括能够证明运用该无形资产生产的产品</w:t>
      </w:r>
    </w:p>
    <w:p>
      <w:pPr>
        <w:pStyle w:val="BodyText"/>
        <w:spacing w:line="240" w:lineRule="auto" w:before="76"/>
        <w:ind w:left="214" w:right="0"/>
        <w:jc w:val="left"/>
      </w:pPr>
      <w:r>
        <w:rPr/>
        <w:t>存在市场或无形资产自身存在市场，无形资产将在内部使用的，能够证明其有用性；有足够的技术、财务资源和其他资源支</w:t>
      </w:r>
    </w:p>
    <w:p>
      <w:pPr>
        <w:spacing w:after="0" w:line="240" w:lineRule="auto"/>
        <w:jc w:val="left"/>
        <w:sectPr>
          <w:pgSz w:w="11910" w:h="16840"/>
          <w:pgMar w:header="747" w:footer="979" w:top="1060" w:bottom="1160" w:left="92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2"/>
        </w:rPr>
        <w:t>持，以完成该无形资产的开发，并有能力使用或出售该无形资产；归属于该无形资产开发阶段的支出能够可靠地计量。不满</w:t>
      </w:r>
      <w:r>
        <w:rPr>
          <w:spacing w:val="-66"/>
        </w:rPr>
        <w:t> </w:t>
      </w:r>
      <w:r>
        <w:rPr>
          <w:spacing w:val="-66"/>
        </w:rPr>
      </w:r>
      <w:r>
        <w:rPr/>
        <w:t>足上述条件的开发支出计入当期损益。</w:t>
      </w:r>
    </w:p>
    <w:p>
      <w:pPr>
        <w:pStyle w:val="BodyText"/>
        <w:spacing w:line="240" w:lineRule="auto" w:before="56"/>
        <w:ind w:left="514" w:right="0"/>
        <w:jc w:val="left"/>
      </w:pPr>
      <w:r>
        <w:rPr/>
        <w:t>本公司相应项目在满足上述条件，通过技术可行性及经济可行性研究，形成项目立项后，进入开发阶段。</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3、长期资产减值" w:id="204"/>
      <w:bookmarkEnd w:id="204"/>
      <w:r>
        <w:rPr>
          <w:b w:val="0"/>
          <w:bCs w:val="0"/>
        </w:rPr>
      </w:r>
      <w:r>
        <w:rPr>
          <w:rFonts w:ascii="Times New Roman" w:hAnsi="Times New Roman" w:cs="Times New Roman" w:eastAsia="Times New Roman" w:hint="default"/>
        </w:rPr>
        <w:t>23</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6"/>
        </w:rPr>
        <w:t> </w:t>
      </w:r>
      <w:r>
        <w:rPr>
          <w:spacing w:val="-66"/>
        </w:rPr>
      </w:r>
      <w:r>
        <w:rPr>
          <w:spacing w:val="-2"/>
        </w:rPr>
        <w:t>回金额，进行减值测试。商誉、使用寿命不确定的无形资产和尚未达到可使用状态的无形资产，无论是否存在减值迹象，每</w:t>
      </w:r>
      <w:r>
        <w:rPr>
          <w:spacing w:val="-66"/>
        </w:rPr>
        <w:t> </w:t>
      </w:r>
      <w:r>
        <w:rPr>
          <w:spacing w:val="-66"/>
        </w:rPr>
      </w:r>
      <w:r>
        <w:rPr/>
        <w:t>年均进行减值测试。</w:t>
      </w:r>
    </w:p>
    <w:p>
      <w:pPr>
        <w:pStyle w:val="BodyText"/>
        <w:spacing w:line="319" w:lineRule="auto" w:before="56"/>
        <w:ind w:right="0"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9" w:lineRule="auto" w:before="55"/>
        <w:ind w:right="1132"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57"/>
        <w:ind w:left="514" w:right="0"/>
        <w:jc w:val="left"/>
      </w:pPr>
      <w:r>
        <w:rPr/>
        <w:t>上述资产减值损失一经确认，以后期间不予转回价值得以恢复的部分。</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4、长期待摊费用" w:id="205"/>
      <w:bookmarkEnd w:id="205"/>
      <w:r>
        <w:rPr>
          <w:b w:val="0"/>
          <w:bCs w:val="0"/>
        </w:rPr>
      </w:r>
      <w:r>
        <w:rPr>
          <w:rFonts w:ascii="Times New Roman" w:hAnsi="Times New Roman" w:cs="Times New Roman" w:eastAsia="Times New Roman" w:hint="default"/>
        </w:rPr>
        <w:t>24</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4"/>
        </w:rPr>
        <w:t>长期待摊费用按实际支出入账，在受益期或规定的期限内平均摊销。如果长期待摊的费用项目不能使以后会计期间受益，</w:t>
      </w:r>
      <w:r>
        <w:rPr/>
        <w:t> 则将尚未摊销的该项目的摊余价值全部转入当期损益。其中：</w:t>
      </w:r>
    </w:p>
    <w:p>
      <w:pPr>
        <w:pStyle w:val="BodyText"/>
        <w:spacing w:line="357" w:lineRule="auto" w:before="58"/>
        <w:ind w:left="514" w:right="0"/>
        <w:jc w:val="left"/>
      </w:pPr>
      <w:r>
        <w:rPr/>
        <w:t>预付经营租入固定资产的租金，按租赁合同规定的期限平均摊销。 经营租赁方式租入的固定资产改良支出，按剩余租赁期与租赁资产尚可使用年限两者中较短的期限平均摊销。 </w:t>
      </w:r>
      <w:r>
        <w:rPr>
          <w:spacing w:val="-2"/>
        </w:rPr>
        <w:t>融资租赁方式租入的固定资产符合资本化条件的装修费用，按两次装修间隔期间、剩余租赁期与固定资产尚可使用年限</w:t>
      </w:r>
    </w:p>
    <w:p>
      <w:pPr>
        <w:pStyle w:val="BodyText"/>
        <w:spacing w:line="225" w:lineRule="exact"/>
        <w:ind w:right="0"/>
        <w:jc w:val="left"/>
      </w:pPr>
      <w:r>
        <w:rPr/>
        <w:t>三者中较短的期限平均摊销。</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5、职工薪酬" w:id="206"/>
      <w:bookmarkEnd w:id="206"/>
      <w:r>
        <w:rPr>
          <w:b w:val="0"/>
          <w:bCs w:val="0"/>
        </w:rPr>
      </w:r>
      <w:r>
        <w:rPr>
          <w:rFonts w:ascii="Times New Roman" w:hAnsi="Times New Roman" w:cs="Times New Roman" w:eastAsia="Times New Roman" w:hint="default"/>
        </w:rPr>
        <w:t>25</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短期薪酬的会计处理方法" w:id="207"/>
      <w:bookmarkEnd w:id="207"/>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2" w:firstLine="360"/>
        <w:jc w:val="left"/>
      </w:pPr>
      <w:r>
        <w:rPr/>
        <w:t>本公司职工薪酬主要包括短期职工薪酬、离职后福利、辞退福利。其中：短期薪酬主要包括工资、奖金、津贴和补贴、 </w:t>
      </w:r>
      <w:r>
        <w:rPr>
          <w:spacing w:val="-2"/>
        </w:rPr>
        <w:t>职工福利费、医疗保险费、生育保险费、工伤保险费、住房公积金、工会经费和职工教育经费、非货币性福利等。本公司在</w:t>
      </w:r>
      <w:r>
        <w:rPr>
          <w:spacing w:val="-72"/>
        </w:rPr>
        <w:t> </w:t>
      </w:r>
      <w:r>
        <w:rPr>
          <w:spacing w:val="-72"/>
        </w:rPr>
      </w:r>
      <w:r>
        <w:rPr>
          <w:spacing w:val="-2"/>
        </w:rPr>
        <w:t>职工为本公司提供服务的会计期间将实际发生的短期职工薪酬确认为负债，并计入当期损益或相关资产成本。其中非货币性</w:t>
      </w:r>
      <w:r>
        <w:rPr>
          <w:spacing w:val="-64"/>
        </w:rPr>
        <w:t> </w:t>
      </w:r>
      <w:r>
        <w:rPr>
          <w:spacing w:val="-64"/>
        </w:rPr>
      </w:r>
      <w:r>
        <w:rPr/>
        <w:t>福利按公允价值计量。</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离职后福利的会计处理方法" w:id="208"/>
      <w:bookmarkEnd w:id="208"/>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firstLine="360"/>
        <w:jc w:val="left"/>
      </w:pPr>
      <w:r>
        <w:rPr>
          <w:spacing w:val="-2"/>
        </w:rPr>
        <w:t>离职后福利主要包括设定提存计划。其中设定提存计划主要包括基本养老保险、失业保险，相应的应缴存金额于发生时</w:t>
      </w:r>
      <w:r>
        <w:rPr/>
        <w:t> 计入相关资产成本或当期损益。</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3）辞退福利的会计处理方法" w:id="209"/>
      <w:bookmarkEnd w:id="209"/>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4）其他长期职工福利的会计处理方法" w:id="210"/>
      <w:bookmarkEnd w:id="210"/>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firstLine="360"/>
        <w:jc w:val="left"/>
      </w:pPr>
      <w:r>
        <w:rPr>
          <w:spacing w:val="-2"/>
        </w:rPr>
        <w:t>本公司向职工提供的其他长期职工福利，符合设定提存计划的，按照设定提存计划进行会计处理，除此之外按照设定收</w:t>
      </w:r>
      <w:r>
        <w:rPr/>
        <w:t> 益计划进行会计处理。</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26、预计负债" w:id="211"/>
      <w:bookmarkEnd w:id="211"/>
      <w:r>
        <w:rPr>
          <w:b w:val="0"/>
          <w:bCs w:val="0"/>
        </w:rPr>
      </w:r>
      <w:r>
        <w:rPr>
          <w:rFonts w:ascii="Times New Roman" w:hAnsi="Times New Roman" w:cs="Times New Roman" w:eastAsia="Times New Roman" w:hint="default"/>
        </w:rPr>
        <w:t>26</w:t>
      </w:r>
      <w:r>
        <w:rPr/>
        <w:t>、预计负债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7、股份支付" w:id="212"/>
      <w:bookmarkEnd w:id="212"/>
      <w:r>
        <w:rPr>
          <w:b w:val="0"/>
          <w:bCs w:val="0"/>
        </w:rPr>
      </w:r>
      <w:r>
        <w:rPr>
          <w:rFonts w:ascii="Times New Roman" w:hAnsi="Times New Roman" w:cs="Times New Roman" w:eastAsia="Times New Roman" w:hint="default"/>
        </w:rPr>
        <w:t>27</w:t>
      </w:r>
      <w:r>
        <w:rPr/>
        <w:t>、股份支付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8、优先股、永续债等其他金融工具" w:id="213"/>
      <w:bookmarkEnd w:id="213"/>
      <w:r>
        <w:rPr>
          <w:b w:val="0"/>
          <w:bCs w:val="0"/>
        </w:rPr>
      </w:r>
      <w:r>
        <w:rPr>
          <w:rFonts w:ascii="Times New Roman" w:hAnsi="Times New Roman" w:cs="Times New Roman" w:eastAsia="Times New Roman" w:hint="default"/>
        </w:rPr>
        <w:t>28</w:t>
      </w:r>
      <w:r>
        <w:rPr/>
        <w:t>、优先股、永续债等其他金融工具</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29、收入" w:id="214"/>
      <w:bookmarkEnd w:id="214"/>
      <w:r>
        <w:rPr>
          <w:b w:val="0"/>
          <w:bCs w:val="0"/>
        </w:rPr>
      </w:r>
      <w:r>
        <w:rPr>
          <w:rFonts w:ascii="Times New Roman" w:hAnsi="Times New Roman" w:cs="Times New Roman" w:eastAsia="Times New Roman" w:hint="default"/>
        </w:rPr>
        <w:t>29</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40" w:lineRule="auto" w:before="28"/>
        <w:ind w:left="514" w:right="8682"/>
        <w:jc w:val="left"/>
      </w:pPr>
      <w:r>
        <w:rPr>
          <w:rFonts w:ascii="Times New Roman" w:hAnsi="Times New Roman" w:cs="Times New Roman" w:eastAsia="Times New Roman" w:hint="default"/>
        </w:rPr>
        <w:t>1</w:t>
      </w:r>
      <w:r>
        <w:rPr/>
        <w:t>．收入的总确认原则 </w:t>
      </w:r>
      <w:r>
        <w:rPr>
          <w:rFonts w:ascii="Times New Roman" w:hAnsi="Times New Roman" w:cs="Times New Roman" w:eastAsia="Times New Roman" w:hint="default"/>
        </w:rPr>
        <w:t>(1)</w:t>
      </w:r>
      <w:r>
        <w:rPr/>
        <w:t>销售商品</w:t>
      </w:r>
    </w:p>
    <w:p>
      <w:pPr>
        <w:pStyle w:val="BodyText"/>
        <w:spacing w:line="300" w:lineRule="auto" w:before="17"/>
        <w:ind w:right="1130" w:firstLine="360"/>
        <w:jc w:val="both"/>
      </w:pPr>
      <w:r>
        <w:rPr>
          <w:spacing w:val="-1"/>
        </w:rPr>
        <w:t>商品销售收入同时满足下列条件时予以确认：</w:t>
      </w:r>
      <w:r>
        <w:rPr>
          <w:rFonts w:ascii="Times New Roman" w:hAnsi="Times New Roman" w:cs="Times New Roman" w:eastAsia="Times New Roman" w:hint="default"/>
          <w:spacing w:val="-1"/>
        </w:rPr>
        <w:t>1)</w:t>
      </w:r>
      <w:r>
        <w:rPr>
          <w:spacing w:val="-1"/>
        </w:rPr>
        <w:t>公司已将商品所有权上的主要风险和报酬转移给购买方；</w:t>
      </w:r>
      <w:r>
        <w:rPr>
          <w:rFonts w:ascii="Times New Roman" w:hAnsi="Times New Roman" w:cs="Times New Roman" w:eastAsia="Times New Roman" w:hint="default"/>
          <w:spacing w:val="-1"/>
        </w:rPr>
        <w:t>2)</w:t>
      </w:r>
      <w:r>
        <w:rPr>
          <w:spacing w:val="-1"/>
        </w:rPr>
        <w:t>公司既没有</w:t>
      </w:r>
      <w:r>
        <w:rPr/>
        <w:t> </w:t>
      </w:r>
      <w:r>
        <w:rPr>
          <w:spacing w:val="-1"/>
        </w:rPr>
        <w:t>保留与所有权相联系的继续管理权，也没有对已售出的商品实施有效控制；</w:t>
      </w:r>
      <w:r>
        <w:rPr>
          <w:rFonts w:ascii="Times New Roman" w:hAnsi="Times New Roman" w:cs="Times New Roman" w:eastAsia="Times New Roman" w:hint="default"/>
          <w:spacing w:val="-1"/>
        </w:rPr>
        <w:t>3)</w:t>
      </w:r>
      <w:r>
        <w:rPr>
          <w:spacing w:val="-1"/>
        </w:rPr>
        <w:t>收入的金额能够可靠地计量；</w:t>
      </w:r>
      <w:r>
        <w:rPr>
          <w:rFonts w:ascii="Times New Roman" w:hAnsi="Times New Roman" w:cs="Times New Roman" w:eastAsia="Times New Roman" w:hint="default"/>
          <w:spacing w:val="-1"/>
        </w:rPr>
        <w:t>4)</w:t>
      </w:r>
      <w:r>
        <w:rPr>
          <w:spacing w:val="-1"/>
        </w:rPr>
        <w:t>相关的经济利</w:t>
      </w:r>
      <w:r>
        <w:rPr>
          <w:spacing w:val="-56"/>
        </w:rPr>
        <w:t> </w:t>
      </w:r>
      <w:r>
        <w:rPr/>
        <w:t>益很可能流入企业；</w:t>
      </w:r>
      <w:r>
        <w:rPr>
          <w:rFonts w:ascii="Times New Roman" w:hAnsi="Times New Roman" w:cs="Times New Roman" w:eastAsia="Times New Roman" w:hint="default"/>
        </w:rPr>
        <w:t>5)</w:t>
      </w:r>
      <w:r>
        <w:rPr/>
        <w:t>相关的已发生或将发生的成本能够可靠地计量时。</w:t>
      </w:r>
    </w:p>
    <w:p>
      <w:pPr>
        <w:pStyle w:val="BodyText"/>
        <w:spacing w:line="338" w:lineRule="auto" w:before="52"/>
        <w:ind w:left="514" w:right="1025"/>
        <w:jc w:val="left"/>
      </w:pPr>
      <w:r>
        <w:rPr>
          <w:rFonts w:ascii="Times New Roman" w:hAnsi="Times New Roman" w:cs="Times New Roman" w:eastAsia="Times New Roman" w:hint="default"/>
        </w:rPr>
        <w:t>(2)</w:t>
      </w:r>
      <w:r>
        <w:rPr/>
        <w:t>提供劳务</w:t>
      </w:r>
      <w:r>
        <w:rPr>
          <w:w w:val="99"/>
        </w:rPr>
        <w:t> </w:t>
      </w:r>
      <w:r>
        <w:rPr>
          <w:spacing w:val="-1"/>
        </w:rPr>
        <w:t>在资产负债表日提供劳务交易的结果能够可靠估计的</w:t>
      </w:r>
      <w:r>
        <w:rPr>
          <w:rFonts w:ascii="Times New Roman" w:hAnsi="Times New Roman" w:cs="Times New Roman" w:eastAsia="Times New Roman" w:hint="default"/>
          <w:spacing w:val="-1"/>
        </w:rPr>
        <w:t>(</w:t>
      </w:r>
      <w:r>
        <w:rPr>
          <w:spacing w:val="-1"/>
        </w:rPr>
        <w:t>同时满足收入的金额能够可靠地计量、相关经济利益很可能流入、</w:t>
      </w:r>
    </w:p>
    <w:p>
      <w:pPr>
        <w:pStyle w:val="BodyText"/>
        <w:spacing w:line="230" w:lineRule="exact"/>
        <w:ind w:right="0"/>
        <w:jc w:val="left"/>
      </w:pPr>
      <w:r>
        <w:rPr/>
        <w:t>交易的完工进度能够可靠地确定、交易中已发生和将发生的成本能够可靠地计量</w:t>
      </w:r>
      <w:r>
        <w:rPr>
          <w:rFonts w:ascii="Times New Roman" w:hAnsi="Times New Roman" w:cs="Times New Roman" w:eastAsia="Times New Roman" w:hint="default"/>
        </w:rPr>
        <w:t>)</w:t>
      </w:r>
      <w:r>
        <w:rPr/>
        <w:t>，采用完工百分比法确认提供劳务收入，</w:t>
      </w:r>
    </w:p>
    <w:p>
      <w:pPr>
        <w:pStyle w:val="BodyText"/>
        <w:spacing w:line="357" w:lineRule="auto" w:before="64"/>
        <w:ind w:left="514" w:right="4992" w:hanging="360"/>
        <w:jc w:val="left"/>
      </w:pPr>
      <w:r>
        <w:rPr/>
        <w:t>并按已完工作的测量结果 已经发生的成本占估计总成本的比例确定提供劳务交易的完工进度。</w:t>
      </w:r>
    </w:p>
    <w:p>
      <w:pPr>
        <w:pStyle w:val="BodyText"/>
        <w:spacing w:line="319" w:lineRule="auto" w:before="26"/>
        <w:ind w:right="0" w:firstLine="360"/>
        <w:jc w:val="left"/>
      </w:pPr>
      <w:r>
        <w:rPr>
          <w:spacing w:val="-4"/>
        </w:rPr>
        <w:t>在资产负债表日提供劳务交易结果不能够可靠估计的，分别下列情况处理：若已经发生的劳务成本预计能够得到补偿的，</w:t>
      </w:r>
      <w:r>
        <w:rPr/>
        <w:t> </w:t>
      </w:r>
      <w:r>
        <w:rPr>
          <w:spacing w:val="-2"/>
        </w:rPr>
        <w:t>按照已经发生的劳务成本金额确认提供劳务收入，并按相同金额结转劳务成本；若已经发生的劳务成本预计不能够得到补偿</w:t>
      </w:r>
      <w:r>
        <w:rPr>
          <w:spacing w:val="-64"/>
        </w:rPr>
        <w:t> </w:t>
      </w:r>
      <w:r>
        <w:rPr>
          <w:spacing w:val="-64"/>
        </w:rPr>
      </w:r>
      <w:r>
        <w:rPr/>
        <w:t>的，将已经发生的劳务成本计入当期损益，不确认提供劳务收入。</w:t>
      </w:r>
    </w:p>
    <w:p>
      <w:pPr>
        <w:pStyle w:val="BodyText"/>
        <w:spacing w:line="338" w:lineRule="auto" w:before="58"/>
        <w:ind w:left="514" w:right="1032"/>
        <w:jc w:val="left"/>
      </w:pPr>
      <w:r>
        <w:rPr>
          <w:rFonts w:ascii="Times New Roman" w:hAnsi="Times New Roman" w:cs="Times New Roman" w:eastAsia="Times New Roman" w:hint="default"/>
        </w:rPr>
        <w:t>(3)</w:t>
      </w:r>
      <w:r>
        <w:rPr/>
        <w:t>让渡资产使用权</w:t>
      </w:r>
      <w:r>
        <w:rPr>
          <w:w w:val="99"/>
        </w:rPr>
        <w:t> </w:t>
      </w:r>
      <w:r>
        <w:rPr/>
        <w:t>让渡资产使用权在同时满足相关的经济利益很可能流入、收入的金额能够可靠地计量时，确认让渡资产使用权的收入。</w:t>
      </w:r>
    </w:p>
    <w:p>
      <w:pPr>
        <w:pStyle w:val="BodyText"/>
        <w:spacing w:line="240" w:lineRule="auto" w:before="2"/>
        <w:ind w:right="0"/>
        <w:jc w:val="left"/>
      </w:pPr>
      <w:r>
        <w:rPr/>
        <w:t>利息收入金额，按照他人使用本企业货币资金的时间和实际利率计算确定；使用费收入金额，按照有关合同或协议约定的收</w:t>
      </w:r>
    </w:p>
    <w:p>
      <w:pPr>
        <w:spacing w:after="0" w:line="240" w:lineRule="auto"/>
        <w:jc w:val="left"/>
        <w:sectPr>
          <w:footerReference w:type="default" r:id="rId18"/>
          <w:pgSz w:w="11910" w:h="16840"/>
          <w:pgMar w:footer="979" w:header="747"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费时间和方法计算确定。</w:t>
      </w:r>
    </w:p>
    <w:p>
      <w:pPr>
        <w:pStyle w:val="BodyText"/>
        <w:spacing w:line="338" w:lineRule="auto" w:before="116"/>
        <w:ind w:left="514" w:right="1115"/>
        <w:jc w:val="left"/>
      </w:pPr>
      <w:r>
        <w:rPr>
          <w:rFonts w:ascii="Times New Roman" w:hAnsi="Times New Roman" w:cs="Times New Roman" w:eastAsia="Times New Roman" w:hint="default"/>
        </w:rPr>
        <w:t>(4)</w:t>
      </w:r>
      <w:r>
        <w:rPr/>
        <w:t>建造合同</w:t>
      </w:r>
      <w:r>
        <w:rPr>
          <w:w w:val="99"/>
        </w:rPr>
        <w:t> </w:t>
      </w:r>
      <w:r>
        <w:rPr>
          <w:rFonts w:ascii="Times New Roman" w:hAnsi="Times New Roman" w:cs="Times New Roman" w:eastAsia="Times New Roman" w:hint="default"/>
          <w:spacing w:val="-1"/>
        </w:rPr>
        <w:t>1)</w:t>
      </w:r>
      <w:r>
        <w:rPr>
          <w:spacing w:val="-1"/>
        </w:rPr>
        <w:t>建造合同的结果在资产负债表日能够可靠估计的，根据完工百分比法确认合同收入和合同费用。建造合同的结果在资</w:t>
      </w:r>
    </w:p>
    <w:p>
      <w:pPr>
        <w:pStyle w:val="BodyText"/>
        <w:spacing w:line="217" w:lineRule="exact"/>
        <w:ind w:right="0"/>
        <w:jc w:val="left"/>
      </w:pPr>
      <w:r>
        <w:rPr/>
        <w:t>产负债表日不能够可靠估计的，若合同成本能够收回的，合同收入根据能够收回的实际合同成本予以确认，合同成本在其发</w:t>
      </w:r>
    </w:p>
    <w:p>
      <w:pPr>
        <w:pStyle w:val="BodyText"/>
        <w:spacing w:line="240" w:lineRule="auto" w:before="78"/>
        <w:ind w:right="0"/>
        <w:jc w:val="left"/>
      </w:pPr>
      <w:r>
        <w:rPr/>
        <w:t>生的当期确认为合同费用；若合同成本不可能收回的，在发生时立即确认为合同费用，不确认合同收入。</w:t>
      </w:r>
    </w:p>
    <w:p>
      <w:pPr>
        <w:pStyle w:val="BodyText"/>
        <w:spacing w:line="312" w:lineRule="auto" w:before="115"/>
        <w:ind w:right="1132" w:firstLine="360"/>
        <w:jc w:val="both"/>
      </w:pPr>
      <w:r>
        <w:rPr>
          <w:rFonts w:ascii="Times New Roman" w:hAnsi="Times New Roman" w:cs="Times New Roman" w:eastAsia="Times New Roman" w:hint="default"/>
          <w:spacing w:val="-1"/>
        </w:rPr>
        <w:t>2)</w:t>
      </w:r>
      <w:r>
        <w:rPr>
          <w:spacing w:val="-1"/>
        </w:rPr>
        <w:t>固定造价合同同时满足下列条件表明其结果能够可靠估计：合同总收入能够可靠计量、与合同相关的经济利益很可能</w:t>
      </w:r>
      <w:r>
        <w:rPr>
          <w:w w:val="99"/>
        </w:rPr>
        <w:t> </w:t>
      </w:r>
      <w:r>
        <w:rPr>
          <w:spacing w:val="-2"/>
        </w:rPr>
        <w:t>流入、实际发生的合同成本能够清楚地区分和可靠地计量、合同完工进度和为完成合同尚需发生的成本能够可靠地计量。成</w:t>
      </w:r>
      <w:r>
        <w:rPr>
          <w:spacing w:val="-67"/>
        </w:rPr>
        <w:t> </w:t>
      </w:r>
      <w:r>
        <w:rPr>
          <w:spacing w:val="-67"/>
        </w:rPr>
      </w:r>
      <w:r>
        <w:rPr>
          <w:spacing w:val="-2"/>
        </w:rPr>
        <w:t>本加成合同同时满足下列条件表明其结果能够可靠估计：与合同相关的经济利益很可能流入；实际发生的合同成本能够清楚</w:t>
      </w:r>
      <w:r>
        <w:rPr>
          <w:spacing w:val="-65"/>
        </w:rPr>
        <w:t> </w:t>
      </w:r>
      <w:r>
        <w:rPr>
          <w:spacing w:val="-65"/>
        </w:rPr>
      </w:r>
      <w:r>
        <w:rPr/>
        <w:t>地区分和可靠地计量。</w:t>
      </w:r>
    </w:p>
    <w:p>
      <w:pPr>
        <w:pStyle w:val="BodyText"/>
        <w:spacing w:line="240" w:lineRule="auto" w:before="62"/>
        <w:ind w:left="514" w:right="0"/>
        <w:jc w:val="left"/>
      </w:pPr>
      <w:r>
        <w:rPr>
          <w:rFonts w:ascii="Times New Roman" w:hAnsi="Times New Roman" w:cs="Times New Roman" w:eastAsia="Times New Roman" w:hint="default"/>
        </w:rPr>
        <w:t>3)</w:t>
      </w:r>
      <w:r>
        <w:rPr/>
        <w:t>确定合同完工进度的方法为累计实际发生的合同成本占合同预计总成本的比例。</w:t>
      </w:r>
    </w:p>
    <w:p>
      <w:pPr>
        <w:pStyle w:val="BodyText"/>
        <w:spacing w:line="302" w:lineRule="auto" w:before="102"/>
        <w:ind w:right="0" w:firstLine="360"/>
        <w:jc w:val="left"/>
      </w:pPr>
      <w:r>
        <w:rPr>
          <w:rFonts w:ascii="Times New Roman" w:hAnsi="Times New Roman" w:cs="Times New Roman" w:eastAsia="Times New Roman" w:hint="default"/>
          <w:spacing w:val="-2"/>
        </w:rPr>
        <w:t>4)</w:t>
      </w:r>
      <w:r>
        <w:rPr>
          <w:spacing w:val="-2"/>
        </w:rPr>
        <w:t>资产负债表日，合同预计总成本超过合同总收入的，将预计损失确认为当期费用。执行中的建造合同，按其差额计提</w:t>
      </w:r>
      <w:r>
        <w:rPr>
          <w:w w:val="99"/>
        </w:rPr>
        <w:t> </w:t>
      </w:r>
      <w:r>
        <w:rPr/>
        <w:t>存货跌价准备；待执行的亏损合同，按其差额确认预计负债。</w:t>
      </w:r>
    </w:p>
    <w:p>
      <w:pPr>
        <w:pStyle w:val="BodyText"/>
        <w:spacing w:line="338" w:lineRule="auto" w:before="69"/>
        <w:ind w:left="514" w:right="7962"/>
        <w:jc w:val="left"/>
      </w:pPr>
      <w:r>
        <w:rPr>
          <w:rFonts w:ascii="Times New Roman" w:hAnsi="Times New Roman" w:cs="Times New Roman" w:eastAsia="Times New Roman" w:hint="default"/>
        </w:rPr>
        <w:t>2</w:t>
      </w:r>
      <w:r>
        <w:rPr/>
        <w:t>．本公司收入的具体确认原则 </w:t>
      </w:r>
      <w:r>
        <w:rPr>
          <w:rFonts w:ascii="Times New Roman" w:hAnsi="Times New Roman" w:cs="Times New Roman" w:eastAsia="Times New Roman" w:hint="default"/>
        </w:rPr>
        <w:t>(1)</w:t>
      </w:r>
      <w:r>
        <w:rPr/>
        <w:t>供应链业务收入的确认</w:t>
      </w:r>
    </w:p>
    <w:p>
      <w:pPr>
        <w:pStyle w:val="BodyText"/>
        <w:spacing w:line="319" w:lineRule="auto" w:before="20"/>
        <w:ind w:right="0" w:firstLine="360"/>
        <w:jc w:val="left"/>
      </w:pPr>
      <w:r>
        <w:rPr>
          <w:spacing w:val="-2"/>
        </w:rPr>
        <w:t>公司已根据合同约定将产品交付给购货方，已获取客户的签收或者验收回单，且产品销售收入金额已确定，已经收回货</w:t>
      </w:r>
      <w:r>
        <w:rPr/>
        <w:t> 款或取得了收款凭证且相关的经济利益很可能流入，产品相关的成本能够可靠地计量。</w:t>
      </w:r>
    </w:p>
    <w:p>
      <w:pPr>
        <w:pStyle w:val="BodyText"/>
        <w:spacing w:line="345" w:lineRule="auto" w:before="56"/>
        <w:ind w:left="514" w:right="0"/>
        <w:jc w:val="left"/>
      </w:pPr>
      <w:r>
        <w:rPr>
          <w:rFonts w:ascii="Times New Roman" w:hAnsi="Times New Roman" w:cs="Times New Roman" w:eastAsia="Times New Roman" w:hint="default"/>
        </w:rPr>
        <w:t>(2)</w:t>
      </w:r>
      <w:r>
        <w:rPr/>
        <w:t>第三方支付、信用卡推广、助贷等服务收入的确认</w:t>
      </w:r>
      <w:r>
        <w:rPr>
          <w:w w:val="99"/>
        </w:rPr>
        <w:t> </w:t>
      </w:r>
      <w:r>
        <w:rPr/>
        <w:t>公司在已根据合同约定提供了相应服务，取得明确的收款证据，相关成本能够可靠地计量时，确认收入。</w:t>
      </w:r>
      <w:r>
        <w:rPr>
          <w:w w:val="99"/>
        </w:rPr>
        <w:t> </w:t>
      </w:r>
      <w:r>
        <w:rPr>
          <w:rFonts w:ascii="Times New Roman" w:hAnsi="Times New Roman" w:cs="Times New Roman" w:eastAsia="Times New Roman" w:hint="default"/>
        </w:rPr>
        <w:t>(3)</w:t>
      </w:r>
      <w:r>
        <w:rPr/>
        <w:t>保理业务、小额贷款业务等收入的确认</w:t>
      </w:r>
      <w:r>
        <w:rPr>
          <w:w w:val="99"/>
        </w:rPr>
        <w:t> </w:t>
      </w:r>
      <w:r>
        <w:rPr>
          <w:spacing w:val="-2"/>
        </w:rPr>
        <w:t>公司按照他人使用本公司货币资金的本金、时间和双方约定的实际利率计算确定；通过在一定期间内提供保理服务收取</w:t>
      </w:r>
    </w:p>
    <w:p>
      <w:pPr>
        <w:pStyle w:val="BodyText"/>
        <w:spacing w:line="234" w:lineRule="exact"/>
        <w:ind w:right="0"/>
        <w:jc w:val="left"/>
      </w:pPr>
      <w:r>
        <w:rPr/>
        <w:t>的服务费在相应的服务期间内平均确认收入。</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0、政府补助" w:id="215"/>
      <w:bookmarkEnd w:id="215"/>
      <w:r>
        <w:rPr>
          <w:b w:val="0"/>
          <w:bCs w:val="0"/>
        </w:rPr>
      </w:r>
      <w:r>
        <w:rPr>
          <w:rFonts w:ascii="Times New Roman" w:hAnsi="Times New Roman" w:cs="Times New Roman" w:eastAsia="Times New Roman" w:hint="default"/>
        </w:rPr>
        <w:t>30</w:t>
      </w:r>
      <w:r>
        <w:rPr/>
        <w:t>、政府补助</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32" w:firstLine="360"/>
        <w:jc w:val="left"/>
      </w:pPr>
      <w:r>
        <w:rPr>
          <w:spacing w:val="-2"/>
        </w:rPr>
        <w:t>政府补助是指本公司从政府无偿取得货币性资产或非货币性资产，不包括政府以投资者身份并享有相应所有者权益而投</w:t>
      </w:r>
      <w:r>
        <w:rPr/>
        <w:t> 入的资本。政府补助为货币性资产的，按照收到或应收的金额计量。政府补助为非货币性资产的，应当按照公允价值计量； 公允价值不能可靠取得的，按照名义金额计量。按照名义金额计量的政府补助，直接计入当期损益。</w:t>
      </w:r>
    </w:p>
    <w:p>
      <w:pPr>
        <w:pStyle w:val="BodyText"/>
        <w:spacing w:line="357" w:lineRule="auto" w:before="56"/>
        <w:ind w:left="514" w:right="0"/>
        <w:jc w:val="left"/>
      </w:pPr>
      <w:r>
        <w:rPr/>
        <w:t>当本公司能够满足政府补助所附条件，且能够收到政府补助时，才能确认政府补助。 </w:t>
      </w:r>
      <w:r>
        <w:rPr>
          <w:spacing w:val="-2"/>
        </w:rPr>
        <w:t>政府补助分为与资产相关的政府补助和与收益相关的政府补助。与资产相关的政府补助，是指公司取得的、用于购建或</w:t>
      </w:r>
    </w:p>
    <w:p>
      <w:pPr>
        <w:pStyle w:val="BodyText"/>
        <w:spacing w:line="357" w:lineRule="auto"/>
        <w:ind w:left="514" w:right="1032" w:hanging="360"/>
        <w:jc w:val="left"/>
      </w:pPr>
      <w:r>
        <w:rPr/>
        <w:t>以其他方式形成长期资产的政府补助。与收益相关的政府补助，是指除与资产相关的政府补助之外的政府补助。 与资产相关的政府补助，采用总额法，确认为递延收益，在相关资产使用寿命内按照合理、系统的方法分期计入损益，</w:t>
      </w:r>
    </w:p>
    <w:p>
      <w:pPr>
        <w:pStyle w:val="BodyText"/>
        <w:spacing w:line="224" w:lineRule="exact"/>
        <w:ind w:right="0"/>
        <w:jc w:val="left"/>
      </w:pPr>
      <w:r>
        <w:rPr/>
        <w:t>相关资产在使用寿命结束前被出售、转让、报废或发生毁损的，将尚未分配的相关递延收益余额转入资产处置当期的损益，</w:t>
      </w:r>
    </w:p>
    <w:p>
      <w:pPr>
        <w:pStyle w:val="BodyText"/>
        <w:spacing w:line="357" w:lineRule="auto" w:before="77"/>
        <w:ind w:left="514" w:right="1136" w:hanging="360"/>
        <w:jc w:val="left"/>
      </w:pPr>
      <w:r>
        <w:rPr/>
        <w:t>已确认的政府补助需要退回的，冲减相关递延收益账面余额，超出部分计入当期损益。 </w:t>
      </w:r>
      <w:r>
        <w:rPr>
          <w:spacing w:val="-2"/>
        </w:rPr>
        <w:t>与收益相关的政府补助，【采用总额法，用于补偿公司已发生的相关成本费用或损失时，直接计入当期损益；用于补偿</w:t>
      </w:r>
    </w:p>
    <w:p>
      <w:pPr>
        <w:pStyle w:val="BodyText"/>
        <w:spacing w:line="357" w:lineRule="auto"/>
        <w:ind w:left="514" w:right="0" w:hanging="360"/>
        <w:jc w:val="left"/>
      </w:pPr>
      <w:r>
        <w:rPr>
          <w:spacing w:val="-2"/>
        </w:rPr>
        <w:t>以后期间的相关成本费用或损失时，确认为递延收益，并在确认相关成本费用或损失的期间，计入当期损益。】</w:t>
      </w:r>
      <w:r>
        <w:rPr>
          <w:spacing w:val="-82"/>
        </w:rPr>
        <w:t> </w:t>
      </w:r>
      <w:r>
        <w:rPr>
          <w:spacing w:val="-82"/>
        </w:rPr>
      </w:r>
      <w:r>
        <w:rPr>
          <w:spacing w:val="-2"/>
        </w:rPr>
        <w:t>对于同时包含与资产相关部分和与收益相关部分的政府补助，应当区分不同部分分别进行会计处理；难以区分的应当整</w:t>
      </w:r>
    </w:p>
    <w:p>
      <w:pPr>
        <w:pStyle w:val="BodyText"/>
        <w:spacing w:line="357" w:lineRule="auto"/>
        <w:ind w:left="514" w:right="0" w:hanging="360"/>
        <w:jc w:val="left"/>
      </w:pPr>
      <w:r>
        <w:rPr/>
        <w:t>体归类为与收益相关的政府补助。 </w:t>
      </w:r>
      <w:r>
        <w:rPr>
          <w:spacing w:val="-2"/>
        </w:rPr>
        <w:t>与企业日常活动相关的政府补助，应当按照经济业务实质，计入其他收益或冲减相关成本费用。与企业日常活动无关的</w:t>
      </w:r>
    </w:p>
    <w:p>
      <w:pPr>
        <w:pStyle w:val="BodyText"/>
        <w:spacing w:line="225" w:lineRule="exact"/>
        <w:ind w:right="0"/>
        <w:jc w:val="left"/>
      </w:pPr>
      <w:r>
        <w:rPr/>
        <w:t>政府补助，计入营业外收支。</w:t>
      </w:r>
    </w:p>
    <w:p>
      <w:pPr>
        <w:spacing w:after="0" w:line="225" w:lineRule="exact"/>
        <w:jc w:val="left"/>
        <w:sectPr>
          <w:footerReference w:type="default" r:id="rId19"/>
          <w:pgSz w:w="11910" w:h="16840"/>
          <w:pgMar w:footer="979" w:header="747" w:top="1060" w:bottom="1160" w:left="980" w:right="0"/>
          <w:pgNumType w:start="101"/>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1、递延所得税资产/递延所得税负债" w:id="216"/>
      <w:bookmarkEnd w:id="216"/>
      <w:r>
        <w:rPr>
          <w:b w:val="0"/>
          <w:bCs w:val="0"/>
        </w:rPr>
      </w:r>
      <w:r>
        <w:rPr>
          <w:rFonts w:ascii="Times New Roman" w:hAnsi="Times New Roman" w:cs="Times New Roman" w:eastAsia="Times New Roman" w:hint="default"/>
        </w:rPr>
        <w:t>31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1" w:firstLine="360"/>
        <w:jc w:val="both"/>
      </w:pPr>
      <w:r>
        <w:rPr>
          <w:spacing w:val="-2"/>
        </w:rPr>
        <w:t>某些资产、负债项目的账面价值与其计税基础之间的差额，以及未作为资产和负债确认但按照税法规定可以确定其计税</w:t>
      </w:r>
      <w:r>
        <w:rPr/>
        <w:t> </w:t>
      </w: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pStyle w:val="BodyText"/>
        <w:spacing w:line="319" w:lineRule="auto" w:before="55"/>
        <w:ind w:right="1131"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pStyle w:val="BodyText"/>
        <w:spacing w:line="319" w:lineRule="auto" w:before="56"/>
        <w:ind w:right="1130"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3"/>
        </w:rPr>
        <w:t> </w:t>
      </w:r>
      <w:r>
        <w:rPr>
          <w:spacing w:val="-63"/>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pStyle w:val="BodyText"/>
        <w:spacing w:line="319" w:lineRule="auto" w:before="55"/>
        <w:ind w:right="1131" w:firstLine="360"/>
        <w:jc w:val="both"/>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319" w:lineRule="auto" w:before="55"/>
        <w:ind w:right="1133" w:firstLine="360"/>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319" w:lineRule="auto" w:before="56"/>
        <w:ind w:right="1130" w:firstLine="360"/>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319" w:lineRule="auto" w:before="56"/>
        <w:ind w:right="1132" w:firstLine="360"/>
        <w:jc w:val="both"/>
      </w:pPr>
      <w:r>
        <w:rPr>
          <w:spacing w:val="-2"/>
        </w:rPr>
        <w:t>所得税包括当期所得税和递延所得税。除由于企业合并产生的调整商誉，或与直接计入所有者权益的交易或者事项相关</w:t>
      </w:r>
      <w:r>
        <w:rPr/>
        <w:t> 的递延所得税计入所有者权益外，均作为所得税费用计入当期损益。</w:t>
      </w:r>
    </w:p>
    <w:p>
      <w:pPr>
        <w:pStyle w:val="BodyText"/>
        <w:spacing w:line="319" w:lineRule="auto" w:before="55"/>
        <w:ind w:right="1131" w:firstLine="360"/>
        <w:jc w:val="both"/>
      </w:pPr>
      <w:r>
        <w:rPr>
          <w:spacing w:val="-2"/>
        </w:rPr>
        <w:t>当期所得税是按照当期应纳税所得额计算的当期应交所得税金额。应纳税所得额系根据有关税法规定对本年度税前会计</w:t>
      </w:r>
      <w:r>
        <w:rPr/>
        <w:t> 利润作相应调整后得出。</w:t>
      </w:r>
    </w:p>
    <w:p>
      <w:pPr>
        <w:pStyle w:val="BodyText"/>
        <w:spacing w:line="319" w:lineRule="auto" w:before="56"/>
        <w:ind w:right="1130" w:firstLine="360"/>
        <w:jc w:val="both"/>
      </w:pPr>
      <w:r>
        <w:rPr>
          <w:spacing w:val="-2"/>
        </w:rPr>
        <w:t>本公司根据资产、负债于资产负债表日的账面价值与计税基础之间的暂时性差异，采用资产负债表债务法确认递延所得</w:t>
      </w:r>
      <w:r>
        <w:rPr/>
        <w:t> 税。</w:t>
      </w:r>
    </w:p>
    <w:p>
      <w:pPr>
        <w:pStyle w:val="BodyText"/>
        <w:spacing w:line="307" w:lineRule="auto" w:before="55"/>
        <w:ind w:right="1130" w:firstLine="360"/>
        <w:jc w:val="both"/>
      </w:pPr>
      <w:r>
        <w:rPr>
          <w:spacing w:val="-1"/>
        </w:rPr>
        <w:t>各项应纳税暂时性差异均确认相关的递延所得税负债，除非该应纳税暂时性差异是在以下交易中产生的：</w:t>
      </w:r>
      <w:r>
        <w:rPr>
          <w:rFonts w:ascii="Times New Roman" w:hAnsi="Times New Roman" w:cs="Times New Roman" w:eastAsia="Times New Roman" w:hint="default"/>
          <w:spacing w:val="-1"/>
        </w:rPr>
        <w:t>A</w:t>
      </w:r>
      <w:r>
        <w:rPr>
          <w:spacing w:val="-1"/>
        </w:rPr>
        <w:t>、商誉的初</w:t>
      </w:r>
      <w:r>
        <w:rPr/>
        <w:t> </w:t>
      </w:r>
      <w:r>
        <w:rPr>
          <w:spacing w:val="-2"/>
        </w:rPr>
        <w:t>始确认，或者具有以下特征的交易中产生的资产或负债的初始确认：该交易不是企业合并，并且交易发生时既不影响会计利</w:t>
      </w:r>
      <w:r>
        <w:rPr>
          <w:spacing w:val="-66"/>
        </w:rPr>
        <w:t> </w:t>
      </w:r>
      <w:r>
        <w:rPr>
          <w:spacing w:val="-66"/>
        </w:rPr>
      </w:r>
      <w:r>
        <w:rPr>
          <w:spacing w:val="-1"/>
        </w:rPr>
        <w:t>润也不影响应纳税所得额；</w:t>
      </w:r>
      <w:r>
        <w:rPr>
          <w:rFonts w:ascii="Times New Roman" w:hAnsi="Times New Roman" w:cs="Times New Roman" w:eastAsia="Times New Roman" w:hint="default"/>
          <w:spacing w:val="-1"/>
        </w:rPr>
        <w:t>B</w:t>
      </w:r>
      <w:r>
        <w:rPr>
          <w:spacing w:val="-1"/>
        </w:rPr>
        <w:t>、对于与子公司、合营企业及联营企业投资相关的应纳税暂时性差异，该暂时性差异转回的时</w:t>
      </w:r>
      <w:r>
        <w:rPr>
          <w:spacing w:val="-60"/>
        </w:rPr>
        <w:t> </w:t>
      </w:r>
      <w:r>
        <w:rPr>
          <w:spacing w:val="-60"/>
        </w:rPr>
      </w:r>
      <w:r>
        <w:rPr/>
        <w:t>间能够控制并且该暂时性差异在可预见的未来很可能不会转回。</w:t>
      </w:r>
    </w:p>
    <w:p>
      <w:pPr>
        <w:pStyle w:val="BodyText"/>
        <w:spacing w:line="314" w:lineRule="auto" w:before="64"/>
        <w:ind w:right="0" w:firstLine="360"/>
        <w:jc w:val="left"/>
      </w:pPr>
      <w:r>
        <w:rPr>
          <w:spacing w:val="-4"/>
        </w:rPr>
        <w:t>对于可抵扣暂时性差异、能够结转以后年度的可抵扣亏损和税款抵减，本公司以很可能取得用来抵扣可抵扣暂时性差异、</w:t>
      </w:r>
      <w:r>
        <w:rPr/>
        <w:t> </w:t>
      </w:r>
      <w:r>
        <w:rPr>
          <w:spacing w:val="-2"/>
        </w:rPr>
        <w:t>可抵扣亏损和税款抵减的未来应纳税所得额为限，确认由此产生的递延所得税资产，除非该可抵扣暂时性差异是在以下交易</w:t>
      </w:r>
      <w:r>
        <w:rPr>
          <w:spacing w:val="-64"/>
        </w:rPr>
        <w:t> </w:t>
      </w:r>
      <w:r>
        <w:rPr>
          <w:spacing w:val="-64"/>
        </w:rPr>
      </w:r>
      <w:r>
        <w:rPr/>
        <w:t>中产生的：</w:t>
      </w:r>
      <w:r>
        <w:rPr>
          <w:rFonts w:ascii="Times New Roman" w:hAnsi="Times New Roman" w:cs="Times New Roman" w:eastAsia="Times New Roman" w:hint="default"/>
        </w:rPr>
        <w:t>A</w:t>
      </w:r>
      <w:r>
        <w:rPr/>
        <w:t>、该交易不是企业合并，并且交易发生时既不影响会计利润也不影响应纳税所得额；</w:t>
      </w:r>
      <w:r>
        <w:rPr>
          <w:rFonts w:ascii="Times New Roman" w:hAnsi="Times New Roman" w:cs="Times New Roman" w:eastAsia="Times New Roman" w:hint="default"/>
        </w:rPr>
        <w:t>B</w:t>
      </w:r>
      <w:r>
        <w:rPr/>
        <w:t>、对于与子公司、合营 </w:t>
      </w:r>
      <w:r>
        <w:rPr>
          <w:spacing w:val="-2"/>
        </w:rPr>
        <w:t>企业及联营企业投资相关的可抵扣暂时性差异，同时满足下列条件的，确认相应的递延所得税资产：暂时性差异在可预见的</w:t>
      </w:r>
      <w:r>
        <w:rPr>
          <w:spacing w:val="-66"/>
        </w:rPr>
        <w:t> </w:t>
      </w:r>
      <w:r>
        <w:rPr>
          <w:spacing w:val="-66"/>
        </w:rPr>
      </w:r>
      <w:r>
        <w:rPr/>
        <w:t>未来很可能转回，且未来很可能获得用来抵扣可抵扣暂时性差异的应纳税所得额。</w:t>
      </w:r>
    </w:p>
    <w:p>
      <w:pPr>
        <w:pStyle w:val="BodyText"/>
        <w:spacing w:line="319" w:lineRule="auto" w:before="60"/>
        <w:ind w:right="1043" w:firstLine="360"/>
        <w:jc w:val="both"/>
      </w:pPr>
      <w:r>
        <w:rPr>
          <w:spacing w:val="-4"/>
        </w:rPr>
        <w:t>于资产负债表日，本公司对递延所得税资产和递延所得税负债，按照预期收回该资产或清偿该负债期间的适用税率计量，</w:t>
      </w:r>
      <w:r>
        <w:rPr/>
        <w:t> 并反映资产负债表日预期收回资产或清偿负债方式的所得税影响。</w:t>
      </w:r>
    </w:p>
    <w:p>
      <w:pPr>
        <w:pStyle w:val="BodyText"/>
        <w:spacing w:line="319" w:lineRule="auto" w:before="55"/>
        <w:ind w:right="1132" w:firstLine="360"/>
        <w:jc w:val="both"/>
      </w:pPr>
      <w:r>
        <w:rPr>
          <w:spacing w:val="-2"/>
        </w:rPr>
        <w:t>于资产负债表日，本公司对递延所得税资产的账面价值进行复核。如果未来期间很可能无法获得足够的应纳税所得额用</w:t>
      </w:r>
      <w:r>
        <w:rPr/>
        <w:t> </w:t>
      </w:r>
      <w:r>
        <w:rPr>
          <w:spacing w:val="-2"/>
        </w:rPr>
        <w:t>以抵扣递延所得税资产的利益，减记递延所得税资产的账面价值。在很可能获得足够的应纳税所得额时，减记的金额予以转</w:t>
      </w:r>
      <w:r>
        <w:rPr>
          <w:spacing w:val="-66"/>
        </w:rPr>
        <w:t> </w:t>
      </w:r>
      <w:r>
        <w:rPr>
          <w:spacing w:val="-66"/>
        </w:rPr>
      </w:r>
      <w:r>
        <w:rPr/>
        <w:t>回。</w:t>
      </w:r>
    </w:p>
    <w:p>
      <w:pPr>
        <w:spacing w:after="0" w:line="319"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214" w:right="6252"/>
        <w:jc w:val="left"/>
        <w:rPr>
          <w:b w:val="0"/>
          <w:bCs w:val="0"/>
        </w:rPr>
      </w:pPr>
      <w:bookmarkStart w:name="32、租赁" w:id="217"/>
      <w:bookmarkEnd w:id="217"/>
      <w:r>
        <w:rPr>
          <w:b w:val="0"/>
          <w:bCs w:val="0"/>
        </w:rPr>
      </w:r>
      <w:r>
        <w:rPr>
          <w:rFonts w:ascii="Times New Roman" w:hAnsi="Times New Roman" w:cs="Times New Roman" w:eastAsia="Times New Roman" w:hint="default"/>
        </w:rPr>
        <w:t>32</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14" w:right="6252"/>
        <w:jc w:val="left"/>
        <w:rPr>
          <w:b w:val="0"/>
          <w:bCs w:val="0"/>
        </w:rPr>
      </w:pPr>
      <w:bookmarkStart w:name="（1）经营租赁的会计处理方法" w:id="218"/>
      <w:bookmarkEnd w:id="218"/>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214" w:right="1131" w:firstLine="360"/>
        <w:jc w:val="both"/>
      </w:pPr>
      <w:r>
        <w:rPr>
          <w:spacing w:val="-2"/>
        </w:rPr>
        <w:t>公司租入资产所支付的租赁费，在不扣除免租期的整个租赁期内，按直线法进行分摊，计入当期费用。公司支付的与租</w:t>
      </w:r>
      <w:r>
        <w:rPr/>
        <w:t> </w:t>
      </w:r>
      <w:r>
        <w:rPr>
          <w:spacing w:val="-2"/>
        </w:rPr>
        <w:t>赁交易相关的初始直接费用，计入当期费用。资产出租方承担了应由公司承担的与租赁相关的费用时，公司将该部分费用从</w:t>
      </w:r>
      <w:r>
        <w:rPr>
          <w:spacing w:val="-65"/>
        </w:rPr>
        <w:t> </w:t>
      </w:r>
      <w:r>
        <w:rPr>
          <w:spacing w:val="-65"/>
        </w:rPr>
      </w:r>
      <w:r>
        <w:rPr/>
        <w:t>租金总额中扣除，按扣除后的租金费用在租赁期内分摊，计入当期费用。</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19" w:lineRule="auto"/>
        <w:ind w:left="214" w:right="1131" w:firstLine="360"/>
        <w:jc w:val="both"/>
      </w:pPr>
      <w:r>
        <w:rPr>
          <w:spacing w:val="-2"/>
        </w:rPr>
        <w:t>公司出租资产所收取的租赁费，在不扣除免租期的整个租赁期内，按直线法进行分摊，确认为租赁相关收入。公司支付</w:t>
      </w:r>
      <w:r>
        <w:rPr/>
        <w:t> </w:t>
      </w:r>
      <w:r>
        <w:rPr>
          <w:spacing w:val="-2"/>
        </w:rPr>
        <w:t>的与租赁交易相关的初始直接费用，计入当期费用；如金额较大的，则予以资本化，在整个租赁期间内按照与租赁相关收入</w:t>
      </w:r>
      <w:r>
        <w:rPr>
          <w:spacing w:val="-66"/>
        </w:rPr>
        <w:t> </w:t>
      </w:r>
      <w:r>
        <w:rPr>
          <w:spacing w:val="-66"/>
        </w:rPr>
      </w:r>
      <w:r>
        <w:rPr>
          <w:spacing w:val="-2"/>
        </w:rPr>
        <w:t>确认相同的基础分期计入当期收益。公司承担了应由承租方承担的与租赁相关的费用时，公司将该部分费用从租金收入总额</w:t>
      </w:r>
      <w:r>
        <w:rPr>
          <w:spacing w:val="-64"/>
        </w:rPr>
        <w:t> </w:t>
      </w:r>
      <w:r>
        <w:rPr>
          <w:spacing w:val="-64"/>
        </w:rPr>
      </w:r>
      <w:r>
        <w:rPr/>
        <w:t>中扣除，按扣除后的租金费用在租赁期内分配。</w:t>
      </w:r>
    </w:p>
    <w:p>
      <w:pPr>
        <w:spacing w:line="240" w:lineRule="auto" w:before="3"/>
        <w:rPr>
          <w:rFonts w:ascii="宋体" w:hAnsi="宋体" w:cs="宋体" w:eastAsia="宋体" w:hint="default"/>
          <w:sz w:val="22"/>
          <w:szCs w:val="22"/>
        </w:rPr>
      </w:pPr>
    </w:p>
    <w:p>
      <w:pPr>
        <w:pStyle w:val="Heading4"/>
        <w:spacing w:line="240" w:lineRule="auto"/>
        <w:ind w:left="214" w:right="6252"/>
        <w:jc w:val="left"/>
        <w:rPr>
          <w:b w:val="0"/>
          <w:bCs w:val="0"/>
        </w:rPr>
      </w:pPr>
      <w:bookmarkStart w:name="（2）融资租赁的会计处理方法" w:id="219"/>
      <w:bookmarkEnd w:id="219"/>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214" w:right="1042" w:firstLine="360"/>
        <w:jc w:val="both"/>
      </w:pPr>
      <w:r>
        <w:rPr>
          <w:spacing w:val="-4"/>
        </w:rPr>
        <w:t>融资租入资产：公司在承租开始日，将租赁资产公允价值与最低租赁付款额现值两者中较低者作为租入资产的入账价值，</w:t>
      </w:r>
      <w:r>
        <w:rPr/>
        <w:t> 将最低租赁付款额作为长期应付款的入账价值，其差额作为未确认的融资费用。公司采用实际利率法对未确认的融资费用， 在资产租赁期间内摊销，计入财务费用。公司发生的初始直接费用，计入租入资产价值。</w:t>
      </w:r>
    </w:p>
    <w:p>
      <w:pPr>
        <w:pStyle w:val="BodyText"/>
        <w:spacing w:line="319" w:lineRule="auto" w:before="55"/>
        <w:ind w:left="214" w:right="1032" w:firstLine="360"/>
        <w:jc w:val="left"/>
      </w:pPr>
      <w:r>
        <w:rPr>
          <w:spacing w:val="-2"/>
        </w:rPr>
        <w:t>融资租出资产：公司在租赁开始日，将应收融资租赁款，未担保余值之和与其现值的差额确认为未实现融资收益，在将</w:t>
      </w:r>
      <w:r>
        <w:rPr/>
        <w:t> 来收到租金的各期间内确认为租赁收入。公司发生的与出租交易相关的初始直接费用，计入应收融资租赁款的初始计量中， 并减少租赁期内确认的收益金额。</w:t>
      </w:r>
    </w:p>
    <w:p>
      <w:pPr>
        <w:spacing w:line="240" w:lineRule="auto" w:before="4"/>
        <w:rPr>
          <w:rFonts w:ascii="宋体" w:hAnsi="宋体" w:cs="宋体" w:eastAsia="宋体" w:hint="default"/>
          <w:sz w:val="22"/>
          <w:szCs w:val="22"/>
        </w:rPr>
      </w:pPr>
    </w:p>
    <w:p>
      <w:pPr>
        <w:pStyle w:val="Heading4"/>
        <w:spacing w:line="240" w:lineRule="auto"/>
        <w:ind w:left="214" w:right="6252"/>
        <w:jc w:val="left"/>
        <w:rPr>
          <w:b w:val="0"/>
          <w:bCs w:val="0"/>
        </w:rPr>
      </w:pPr>
      <w:bookmarkStart w:name="33、其他重要的会计政策和会计估计" w:id="220"/>
      <w:bookmarkEnd w:id="220"/>
      <w:r>
        <w:rPr>
          <w:b w:val="0"/>
          <w:bCs w:val="0"/>
        </w:rPr>
      </w:r>
      <w:r>
        <w:rPr>
          <w:rFonts w:ascii="Times New Roman" w:hAnsi="Times New Roman" w:cs="Times New Roman" w:eastAsia="Times New Roman" w:hint="default"/>
        </w:rPr>
        <w:t>33</w:t>
      </w:r>
      <w:r>
        <w:rPr/>
        <w:t>、其他重要的会计政策和会计估计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4" w:right="0"/>
        <w:jc w:val="left"/>
      </w:pPr>
      <w:r>
        <w:rPr/>
        <w:t>终止经营，是指企业满足下列条件之一的、能够单独区分的组成部分，且该组成部分已经处置或划分为持有待售类别：</w:t>
      </w:r>
    </w:p>
    <w:p>
      <w:pPr>
        <w:pStyle w:val="BodyText"/>
        <w:spacing w:line="240" w:lineRule="auto" w:before="117"/>
        <w:ind w:left="574" w:right="1072"/>
        <w:jc w:val="left"/>
      </w:pPr>
      <w:r>
        <w:rPr/>
        <w:t>①该组成部分代表一项独立的主要业务或一个单独的主要经营地区；</w:t>
      </w:r>
    </w:p>
    <w:p>
      <w:pPr>
        <w:pStyle w:val="BodyText"/>
        <w:spacing w:line="240" w:lineRule="auto" w:before="116"/>
        <w:ind w:left="574" w:right="1072"/>
        <w:jc w:val="left"/>
      </w:pPr>
      <w:r>
        <w:rPr/>
        <w:t>②该组成部分是拟对一项独立的主要业务或一个单独的主要经营地区进行处置的一项相关联计划的一部分；</w:t>
      </w:r>
    </w:p>
    <w:p>
      <w:pPr>
        <w:pStyle w:val="BodyText"/>
        <w:spacing w:line="240" w:lineRule="auto" w:before="116"/>
        <w:ind w:left="574" w:right="6252"/>
        <w:jc w:val="left"/>
      </w:pPr>
      <w:r>
        <w:rPr/>
        <w:t>③该组成部分是专为转售而取得的子公司。</w:t>
      </w:r>
    </w:p>
    <w:p>
      <w:pPr>
        <w:spacing w:line="240" w:lineRule="auto" w:before="11"/>
        <w:rPr>
          <w:rFonts w:ascii="宋体" w:hAnsi="宋体" w:cs="宋体" w:eastAsia="宋体" w:hint="default"/>
          <w:sz w:val="26"/>
          <w:szCs w:val="26"/>
        </w:rPr>
      </w:pPr>
    </w:p>
    <w:p>
      <w:pPr>
        <w:pStyle w:val="Heading4"/>
        <w:spacing w:line="240" w:lineRule="auto"/>
        <w:ind w:left="214" w:right="6252"/>
        <w:jc w:val="left"/>
        <w:rPr>
          <w:b w:val="0"/>
          <w:bCs w:val="0"/>
        </w:rPr>
      </w:pPr>
      <w:bookmarkStart w:name="34、重要会计政策和会计估计变更" w:id="221"/>
      <w:bookmarkEnd w:id="221"/>
      <w:r>
        <w:rPr>
          <w:b w:val="0"/>
          <w:bCs w:val="0"/>
        </w:rPr>
      </w:r>
      <w:r>
        <w:rPr>
          <w:rFonts w:ascii="Times New Roman" w:hAnsi="Times New Roman" w:cs="Times New Roman" w:eastAsia="Times New Roman" w:hint="default"/>
        </w:rPr>
        <w:t>34</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14" w:right="6252"/>
        <w:jc w:val="left"/>
        <w:rPr>
          <w:b w:val="0"/>
          <w:bCs w:val="0"/>
        </w:rPr>
      </w:pPr>
      <w:bookmarkStart w:name="（1）重要会计政策变更" w:id="222"/>
      <w:bookmarkEnd w:id="22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4" w:right="6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pacing w:val="-6"/>
                <w:sz w:val="18"/>
                <w:szCs w:val="18"/>
              </w:rPr>
              <w:t>日，财政部发布了《关于</w:t>
            </w:r>
          </w:p>
          <w:p>
            <w:pPr>
              <w:pStyle w:val="TableParagraph"/>
              <w:spacing w:line="302"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修订印发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年度一般企业财务报表格 </w:t>
            </w:r>
            <w:r>
              <w:rPr>
                <w:rFonts w:ascii="宋体" w:hAnsi="宋体" w:cs="宋体" w:eastAsia="宋体" w:hint="default"/>
                <w:spacing w:val="-6"/>
                <w:sz w:val="18"/>
                <w:szCs w:val="18"/>
              </w:rPr>
              <w:t>式的通知》（财会〔</w:t>
            </w:r>
            <w:r>
              <w:rPr>
                <w:rFonts w:ascii="Times New Roman" w:hAnsi="Times New Roman" w:cs="Times New Roman" w:eastAsia="Times New Roman" w:hint="default"/>
                <w:spacing w:val="-6"/>
                <w:sz w:val="18"/>
                <w:szCs w:val="18"/>
              </w:rPr>
              <w:t>2018</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pacing w:val="-30"/>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日召开的第四届董事会 第五次会议审议通过</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634" w:right="1072"/>
        <w:jc w:val="left"/>
      </w:pPr>
      <w:r>
        <w:rPr/>
        <w:t>本公司执行上述三项会计政策对列报前期财务报表项目及金额的影响如下：</w:t>
      </w:r>
    </w:p>
    <w:p>
      <w:pPr>
        <w:spacing w:line="240" w:lineRule="auto" w:before="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384"/>
        <w:gridCol w:w="3828"/>
        <w:gridCol w:w="4161"/>
      </w:tblGrid>
      <w:tr>
        <w:trPr>
          <w:trHeight w:val="634"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23"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41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521" w:right="876"/>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年度金额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323" w:hRule="exact"/>
        </w:trPr>
        <w:tc>
          <w:tcPr>
            <w:tcW w:w="1384" w:type="dxa"/>
            <w:vMerge w:val="restart"/>
            <w:tcBorders>
              <w:top w:val="single" w:sz="4" w:space="0" w:color="000000"/>
              <w:left w:val="single" w:sz="4" w:space="0" w:color="000000"/>
              <w:right w:val="single" w:sz="4" w:space="0" w:color="000000"/>
            </w:tcBorders>
          </w:tcPr>
          <w:p>
            <w:pPr>
              <w:pStyle w:val="TableParagraph"/>
              <w:spacing w:line="240" w:lineRule="auto" w:before="51"/>
              <w:ind w:right="237"/>
              <w:jc w:val="center"/>
              <w:rPr>
                <w:rFonts w:ascii="Times New Roman" w:hAnsi="Times New Roman" w:cs="Times New Roman" w:eastAsia="Times New Roman" w:hint="default"/>
                <w:sz w:val="18"/>
                <w:szCs w:val="18"/>
              </w:rPr>
            </w:pPr>
            <w:r>
              <w:rPr>
                <w:rFonts w:ascii="Times New Roman"/>
                <w:sz w:val="18"/>
              </w:rPr>
              <w:t>1</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2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4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1" w:right="0"/>
              <w:jc w:val="left"/>
              <w:rPr>
                <w:rFonts w:ascii="Times New Roman" w:hAnsi="Times New Roman" w:cs="Times New Roman" w:eastAsia="Times New Roman" w:hint="default"/>
                <w:sz w:val="18"/>
                <w:szCs w:val="18"/>
              </w:rPr>
            </w:pPr>
            <w:r>
              <w:rPr>
                <w:rFonts w:ascii="Times New Roman"/>
                <w:sz w:val="18"/>
              </w:rPr>
              <w:t>-31,500,000.00</w:t>
            </w:r>
          </w:p>
        </w:tc>
      </w:tr>
      <w:tr>
        <w:trPr>
          <w:trHeight w:val="322" w:hRule="exact"/>
        </w:trPr>
        <w:tc>
          <w:tcPr>
            <w:tcW w:w="1384" w:type="dxa"/>
            <w:vMerge/>
            <w:tcBorders>
              <w:left w:val="single" w:sz="4" w:space="0" w:color="000000"/>
              <w:bottom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1" w:right="0"/>
              <w:jc w:val="left"/>
              <w:rPr>
                <w:rFonts w:ascii="Times New Roman" w:hAnsi="Times New Roman" w:cs="Times New Roman" w:eastAsia="Times New Roman" w:hint="default"/>
                <w:sz w:val="18"/>
                <w:szCs w:val="18"/>
              </w:rPr>
            </w:pPr>
            <w:r>
              <w:rPr>
                <w:rFonts w:ascii="Times New Roman"/>
                <w:sz w:val="18"/>
              </w:rPr>
              <w:t>-569,571,735.29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384"/>
        <w:gridCol w:w="3828"/>
        <w:gridCol w:w="4161"/>
      </w:tblGrid>
      <w:tr>
        <w:trPr>
          <w:trHeight w:val="322" w:hRule="exact"/>
        </w:trPr>
        <w:tc>
          <w:tcPr>
            <w:tcW w:w="1384" w:type="dxa"/>
            <w:tcBorders>
              <w:top w:val="single" w:sz="4" w:space="0" w:color="000000"/>
              <w:left w:val="single" w:sz="4" w:space="0" w:color="000000"/>
              <w:bottom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4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1" w:right="0"/>
              <w:jc w:val="left"/>
              <w:rPr>
                <w:rFonts w:ascii="Times New Roman" w:hAnsi="Times New Roman" w:cs="Times New Roman" w:eastAsia="Times New Roman" w:hint="default"/>
                <w:sz w:val="18"/>
                <w:szCs w:val="18"/>
              </w:rPr>
            </w:pPr>
            <w:r>
              <w:rPr>
                <w:rFonts w:ascii="Times New Roman"/>
                <w:sz w:val="18"/>
              </w:rPr>
              <w:t>+601,071,735.29</w:t>
            </w:r>
          </w:p>
        </w:tc>
      </w:tr>
      <w:tr>
        <w:trPr>
          <w:trHeight w:val="323" w:hRule="exact"/>
        </w:trPr>
        <w:tc>
          <w:tcPr>
            <w:tcW w:w="1384" w:type="dxa"/>
            <w:vMerge w:val="restart"/>
            <w:tcBorders>
              <w:top w:val="single" w:sz="4" w:space="0" w:color="000000"/>
              <w:left w:val="single" w:sz="4" w:space="0" w:color="000000"/>
              <w:right w:val="single" w:sz="4" w:space="0" w:color="000000"/>
            </w:tcBorders>
          </w:tcPr>
          <w:p>
            <w:pPr>
              <w:pStyle w:val="TableParagraph"/>
              <w:spacing w:line="240" w:lineRule="auto" w:before="51"/>
              <w:ind w:right="237"/>
              <w:jc w:val="center"/>
              <w:rPr>
                <w:rFonts w:ascii="Times New Roman" w:hAnsi="Times New Roman" w:cs="Times New Roman" w:eastAsia="Times New Roman" w:hint="default"/>
                <w:sz w:val="18"/>
                <w:szCs w:val="18"/>
              </w:rPr>
            </w:pPr>
            <w:r>
              <w:rPr>
                <w:rFonts w:ascii="Times New Roman"/>
                <w:sz w:val="18"/>
              </w:rPr>
              <w:t>2</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2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4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1" w:right="0"/>
              <w:jc w:val="left"/>
              <w:rPr>
                <w:rFonts w:ascii="Times New Roman" w:hAnsi="Times New Roman" w:cs="Times New Roman" w:eastAsia="Times New Roman" w:hint="default"/>
                <w:sz w:val="18"/>
                <w:szCs w:val="18"/>
              </w:rPr>
            </w:pPr>
            <w:r>
              <w:rPr>
                <w:rFonts w:ascii="Times New Roman"/>
                <w:sz w:val="18"/>
              </w:rPr>
              <w:t>-261,981.72</w:t>
            </w:r>
          </w:p>
        </w:tc>
      </w:tr>
      <w:tr>
        <w:trPr>
          <w:trHeight w:val="322" w:hRule="exact"/>
        </w:trPr>
        <w:tc>
          <w:tcPr>
            <w:tcW w:w="1384" w:type="dxa"/>
            <w:vMerge/>
            <w:tcBorders>
              <w:left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41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84" w:type="dxa"/>
            <w:vMerge/>
            <w:tcBorders>
              <w:left w:val="single" w:sz="4" w:space="0" w:color="000000"/>
              <w:bottom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1" w:right="0"/>
              <w:jc w:val="left"/>
              <w:rPr>
                <w:rFonts w:ascii="Times New Roman" w:hAnsi="Times New Roman" w:cs="Times New Roman" w:eastAsia="Times New Roman" w:hint="default"/>
                <w:sz w:val="18"/>
                <w:szCs w:val="18"/>
              </w:rPr>
            </w:pPr>
            <w:r>
              <w:rPr>
                <w:rFonts w:ascii="Times New Roman"/>
                <w:sz w:val="18"/>
              </w:rPr>
              <w:t>+261,981.72</w:t>
            </w:r>
          </w:p>
        </w:tc>
      </w:tr>
      <w:tr>
        <w:trPr>
          <w:trHeight w:val="323" w:hRule="exact"/>
        </w:trPr>
        <w:tc>
          <w:tcPr>
            <w:tcW w:w="1384" w:type="dxa"/>
            <w:vMerge w:val="restart"/>
            <w:tcBorders>
              <w:top w:val="single" w:sz="4" w:space="0" w:color="000000"/>
              <w:left w:val="single" w:sz="4" w:space="0" w:color="000000"/>
              <w:right w:val="single" w:sz="4" w:space="0" w:color="000000"/>
            </w:tcBorders>
          </w:tcPr>
          <w:p>
            <w:pPr>
              <w:pStyle w:val="TableParagraph"/>
              <w:spacing w:line="240" w:lineRule="auto" w:before="52"/>
              <w:ind w:right="237"/>
              <w:jc w:val="center"/>
              <w:rPr>
                <w:rFonts w:ascii="Times New Roman" w:hAnsi="Times New Roman" w:cs="Times New Roman" w:eastAsia="Times New Roman" w:hint="default"/>
                <w:sz w:val="18"/>
                <w:szCs w:val="18"/>
              </w:rPr>
            </w:pPr>
            <w:r>
              <w:rPr>
                <w:rFonts w:ascii="Times New Roman"/>
                <w:sz w:val="18"/>
              </w:rPr>
              <w:t>3</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2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1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84" w:type="dxa"/>
            <w:vMerge/>
            <w:tcBorders>
              <w:left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1" w:right="0"/>
              <w:jc w:val="left"/>
              <w:rPr>
                <w:rFonts w:ascii="Times New Roman" w:hAnsi="Times New Roman" w:cs="Times New Roman" w:eastAsia="Times New Roman" w:hint="default"/>
                <w:sz w:val="18"/>
                <w:szCs w:val="18"/>
              </w:rPr>
            </w:pPr>
            <w:r>
              <w:rPr>
                <w:rFonts w:ascii="Times New Roman"/>
                <w:sz w:val="18"/>
              </w:rPr>
              <w:t>-19,370,887.39</w:t>
            </w:r>
          </w:p>
        </w:tc>
      </w:tr>
      <w:tr>
        <w:trPr>
          <w:trHeight w:val="322" w:hRule="exact"/>
        </w:trPr>
        <w:tc>
          <w:tcPr>
            <w:tcW w:w="1384" w:type="dxa"/>
            <w:vMerge/>
            <w:tcBorders>
              <w:left w:val="single" w:sz="4" w:space="0" w:color="000000"/>
              <w:bottom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4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1" w:right="0"/>
              <w:jc w:val="left"/>
              <w:rPr>
                <w:rFonts w:ascii="Times New Roman" w:hAnsi="Times New Roman" w:cs="Times New Roman" w:eastAsia="Times New Roman" w:hint="default"/>
                <w:sz w:val="18"/>
                <w:szCs w:val="18"/>
              </w:rPr>
            </w:pPr>
            <w:r>
              <w:rPr>
                <w:rFonts w:ascii="Times New Roman"/>
                <w:sz w:val="18"/>
              </w:rPr>
              <w:t>+19,370,887.39</w:t>
            </w:r>
          </w:p>
        </w:tc>
      </w:tr>
      <w:tr>
        <w:trPr>
          <w:trHeight w:val="323" w:hRule="exact"/>
        </w:trPr>
        <w:tc>
          <w:tcPr>
            <w:tcW w:w="1384" w:type="dxa"/>
            <w:vMerge w:val="restart"/>
            <w:tcBorders>
              <w:top w:val="single" w:sz="4" w:space="0" w:color="000000"/>
              <w:left w:val="single" w:sz="4" w:space="0" w:color="000000"/>
              <w:right w:val="single" w:sz="4" w:space="0" w:color="000000"/>
            </w:tcBorders>
          </w:tcPr>
          <w:p>
            <w:pPr>
              <w:pStyle w:val="TableParagraph"/>
              <w:spacing w:line="240" w:lineRule="auto" w:before="51"/>
              <w:ind w:right="237"/>
              <w:jc w:val="center"/>
              <w:rPr>
                <w:rFonts w:ascii="Times New Roman" w:hAnsi="Times New Roman" w:cs="Times New Roman" w:eastAsia="Times New Roman" w:hint="default"/>
                <w:sz w:val="18"/>
                <w:szCs w:val="18"/>
              </w:rPr>
            </w:pPr>
            <w:r>
              <w:rPr>
                <w:rFonts w:ascii="Times New Roman"/>
                <w:sz w:val="18"/>
              </w:rPr>
              <w:t>4</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2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4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1" w:right="0"/>
              <w:jc w:val="left"/>
              <w:rPr>
                <w:rFonts w:ascii="Times New Roman" w:hAnsi="Times New Roman" w:cs="Times New Roman" w:eastAsia="Times New Roman" w:hint="default"/>
                <w:sz w:val="18"/>
                <w:szCs w:val="18"/>
              </w:rPr>
            </w:pPr>
            <w:r>
              <w:rPr>
                <w:rFonts w:ascii="Times New Roman"/>
                <w:sz w:val="18"/>
              </w:rPr>
              <w:t>-2,790,209.06</w:t>
            </w:r>
          </w:p>
        </w:tc>
      </w:tr>
      <w:tr>
        <w:trPr>
          <w:trHeight w:val="322" w:hRule="exact"/>
        </w:trPr>
        <w:tc>
          <w:tcPr>
            <w:tcW w:w="1384" w:type="dxa"/>
            <w:vMerge/>
            <w:tcBorders>
              <w:left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41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84" w:type="dxa"/>
            <w:vMerge/>
            <w:tcBorders>
              <w:left w:val="single" w:sz="4" w:space="0" w:color="000000"/>
              <w:bottom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1" w:right="0"/>
              <w:jc w:val="left"/>
              <w:rPr>
                <w:rFonts w:ascii="Times New Roman" w:hAnsi="Times New Roman" w:cs="Times New Roman" w:eastAsia="Times New Roman" w:hint="default"/>
                <w:sz w:val="18"/>
                <w:szCs w:val="18"/>
              </w:rPr>
            </w:pPr>
            <w:r>
              <w:rPr>
                <w:rFonts w:ascii="Times New Roman"/>
                <w:sz w:val="18"/>
              </w:rPr>
              <w:t>+2,790,209.06</w:t>
            </w:r>
          </w:p>
        </w:tc>
      </w:tr>
      <w:tr>
        <w:trPr>
          <w:trHeight w:val="323" w:hRule="exact"/>
        </w:trPr>
        <w:tc>
          <w:tcPr>
            <w:tcW w:w="1384" w:type="dxa"/>
            <w:vMerge w:val="restart"/>
            <w:tcBorders>
              <w:top w:val="single" w:sz="4" w:space="0" w:color="000000"/>
              <w:left w:val="single" w:sz="4" w:space="0" w:color="000000"/>
              <w:right w:val="single" w:sz="4" w:space="0" w:color="000000"/>
            </w:tcBorders>
          </w:tcPr>
          <w:p>
            <w:pPr>
              <w:pStyle w:val="TableParagraph"/>
              <w:spacing w:line="240" w:lineRule="auto" w:before="51"/>
              <w:ind w:right="237"/>
              <w:jc w:val="center"/>
              <w:rPr>
                <w:rFonts w:ascii="Times New Roman" w:hAnsi="Times New Roman" w:cs="Times New Roman" w:eastAsia="Times New Roman" w:hint="default"/>
                <w:sz w:val="18"/>
                <w:szCs w:val="18"/>
              </w:rPr>
            </w:pPr>
            <w:r>
              <w:rPr>
                <w:rFonts w:ascii="Times New Roman"/>
                <w:sz w:val="18"/>
              </w:rPr>
              <w:t>5</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2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41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84" w:type="dxa"/>
            <w:vMerge/>
            <w:tcBorders>
              <w:left w:val="single" w:sz="4" w:space="0" w:color="000000"/>
              <w:bottom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41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84" w:type="dxa"/>
            <w:vMerge w:val="restart"/>
            <w:tcBorders>
              <w:top w:val="single" w:sz="4" w:space="0" w:color="000000"/>
              <w:left w:val="single" w:sz="4" w:space="0" w:color="000000"/>
              <w:right w:val="single" w:sz="4" w:space="0" w:color="000000"/>
            </w:tcBorders>
          </w:tcPr>
          <w:p>
            <w:pPr>
              <w:pStyle w:val="TableParagraph"/>
              <w:spacing w:line="240" w:lineRule="auto" w:before="50"/>
              <w:ind w:right="237"/>
              <w:jc w:val="center"/>
              <w:rPr>
                <w:rFonts w:ascii="Times New Roman" w:hAnsi="Times New Roman" w:cs="Times New Roman" w:eastAsia="Times New Roman" w:hint="default"/>
                <w:sz w:val="18"/>
                <w:szCs w:val="18"/>
              </w:rPr>
            </w:pPr>
            <w:r>
              <w:rPr>
                <w:rFonts w:ascii="Times New Roman"/>
                <w:sz w:val="18"/>
              </w:rPr>
              <w:t>6</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4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1" w:right="0"/>
              <w:jc w:val="left"/>
              <w:rPr>
                <w:rFonts w:ascii="Times New Roman" w:hAnsi="Times New Roman" w:cs="Times New Roman" w:eastAsia="Times New Roman" w:hint="default"/>
                <w:sz w:val="18"/>
                <w:szCs w:val="18"/>
              </w:rPr>
            </w:pPr>
            <w:r>
              <w:rPr>
                <w:rFonts w:ascii="Times New Roman"/>
                <w:sz w:val="18"/>
              </w:rPr>
              <w:t>-13,816,925.37</w:t>
            </w:r>
          </w:p>
        </w:tc>
      </w:tr>
      <w:tr>
        <w:trPr>
          <w:trHeight w:val="323" w:hRule="exact"/>
        </w:trPr>
        <w:tc>
          <w:tcPr>
            <w:tcW w:w="1384" w:type="dxa"/>
            <w:vMerge/>
            <w:tcBorders>
              <w:left w:val="single" w:sz="4" w:space="0" w:color="000000"/>
              <w:bottom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4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1" w:right="0"/>
              <w:jc w:val="left"/>
              <w:rPr>
                <w:rFonts w:ascii="Times New Roman" w:hAnsi="Times New Roman" w:cs="Times New Roman" w:eastAsia="Times New Roman" w:hint="default"/>
                <w:sz w:val="18"/>
                <w:szCs w:val="18"/>
              </w:rPr>
            </w:pPr>
            <w:r>
              <w:rPr>
                <w:rFonts w:ascii="Times New Roman"/>
                <w:sz w:val="18"/>
              </w:rPr>
              <w:t>+13,816,925.37</w:t>
            </w:r>
          </w:p>
        </w:tc>
      </w:tr>
    </w:tbl>
    <w:p>
      <w:pPr>
        <w:spacing w:line="240" w:lineRule="auto" w:before="2"/>
        <w:rPr>
          <w:rFonts w:ascii="宋体" w:hAnsi="宋体" w:cs="宋体" w:eastAsia="宋体" w:hint="default"/>
          <w:sz w:val="19"/>
          <w:szCs w:val="19"/>
        </w:rPr>
      </w:pPr>
    </w:p>
    <w:p>
      <w:pPr>
        <w:pStyle w:val="Heading4"/>
        <w:spacing w:line="240" w:lineRule="auto" w:before="35"/>
        <w:ind w:left="214" w:right="6252"/>
        <w:jc w:val="left"/>
        <w:rPr>
          <w:b w:val="0"/>
          <w:bCs w:val="0"/>
        </w:rPr>
      </w:pPr>
      <w:bookmarkStart w:name="（2）重要会计估计变更" w:id="223"/>
      <w:bookmarkEnd w:id="22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4" w:right="6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214" w:right="8966" w:firstLine="0"/>
        <w:jc w:val="left"/>
        <w:rPr>
          <w:rFonts w:ascii="宋体" w:hAnsi="宋体" w:cs="宋体" w:eastAsia="宋体" w:hint="default"/>
          <w:sz w:val="21"/>
          <w:szCs w:val="21"/>
        </w:rPr>
      </w:pPr>
      <w:bookmarkStart w:name="35、其他" w:id="224"/>
      <w:bookmarkEnd w:id="224"/>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5"/>
      <w:bookmarkEnd w:id="225"/>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6"/>
      <w:bookmarkEnd w:id="226"/>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2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5"/>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pStyle w:val="BodyText"/>
        <w:spacing w:line="240" w:lineRule="auto" w:before="51"/>
        <w:ind w:left="214" w:right="6252"/>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3"/>
        <w:rPr>
          <w:rFonts w:ascii="宋体" w:hAnsi="宋体" w:cs="宋体" w:eastAsia="宋体" w:hint="default"/>
          <w:sz w:val="19"/>
          <w:szCs w:val="19"/>
        </w:rPr>
      </w:pPr>
    </w:p>
    <w:p>
      <w:pPr>
        <w:pStyle w:val="Heading4"/>
        <w:spacing w:line="240" w:lineRule="auto" w:before="35"/>
        <w:ind w:left="214" w:right="6252"/>
        <w:jc w:val="left"/>
        <w:rPr>
          <w:b w:val="0"/>
          <w:bCs w:val="0"/>
        </w:rPr>
      </w:pPr>
      <w:bookmarkStart w:name="2、税收优惠" w:id="227"/>
      <w:bookmarkEnd w:id="22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1072"/>
        <w:jc w:val="left"/>
      </w:pPr>
      <w:r>
        <w:rPr/>
        <w:t>本公司之孙公司广州合利宝支付科技有限公司被认定为高新技术企业</w:t>
      </w:r>
      <w:r>
        <w:rPr>
          <w:rFonts w:ascii="Times New Roman" w:hAnsi="Times New Roman" w:cs="Times New Roman" w:eastAsia="Times New Roman" w:hint="default"/>
        </w:rPr>
        <w:t>(</w:t>
      </w:r>
      <w:r>
        <w:rPr/>
        <w:t>证书编号： </w:t>
      </w:r>
      <w:r>
        <w:rPr>
          <w:rFonts w:ascii="Times New Roman" w:hAnsi="Times New Roman" w:cs="Times New Roman" w:eastAsia="Times New Roman" w:hint="default"/>
        </w:rPr>
        <w:t>GR201744001270)</w:t>
      </w:r>
      <w:r>
        <w:rPr/>
        <w:t>，自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p>
    <w:p>
      <w:pPr>
        <w:pStyle w:val="BodyText"/>
        <w:spacing w:line="240" w:lineRule="auto" w:before="63"/>
        <w:ind w:left="214" w:right="1072"/>
        <w:jc w:val="left"/>
      </w:pP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日期间享受国家高新技术企业</w:t>
      </w:r>
      <w:r>
        <w:rPr>
          <w:spacing w:val="-11"/>
        </w:rPr>
        <w:t> </w:t>
      </w:r>
      <w:r>
        <w:rPr>
          <w:rFonts w:ascii="Times New Roman" w:hAnsi="Times New Roman" w:cs="Times New Roman" w:eastAsia="Times New Roman" w:hint="default"/>
        </w:rPr>
        <w:t>15%</w:t>
      </w:r>
      <w:r>
        <w:rPr/>
        <w:t>的企业所得税税率。</w:t>
      </w:r>
    </w:p>
    <w:p>
      <w:pPr>
        <w:spacing w:after="0" w:line="240" w:lineRule="auto"/>
        <w:jc w:val="left"/>
        <w:sectPr>
          <w:pgSz w:w="11910" w:h="16840"/>
          <w:pgMar w:header="747" w:footer="979" w:top="1060" w:bottom="1160" w:left="920" w:right="0"/>
        </w:sectPr>
      </w:pPr>
    </w:p>
    <w:p>
      <w:pPr>
        <w:spacing w:line="240" w:lineRule="auto" w:before="10"/>
        <w:rPr>
          <w:rFonts w:ascii="宋体" w:hAnsi="宋体" w:cs="宋体" w:eastAsia="宋体" w:hint="default"/>
          <w:sz w:val="24"/>
          <w:szCs w:val="24"/>
        </w:rPr>
      </w:pPr>
    </w:p>
    <w:p>
      <w:pPr>
        <w:spacing w:line="487" w:lineRule="auto" w:before="35"/>
        <w:ind w:left="154" w:right="7692" w:firstLine="0"/>
        <w:jc w:val="left"/>
        <w:rPr>
          <w:rFonts w:ascii="宋体" w:hAnsi="宋体" w:cs="宋体" w:eastAsia="宋体" w:hint="default"/>
          <w:sz w:val="21"/>
          <w:szCs w:val="21"/>
        </w:rPr>
      </w:pPr>
      <w:bookmarkStart w:name="3、其他" w:id="228"/>
      <w:bookmarkEnd w:id="22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9"/>
      <w:bookmarkEnd w:id="229"/>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30"/>
      <w:bookmarkEnd w:id="230"/>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7,758.72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493,423,800.43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378,139,741.13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138,133,526.82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222,683,525.33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631,564,027.25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600,831,025.18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180,787.29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207,792.33</w:t>
            </w:r>
          </w:p>
        </w:tc>
      </w:tr>
    </w:tbl>
    <w:p>
      <w:pPr>
        <w:pStyle w:val="BodyText"/>
        <w:spacing w:line="357" w:lineRule="auto" w:before="51"/>
        <w:ind w:right="3147"/>
        <w:jc w:val="left"/>
      </w:pPr>
      <w:r>
        <w:rPr/>
        <w:t>其他说明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日，受限资金为</w:t>
      </w:r>
      <w:r>
        <w:rPr>
          <w:rFonts w:ascii="Times New Roman" w:hAnsi="Times New Roman" w:cs="Times New Roman" w:eastAsia="Times New Roman" w:hint="default"/>
        </w:rPr>
        <w:t>138,133,526.82</w:t>
      </w:r>
      <w:r>
        <w:rPr/>
        <w:t>元，主要是客户备付金、保证金及风险准备金。</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bookmarkStart w:name="2、以公允价值计量且其变动计入当期损益的金融资产" w:id="231"/>
      <w:bookmarkEnd w:id="231"/>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衍生金融资产" w:id="232"/>
      <w:bookmarkEnd w:id="232"/>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应收票据及应收账款" w:id="233"/>
      <w:bookmarkEnd w:id="233"/>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343,829,641.52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569,571,735.29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343,829,641.52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601,071,735.29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234"/>
      <w:bookmarkEnd w:id="234"/>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8"/>
        <w:gridCol w:w="3191"/>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1"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31,500,000.00</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2"/>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pStyle w:val="BodyText"/>
        <w:spacing w:line="240" w:lineRule="auto" w:before="51"/>
        <w:ind w:right="0"/>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收账款" w:id="235"/>
      <w:bookmarkEnd w:id="235"/>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344,473,</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413.49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643,771.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0.19%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343,829,6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41.52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571,821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,945.99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2,250,210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569,571,73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5.29</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344,473,</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413.49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643,771.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0.19%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343,829,6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41.52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571,821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,945.99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2,250,210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0.39%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569,571,73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5.29</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42,173,161.34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632,625.99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23,557.60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42,196,718.94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633,332.72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103,574.77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10,357.48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42,300,566.27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643,771.97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w:t>
            </w:r>
          </w:p>
        </w:tc>
      </w:tr>
    </w:tbl>
    <w:p>
      <w:pPr>
        <w:pStyle w:val="BodyText"/>
        <w:spacing w:line="360" w:lineRule="auto" w:before="51"/>
        <w:ind w:left="214" w:right="6432"/>
        <w:jc w:val="left"/>
      </w:pPr>
      <w:r>
        <w:rPr/>
        <w:t>确定该组合依据的说明： 组合中，采用余额百分比法计提坏账准备的应收账款：</w:t>
      </w:r>
    </w:p>
    <w:p>
      <w:pPr>
        <w:pStyle w:val="BodyText"/>
        <w:spacing w:line="340" w:lineRule="auto" w:before="26"/>
        <w:ind w:left="214"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before="14"/>
        <w:ind w:left="411" w:right="1072" w:firstLine="0"/>
        <w:jc w:val="left"/>
        <w:rPr>
          <w:rFonts w:ascii="宋体" w:hAnsi="宋体" w:cs="宋体" w:eastAsia="宋体" w:hint="default"/>
          <w:sz w:val="21"/>
          <w:szCs w:val="21"/>
        </w:rPr>
      </w:pPr>
      <w:r>
        <w:rPr>
          <w:rFonts w:ascii="宋体" w:hAnsi="宋体" w:cs="宋体" w:eastAsia="宋体" w:hint="default"/>
          <w:sz w:val="21"/>
          <w:szCs w:val="21"/>
        </w:rPr>
        <w:t>以保理业务为信用风险组合计提坏账准备的应收账款：</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670"/>
        <w:gridCol w:w="1874"/>
        <w:gridCol w:w="1529"/>
        <w:gridCol w:w="2408"/>
        <w:gridCol w:w="1801"/>
      </w:tblGrid>
      <w:tr>
        <w:trPr>
          <w:trHeight w:val="322" w:hRule="exact"/>
        </w:trPr>
        <w:tc>
          <w:tcPr>
            <w:tcW w:w="1670" w:type="dxa"/>
            <w:vMerge w:val="restart"/>
            <w:tcBorders>
              <w:top w:val="single" w:sz="4" w:space="0" w:color="000000"/>
              <w:left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76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23" w:hRule="exact"/>
        </w:trPr>
        <w:tc>
          <w:tcPr>
            <w:tcW w:w="1670" w:type="dxa"/>
            <w:vMerge/>
            <w:tcBorders>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7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368"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计提比例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322"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正常</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302,172,847.22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100.00</w:t>
            </w:r>
          </w:p>
        </w:tc>
        <w:tc>
          <w:tcPr>
            <w:tcW w:w="2408"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7" w:footer="979" w:top="1060" w:bottom="1160" w:left="920" w:right="0"/>
        </w:sectPr>
      </w:pPr>
    </w:p>
    <w:p>
      <w:pPr>
        <w:pStyle w:val="BodyText"/>
        <w:spacing w:line="240" w:lineRule="auto" w:before="44"/>
        <w:ind w:left="214" w:right="-16"/>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left="214" w:right="-16"/>
        <w:jc w:val="left"/>
      </w:pPr>
      <w:r>
        <w:rPr/>
        <w:t>本期计提坏账准备金额</w:t>
      </w:r>
      <w:r>
        <w:rPr>
          <w:spacing w:val="-46"/>
        </w:rPr>
        <w:t> </w:t>
      </w:r>
      <w:r>
        <w:rPr>
          <w:rFonts w:ascii="Times New Roman" w:hAnsi="Times New Roman" w:cs="Times New Roman" w:eastAsia="Times New Roman" w:hint="default"/>
        </w:rPr>
        <w:t>632,597.42</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2,239,036.15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left="213" w:right="0"/>
        <w:jc w:val="left"/>
      </w:pPr>
      <w:r>
        <w:rPr/>
        <w:t>单位： 元</w:t>
      </w:r>
    </w:p>
    <w:p>
      <w:pPr>
        <w:spacing w:after="0" w:line="240" w:lineRule="auto"/>
        <w:jc w:val="left"/>
        <w:sectPr>
          <w:type w:val="continuous"/>
          <w:pgSz w:w="11910" w:h="16840"/>
          <w:pgMar w:top="1060" w:bottom="1160" w:left="920" w:right="0"/>
          <w:cols w:num="2" w:equalWidth="0">
            <w:col w:w="7011" w:space="1819"/>
            <w:col w:w="2160"/>
          </w:cols>
        </w:sectPr>
      </w:pP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left="214" w:right="6252"/>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214" w:right="6252"/>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214" w:right="6252"/>
        <w:jc w:val="left"/>
      </w:pPr>
      <w:r>
        <w:rPr/>
        <w:t>应收账款核销说明：</w:t>
      </w:r>
    </w:p>
    <w:p>
      <w:pPr>
        <w:pStyle w:val="BodyText"/>
        <w:spacing w:line="240" w:lineRule="auto" w:before="117"/>
        <w:ind w:left="214" w:right="6252"/>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2"/>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995"/>
        <w:gridCol w:w="1373"/>
        <w:gridCol w:w="1368"/>
        <w:gridCol w:w="1529"/>
        <w:gridCol w:w="1086"/>
        <w:gridCol w:w="2343"/>
        <w:gridCol w:w="1162"/>
      </w:tblGrid>
      <w:tr>
        <w:trPr>
          <w:trHeight w:val="322" w:hRule="exact"/>
        </w:trPr>
        <w:tc>
          <w:tcPr>
            <w:tcW w:w="995" w:type="dxa"/>
            <w:vMerge w:val="restart"/>
            <w:tcBorders>
              <w:top w:val="single" w:sz="4" w:space="0" w:color="000000"/>
              <w:left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单位名</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w w:val="99"/>
                <w:sz w:val="21"/>
                <w:szCs w:val="21"/>
              </w:rPr>
              <w:t>称</w:t>
            </w:r>
            <w:r>
              <w:rPr>
                <w:rFonts w:ascii="宋体" w:hAnsi="宋体" w:cs="宋体" w:eastAsia="宋体" w:hint="default"/>
                <w:sz w:val="21"/>
                <w:szCs w:val="21"/>
              </w:rPr>
            </w:r>
          </w:p>
        </w:tc>
        <w:tc>
          <w:tcPr>
            <w:tcW w:w="1373" w:type="dxa"/>
            <w:vMerge w:val="restart"/>
            <w:tcBorders>
              <w:top w:val="single" w:sz="4" w:space="0" w:color="000000"/>
              <w:left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是否为关联</w:t>
            </w:r>
            <w:r>
              <w:rPr>
                <w:rFonts w:ascii="宋体" w:hAnsi="宋体" w:cs="宋体" w:eastAsia="宋体" w:hint="default"/>
                <w:sz w:val="21"/>
                <w:szCs w:val="21"/>
              </w:rPr>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b/>
                <w:bCs/>
                <w:w w:val="99"/>
                <w:sz w:val="21"/>
                <w:szCs w:val="21"/>
              </w:rPr>
              <w:t>方</w:t>
            </w:r>
            <w:r>
              <w:rPr>
                <w:rFonts w:ascii="宋体" w:hAnsi="宋体" w:cs="宋体" w:eastAsia="宋体" w:hint="default"/>
                <w:sz w:val="21"/>
                <w:szCs w:val="21"/>
              </w:rPr>
            </w:r>
          </w:p>
        </w:tc>
        <w:tc>
          <w:tcPr>
            <w:tcW w:w="1368" w:type="dxa"/>
            <w:vMerge w:val="restart"/>
            <w:tcBorders>
              <w:top w:val="single" w:sz="4" w:space="0" w:color="000000"/>
              <w:left w:val="single" w:sz="4" w:space="0" w:color="000000"/>
              <w:right w:val="single" w:sz="4" w:space="0" w:color="000000"/>
            </w:tcBorders>
          </w:tcPr>
          <w:p>
            <w:pPr>
              <w:pStyle w:val="TableParagraph"/>
              <w:spacing w:line="260" w:lineRule="exact"/>
              <w:ind w:left="255" w:right="0"/>
              <w:jc w:val="left"/>
              <w:rPr>
                <w:rFonts w:ascii="宋体" w:hAnsi="宋体" w:cs="宋体" w:eastAsia="宋体" w:hint="default"/>
                <w:sz w:val="21"/>
                <w:szCs w:val="21"/>
              </w:rPr>
            </w:pPr>
            <w:r>
              <w:rPr>
                <w:rFonts w:ascii="宋体" w:hAnsi="宋体" w:cs="宋体" w:eastAsia="宋体" w:hint="default"/>
                <w:b/>
                <w:bCs/>
                <w:sz w:val="21"/>
                <w:szCs w:val="21"/>
              </w:rPr>
              <w:t>款项性质</w:t>
            </w:r>
            <w:r>
              <w:rPr>
                <w:rFonts w:ascii="宋体" w:hAnsi="宋体" w:cs="宋体" w:eastAsia="宋体" w:hint="default"/>
                <w:sz w:val="21"/>
                <w:szCs w:val="21"/>
              </w:rPr>
            </w:r>
          </w:p>
        </w:tc>
        <w:tc>
          <w:tcPr>
            <w:tcW w:w="1529" w:type="dxa"/>
            <w:vMerge w:val="restart"/>
            <w:tcBorders>
              <w:top w:val="single" w:sz="4" w:space="0" w:color="000000"/>
              <w:left w:val="single" w:sz="4" w:space="0" w:color="000000"/>
              <w:right w:val="single" w:sz="4" w:space="0" w:color="000000"/>
            </w:tcBorders>
          </w:tcPr>
          <w:p>
            <w:pPr>
              <w:pStyle w:val="TableParagraph"/>
              <w:spacing w:line="260" w:lineRule="exact"/>
              <w:ind w:left="33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086" w:type="dxa"/>
            <w:vMerge w:val="restart"/>
            <w:tcBorders>
              <w:top w:val="single" w:sz="4" w:space="0" w:color="000000"/>
              <w:left w:val="single" w:sz="4" w:space="0" w:color="000000"/>
              <w:right w:val="single" w:sz="4" w:space="0" w:color="000000"/>
            </w:tcBorders>
          </w:tcPr>
          <w:p>
            <w:pPr>
              <w:pStyle w:val="TableParagraph"/>
              <w:spacing w:line="260" w:lineRule="exact"/>
              <w:ind w:left="327"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2343" w:type="dxa"/>
            <w:vMerge w:val="restart"/>
            <w:tcBorders>
              <w:top w:val="single" w:sz="4" w:space="0" w:color="000000"/>
              <w:left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占应收账款总额的比</w:t>
            </w:r>
            <w:r>
              <w:rPr>
                <w:rFonts w:ascii="宋体" w:hAnsi="宋体" w:cs="宋体" w:eastAsia="宋体" w:hint="default"/>
                <w:sz w:val="21"/>
                <w:szCs w:val="21"/>
              </w:rPr>
            </w:r>
          </w:p>
          <w:p>
            <w:pPr>
              <w:pStyle w:val="TableParagraph"/>
              <w:spacing w:line="240" w:lineRule="auto" w:before="37"/>
              <w:ind w:left="2" w:right="0"/>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3"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23" w:hRule="exact"/>
        </w:trPr>
        <w:tc>
          <w:tcPr>
            <w:tcW w:w="995"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529" w:type="dxa"/>
            <w:vMerge/>
            <w:tcBorders>
              <w:left w:val="single" w:sz="4" w:space="0" w:color="000000"/>
              <w:bottom w:val="single" w:sz="4" w:space="0" w:color="000000"/>
              <w:right w:val="single" w:sz="4" w:space="0" w:color="000000"/>
            </w:tcBorders>
          </w:tcPr>
          <w:p>
            <w:pPr/>
          </w:p>
        </w:tc>
        <w:tc>
          <w:tcPr>
            <w:tcW w:w="1086" w:type="dxa"/>
            <w:vMerge/>
            <w:tcBorders>
              <w:left w:val="single" w:sz="4" w:space="0" w:color="000000"/>
              <w:bottom w:val="single" w:sz="4" w:space="0" w:color="000000"/>
              <w:right w:val="single" w:sz="4" w:space="0" w:color="000000"/>
            </w:tcBorders>
          </w:tcPr>
          <w:p>
            <w:pPr/>
          </w:p>
        </w:tc>
        <w:tc>
          <w:tcPr>
            <w:tcW w:w="2343"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5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63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第一名</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75"/>
              <w:jc w:val="right"/>
              <w:rPr>
                <w:rFonts w:ascii="宋体" w:hAnsi="宋体" w:cs="宋体" w:eastAsia="宋体" w:hint="default"/>
                <w:sz w:val="21"/>
                <w:szCs w:val="21"/>
              </w:rPr>
            </w:pPr>
            <w:r>
              <w:rPr>
                <w:rFonts w:ascii="宋体" w:hAnsi="宋体" w:cs="宋体" w:eastAsia="宋体" w:hint="default"/>
                <w:sz w:val="21"/>
                <w:szCs w:val="21"/>
              </w:rPr>
              <w:t>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应收保理本</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金</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120,000,000.00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个月以</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内</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28"/>
              <w:jc w:val="right"/>
              <w:rPr>
                <w:rFonts w:ascii="Times New Roman" w:hAnsi="Times New Roman" w:cs="Times New Roman" w:eastAsia="Times New Roman" w:hint="default"/>
                <w:sz w:val="21"/>
                <w:szCs w:val="21"/>
              </w:rPr>
            </w:pPr>
            <w:r>
              <w:rPr>
                <w:rFonts w:ascii="Times New Roman"/>
                <w:sz w:val="21"/>
              </w:rPr>
              <w:t>34.84</w:t>
            </w: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第二名</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75"/>
              <w:jc w:val="right"/>
              <w:rPr>
                <w:rFonts w:ascii="宋体" w:hAnsi="宋体" w:cs="宋体" w:eastAsia="宋体" w:hint="default"/>
                <w:sz w:val="21"/>
                <w:szCs w:val="21"/>
              </w:rPr>
            </w:pPr>
            <w:r>
              <w:rPr>
                <w:rFonts w:ascii="宋体" w:hAnsi="宋体" w:cs="宋体" w:eastAsia="宋体" w:hint="default"/>
                <w:sz w:val="21"/>
                <w:szCs w:val="21"/>
              </w:rPr>
              <w:t>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应收保理本</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金</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4"/>
              <w:jc w:val="right"/>
              <w:rPr>
                <w:rFonts w:ascii="Times New Roman" w:hAnsi="Times New Roman" w:cs="Times New Roman" w:eastAsia="Times New Roman" w:hint="default"/>
                <w:sz w:val="21"/>
                <w:szCs w:val="21"/>
              </w:rPr>
            </w:pPr>
            <w:r>
              <w:rPr>
                <w:rFonts w:ascii="Times New Roman"/>
                <w:sz w:val="21"/>
              </w:rPr>
              <w:t>91,000,000.00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个月以</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内</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28"/>
              <w:jc w:val="right"/>
              <w:rPr>
                <w:rFonts w:ascii="Times New Roman" w:hAnsi="Times New Roman" w:cs="Times New Roman" w:eastAsia="Times New Roman" w:hint="default"/>
                <w:sz w:val="21"/>
                <w:szCs w:val="21"/>
              </w:rPr>
            </w:pPr>
            <w:r>
              <w:rPr>
                <w:rFonts w:ascii="Times New Roman"/>
                <w:sz w:val="21"/>
              </w:rPr>
              <w:t>26.42</w:t>
            </w: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第三名</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575"/>
              <w:jc w:val="right"/>
              <w:rPr>
                <w:rFonts w:ascii="宋体" w:hAnsi="宋体" w:cs="宋体" w:eastAsia="宋体" w:hint="default"/>
                <w:sz w:val="21"/>
                <w:szCs w:val="21"/>
              </w:rPr>
            </w:pPr>
            <w:r>
              <w:rPr>
                <w:rFonts w:ascii="宋体" w:hAnsi="宋体" w:cs="宋体" w:eastAsia="宋体" w:hint="default"/>
                <w:sz w:val="21"/>
                <w:szCs w:val="21"/>
              </w:rPr>
              <w:t>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应收保理本</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金</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54"/>
              <w:jc w:val="right"/>
              <w:rPr>
                <w:rFonts w:ascii="Times New Roman" w:hAnsi="Times New Roman" w:cs="Times New Roman" w:eastAsia="Times New Roman" w:hint="default"/>
                <w:sz w:val="21"/>
                <w:szCs w:val="21"/>
              </w:rPr>
            </w:pPr>
            <w:r>
              <w:rPr>
                <w:rFonts w:ascii="Times New Roman"/>
                <w:sz w:val="21"/>
              </w:rPr>
              <w:t>68,000,000.00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个月以</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内</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28"/>
              <w:jc w:val="right"/>
              <w:rPr>
                <w:rFonts w:ascii="Times New Roman" w:hAnsi="Times New Roman" w:cs="Times New Roman" w:eastAsia="Times New Roman" w:hint="default"/>
                <w:sz w:val="21"/>
                <w:szCs w:val="21"/>
              </w:rPr>
            </w:pPr>
            <w:r>
              <w:rPr>
                <w:rFonts w:ascii="Times New Roman"/>
                <w:sz w:val="21"/>
              </w:rPr>
              <w:t>19.74</w:t>
            </w: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第四名</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75"/>
              <w:jc w:val="right"/>
              <w:rPr>
                <w:rFonts w:ascii="宋体" w:hAnsi="宋体" w:cs="宋体" w:eastAsia="宋体" w:hint="default"/>
                <w:sz w:val="21"/>
                <w:szCs w:val="21"/>
              </w:rPr>
            </w:pPr>
            <w:r>
              <w:rPr>
                <w:rFonts w:ascii="宋体" w:hAnsi="宋体" w:cs="宋体" w:eastAsia="宋体" w:hint="default"/>
                <w:sz w:val="21"/>
                <w:szCs w:val="21"/>
              </w:rPr>
              <w:t>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7" w:right="0"/>
              <w:jc w:val="left"/>
              <w:rPr>
                <w:rFonts w:ascii="宋体" w:hAnsi="宋体" w:cs="宋体" w:eastAsia="宋体" w:hint="default"/>
                <w:sz w:val="21"/>
                <w:szCs w:val="21"/>
              </w:rPr>
            </w:pPr>
            <w:r>
              <w:rPr>
                <w:rFonts w:ascii="宋体" w:hAnsi="宋体" w:cs="宋体" w:eastAsia="宋体" w:hint="default"/>
                <w:sz w:val="21"/>
                <w:szCs w:val="21"/>
              </w:rPr>
              <w:t>销售货款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4"/>
              <w:jc w:val="right"/>
              <w:rPr>
                <w:rFonts w:ascii="Times New Roman" w:hAnsi="Times New Roman" w:cs="Times New Roman" w:eastAsia="Times New Roman" w:hint="default"/>
                <w:sz w:val="21"/>
                <w:szCs w:val="21"/>
              </w:rPr>
            </w:pPr>
            <w:r>
              <w:rPr>
                <w:rFonts w:ascii="Times New Roman"/>
                <w:sz w:val="21"/>
              </w:rPr>
              <w:t>29,928,252.00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个月以</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内</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9"/>
              <w:jc w:val="right"/>
              <w:rPr>
                <w:rFonts w:ascii="Times New Roman" w:hAnsi="Times New Roman" w:cs="Times New Roman" w:eastAsia="Times New Roman" w:hint="default"/>
                <w:sz w:val="21"/>
                <w:szCs w:val="21"/>
              </w:rPr>
            </w:pPr>
            <w:r>
              <w:rPr>
                <w:rFonts w:ascii="Times New Roman"/>
                <w:sz w:val="21"/>
              </w:rPr>
              <w:t>8.69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448,923.78</w:t>
            </w:r>
          </w:p>
        </w:tc>
      </w:tr>
      <w:tr>
        <w:trPr>
          <w:trHeight w:val="634"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第五名</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75"/>
              <w:jc w:val="right"/>
              <w:rPr>
                <w:rFonts w:ascii="宋体" w:hAnsi="宋体" w:cs="宋体" w:eastAsia="宋体" w:hint="default"/>
                <w:sz w:val="21"/>
                <w:szCs w:val="21"/>
              </w:rPr>
            </w:pPr>
            <w:r>
              <w:rPr>
                <w:rFonts w:ascii="宋体" w:hAnsi="宋体" w:cs="宋体" w:eastAsia="宋体" w:hint="default"/>
                <w:sz w:val="21"/>
                <w:szCs w:val="21"/>
              </w:rPr>
              <w:t>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应收保理本</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金</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4"/>
              <w:jc w:val="right"/>
              <w:rPr>
                <w:rFonts w:ascii="Times New Roman" w:hAnsi="Times New Roman" w:cs="Times New Roman" w:eastAsia="Times New Roman" w:hint="default"/>
                <w:sz w:val="21"/>
                <w:szCs w:val="21"/>
              </w:rPr>
            </w:pPr>
            <w:r>
              <w:rPr>
                <w:rFonts w:ascii="Times New Roman"/>
                <w:sz w:val="21"/>
              </w:rPr>
              <w:t>17,000,000.00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个月以</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内</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9"/>
              <w:jc w:val="right"/>
              <w:rPr>
                <w:rFonts w:ascii="Times New Roman" w:hAnsi="Times New Roman" w:cs="Times New Roman" w:eastAsia="Times New Roman" w:hint="default"/>
                <w:sz w:val="21"/>
                <w:szCs w:val="21"/>
              </w:rPr>
            </w:pPr>
            <w:r>
              <w:rPr>
                <w:rFonts w:ascii="Times New Roman"/>
                <w:sz w:val="21"/>
              </w:rPr>
              <w:t>4.94</w:t>
            </w: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3"/>
              <w:jc w:val="right"/>
              <w:rPr>
                <w:rFonts w:ascii="Times New Roman" w:hAnsi="Times New Roman" w:cs="Times New Roman" w:eastAsia="Times New Roman" w:hint="default"/>
                <w:sz w:val="21"/>
                <w:szCs w:val="21"/>
              </w:rPr>
            </w:pPr>
            <w:r>
              <w:rPr>
                <w:rFonts w:ascii="Times New Roman"/>
                <w:b/>
                <w:spacing w:val="-1"/>
                <w:sz w:val="21"/>
              </w:rPr>
              <w:t>325,928,252.00</w:t>
            </w:r>
            <w:r>
              <w:rPr>
                <w:rFonts w:ascii="Times New Roman"/>
                <w:spacing w:val="-1"/>
                <w:sz w:val="21"/>
              </w:rPr>
            </w:r>
          </w:p>
        </w:tc>
        <w:tc>
          <w:tcPr>
            <w:tcW w:w="1086"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28"/>
              <w:jc w:val="right"/>
              <w:rPr>
                <w:rFonts w:ascii="Times New Roman" w:hAnsi="Times New Roman" w:cs="Times New Roman" w:eastAsia="Times New Roman" w:hint="default"/>
                <w:sz w:val="21"/>
                <w:szCs w:val="21"/>
              </w:rPr>
            </w:pPr>
            <w:r>
              <w:rPr>
                <w:rFonts w:ascii="Times New Roman"/>
                <w:b/>
                <w:sz w:val="21"/>
              </w:rPr>
              <w:t>94.62</w:t>
            </w:r>
            <w:r>
              <w:rPr>
                <w:rFonts w:ascii="Times New Roman"/>
                <w:sz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21"/>
                <w:szCs w:val="21"/>
              </w:rPr>
            </w:pPr>
            <w:r>
              <w:rPr>
                <w:rFonts w:ascii="Times New Roman"/>
                <w:b/>
                <w:sz w:val="21"/>
              </w:rPr>
              <w:t>448,923.78</w:t>
            </w:r>
            <w:r>
              <w:rPr>
                <w:rFonts w:ascii="Times New Roman"/>
                <w:sz w:val="21"/>
              </w:rPr>
            </w:r>
          </w:p>
        </w:tc>
      </w:tr>
    </w:tbl>
    <w:p>
      <w:pPr>
        <w:pStyle w:val="BodyText"/>
        <w:spacing w:line="240" w:lineRule="auto" w:before="51"/>
        <w:ind w:left="214" w:right="6252"/>
        <w:jc w:val="left"/>
      </w:pPr>
      <w:r>
        <w:rPr>
          <w:rFonts w:ascii="Times New Roman" w:hAnsi="Times New Roman" w:cs="Times New Roman" w:eastAsia="Times New Roman" w:hint="default"/>
        </w:rPr>
        <w:t>5)</w:t>
      </w:r>
      <w:r>
        <w:rPr/>
        <w:t>因金融资产转移而终止确认的应收账款</w:t>
      </w:r>
    </w:p>
    <w:p>
      <w:pPr>
        <w:pStyle w:val="BodyText"/>
        <w:spacing w:line="240" w:lineRule="auto" w:before="103"/>
        <w:ind w:left="214" w:right="6252"/>
        <w:jc w:val="left"/>
      </w:pPr>
      <w:r>
        <w:rPr>
          <w:rFonts w:ascii="Times New Roman" w:hAnsi="Times New Roman" w:cs="Times New Roman" w:eastAsia="Times New Roman" w:hint="default"/>
        </w:rPr>
        <w:t>6)</w:t>
      </w:r>
      <w:r>
        <w:rPr/>
        <w:t>转移应收账款且继续涉入形成的资产、负债金额</w:t>
      </w:r>
    </w:p>
    <w:p>
      <w:pPr>
        <w:spacing w:after="0" w:line="240" w:lineRule="auto"/>
        <w:jc w:val="left"/>
        <w:sectPr>
          <w:type w:val="continuous"/>
          <w:pgSz w:w="11910" w:h="16840"/>
          <w:pgMar w:top="1060" w:bottom="1160" w:left="920" w:right="0"/>
        </w:sectPr>
      </w:pPr>
    </w:p>
    <w:p>
      <w:pPr>
        <w:spacing w:line="240" w:lineRule="auto" w:before="13"/>
        <w:rPr>
          <w:rFonts w:ascii="宋体" w:hAnsi="宋体" w:cs="宋体" w:eastAsia="宋体" w:hint="default"/>
          <w:sz w:val="25"/>
          <w:szCs w:val="25"/>
        </w:rPr>
      </w:pPr>
    </w:p>
    <w:p>
      <w:pPr>
        <w:pStyle w:val="BodyText"/>
        <w:spacing w:line="240" w:lineRule="auto" w:before="44"/>
        <w:ind w:left="214" w:right="625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214" w:right="6252"/>
        <w:jc w:val="left"/>
        <w:rPr>
          <w:b w:val="0"/>
          <w:bCs w:val="0"/>
        </w:rPr>
      </w:pPr>
      <w:bookmarkStart w:name="5、预付款项" w:id="236"/>
      <w:bookmarkEnd w:id="236"/>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14" w:right="6252"/>
        <w:jc w:val="left"/>
        <w:rPr>
          <w:b w:val="0"/>
          <w:bCs w:val="0"/>
        </w:rPr>
      </w:pPr>
      <w:bookmarkStart w:name="（1）预付款项按账龄列示" w:id="237"/>
      <w:bookmarkEnd w:id="23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3,552,134.90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7,468,015.75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99.97%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25,585.33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2,160.00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3,577,720.23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7,470,175.75</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214" w:right="1072"/>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4"/>
        <w:spacing w:line="240" w:lineRule="auto"/>
        <w:ind w:left="214" w:right="1072"/>
        <w:jc w:val="left"/>
        <w:rPr>
          <w:b w:val="0"/>
          <w:bCs w:val="0"/>
        </w:rPr>
      </w:pPr>
      <w:bookmarkStart w:name="（2）按预付对象归集的期末余额前五名的预付款情况" w:id="238"/>
      <w:bookmarkEnd w:id="23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1158"/>
        <w:gridCol w:w="1616"/>
        <w:gridCol w:w="1439"/>
        <w:gridCol w:w="2765"/>
        <w:gridCol w:w="1037"/>
        <w:gridCol w:w="1840"/>
      </w:tblGrid>
      <w:tr>
        <w:trPr>
          <w:trHeight w:val="323"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金</w:t>
            </w:r>
            <w:r>
              <w:rPr>
                <w:rFonts w:ascii="宋体" w:hAnsi="宋体" w:cs="宋体" w:eastAsia="宋体" w:hint="default"/>
                <w:b/>
                <w:bCs/>
                <w:spacing w:val="73"/>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占预付账款总额的比例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未结算原因</w:t>
            </w:r>
            <w:r>
              <w:rPr>
                <w:rFonts w:ascii="宋体" w:hAnsi="宋体" w:cs="宋体" w:eastAsia="宋体" w:hint="default"/>
                <w:sz w:val="21"/>
                <w:szCs w:val="21"/>
              </w:rPr>
            </w:r>
          </w:p>
        </w:tc>
      </w:tr>
      <w:tr>
        <w:trPr>
          <w:trHeight w:val="322"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第一名</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1,322,751.52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36.97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未达到结算条件</w:t>
            </w:r>
          </w:p>
        </w:tc>
      </w:tr>
      <w:tr>
        <w:trPr>
          <w:trHeight w:val="322"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第二名</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356,380.00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9.96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未达到结算条件</w:t>
            </w:r>
          </w:p>
        </w:tc>
      </w:tr>
      <w:tr>
        <w:trPr>
          <w:trHeight w:val="323"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第三名</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282,749.20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7.9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未达到结算条件</w:t>
            </w:r>
          </w:p>
        </w:tc>
      </w:tr>
      <w:tr>
        <w:trPr>
          <w:trHeight w:val="322"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第四名</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210,431.18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5.88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未达到结算条件</w:t>
            </w:r>
          </w:p>
        </w:tc>
      </w:tr>
      <w:tr>
        <w:trPr>
          <w:trHeight w:val="322"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第五名</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184,660.88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5.16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未达到结算条件</w:t>
            </w:r>
          </w:p>
        </w:tc>
      </w:tr>
      <w:tr>
        <w:trPr>
          <w:trHeight w:val="323" w:hRule="exact"/>
        </w:trPr>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73"/>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616"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Times New Roman" w:hAnsi="Times New Roman" w:cs="Times New Roman" w:eastAsia="Times New Roman" w:hint="default"/>
                <w:sz w:val="21"/>
                <w:szCs w:val="21"/>
              </w:rPr>
            </w:pPr>
            <w:r>
              <w:rPr>
                <w:rFonts w:ascii="Times New Roman"/>
                <w:b/>
                <w:sz w:val="21"/>
              </w:rPr>
              <w:t>2,356,972.78</w:t>
            </w:r>
            <w:r>
              <w:rPr>
                <w:rFonts w:ascii="Times New Roman"/>
                <w:sz w:val="21"/>
              </w:rPr>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Times New Roman" w:hAnsi="Times New Roman" w:cs="Times New Roman" w:eastAsia="Times New Roman" w:hint="default"/>
                <w:sz w:val="21"/>
                <w:szCs w:val="21"/>
              </w:rPr>
            </w:pPr>
            <w:r>
              <w:rPr>
                <w:rFonts w:ascii="Times New Roman"/>
                <w:b/>
                <w:sz w:val="21"/>
              </w:rPr>
              <w:t>65.88</w:t>
            </w:r>
            <w:r>
              <w:rPr>
                <w:rFonts w:ascii="Times New Roman"/>
                <w:sz w:val="21"/>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214" w:right="625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214" w:right="6252"/>
        <w:jc w:val="left"/>
        <w:rPr>
          <w:b w:val="0"/>
          <w:bCs w:val="0"/>
        </w:rPr>
      </w:pPr>
      <w:bookmarkStart w:name="6、其他应收款" w:id="239"/>
      <w:bookmarkEnd w:id="239"/>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909,826.53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261,981.72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31,093,490.99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14,665,765.18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32,003,317.52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14,927,746.90</w:t>
            </w:r>
          </w:p>
        </w:tc>
      </w:tr>
    </w:tbl>
    <w:p>
      <w:pPr>
        <w:spacing w:line="240" w:lineRule="auto" w:before="2"/>
        <w:rPr>
          <w:rFonts w:ascii="宋体" w:hAnsi="宋体" w:cs="宋体" w:eastAsia="宋体" w:hint="default"/>
          <w:sz w:val="19"/>
          <w:szCs w:val="19"/>
        </w:rPr>
      </w:pPr>
    </w:p>
    <w:p>
      <w:pPr>
        <w:pStyle w:val="Heading4"/>
        <w:spacing w:line="240" w:lineRule="auto" w:before="35"/>
        <w:ind w:left="214" w:right="6252"/>
        <w:jc w:val="left"/>
        <w:rPr>
          <w:b w:val="0"/>
          <w:bCs w:val="0"/>
        </w:rPr>
      </w:pPr>
      <w:bookmarkStart w:name="（1）应收利息" w:id="240"/>
      <w:bookmarkEnd w:id="240"/>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214" w:right="6252"/>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817,182.63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260,437.50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发放贷款及垫款利息收入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92,643.90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1,544.22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909,826.53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261,981.72</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应收股利" w:id="241"/>
      <w:bookmarkEnd w:id="241"/>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其他应收款" w:id="242"/>
      <w:bookmarkEnd w:id="242"/>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33,351,7</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47.74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2,258,25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31,093,49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0.99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15,455,</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186.04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789,420.8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5.11%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14,665,765.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18</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33,351,7</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47.74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2,258,25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6.75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6.77%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31,093,49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0.99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15,455,</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186.04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789,420.8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5.11%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14,665,765.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18</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4"/>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531,192.06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9,629.01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540,821.07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8,256.75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8,040,821.07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2,258,256.75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28.08%</w:t>
            </w:r>
          </w:p>
        </w:tc>
      </w:tr>
    </w:tbl>
    <w:p>
      <w:pPr>
        <w:pStyle w:val="BodyText"/>
        <w:spacing w:line="360" w:lineRule="auto" w:before="51"/>
        <w:ind w:left="214" w:right="6252"/>
        <w:jc w:val="left"/>
      </w:pPr>
      <w:r>
        <w:rPr/>
        <w:t>确定该组合依据的说明： 组合中，采用余额百分比法计提坏账准备的其他应收款：</w:t>
      </w:r>
    </w:p>
    <w:p>
      <w:pPr>
        <w:pStyle w:val="BodyText"/>
        <w:spacing w:line="340" w:lineRule="auto" w:before="26"/>
        <w:ind w:left="214"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214" w:right="6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561"/>
        <w:gridCol w:w="3824"/>
        <w:gridCol w:w="2560"/>
      </w:tblGrid>
      <w:tr>
        <w:trPr>
          <w:trHeight w:val="323" w:hRule="exact"/>
        </w:trPr>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组合名称</w:t>
            </w:r>
            <w:r>
              <w:rPr>
                <w:rFonts w:ascii="宋体" w:hAnsi="宋体" w:cs="宋体" w:eastAsia="宋体" w:hint="default"/>
                <w:sz w:val="21"/>
                <w:szCs w:val="21"/>
              </w:rPr>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22" w:hRule="exact"/>
        </w:trPr>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25,310,926.67</w:t>
            </w:r>
          </w:p>
        </w:tc>
        <w:tc>
          <w:tcPr>
            <w:tcW w:w="25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b/>
                <w:sz w:val="21"/>
              </w:rPr>
              <w:t>25,310,926.67</w:t>
            </w:r>
            <w:r>
              <w:rPr>
                <w:rFonts w:ascii="Times New Roman"/>
                <w:sz w:val="21"/>
              </w:rPr>
            </w:r>
          </w:p>
        </w:tc>
        <w:tc>
          <w:tcPr>
            <w:tcW w:w="25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20" w:right="0"/>
        </w:sectPr>
      </w:pPr>
    </w:p>
    <w:p>
      <w:pPr>
        <w:pStyle w:val="BodyText"/>
        <w:spacing w:line="240" w:lineRule="auto" w:before="51"/>
        <w:ind w:left="214" w:right="-12"/>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2"/>
        <w:ind w:left="214" w:right="-12"/>
        <w:jc w:val="left"/>
      </w:pPr>
      <w:r>
        <w:rPr/>
        <w:t>本期计提坏账准备金额</w:t>
      </w:r>
      <w:r>
        <w:rPr>
          <w:spacing w:val="-47"/>
        </w:rPr>
        <w:t> </w:t>
      </w:r>
      <w:r>
        <w:rPr>
          <w:rFonts w:ascii="Times New Roman" w:hAnsi="Times New Roman" w:cs="Times New Roman" w:eastAsia="Times New Roman" w:hint="default"/>
        </w:rPr>
        <w:t>1,508,256.75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39,420.86</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213" w:right="0"/>
        <w:jc w:val="left"/>
      </w:pPr>
      <w:r>
        <w:rPr/>
        <w:t>单位： 元</w:t>
      </w:r>
    </w:p>
    <w:p>
      <w:pPr>
        <w:spacing w:after="0" w:line="240" w:lineRule="auto"/>
        <w:jc w:val="left"/>
        <w:sectPr>
          <w:type w:val="continuous"/>
          <w:pgSz w:w="11910" w:h="16840"/>
          <w:pgMar w:top="1060" w:bottom="1160" w:left="920" w:right="0"/>
          <w:cols w:num="2" w:equalWidth="0">
            <w:col w:w="6920" w:space="1910"/>
            <w:col w:w="2160"/>
          </w:cols>
        </w:sectPr>
      </w:pP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left="214" w:right="6252"/>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214" w:right="6252"/>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9" w:lineRule="auto"/>
        <w:jc w:val="left"/>
        <w:rPr>
          <w:rFonts w:ascii="宋体" w:hAnsi="宋体" w:cs="宋体" w:eastAsia="宋体" w:hint="default"/>
          <w:sz w:val="18"/>
          <w:szCs w:val="18"/>
        </w:rPr>
        <w:sectPr>
          <w:type w:val="continuous"/>
          <w:pgSz w:w="11910" w:h="16840"/>
          <w:pgMar w:top="1060" w:bottom="1160" w:left="920" w:right="0"/>
        </w:sectPr>
      </w:pPr>
    </w:p>
    <w:p>
      <w:pPr>
        <w:pStyle w:val="BodyText"/>
        <w:spacing w:line="240" w:lineRule="auto" w:before="51"/>
        <w:ind w:left="214" w:right="-20"/>
        <w:jc w:val="left"/>
      </w:pPr>
      <w:r>
        <w:rPr/>
        <w:t>其他应收款核销说明：</w:t>
      </w:r>
    </w:p>
    <w:p>
      <w:pPr>
        <w:pStyle w:val="BodyText"/>
        <w:spacing w:line="240" w:lineRule="auto" w:before="117"/>
        <w:ind w:left="214"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213" w:right="0"/>
        <w:jc w:val="left"/>
      </w:pPr>
      <w:r>
        <w:rPr/>
        <w:t>单位： 元</w:t>
      </w:r>
    </w:p>
    <w:p>
      <w:pPr>
        <w:spacing w:after="0" w:line="240" w:lineRule="auto"/>
        <w:jc w:val="left"/>
        <w:sectPr>
          <w:type w:val="continuous"/>
          <w:pgSz w:w="11910" w:h="16840"/>
          <w:pgMar w:top="1060" w:bottom="1160" w:left="920" w:right="0"/>
          <w:cols w:num="2" w:equalWidth="0">
            <w:col w:w="2885" w:space="5945"/>
            <w:col w:w="2160"/>
          </w:cols>
        </w:sectPr>
      </w:pP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应收过渡期损益款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25,310,904.99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5,327,129.71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代扣代缴款项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522,921.06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623,830.90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应收资产处置款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个人备用金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118,222.61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17,921.69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33,351,747.74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15,455,186.04</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44.98%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应收资产处置款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3,968,254.56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11.90%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904,610.00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28,872,864.56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2,250,000.00</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1"/>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7、存货" w:id="243"/>
      <w:bookmarkEnd w:id="243"/>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1）存货分类" w:id="244"/>
      <w:bookmarkEnd w:id="24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16,185.15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16,185.15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10,166.66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10,166.66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16,185.15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16,185.15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10,166.66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10,166.66</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0"/>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存货跌价准备" w:id="245"/>
      <w:bookmarkEnd w:id="24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left="214" w:right="1072"/>
        <w:jc w:val="left"/>
        <w:rPr>
          <w:b w:val="0"/>
          <w:bCs w:val="0"/>
        </w:rPr>
      </w:pPr>
      <w:bookmarkStart w:name="（3）存货期末余额含有借款费用资本化金额的说明" w:id="246"/>
      <w:bookmarkEnd w:id="246"/>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214" w:right="1072"/>
        <w:jc w:val="left"/>
        <w:rPr>
          <w:b w:val="0"/>
          <w:bCs w:val="0"/>
        </w:rPr>
      </w:pPr>
      <w:bookmarkStart w:name="（4）期末建造合同形成的已完工未结算资产情况" w:id="247"/>
      <w:bookmarkEnd w:id="247"/>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214" w:right="6252"/>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214" w:right="6252"/>
        <w:jc w:val="left"/>
        <w:rPr>
          <w:b w:val="0"/>
          <w:bCs w:val="0"/>
        </w:rPr>
      </w:pPr>
      <w:bookmarkStart w:name="8、一年内到期的非流动资产" w:id="248"/>
      <w:bookmarkEnd w:id="248"/>
      <w:r>
        <w:rPr>
          <w:b w:val="0"/>
          <w:bCs w:val="0"/>
        </w:rPr>
      </w:r>
      <w:r>
        <w:rPr>
          <w:rFonts w:ascii="Times New Roman" w:hAnsi="Times New Roman" w:cs="Times New Roman" w:eastAsia="Times New Roman" w:hint="default"/>
        </w:rPr>
        <w:t>8</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63,394,685.76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63,394,685.76</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214" w:right="8992"/>
        <w:jc w:val="left"/>
        <w:rPr>
          <w:rFonts w:ascii="Times New Roman" w:hAnsi="Times New Roman" w:cs="Times New Roman" w:eastAsia="Times New Roman" w:hint="default"/>
        </w:rPr>
      </w:pPr>
      <w:r>
        <w:rPr/>
        <w:t>其他说明： 详见附注</w:t>
      </w:r>
      <w:r>
        <w:rPr>
          <w:rFonts w:ascii="Times New Roman" w:hAnsi="Times New Roman" w:cs="Times New Roman" w:eastAsia="Times New Roman" w:hint="default"/>
        </w:rPr>
        <w:t>13</w:t>
      </w:r>
    </w:p>
    <w:p>
      <w:pPr>
        <w:spacing w:line="240" w:lineRule="auto" w:before="11"/>
        <w:rPr>
          <w:rFonts w:ascii="Times New Roman" w:hAnsi="Times New Roman" w:cs="Times New Roman" w:eastAsia="Times New Roman" w:hint="default"/>
          <w:sz w:val="20"/>
          <w:szCs w:val="20"/>
        </w:rPr>
      </w:pPr>
    </w:p>
    <w:p>
      <w:pPr>
        <w:pStyle w:val="Heading4"/>
        <w:spacing w:line="240" w:lineRule="auto"/>
        <w:ind w:left="214" w:right="6252"/>
        <w:jc w:val="left"/>
        <w:rPr>
          <w:b w:val="0"/>
          <w:bCs w:val="0"/>
        </w:rPr>
      </w:pPr>
      <w:bookmarkStart w:name="9、其他流动资产" w:id="249"/>
      <w:bookmarkEnd w:id="249"/>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预缴或留抵的税费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9,470,085.65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5,519,448.35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第三方支付业务代垫款项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23,820,558.69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68,144,985.65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第三方支付业务待清算款项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2,502,766,239.47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181,419,075.42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备付金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1,322,809.01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2,537,379,692.82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255,083,509.42</w:t>
            </w:r>
          </w:p>
        </w:tc>
      </w:tr>
    </w:tbl>
    <w:p>
      <w:pPr>
        <w:pStyle w:val="BodyText"/>
        <w:spacing w:line="240" w:lineRule="auto" w:before="51"/>
        <w:ind w:left="214" w:right="6252"/>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214" w:right="6252"/>
        <w:jc w:val="left"/>
        <w:rPr>
          <w:b w:val="0"/>
          <w:bCs w:val="0"/>
        </w:rPr>
      </w:pPr>
      <w:bookmarkStart w:name="10、发放贷款及垫款" w:id="250"/>
      <w:bookmarkEnd w:id="250"/>
      <w:r>
        <w:rPr>
          <w:b w:val="0"/>
          <w:bCs w:val="0"/>
        </w:rPr>
      </w:r>
      <w:r>
        <w:rPr>
          <w:rFonts w:ascii="Times New Roman" w:hAnsi="Times New Roman" w:cs="Times New Roman" w:eastAsia="Times New Roman" w:hint="default"/>
        </w:rPr>
        <w:t>10</w:t>
      </w:r>
      <w:r>
        <w:rPr/>
        <w:t>、发放贷款及垫款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14" w:right="6252"/>
        <w:jc w:val="left"/>
        <w:rPr>
          <w:b w:val="0"/>
          <w:bCs w:val="0"/>
        </w:rPr>
      </w:pPr>
      <w:bookmarkStart w:name="（1）明细情况" w:id="251"/>
      <w:bookmarkEnd w:id="251"/>
      <w:r>
        <w:rPr>
          <w:b w:val="0"/>
          <w:bCs w:val="0"/>
        </w:rPr>
      </w:r>
      <w:r>
        <w:rPr/>
        <w:t>（</w:t>
      </w:r>
      <w:r>
        <w:rPr>
          <w:rFonts w:ascii="Times New Roman" w:hAnsi="Times New Roman" w:cs="Times New Roman" w:eastAsia="Times New Roman" w:hint="default"/>
        </w:rPr>
        <w:t>1</w:t>
      </w:r>
      <w:r>
        <w:rPr/>
        <w:t>）明细情况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1810"/>
        <w:gridCol w:w="1417"/>
        <w:gridCol w:w="1418"/>
        <w:gridCol w:w="1276"/>
        <w:gridCol w:w="1134"/>
        <w:gridCol w:w="1419"/>
        <w:gridCol w:w="1276"/>
      </w:tblGrid>
      <w:tr>
        <w:trPr>
          <w:trHeight w:val="411" w:hRule="exact"/>
        </w:trPr>
        <w:tc>
          <w:tcPr>
            <w:tcW w:w="181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110" w:type="dxa"/>
            <w:gridSpan w:val="3"/>
            <w:tcBorders>
              <w:top w:val="single" w:sz="4" w:space="0" w:color="000000"/>
              <w:left w:val="single" w:sz="4" w:space="0" w:color="000000"/>
              <w:bottom w:val="single" w:sz="9" w:space="0" w:color="FFFFFF"/>
              <w:right w:val="single" w:sz="4" w:space="0" w:color="000000"/>
            </w:tcBorders>
            <w:shd w:val="clear" w:color="auto" w:fill="D9D9D9"/>
          </w:tcPr>
          <w:p>
            <w:pPr>
              <w:pStyle w:val="TableParagraph"/>
              <w:spacing w:line="240" w:lineRule="auto" w:before="55"/>
              <w:ind w:left="17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3"/>
            <w:tcBorders>
              <w:top w:val="single" w:sz="4" w:space="0" w:color="000000"/>
              <w:left w:val="single" w:sz="4" w:space="0" w:color="000000"/>
              <w:bottom w:val="single" w:sz="9" w:space="0" w:color="FFFFFF"/>
              <w:right w:val="single" w:sz="4" w:space="0" w:color="000000"/>
            </w:tcBorders>
            <w:shd w:val="clear" w:color="auto" w:fill="D9D9D9"/>
          </w:tcPr>
          <w:p>
            <w:pPr>
              <w:pStyle w:val="TableParagraph"/>
              <w:spacing w:line="240" w:lineRule="auto" w:before="55"/>
              <w:ind w:left="17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7" w:hRule="exact"/>
        </w:trPr>
        <w:tc>
          <w:tcPr>
            <w:tcW w:w="1810" w:type="dxa"/>
            <w:vMerge/>
            <w:tcBorders>
              <w:left w:val="single" w:sz="4" w:space="0" w:color="000000"/>
              <w:bottom w:val="single" w:sz="4" w:space="0" w:color="000000"/>
              <w:right w:val="single" w:sz="4" w:space="0" w:color="000000"/>
            </w:tcBorders>
            <w:shd w:val="clear" w:color="auto" w:fill="D9D9D9"/>
          </w:tcPr>
          <w:p>
            <w:pPr/>
          </w:p>
        </w:tc>
        <w:tc>
          <w:tcPr>
            <w:tcW w:w="1417" w:type="dxa"/>
            <w:tcBorders>
              <w:top w:val="single" w:sz="9"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51"/>
              <w:ind w:right="342"/>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418" w:type="dxa"/>
            <w:tcBorders>
              <w:top w:val="single" w:sz="9"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贷款损失准备</w:t>
            </w:r>
          </w:p>
        </w:tc>
        <w:tc>
          <w:tcPr>
            <w:tcW w:w="1276" w:type="dxa"/>
            <w:tcBorders>
              <w:top w:val="single" w:sz="9"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34" w:type="dxa"/>
            <w:tcBorders>
              <w:top w:val="single" w:sz="9"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51"/>
              <w:ind w:right="20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419" w:type="dxa"/>
            <w:tcBorders>
              <w:top w:val="single" w:sz="9"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贷款损失准备</w:t>
            </w:r>
          </w:p>
        </w:tc>
        <w:tc>
          <w:tcPr>
            <w:tcW w:w="1276" w:type="dxa"/>
            <w:tcBorders>
              <w:top w:val="single" w:sz="9"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贷款本金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58"/>
              <w:jc w:val="right"/>
              <w:rPr>
                <w:rFonts w:ascii="Times New Roman" w:hAnsi="Times New Roman" w:cs="Times New Roman" w:eastAsia="Times New Roman" w:hint="default"/>
                <w:sz w:val="18"/>
                <w:szCs w:val="18"/>
              </w:rPr>
            </w:pPr>
            <w:r>
              <w:rPr>
                <w:rFonts w:ascii="Times New Roman"/>
                <w:spacing w:val="-1"/>
                <w:sz w:val="18"/>
              </w:rPr>
              <w:t>8,308,647.05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235,410.02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2"/>
              <w:jc w:val="center"/>
              <w:rPr>
                <w:rFonts w:ascii="Times New Roman" w:hAnsi="Times New Roman" w:cs="Times New Roman" w:eastAsia="Times New Roman" w:hint="default"/>
                <w:sz w:val="18"/>
                <w:szCs w:val="18"/>
              </w:rPr>
            </w:pPr>
            <w:r>
              <w:rPr>
                <w:rFonts w:ascii="Times New Roman"/>
                <w:sz w:val="18"/>
              </w:rPr>
              <w:t>8,073,237.03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8"/>
              <w:jc w:val="right"/>
              <w:rPr>
                <w:rFonts w:ascii="Times New Roman" w:hAnsi="Times New Roman" w:cs="Times New Roman" w:eastAsia="Times New Roman" w:hint="default"/>
                <w:sz w:val="18"/>
                <w:szCs w:val="18"/>
              </w:rPr>
            </w:pPr>
            <w:r>
              <w:rPr>
                <w:rFonts w:ascii="Times New Roman"/>
                <w:sz w:val="18"/>
              </w:rPr>
              <w:t>250,000.00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3,750.00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246,250.00</w:t>
            </w:r>
          </w:p>
        </w:tc>
      </w:tr>
      <w:tr>
        <w:trPr>
          <w:trHeight w:val="408" w:hRule="exact"/>
        </w:trPr>
        <w:tc>
          <w:tcPr>
            <w:tcW w:w="18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53" w:val="left" w:leader="none"/>
              </w:tabs>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58"/>
              <w:jc w:val="right"/>
              <w:rPr>
                <w:rFonts w:ascii="Times New Roman" w:hAnsi="Times New Roman" w:cs="Times New Roman" w:eastAsia="Times New Roman" w:hint="default"/>
                <w:sz w:val="18"/>
                <w:szCs w:val="18"/>
              </w:rPr>
            </w:pPr>
            <w:r>
              <w:rPr>
                <w:rFonts w:ascii="Times New Roman"/>
                <w:spacing w:val="-1"/>
                <w:sz w:val="18"/>
              </w:rPr>
              <w:t>8,308,647.05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235,410.02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2"/>
              <w:jc w:val="center"/>
              <w:rPr>
                <w:rFonts w:ascii="Times New Roman" w:hAnsi="Times New Roman" w:cs="Times New Roman" w:eastAsia="Times New Roman" w:hint="default"/>
                <w:sz w:val="18"/>
                <w:szCs w:val="18"/>
              </w:rPr>
            </w:pPr>
            <w:r>
              <w:rPr>
                <w:rFonts w:ascii="Times New Roman"/>
                <w:sz w:val="18"/>
              </w:rPr>
              <w:t>8,073,237.03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8"/>
              <w:jc w:val="right"/>
              <w:rPr>
                <w:rFonts w:ascii="Times New Roman" w:hAnsi="Times New Roman" w:cs="Times New Roman" w:eastAsia="Times New Roman" w:hint="default"/>
                <w:sz w:val="18"/>
                <w:szCs w:val="18"/>
              </w:rPr>
            </w:pPr>
            <w:r>
              <w:rPr>
                <w:rFonts w:ascii="Times New Roman"/>
                <w:sz w:val="18"/>
              </w:rPr>
              <w:t>250,000.00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3,750.00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246,250.00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20" w:right="0"/>
        </w:sectPr>
      </w:pPr>
    </w:p>
    <w:p>
      <w:pPr>
        <w:spacing w:line="240" w:lineRule="auto" w:before="10"/>
        <w:rPr>
          <w:rFonts w:ascii="宋体" w:hAnsi="宋体" w:cs="宋体" w:eastAsia="宋体" w:hint="default"/>
          <w:b/>
          <w:bCs/>
          <w:sz w:val="24"/>
          <w:szCs w:val="24"/>
        </w:rPr>
      </w:pPr>
    </w:p>
    <w:p>
      <w:pPr>
        <w:pStyle w:val="Heading4"/>
        <w:spacing w:line="240" w:lineRule="auto" w:before="35"/>
        <w:ind w:left="214" w:right="6252"/>
        <w:jc w:val="left"/>
        <w:rPr>
          <w:b w:val="0"/>
          <w:bCs w:val="0"/>
        </w:rPr>
      </w:pPr>
      <w:bookmarkStart w:name="（2）风险分类情况" w:id="252"/>
      <w:bookmarkEnd w:id="252"/>
      <w:r>
        <w:rPr>
          <w:b w:val="0"/>
          <w:bCs w:val="0"/>
        </w:rPr>
      </w:r>
      <w:r>
        <w:rPr/>
        <w:t>（</w:t>
      </w:r>
      <w:r>
        <w:rPr>
          <w:rFonts w:ascii="Times New Roman" w:hAnsi="Times New Roman" w:cs="Times New Roman" w:eastAsia="Times New Roman" w:hint="default"/>
        </w:rPr>
        <w:t>2</w:t>
      </w:r>
      <w:r>
        <w:rPr/>
        <w:t>）风险分类情况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3489"/>
        <w:gridCol w:w="3441"/>
        <w:gridCol w:w="2926"/>
      </w:tblGrid>
      <w:tr>
        <w:trPr>
          <w:trHeight w:val="402" w:hRule="exact"/>
        </w:trPr>
        <w:tc>
          <w:tcPr>
            <w:tcW w:w="34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3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6,931,584.83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250,000.00</w:t>
            </w:r>
          </w:p>
        </w:tc>
      </w:tr>
      <w:tr>
        <w:trPr>
          <w:trHeight w:val="402" w:hRule="exact"/>
        </w:trPr>
        <w:tc>
          <w:tcPr>
            <w:tcW w:w="3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关注</w:t>
            </w:r>
          </w:p>
        </w:tc>
        <w:tc>
          <w:tcPr>
            <w:tcW w:w="3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1,043,268.22</w:t>
            </w: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次级</w:t>
            </w:r>
          </w:p>
        </w:tc>
        <w:tc>
          <w:tcPr>
            <w:tcW w:w="3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333,794.00</w:t>
            </w: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8,308,647.05</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250,000.00</w:t>
            </w:r>
          </w:p>
        </w:tc>
      </w:tr>
    </w:tbl>
    <w:p>
      <w:pPr>
        <w:spacing w:line="240" w:lineRule="auto" w:before="2"/>
        <w:rPr>
          <w:rFonts w:ascii="宋体" w:hAnsi="宋体" w:cs="宋体" w:eastAsia="宋体" w:hint="default"/>
          <w:b/>
          <w:bCs/>
          <w:sz w:val="19"/>
          <w:szCs w:val="19"/>
        </w:rPr>
      </w:pPr>
    </w:p>
    <w:p>
      <w:pPr>
        <w:pStyle w:val="Heading4"/>
        <w:spacing w:line="240" w:lineRule="auto" w:before="35"/>
        <w:ind w:left="214" w:right="6252"/>
        <w:jc w:val="left"/>
        <w:rPr>
          <w:b w:val="0"/>
          <w:bCs w:val="0"/>
        </w:rPr>
      </w:pPr>
      <w:bookmarkStart w:name="（3）贷款损失准备情况" w:id="253"/>
      <w:bookmarkEnd w:id="253"/>
      <w:r>
        <w:rPr>
          <w:b w:val="0"/>
          <w:bCs w:val="0"/>
        </w:rPr>
      </w:r>
      <w:r>
        <w:rPr/>
        <w:t>（</w:t>
      </w:r>
      <w:r>
        <w:rPr>
          <w:rFonts w:ascii="Times New Roman" w:hAnsi="Times New Roman" w:cs="Times New Roman" w:eastAsia="Times New Roman" w:hint="default"/>
        </w:rPr>
        <w:t>3</w:t>
      </w:r>
      <w:r>
        <w:rPr/>
        <w:t>）贷款损失准备情况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2016"/>
        <w:gridCol w:w="2014"/>
        <w:gridCol w:w="1567"/>
        <w:gridCol w:w="2242"/>
        <w:gridCol w:w="2016"/>
      </w:tblGrid>
      <w:tr>
        <w:trPr>
          <w:trHeight w:val="407" w:hRule="exact"/>
        </w:trPr>
        <w:tc>
          <w:tcPr>
            <w:tcW w:w="201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839"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2016" w:type="dxa"/>
            <w:vMerge/>
            <w:tcBorders>
              <w:left w:val="single" w:sz="4" w:space="0" w:color="000000"/>
              <w:bottom w:val="single" w:sz="4" w:space="0" w:color="000000"/>
              <w:right w:val="single" w:sz="4" w:space="0" w:color="000000"/>
            </w:tcBorders>
            <w:shd w:val="clear" w:color="auto" w:fill="D9D9D9"/>
          </w:tcPr>
          <w:p>
            <w:pPr/>
          </w:p>
        </w:tc>
        <w:tc>
          <w:tcPr>
            <w:tcW w:w="20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22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贷款损失准备</w:t>
            </w:r>
          </w:p>
        </w:tc>
        <w:tc>
          <w:tcPr>
            <w:tcW w:w="20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402"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6,931,584.83</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83.42</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103,973.77</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1.50</w:t>
            </w:r>
          </w:p>
        </w:tc>
      </w:tr>
      <w:tr>
        <w:trPr>
          <w:trHeight w:val="407"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关注</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1,043,268.22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12.56</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31,298.05</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3.00</w:t>
            </w:r>
          </w:p>
        </w:tc>
      </w:tr>
      <w:tr>
        <w:trPr>
          <w:trHeight w:val="407"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次级</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333,794.00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4.02</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100,138.20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30.00</w:t>
            </w:r>
          </w:p>
        </w:tc>
      </w:tr>
      <w:tr>
        <w:trPr>
          <w:trHeight w:val="408" w:hRule="exact"/>
        </w:trPr>
        <w:tc>
          <w:tcPr>
            <w:tcW w:w="20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8,308,647.05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100.00</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235,410.02</w:t>
            </w:r>
          </w:p>
        </w:tc>
        <w:tc>
          <w:tcPr>
            <w:tcW w:w="20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left="214" w:right="6252"/>
        <w:jc w:val="left"/>
        <w:rPr>
          <w:b w:val="0"/>
          <w:bCs w:val="0"/>
        </w:rPr>
      </w:pPr>
      <w:bookmarkStart w:name="11、可供出售金融资产" w:id="254"/>
      <w:bookmarkEnd w:id="254"/>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214" w:right="6252"/>
        <w:jc w:val="left"/>
        <w:rPr>
          <w:b w:val="0"/>
          <w:bCs w:val="0"/>
        </w:rPr>
      </w:pPr>
      <w:bookmarkStart w:name="（1）可供出售金融资产情况" w:id="255"/>
      <w:bookmarkEnd w:id="255"/>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73,000,000.00</w:t>
            </w:r>
          </w:p>
        </w:tc>
      </w:tr>
    </w:tbl>
    <w:p>
      <w:pPr>
        <w:spacing w:line="240" w:lineRule="auto" w:before="2"/>
        <w:rPr>
          <w:rFonts w:ascii="宋体" w:hAnsi="宋体" w:cs="宋体" w:eastAsia="宋体" w:hint="default"/>
          <w:sz w:val="19"/>
          <w:szCs w:val="19"/>
        </w:rPr>
      </w:pPr>
    </w:p>
    <w:p>
      <w:pPr>
        <w:pStyle w:val="Heading4"/>
        <w:spacing w:line="240" w:lineRule="auto" w:before="35"/>
        <w:ind w:left="214" w:right="6252"/>
        <w:jc w:val="left"/>
        <w:rPr>
          <w:b w:val="0"/>
          <w:bCs w:val="0"/>
        </w:rPr>
      </w:pPr>
      <w:bookmarkStart w:name="（2）期末按公允价值计量的可供出售金融资产" w:id="256"/>
      <w:bookmarkEnd w:id="256"/>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left="214" w:right="6252"/>
        <w:jc w:val="left"/>
        <w:rPr>
          <w:b w:val="0"/>
          <w:bCs w:val="0"/>
        </w:rPr>
      </w:pPr>
      <w:bookmarkStart w:name="（3）期末按成本计量的可供出售金融资产" w:id="257"/>
      <w:bookmarkEnd w:id="257"/>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上海蔚洁 信息科技 服务有限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深圳锦城 长久资本 管理有限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报告期内可供出售金融资产减值的变动情况" w:id="258"/>
      <w:bookmarkEnd w:id="258"/>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可供出售权益工具期末公允价值严重下跌或非暂时性下跌但未计提减值准备的相关说" w:id="259"/>
      <w:bookmarkEnd w:id="259"/>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2"/>
        <w:ind w:right="0"/>
        <w:jc w:val="left"/>
      </w:pPr>
      <w:r>
        <w:rPr/>
        <w:t>其他说明</w:t>
      </w:r>
    </w:p>
    <w:p>
      <w:pPr>
        <w:pStyle w:val="BodyText"/>
        <w:spacing w:line="312" w:lineRule="auto" w:before="115"/>
        <w:ind w:right="1131" w:firstLine="360"/>
        <w:jc w:val="both"/>
      </w:pPr>
      <w:r>
        <w:rPr/>
        <w:t>注</w:t>
      </w:r>
      <w:r>
        <w:rPr>
          <w:rFonts w:ascii="Times New Roman" w:hAnsi="Times New Roman" w:cs="Times New Roman" w:eastAsia="Times New Roman" w:hint="default"/>
        </w:rPr>
        <w:t>1</w:t>
      </w:r>
      <w:r>
        <w:rPr/>
        <w:t>：上海蔚洁信息科技服务有限公司（原名：上海蔚捷互联网金融信息服务有限公司）、深圳锦城长久资本管理有限 </w:t>
      </w:r>
      <w:r>
        <w:rPr>
          <w:spacing w:val="-2"/>
        </w:rPr>
        <w:t>公司为非上市公司，目前不存在活跃的权益交易市场，同时相关财务信息和市场信息的获取不具备持续性和及时性，公允价</w:t>
      </w:r>
      <w:r>
        <w:rPr>
          <w:spacing w:val="-66"/>
        </w:rPr>
        <w:t> </w:t>
      </w:r>
      <w:r>
        <w:rPr>
          <w:spacing w:val="-66"/>
        </w:rPr>
      </w:r>
      <w:r>
        <w:rPr>
          <w:spacing w:val="-2"/>
        </w:rPr>
        <w:t>值无法可靠计量，此类金融资产按成本法计量；本公司不参与该公司日常经营管理，不构成重大影响。因此将其划分为可供</w:t>
      </w:r>
      <w:r>
        <w:rPr>
          <w:spacing w:val="-66"/>
        </w:rPr>
        <w:t> </w:t>
      </w:r>
      <w:r>
        <w:rPr>
          <w:spacing w:val="-66"/>
        </w:rPr>
      </w:r>
      <w:r>
        <w:rPr/>
        <w:t>出售类别且采用成本计量的权益工具投资。</w:t>
      </w:r>
    </w:p>
    <w:p>
      <w:pPr>
        <w:pStyle w:val="BodyText"/>
        <w:spacing w:line="300" w:lineRule="auto" w:before="22"/>
        <w:ind w:right="1130" w:firstLine="360"/>
        <w:jc w:val="both"/>
      </w:pPr>
      <w:r>
        <w:rPr/>
        <w:t>注</w:t>
      </w:r>
      <w:r>
        <w:rPr>
          <w:rFonts w:ascii="Times New Roman" w:hAnsi="Times New Roman" w:cs="Times New Roman" w:eastAsia="Times New Roman" w:hint="default"/>
        </w:rPr>
        <w:t>2</w:t>
      </w:r>
      <w:r>
        <w:rPr/>
        <w:t>：根据北京华亚正信资产评估有限公司出具的《上海蔚洁信息科技服务有限公司拟了解其市场价值所涉及上海蔚洁 </w:t>
      </w:r>
      <w:r>
        <w:rPr>
          <w:spacing w:val="-2"/>
        </w:rPr>
        <w:t>信息科技服务有限公司股东全部权益价值项目估值咨询报告》</w:t>
      </w:r>
      <w:r>
        <w:rPr>
          <w:rFonts w:ascii="Times New Roman" w:hAnsi="Times New Roman" w:cs="Times New Roman" w:eastAsia="Times New Roman" w:hint="default"/>
          <w:spacing w:val="-2"/>
        </w:rPr>
        <w:t>(</w:t>
      </w:r>
      <w:r>
        <w:rPr>
          <w:spacing w:val="-2"/>
        </w:rPr>
        <w:t>华亚正信评咨字【</w:t>
      </w:r>
      <w:r>
        <w:rPr>
          <w:rFonts w:ascii="Times New Roman" w:hAnsi="Times New Roman" w:cs="Times New Roman" w:eastAsia="Times New Roman" w:hint="default"/>
          <w:spacing w:val="-2"/>
        </w:rPr>
        <w:t>2019</w:t>
      </w:r>
      <w:r>
        <w:rPr>
          <w:spacing w:val="-2"/>
        </w:rPr>
        <w:t>】第</w:t>
      </w:r>
      <w:r>
        <w:rPr>
          <w:rFonts w:ascii="Times New Roman" w:hAnsi="Times New Roman" w:cs="Times New Roman" w:eastAsia="Times New Roman" w:hint="default"/>
          <w:spacing w:val="-2"/>
        </w:rPr>
        <w:t>01-0015</w:t>
      </w:r>
      <w:r>
        <w:rPr>
          <w:spacing w:val="-2"/>
        </w:rPr>
        <w:t>号</w:t>
      </w:r>
      <w:r>
        <w:rPr>
          <w:rFonts w:ascii="Times New Roman" w:hAnsi="Times New Roman" w:cs="Times New Roman" w:eastAsia="Times New Roman" w:hint="default"/>
          <w:spacing w:val="-2"/>
        </w:rPr>
        <w:t>)</w:t>
      </w:r>
      <w:r>
        <w:rPr>
          <w:spacing w:val="-2"/>
        </w:rPr>
        <w:t>，采用收益法估值得出</w:t>
      </w:r>
      <w:r>
        <w:rPr>
          <w:spacing w:val="-52"/>
        </w:rPr>
        <w:t> </w:t>
      </w:r>
      <w:r>
        <w:rPr>
          <w:spacing w:val="-52"/>
        </w:rPr>
      </w:r>
      <w:r>
        <w:rPr>
          <w:spacing w:val="-1"/>
        </w:rPr>
        <w:t>的股东全部权益价值为</w:t>
      </w:r>
      <w:r>
        <w:rPr>
          <w:rFonts w:ascii="Times New Roman" w:hAnsi="Times New Roman" w:cs="Times New Roman" w:eastAsia="Times New Roman" w:hint="default"/>
          <w:spacing w:val="-1"/>
        </w:rPr>
        <w:t>62,171.10</w:t>
      </w:r>
      <w:r>
        <w:rPr>
          <w:rFonts w:ascii="Times New Roman" w:hAnsi="Times New Roman" w:cs="Times New Roman" w:eastAsia="Times New Roman" w:hint="default"/>
        </w:rPr>
        <w:t> </w:t>
      </w:r>
      <w:r>
        <w:rPr>
          <w:spacing w:val="-2"/>
        </w:rPr>
        <w:t>万元，本公司持有上海蔚洁信息科技服务有限公司</w:t>
      </w:r>
      <w:r>
        <w:rPr>
          <w:rFonts w:ascii="Times New Roman" w:hAnsi="Times New Roman" w:cs="Times New Roman" w:eastAsia="Times New Roman" w:hint="default"/>
          <w:spacing w:val="-2"/>
        </w:rPr>
        <w:t>12.23%</w:t>
      </w:r>
      <w:r>
        <w:rPr>
          <w:spacing w:val="-2"/>
        </w:rPr>
        <w:t>股权，对应的权益价值为</w:t>
      </w:r>
      <w:r>
        <w:rPr>
          <w:rFonts w:ascii="Times New Roman" w:hAnsi="Times New Roman" w:cs="Times New Roman" w:eastAsia="Times New Roman" w:hint="default"/>
          <w:spacing w:val="-2"/>
        </w:rPr>
        <w:t>7,603.53</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万元，高于投资成本，不存在减值情况。</w:t>
      </w:r>
    </w:p>
    <w:p>
      <w:pPr>
        <w:pStyle w:val="BodyText"/>
        <w:spacing w:line="300" w:lineRule="auto" w:before="31"/>
        <w:ind w:right="1129" w:firstLine="360"/>
        <w:jc w:val="both"/>
      </w:pPr>
      <w:r>
        <w:rPr/>
        <w:t>注</w:t>
      </w:r>
      <w:r>
        <w:rPr>
          <w:rFonts w:ascii="Times New Roman" w:hAnsi="Times New Roman" w:cs="Times New Roman" w:eastAsia="Times New Roman" w:hint="default"/>
        </w:rPr>
        <w:t>3</w:t>
      </w:r>
      <w:r>
        <w:rPr/>
        <w:t>：根据深圳立勤会计师事务所（特殊普通合伙）出具的《关于深圳锦城长久资本管理有限公司二〇一八年度会计报 </w:t>
      </w:r>
      <w:r>
        <w:rPr>
          <w:spacing w:val="-1"/>
        </w:rPr>
        <w:t>表审计的报告》</w:t>
      </w:r>
      <w:r>
        <w:rPr>
          <w:rFonts w:ascii="Times New Roman" w:hAnsi="Times New Roman" w:cs="Times New Roman" w:eastAsia="Times New Roman" w:hint="default"/>
          <w:spacing w:val="-1"/>
        </w:rPr>
        <w:t>(</w:t>
      </w:r>
      <w:r>
        <w:rPr>
          <w:spacing w:val="-1"/>
        </w:rPr>
        <w:t>深立勤【内】字第</w:t>
      </w:r>
      <w:r>
        <w:rPr>
          <w:rFonts w:ascii="Times New Roman" w:hAnsi="Times New Roman" w:cs="Times New Roman" w:eastAsia="Times New Roman" w:hint="default"/>
          <w:spacing w:val="-1"/>
        </w:rPr>
        <w:t>[2019]011</w:t>
      </w:r>
      <w:r>
        <w:rPr>
          <w:spacing w:val="-1"/>
        </w:rPr>
        <w:t>号</w:t>
      </w:r>
      <w:r>
        <w:rPr>
          <w:rFonts w:ascii="Times New Roman" w:hAnsi="Times New Roman" w:cs="Times New Roman" w:eastAsia="Times New Roman" w:hint="default"/>
          <w:spacing w:val="-1"/>
        </w:rPr>
        <w:t>)</w:t>
      </w: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日深圳锦城长久资本管理有限公司股东全部权益价值为</w:t>
      </w:r>
      <w:r>
        <w:rPr>
          <w:spacing w:val="-83"/>
        </w:rPr>
        <w:t> </w:t>
      </w:r>
      <w:r>
        <w:rPr>
          <w:rFonts w:ascii="Times New Roman" w:hAnsi="Times New Roman" w:cs="Times New Roman" w:eastAsia="Times New Roman" w:hint="default"/>
        </w:rPr>
        <w:t>3,600.26</w:t>
      </w:r>
      <w:r>
        <w:rPr/>
        <w:t>万元，本公司持有深圳锦城长久资本管理有限公司</w:t>
      </w:r>
      <w:r>
        <w:rPr>
          <w:rFonts w:ascii="Times New Roman" w:hAnsi="Times New Roman" w:cs="Times New Roman" w:eastAsia="Times New Roman" w:hint="default"/>
        </w:rPr>
        <w:t>13.89%</w:t>
      </w:r>
      <w:r>
        <w:rPr/>
        <w:t>股权，对应的权益价值为</w:t>
      </w:r>
      <w:r>
        <w:rPr>
          <w:rFonts w:ascii="Times New Roman" w:hAnsi="Times New Roman" w:cs="Times New Roman" w:eastAsia="Times New Roman" w:hint="default"/>
        </w:rPr>
        <w:t>500.08</w:t>
      </w:r>
      <w:r>
        <w:rPr/>
        <w:t>万元，高于投资成本，不</w:t>
      </w:r>
      <w:r>
        <w:rPr>
          <w:spacing w:val="-59"/>
        </w:rPr>
        <w:t> </w:t>
      </w:r>
      <w:r>
        <w:rPr>
          <w:spacing w:val="-59"/>
        </w:rPr>
      </w:r>
      <w:r>
        <w:rPr/>
        <w:t>存在减值情况。</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12、持有至到期投资" w:id="260"/>
      <w:bookmarkEnd w:id="260"/>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持有至到期投资情况" w:id="261"/>
      <w:bookmarkEnd w:id="261"/>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期末重要的持有至到期投资" w:id="262"/>
      <w:bookmarkEnd w:id="262"/>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本期重分类的持有至到期投资" w:id="263"/>
      <w:bookmarkEnd w:id="263"/>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3、长期应收款" w:id="264"/>
      <w:bookmarkEnd w:id="264"/>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收款情况" w:id="265"/>
      <w:bookmarkEnd w:id="265"/>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206" w:hRule="exact"/>
        </w:trPr>
        <w:tc>
          <w:tcPr>
            <w:tcW w:w="1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4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6" w:hRule="exact"/>
        </w:trPr>
        <w:tc>
          <w:tcPr>
            <w:tcW w:w="1403" w:type="dxa"/>
            <w:vMerge/>
            <w:tcBorders>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95,843,751.23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95,843,751.23</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8"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7,634,131.40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7,634,131.40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减：重分类至一 年内到期的非流 动资产</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-63,394,685.76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-63,394,685.76</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32,449,065.47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32,449,065.47</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因金融资产转移而终止确认的长期应收款" w:id="266"/>
      <w:bookmarkEnd w:id="266"/>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转移长期应收款且继续涉入形成的资产、负债金额" w:id="267"/>
      <w:bookmarkEnd w:id="267"/>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4、长期股权投资" w:id="268"/>
      <w:bookmarkEnd w:id="26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52"/>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5、投资性房地产" w:id="269"/>
      <w:bookmarkEnd w:id="26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70"/>
      <w:bookmarkEnd w:id="27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采用公允价值计量模式的投资性房地产" w:id="271"/>
      <w:bookmarkEnd w:id="27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未办妥产权证书的投资性房地产情况" w:id="272"/>
      <w:bookmarkEnd w:id="272"/>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6、固定资产" w:id="273"/>
      <w:bookmarkEnd w:id="273"/>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5,923,984.80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6,815,786.93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5,923,984.80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6,815,786.93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固定资产情况" w:id="274"/>
      <w:bookmarkEnd w:id="27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2392"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2,373,779.49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10,688,902.13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13,062,681.62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1,827,294.68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913,793.80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2,741,088.48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1,827,294.68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913,793.80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2,741,088.48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1,332,043.39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1,332,043.39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1,300,151.39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1,300,151.39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31,892.00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31,892.00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4,201,074.17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10,270,652.54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14,471,726.71</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1,406,140.26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4,840,754.43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6,246,894.69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477,666.30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2,995,623.31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3,473,289.61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477,666.30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2,995,623.31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3,473,289.61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1,172,442.39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1,172,442.39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4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1,169,532.69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1,169,532.69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2,909.70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1,883,806.56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6,663,935.35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8,547,741.91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4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2,317,267.61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3,606,717.19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5,923,984.80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967,639.23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5,848,147.70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6,815,786.93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暂时闲置的固定资产情况" w:id="275"/>
      <w:bookmarkEnd w:id="275"/>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通过融资租赁租入的固定资产情况" w:id="276"/>
      <w:bookmarkEnd w:id="276"/>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通过经营租赁租出的固定资产" w:id="277"/>
      <w:bookmarkEnd w:id="277"/>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未办妥产权证书的固定资产情况" w:id="278"/>
      <w:bookmarkEnd w:id="278"/>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固定资产清理" w:id="279"/>
      <w:bookmarkEnd w:id="279"/>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7、在建工程" w:id="280"/>
      <w:bookmarkEnd w:id="280"/>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95"/>
        <w:gridCol w:w="3815"/>
        <w:gridCol w:w="3858"/>
      </w:tblGrid>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在建工程情况" w:id="281"/>
      <w:bookmarkEnd w:id="281"/>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重要在建工程项目本期变动情况" w:id="282"/>
      <w:bookmarkEnd w:id="282"/>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计提在建工程减值准备情况" w:id="283"/>
      <w:bookmarkEnd w:id="283"/>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工程物资" w:id="284"/>
      <w:bookmarkEnd w:id="284"/>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33"/>
        <w:gridCol w:w="3854"/>
        <w:gridCol w:w="3582"/>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0"/>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8、生产性生物资产" w:id="285"/>
      <w:bookmarkEnd w:id="285"/>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生产性生物资产" w:id="286"/>
      <w:bookmarkEnd w:id="286"/>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采用公允价值计量模式的生产性生物资产" w:id="287"/>
      <w:bookmarkEnd w:id="287"/>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9、油气资产" w:id="288"/>
      <w:bookmarkEnd w:id="288"/>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0、无形资产" w:id="289"/>
      <w:bookmarkEnd w:id="289"/>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90"/>
      <w:bookmarkEnd w:id="29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52,830.18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55,728,140.07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55,809,370.25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40,566.03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893,165.82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933,731.85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40,566.03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893,165.82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933,731.85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93,396.21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56,621,305.89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56,743,102.10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880.50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9,710,790.83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3,313.33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9,714,984.66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18,003.15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7,527,279.75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7,548,122.99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18,003.15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7,527,279.75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7,548,122.99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18,883.65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17,238,070.58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17,263,107.65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1,148,139.20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1,148,139.20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1,148,139.20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1,148,139.20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1,148,139.20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1,148,139.20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74,512.56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38,235,096.11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22,246.58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38,331,855.25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51,949.68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46,017,349.24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25,086.67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46,094,385.59</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2.75%</w:t>
      </w:r>
      <w:r>
        <w:rPr/>
        <w:t>。</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未办妥产权证书的土地使用权情况" w:id="291"/>
      <w:bookmarkEnd w:id="291"/>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pStyle w:val="BodyText"/>
        <w:spacing w:line="338" w:lineRule="auto" w:before="117"/>
        <w:ind w:left="514" w:right="1347"/>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日无未办妥产权证书的土地使用权。 北京仁东科技软件著作权已不能适应公司业务发展，截至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w:t>
      </w:r>
      <w:r>
        <w:rPr>
          <w:rFonts w:ascii="Times New Roman" w:hAnsi="Times New Roman" w:cs="Times New Roman" w:eastAsia="Times New Roman" w:hint="default"/>
        </w:rPr>
        <w:t>1,148,139.20</w:t>
      </w:r>
      <w:r>
        <w:rPr/>
        <w:t>元，全额计提减值。</w:t>
      </w:r>
    </w:p>
    <w:p>
      <w:pPr>
        <w:spacing w:line="240" w:lineRule="auto" w:before="7"/>
        <w:rPr>
          <w:rFonts w:ascii="宋体" w:hAnsi="宋体" w:cs="宋体" w:eastAsia="宋体" w:hint="default"/>
          <w:sz w:val="19"/>
          <w:szCs w:val="19"/>
        </w:rPr>
      </w:pPr>
    </w:p>
    <w:p>
      <w:pPr>
        <w:pStyle w:val="Heading4"/>
        <w:spacing w:line="240" w:lineRule="auto"/>
        <w:ind w:right="0"/>
        <w:jc w:val="left"/>
        <w:rPr>
          <w:b w:val="0"/>
          <w:bCs w:val="0"/>
        </w:rPr>
      </w:pPr>
      <w:bookmarkStart w:name="21、开发支出" w:id="292"/>
      <w:bookmarkEnd w:id="292"/>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基于互联网 的支付系统 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5,018,643.09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5,018,643.09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基于互联网 的支付运营 系统开发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4,983,544.07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4,983,544.07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基于互联网 的支付商户 后台系统开 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5,008,076.09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5,008,076.09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合利宝银行 卡收单运营 系统开发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1,623,603.70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1,623,603.70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合利宝银行 卡收单系统 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1,611,493.70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1,611,493.70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合利宝银行 卡收单代理 后台系统开 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1,620,783.70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1,620,783.70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合利宝跨境 支付系统开 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2,446,727.00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2,446,727.00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合利宝跨境 支付运营后 台系统开发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2,432,219.00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2,432,219.00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合利宝跨境 支付商户后 台系统开发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2,439,702.00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2,439,702.00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合利宝风控 系统开发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1,781,581.71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1,781,581.71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合利宝反洗 钱系统开发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1,775,872.71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1,775,872.71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钱大大贷款 信息分类搜 索平台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459,141.98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459,141.98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小额信贷综 合管理系统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1,572,485.12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1,572,485.12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right="106"/>
              <w:jc w:val="center"/>
              <w:rPr>
                <w:rFonts w:ascii="宋体" w:hAnsi="宋体" w:cs="宋体" w:eastAsia="宋体" w:hint="default"/>
                <w:sz w:val="18"/>
                <w:szCs w:val="18"/>
              </w:rPr>
            </w:pPr>
            <w:r>
              <w:rPr>
                <w:rFonts w:ascii="宋体" w:hAnsi="宋体" w:cs="宋体" w:eastAsia="宋体" w:hint="default"/>
                <w:sz w:val="18"/>
                <w:szCs w:val="18"/>
              </w:rPr>
              <w:t>银河信贷综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1,035,584.23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1,035,584.23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106"/>
              <w:jc w:val="center"/>
              <w:rPr>
                <w:rFonts w:ascii="宋体" w:hAnsi="宋体" w:cs="宋体" w:eastAsia="宋体" w:hint="default"/>
                <w:sz w:val="18"/>
                <w:szCs w:val="18"/>
              </w:rPr>
            </w:pPr>
            <w:r>
              <w:rPr>
                <w:rFonts w:ascii="宋体" w:hAnsi="宋体" w:cs="宋体" w:eastAsia="宋体" w:hint="default"/>
                <w:sz w:val="18"/>
                <w:szCs w:val="18"/>
              </w:rPr>
              <w:t>合管理系统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核心风控决 策及数据中 心项目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1,161,100.00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1,161,100.00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34,970,559.1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34,970,559.1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2、商誉" w:id="293"/>
      <w:bookmarkEnd w:id="293"/>
      <w:r>
        <w:rPr>
          <w:b w:val="0"/>
          <w:bCs w:val="0"/>
        </w:rPr>
      </w:r>
      <w:r>
        <w:rPr>
          <w:rFonts w:ascii="Times New Roman" w:hAnsi="Times New Roman" w:cs="Times New Roman" w:eastAsia="Times New Roman" w:hint="default"/>
        </w:rPr>
        <w:t>22</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294"/>
      <w:bookmarkEnd w:id="29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广东合利金融科 技服务有限公司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1,193,892,400.51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1,193,892,400.51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民盛友联金融有 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602,997.90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602,997.90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1,194,495,398.41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1,194,495,398.41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商誉减值准备" w:id="295"/>
      <w:bookmarkEnd w:id="29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广东合利金融科 技服务有限公司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195,250,088.96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195,250,088.96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民盛友联金融有 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602,997.90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602,997.90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195,853,086.86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195,853,086.86</w:t>
            </w:r>
          </w:p>
        </w:tc>
      </w:tr>
    </w:tbl>
    <w:p>
      <w:pPr>
        <w:pStyle w:val="BodyText"/>
        <w:spacing w:line="240" w:lineRule="auto" w:before="51"/>
        <w:ind w:right="0"/>
        <w:jc w:val="left"/>
      </w:pPr>
      <w:r>
        <w:rPr/>
        <w:t>商誉所在资产组或资产组组合的相关信息</w:t>
      </w:r>
    </w:p>
    <w:p>
      <w:pPr>
        <w:pStyle w:val="BodyText"/>
        <w:spacing w:line="300" w:lineRule="auto" w:before="116"/>
        <w:ind w:right="1050" w:firstLine="360"/>
        <w:jc w:val="both"/>
      </w:pPr>
      <w:r>
        <w:rPr/>
        <w:t>根据中联国际评估咨询有限公司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spacing w:val="-3"/>
        </w:rPr>
        <w:t>日出具的《仁东控股股份有限公司拟对合并广东合利金融科技服务有</w:t>
      </w:r>
      <w:r>
        <w:rPr/>
        <w:t> 限公司形成的商誉进行减值测试涉及商誉及相关资产组价值资产评估报告》（中联国际评字【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TYMQG0161</w:t>
      </w:r>
      <w:r>
        <w:rPr/>
        <w:t>号）， 仁东控股股份有限公司于评估基准日的评估范围，是形成商誉的资产组所涉及的资产，即为广东合利宝支付科技有限公司。</w:t>
      </w:r>
    </w:p>
    <w:p>
      <w:pPr>
        <w:pStyle w:val="BodyText"/>
        <w:spacing w:line="316" w:lineRule="auto" w:before="72"/>
        <w:ind w:right="0"/>
        <w:jc w:val="left"/>
      </w:pP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300" w:lineRule="auto" w:before="57"/>
        <w:ind w:right="1132" w:firstLine="360"/>
        <w:jc w:val="both"/>
      </w:pPr>
      <w:r>
        <w:rPr/>
        <w:t>根据中联国际评估咨询有限公司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spacing w:val="-3"/>
        </w:rPr>
        <w:t>日出具的《仁东控股股份有限公司拟对合并广东合利金融科技服务有</w:t>
      </w:r>
      <w:r>
        <w:rPr/>
        <w:t> </w:t>
      </w:r>
      <w:r>
        <w:rPr>
          <w:spacing w:val="-1"/>
        </w:rPr>
        <w:t>限公司形成的商誉进行减值测试涉及商誉及相关资产组价值资产评估报告》（中联国际评字【</w:t>
      </w:r>
      <w:r>
        <w:rPr>
          <w:rFonts w:ascii="Times New Roman" w:hAnsi="Times New Roman" w:cs="Times New Roman" w:eastAsia="Times New Roman" w:hint="default"/>
          <w:spacing w:val="-1"/>
        </w:rPr>
        <w:t>2019</w:t>
      </w:r>
      <w:r>
        <w:rPr>
          <w:spacing w:val="-1"/>
        </w:rPr>
        <w:t>】第</w:t>
      </w:r>
      <w:r>
        <w:rPr>
          <w:rFonts w:ascii="Times New Roman" w:hAnsi="Times New Roman" w:cs="Times New Roman" w:eastAsia="Times New Roman" w:hint="default"/>
          <w:spacing w:val="-1"/>
        </w:rPr>
        <w:t>TYMQG0161</w:t>
      </w:r>
      <w:r>
        <w:rPr>
          <w:spacing w:val="-1"/>
        </w:rPr>
        <w:t>号）的</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0"/>
        <w:jc w:val="left"/>
      </w:pPr>
      <w:r>
        <w:rPr>
          <w:spacing w:val="-2"/>
        </w:rPr>
        <w:t>评估结果，与商誉相关的广东合利金融科技服务有限公司资产组广东合利宝支付科技有限公司的可收回金额采用收益法预测</w:t>
      </w:r>
      <w:r>
        <w:rPr>
          <w:spacing w:val="-64"/>
        </w:rPr>
        <w:t> </w:t>
      </w:r>
      <w:r>
        <w:rPr>
          <w:spacing w:val="-64"/>
        </w:rPr>
      </w:r>
      <w:r>
        <w:rPr/>
        <w:t>现金流量现值；采用未来现金流量折现方法的主要假设，折现率</w:t>
      </w:r>
      <w:r>
        <w:rPr>
          <w:rFonts w:ascii="Times New Roman" w:hAnsi="Times New Roman" w:cs="Times New Roman" w:eastAsia="Times New Roman" w:hint="default"/>
        </w:rPr>
        <w:t>13.56%</w:t>
      </w:r>
      <w:r>
        <w:rPr/>
        <w:t>；与商誉相关的广东合利宝支付科技有限公司资产 组的可收回金额为</w:t>
      </w:r>
      <w:r>
        <w:rPr>
          <w:rFonts w:ascii="Times New Roman" w:hAnsi="Times New Roman" w:cs="Times New Roman" w:eastAsia="Times New Roman" w:hint="default"/>
        </w:rPr>
        <w:t>132,983.62</w:t>
      </w:r>
      <w:r>
        <w:rPr/>
        <w:t>万元，高于于资产组账面价值</w:t>
      </w:r>
      <w:r>
        <w:rPr>
          <w:rFonts w:ascii="Times New Roman" w:hAnsi="Times New Roman" w:cs="Times New Roman" w:eastAsia="Times New Roman" w:hint="default"/>
        </w:rPr>
        <w:t>4,017.65</w:t>
      </w:r>
      <w:r>
        <w:rPr/>
        <w:t>万元及折算</w:t>
      </w:r>
      <w:r>
        <w:rPr>
          <w:rFonts w:ascii="Times New Roman" w:hAnsi="Times New Roman" w:cs="Times New Roman" w:eastAsia="Times New Roman" w:hint="default"/>
        </w:rPr>
        <w:t>100%</w:t>
      </w:r>
      <w:r>
        <w:rPr/>
        <w:t>商誉价值</w:t>
      </w:r>
      <w:r>
        <w:rPr>
          <w:rFonts w:ascii="Times New Roman" w:hAnsi="Times New Roman" w:cs="Times New Roman" w:eastAsia="Times New Roman" w:hint="default"/>
        </w:rPr>
        <w:t>116,800.27</w:t>
      </w:r>
      <w:r>
        <w:rPr/>
        <w:t>万元之和</w:t>
      </w:r>
      <w:r>
        <w:rPr>
          <w:rFonts w:ascii="Times New Roman" w:hAnsi="Times New Roman" w:cs="Times New Roman" w:eastAsia="Times New Roman" w:hint="default"/>
        </w:rPr>
        <w:t>120,817.92 </w:t>
      </w:r>
      <w:r>
        <w:rPr/>
        <w:t>万元，不需计提商誉减值准备</w:t>
      </w:r>
    </w:p>
    <w:p>
      <w:pPr>
        <w:pStyle w:val="BodyText"/>
        <w:spacing w:line="357" w:lineRule="auto" w:before="67"/>
        <w:ind w:left="514" w:right="0" w:hanging="360"/>
        <w:jc w:val="left"/>
      </w:pPr>
      <w:r>
        <w:rPr/>
        <w:t>商誉减值测试的影响 </w:t>
      </w:r>
      <w:r>
        <w:rPr>
          <w:spacing w:val="-2"/>
        </w:rPr>
        <w:t>针对广东合利金融科技服务有限公司收购事项，大股东内蒙古仁东科技作出业绩补偿承诺，要求</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2018</w:t>
      </w:r>
      <w:r>
        <w:rPr>
          <w:spacing w:val="-2"/>
        </w:rPr>
        <w:t>年广东合利</w:t>
      </w:r>
    </w:p>
    <w:p>
      <w:pPr>
        <w:pStyle w:val="BodyText"/>
        <w:spacing w:line="214" w:lineRule="exact"/>
        <w:ind w:right="0"/>
        <w:jc w:val="left"/>
      </w:pPr>
      <w:r>
        <w:rPr/>
        <w:t>金融科技服务有限公司扣除非经常性损益后的归母净利润分别为 </w:t>
      </w:r>
      <w:r>
        <w:rPr>
          <w:rFonts w:ascii="Times New Roman" w:hAnsi="Times New Roman" w:cs="Times New Roman" w:eastAsia="Times New Roman" w:hint="default"/>
        </w:rPr>
        <w:t>11,400.00</w:t>
      </w:r>
      <w:r>
        <w:rPr/>
        <w:t>万元、</w:t>
      </w:r>
      <w:r>
        <w:rPr>
          <w:rFonts w:ascii="Times New Roman" w:hAnsi="Times New Roman" w:cs="Times New Roman" w:eastAsia="Times New Roman" w:hint="default"/>
        </w:rPr>
        <w:t>21,800.00</w:t>
      </w:r>
      <w:r>
        <w:rPr>
          <w:rFonts w:ascii="Times New Roman" w:hAnsi="Times New Roman" w:cs="Times New Roman" w:eastAsia="Times New Roman" w:hint="default"/>
          <w:spacing w:val="7"/>
        </w:rPr>
        <w:t> </w:t>
      </w:r>
      <w:r>
        <w:rPr/>
        <w:t>万元。按照收购时的合并口径，</w:t>
      </w:r>
    </w:p>
    <w:p>
      <w:pPr>
        <w:pStyle w:val="BodyText"/>
        <w:spacing w:line="240" w:lineRule="auto" w:before="63"/>
        <w:ind w:right="0"/>
        <w:jc w:val="left"/>
      </w:pPr>
      <w:r>
        <w:rPr>
          <w:rFonts w:ascii="Times New Roman" w:hAnsi="Times New Roman" w:cs="Times New Roman" w:eastAsia="Times New Roman" w:hint="default"/>
        </w:rPr>
        <w:t>2017</w:t>
      </w:r>
      <w:r>
        <w:rPr/>
        <w:t>、</w:t>
      </w:r>
      <w:r>
        <w:rPr>
          <w:rFonts w:ascii="Times New Roman" w:hAnsi="Times New Roman" w:cs="Times New Roman" w:eastAsia="Times New Roman" w:hint="default"/>
        </w:rPr>
        <w:t>2018</w:t>
      </w:r>
      <w:r>
        <w:rPr/>
        <w:t>年广东合利金融科技服务有限公司扣非归母净利润分别为</w:t>
      </w:r>
      <w:r>
        <w:rPr>
          <w:rFonts w:ascii="Times New Roman" w:hAnsi="Times New Roman" w:cs="Times New Roman" w:eastAsia="Times New Roman" w:hint="default"/>
        </w:rPr>
        <w:t>6,280.21</w:t>
      </w:r>
      <w:r>
        <w:rPr>
          <w:rFonts w:ascii="Times New Roman" w:hAnsi="Times New Roman" w:cs="Times New Roman" w:eastAsia="Times New Roman" w:hint="default"/>
          <w:spacing w:val="22"/>
        </w:rPr>
        <w:t> </w:t>
      </w:r>
      <w:r>
        <w:rPr/>
        <w:t>万、</w:t>
      </w:r>
      <w:r>
        <w:rPr>
          <w:rFonts w:ascii="Times New Roman" w:hAnsi="Times New Roman" w:cs="Times New Roman" w:eastAsia="Times New Roman" w:hint="default"/>
        </w:rPr>
        <w:t>13,005.40</w:t>
      </w:r>
      <w:r>
        <w:rPr/>
        <w:t>万。</w:t>
      </w:r>
      <w:r>
        <w:rPr>
          <w:rFonts w:ascii="Times New Roman" w:hAnsi="Times New Roman" w:cs="Times New Roman" w:eastAsia="Times New Roman" w:hint="default"/>
        </w:rPr>
        <w:t>2018</w:t>
      </w:r>
      <w:r>
        <w:rPr/>
        <w:t>年已收到业绩补偿款</w:t>
      </w:r>
    </w:p>
    <w:p>
      <w:pPr>
        <w:pStyle w:val="BodyText"/>
        <w:spacing w:line="340" w:lineRule="auto" w:before="63"/>
        <w:ind w:right="7512"/>
        <w:jc w:val="left"/>
      </w:pPr>
      <w:r>
        <w:rPr>
          <w:rFonts w:ascii="Times New Roman" w:hAnsi="Times New Roman" w:cs="Times New Roman" w:eastAsia="Times New Roman" w:hint="default"/>
        </w:rPr>
        <w:t>13,950.24</w:t>
      </w:r>
      <w:r>
        <w:rPr/>
        <w:t>万，本年无需对业绩进行补偿。 其他说明</w:t>
      </w:r>
    </w:p>
    <w:p>
      <w:pPr>
        <w:pStyle w:val="BodyText"/>
        <w:spacing w:line="316" w:lineRule="auto" w:before="39"/>
        <w:ind w:right="0" w:firstLine="360"/>
        <w:jc w:val="left"/>
      </w:pPr>
      <w:r>
        <w:rPr>
          <w:spacing w:val="-2"/>
        </w:rPr>
        <w:t>因民盛友联金融有限公司本期经营情况不佳，未来盈利能力不确定性，公司基于财务报表谨慎性考虑，对收购民盛友联</w:t>
      </w:r>
      <w:r>
        <w:rPr/>
        <w:t> 金融有限公司形成的商誉</w:t>
      </w:r>
      <w:r>
        <w:rPr>
          <w:rFonts w:ascii="Times New Roman" w:hAnsi="Times New Roman" w:cs="Times New Roman" w:eastAsia="Times New Roman" w:hint="default"/>
        </w:rPr>
        <w:t>602,997.90</w:t>
      </w:r>
      <w:r>
        <w:rPr/>
        <w:t>元，在</w:t>
      </w:r>
      <w:r>
        <w:rPr>
          <w:rFonts w:ascii="宋体" w:hAnsi="宋体" w:cs="宋体" w:eastAsia="宋体" w:hint="default"/>
        </w:rPr>
        <w:t>2017</w:t>
      </w:r>
      <w:r>
        <w:rPr/>
        <w:t>年度全额计提商誉减值准备。</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23、长期待摊费用" w:id="296"/>
      <w:bookmarkEnd w:id="296"/>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1,847,920.77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1,389,786.88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833,800.58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2,403,907.07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1,847,920.77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1,389,786.88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833,800.58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2,403,907.07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4、递延所得税资产/递延所得税负债" w:id="297"/>
      <w:bookmarkEnd w:id="297"/>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98"/>
      <w:bookmarkEnd w:id="29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649,881.45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154,191.08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1,803,569.58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445,575.04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4,242,346.56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1,060,586.64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649,881.45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154,191.08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6,045,916.14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1,506,161.68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299"/>
      <w:bookmarkEnd w:id="29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7"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33,515,580.00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5,029,561.66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39,798,420.00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5,972,271.67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33,515,580.00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5,029,561.66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39,798,420.00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5,972,271.67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以抵销后净额列示的递延所得税资产或负债" w:id="300"/>
      <w:bookmarkEnd w:id="30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154,191.08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1,506,161.68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5,029,561.66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5,972,271.67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明细" w:id="301"/>
      <w:bookmarkEnd w:id="301"/>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3,638,625.64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1,239,835.50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65,470,857.04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124,690,315.14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69,109,482.68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125,930,150.64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未确认递延所得税资产的可抵扣亏损将于以下年度到期" w:id="302"/>
      <w:bookmarkEnd w:id="302"/>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1,456,404.53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982,123.26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1,237,016.33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659,361.03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872,372.24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3,782,828.70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3,033,211.62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32,906,484.72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118,091,310.42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27,140,059.33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65,470,857.04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124,690,315.14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1118"/>
        <w:jc w:val="left"/>
      </w:pPr>
      <w:r>
        <w:rPr/>
        <w:t>其他说明： </w:t>
      </w:r>
      <w:r>
        <w:rPr>
          <w:spacing w:val="-2"/>
        </w:rPr>
        <w:t>由于公司未来能否获得足够的应纳税所得额具有不确定性，因此可抵扣暂时性差异和可抵扣亏损没有确认为递延所得税资产</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5、其他非流动资产" w:id="303"/>
      <w:bookmarkEnd w:id="303"/>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239,085,000.00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239,085,000.00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905,332.08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1,338,334.75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239,990,332.08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240,423,334.75</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1" w:firstLine="360"/>
        <w:jc w:val="both"/>
      </w:pPr>
      <w:r>
        <w:rPr>
          <w:spacing w:val="-2"/>
        </w:rPr>
        <w:t>根据本公司第三届三十九次董事会的决议，本公司之子公司天津民盛金科信息技术有限公司认购长治银行股份有限公司</w:t>
      </w:r>
      <w:r>
        <w:rPr/>
        <w:t> 增资扩股的</w:t>
      </w:r>
      <w:r>
        <w:rPr>
          <w:rFonts w:ascii="Times New Roman" w:hAnsi="Times New Roman" w:cs="Times New Roman" w:eastAsia="Times New Roman" w:hint="default"/>
        </w:rPr>
        <w:t>11,385 </w:t>
      </w:r>
      <w:r>
        <w:rPr/>
        <w:t>万股，认购的投资金额为</w:t>
      </w:r>
      <w:r>
        <w:rPr>
          <w:rFonts w:ascii="Times New Roman" w:hAnsi="Times New Roman" w:cs="Times New Roman" w:eastAsia="Times New Roman" w:hint="default"/>
        </w:rPr>
        <w:t>23,908.50</w:t>
      </w:r>
      <w:r>
        <w:rPr/>
        <w:t>万元，截至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日该增资入股事项尚未获得山西银监局 的批准，长治银行股份有限公司亦未办妥本次增资的工商变更手续。</w:t>
      </w:r>
    </w:p>
    <w:p>
      <w:pPr>
        <w:spacing w:line="240" w:lineRule="auto" w:before="13"/>
        <w:rPr>
          <w:rFonts w:ascii="宋体" w:hAnsi="宋体" w:cs="宋体" w:eastAsia="宋体" w:hint="default"/>
          <w:sz w:val="22"/>
          <w:szCs w:val="22"/>
        </w:rPr>
      </w:pPr>
    </w:p>
    <w:p>
      <w:pPr>
        <w:pStyle w:val="Heading4"/>
        <w:spacing w:line="240" w:lineRule="auto"/>
        <w:ind w:right="0"/>
        <w:jc w:val="left"/>
        <w:rPr>
          <w:b w:val="0"/>
          <w:bCs w:val="0"/>
        </w:rPr>
      </w:pPr>
      <w:bookmarkStart w:name="26、短期借款" w:id="304"/>
      <w:bookmarkEnd w:id="304"/>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305"/>
      <w:bookmarkEnd w:id="305"/>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322,150,000.00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322,150,000.00</w:t>
            </w:r>
          </w:p>
        </w:tc>
      </w:tr>
    </w:tbl>
    <w:p>
      <w:pPr>
        <w:pStyle w:val="BodyText"/>
        <w:spacing w:line="357" w:lineRule="auto" w:before="51"/>
        <w:ind w:left="514" w:right="1122" w:hanging="360"/>
        <w:jc w:val="left"/>
      </w:pPr>
      <w:r>
        <w:rPr/>
        <w:t>短期借款分类的说明： 期末保证借款</w:t>
      </w:r>
      <w:r>
        <w:rPr>
          <w:rFonts w:ascii="Times New Roman" w:hAnsi="Times New Roman" w:cs="Times New Roman" w:eastAsia="Times New Roman" w:hint="default"/>
        </w:rPr>
        <w:t>90,000,000.00</w:t>
      </w:r>
      <w:r>
        <w:rPr/>
        <w:t>元：为母公司仁东控股股份有限公司保证借款</w:t>
      </w:r>
      <w:r>
        <w:rPr>
          <w:rFonts w:ascii="Times New Roman" w:hAnsi="Times New Roman" w:cs="Times New Roman" w:eastAsia="Times New Roman" w:hint="default"/>
        </w:rPr>
        <w:t>90,000,000.00</w:t>
      </w:r>
      <w:r>
        <w:rPr/>
        <w:t>元，由内蒙古仁东科技有限公司</w:t>
      </w:r>
    </w:p>
    <w:p>
      <w:pPr>
        <w:pStyle w:val="BodyText"/>
        <w:spacing w:line="201" w:lineRule="exact"/>
        <w:ind w:right="0"/>
        <w:jc w:val="left"/>
      </w:pPr>
      <w:r>
        <w:rPr/>
        <w:t>提供担保。</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已逾期未偿还的短期借款情况" w:id="306"/>
      <w:bookmarkEnd w:id="306"/>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7、以公允价值计量且其变动计入当期损益的金融负债" w:id="307"/>
      <w:bookmarkEnd w:id="307"/>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8、衍生金融负债" w:id="308"/>
      <w:bookmarkEnd w:id="308"/>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9、应付票据及应付账款" w:id="309"/>
      <w:bookmarkEnd w:id="309"/>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21,461,997.10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19,370,887.39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21,461,997.10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19,370,887.39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应付票据分类列示" w:id="310"/>
      <w:bookmarkEnd w:id="310"/>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本期末已到期未支付的应付票据总额为元。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应付账款列示" w:id="311"/>
      <w:bookmarkEnd w:id="311"/>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应付库存商品款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409,918.30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4,488,381.11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61,565.00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应付中介服务机构款项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144,451.00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3,073,884.27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应付分润款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8,648,244.90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6,798,598.34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11,511,982.90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4,023,307.45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应付其他款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747,400.00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925,151.22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21,461,997.10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19,370,887.39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账龄超过1年的重要应付账款" w:id="312"/>
      <w:bookmarkEnd w:id="312"/>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0、预收款项" w:id="313"/>
      <w:bookmarkEnd w:id="313"/>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314"/>
      <w:bookmarkEnd w:id="31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预收顾问咨询费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555,936.17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3,851,542.73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16,404.62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22,558.68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206,423.55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778,764.34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4,274,101.41</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预收款项" w:id="315"/>
      <w:bookmarkEnd w:id="31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期末建造合同形成的已结算未完工项目情况" w:id="316"/>
      <w:bookmarkEnd w:id="316"/>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1、应付职工薪酬" w:id="317"/>
      <w:bookmarkEnd w:id="317"/>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318"/>
      <w:bookmarkEnd w:id="31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9,199,210.09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73,787,533.59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71,729,318.28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11,257,425.40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38,357.91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3,547,207.73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3,458,597.08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126,968.56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2,832,408.00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2,832,408.00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9,237,568.00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80,167,149.32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78,020,323.36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11,384,393.96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319"/>
      <w:bookmarkEnd w:id="31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8,480,300.18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65,664,044.34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62,984,242.17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11,160,102.35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694,215.24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1,969,533.14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2,663,748.38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24,694.67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1,882,258.23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1,835,641.85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71,311.05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22,385.82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1,678,260.04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1,635,840.26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64,805.60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43,987.71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43,194.84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1,310.86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160,010.48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156,606.75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5,194.59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4,271,630.42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4,245,618.42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26,012.00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67.46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9,199,210.09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73,787,533.59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71,729,318.28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11,257,425.40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320"/>
      <w:bookmarkEnd w:id="32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63" w:right="0"/>
              <w:jc w:val="left"/>
              <w:rPr>
                <w:rFonts w:ascii="Times New Roman" w:hAnsi="Times New Roman" w:cs="Times New Roman" w:eastAsia="Times New Roman" w:hint="default"/>
                <w:sz w:val="18"/>
                <w:szCs w:val="18"/>
              </w:rPr>
            </w:pPr>
            <w:r>
              <w:rPr>
                <w:rFonts w:ascii="Times New Roman"/>
                <w:sz w:val="18"/>
              </w:rPr>
              <w:t>36,664.49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3,453,210.62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3,368,065.95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121,809.16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1,693.42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93,997.11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90,531.13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5,159.40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38,357.91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3,547,207.73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3,458,597.08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126,968.56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2、应交税费" w:id="321"/>
      <w:bookmarkEnd w:id="321"/>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4,773,001.22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4,108,467.30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12,691,445.90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11,922,699.13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151,188.49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253,149.03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341,881.20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288,010.27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244,200.79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205,721.61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25,470.66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69,891.92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2,784.74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18,229,973.00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16,847,939.26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3、其他应付款" w:id="322"/>
      <w:bookmarkEnd w:id="322"/>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1,867,454.94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2,790,209.06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562,553,475.08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208,283,630.69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564,420,930.02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211,073,839.75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利息" w:id="323"/>
      <w:bookmarkEnd w:id="323"/>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4"/>
        <w:gridCol w:w="3189"/>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898,333.33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1,884,178.77</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221,307.90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649,363.62</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588,313.71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256,666.67</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应付股东利息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159,500.00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1,867,454.94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2,790,209.06</w:t>
            </w:r>
          </w:p>
        </w:tc>
      </w:tr>
    </w:tbl>
    <w:p>
      <w:pPr>
        <w:pStyle w:val="BodyText"/>
        <w:spacing w:line="240" w:lineRule="auto" w:before="51"/>
        <w:ind w:right="0"/>
        <w:jc w:val="left"/>
      </w:pPr>
      <w:r>
        <w:rPr/>
        <w:t>重要的已逾期未支付的利息情况：</w:t>
      </w:r>
    </w:p>
    <w:p>
      <w:pPr>
        <w:pStyle w:val="BodyText"/>
        <w:spacing w:line="240" w:lineRule="auto" w:before="117"/>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付股利" w:id="324"/>
      <w:bookmarkEnd w:id="324"/>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其他应付款" w:id="325"/>
      <w:bookmarkEnd w:id="325"/>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未付股权收购款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156,413,266.24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204,285,683.02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1,800,658.72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700,000.02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应付控股股东借款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161,058.12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4,178,492.00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3,297,947.65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562,553,475.08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208,283,630.69</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张军红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156,413,266.24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未付股权收购款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156,413,266.24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4、持有待售负债" w:id="326"/>
      <w:bookmarkEnd w:id="326"/>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5、一年内到期的非流动负债" w:id="327"/>
      <w:bookmarkEnd w:id="327"/>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279,650,000.00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120,000,000.00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279,650,000.00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120,000,000.00</w:t>
            </w:r>
          </w:p>
        </w:tc>
      </w:tr>
    </w:tbl>
    <w:p>
      <w:pPr>
        <w:pStyle w:val="BodyText"/>
        <w:spacing w:line="357" w:lineRule="auto" w:before="51"/>
        <w:ind w:right="9132"/>
        <w:jc w:val="left"/>
        <w:rPr>
          <w:rFonts w:ascii="Times New Roman" w:hAnsi="Times New Roman" w:cs="Times New Roman" w:eastAsia="Times New Roman" w:hint="default"/>
        </w:rPr>
      </w:pPr>
      <w:r>
        <w:rPr/>
        <w:t>其他说明： 详见附注</w:t>
      </w:r>
      <w:r>
        <w:rPr>
          <w:rFonts w:ascii="Times New Roman" w:hAnsi="Times New Roman" w:cs="Times New Roman" w:eastAsia="Times New Roman" w:hint="default"/>
        </w:rPr>
        <w:t>37</w:t>
      </w:r>
    </w:p>
    <w:p>
      <w:pPr>
        <w:spacing w:line="240" w:lineRule="auto" w:before="11"/>
        <w:rPr>
          <w:rFonts w:ascii="Times New Roman" w:hAnsi="Times New Roman" w:cs="Times New Roman" w:eastAsia="Times New Roman" w:hint="default"/>
          <w:sz w:val="20"/>
          <w:szCs w:val="20"/>
        </w:rPr>
      </w:pPr>
    </w:p>
    <w:p>
      <w:pPr>
        <w:pStyle w:val="Heading4"/>
        <w:spacing w:line="240" w:lineRule="auto"/>
        <w:ind w:right="0"/>
        <w:jc w:val="left"/>
        <w:rPr>
          <w:b w:val="0"/>
          <w:bCs w:val="0"/>
        </w:rPr>
      </w:pPr>
      <w:bookmarkStart w:name="36、其他流动负债" w:id="328"/>
      <w:bookmarkEnd w:id="328"/>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第三方支付业务代垫款项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23,820,558.69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68,144,985.65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第三方支付业务结存客户备付金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2,577,763,537.59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376,659,119.62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929.59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2,601,585,025.87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444,804,105.27</w:t>
            </w:r>
          </w:p>
        </w:tc>
      </w:tr>
    </w:tbl>
    <w:p>
      <w:pPr>
        <w:pStyle w:val="BodyText"/>
        <w:spacing w:line="240" w:lineRule="auto" w:before="51"/>
        <w:ind w:right="0"/>
        <w:jc w:val="left"/>
      </w:pPr>
      <w:r>
        <w:rPr/>
        <w:t>短期应付债券的增减变动：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7、长期借款" w:id="329"/>
      <w:bookmarkEnd w:id="329"/>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长期借款分类" w:id="330"/>
      <w:bookmarkEnd w:id="330"/>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909,650,000.00</w:t>
            </w:r>
          </w:p>
        </w:tc>
      </w:tr>
    </w:tbl>
    <w:p>
      <w:pPr>
        <w:pStyle w:val="BodyText"/>
        <w:spacing w:line="240" w:lineRule="auto" w:before="51"/>
        <w:ind w:right="0"/>
        <w:jc w:val="both"/>
      </w:pPr>
      <w:r>
        <w:rPr/>
        <w:t>长期借款分类的说明：</w:t>
      </w:r>
    </w:p>
    <w:p>
      <w:pPr>
        <w:pStyle w:val="BodyText"/>
        <w:spacing w:line="300" w:lineRule="auto" w:before="116"/>
        <w:ind w:left="558" w:right="1123"/>
        <w:jc w:val="left"/>
      </w:pPr>
      <w:r>
        <w:rPr>
          <w:rFonts w:ascii="Times New Roman" w:hAnsi="Times New Roman" w:cs="Times New Roman" w:eastAsia="Times New Roman" w:hint="default"/>
        </w:rPr>
        <w:t>79,650,000.00</w:t>
      </w:r>
      <w:r>
        <w:rPr/>
        <w:t>元保证借款期末重分类至一年内到期的非流动负债。 其中：（</w:t>
      </w:r>
      <w:r>
        <w:rPr>
          <w:rFonts w:ascii="Times New Roman" w:hAnsi="Times New Roman" w:cs="Times New Roman" w:eastAsia="Times New Roman" w:hint="default"/>
        </w:rPr>
        <w:t>1</w:t>
      </w:r>
      <w:r>
        <w:rPr/>
        <w:t>）对华宸信托有限责任公司</w:t>
      </w:r>
      <w:r>
        <w:rPr>
          <w:rFonts w:ascii="Times New Roman" w:hAnsi="Times New Roman" w:cs="Times New Roman" w:eastAsia="Times New Roman" w:hint="default"/>
        </w:rPr>
        <w:t>25,050,000.00</w:t>
      </w:r>
      <w:r>
        <w:rPr/>
        <w:t>元借款，由天津和柚技术有限公司、郝江波、田文军提供连带保证</w:t>
      </w:r>
    </w:p>
    <w:p>
      <w:pPr>
        <w:pStyle w:val="BodyText"/>
        <w:spacing w:line="240" w:lineRule="auto" w:before="13"/>
        <w:ind w:right="0"/>
        <w:jc w:val="both"/>
      </w:pPr>
      <w:r>
        <w:rPr/>
        <w:t>责任。</w:t>
      </w:r>
    </w:p>
    <w:p>
      <w:pPr>
        <w:pStyle w:val="BodyText"/>
        <w:spacing w:line="307" w:lineRule="auto" w:before="76"/>
        <w:ind w:right="1050"/>
        <w:jc w:val="both"/>
      </w:pPr>
      <w:r>
        <w:rPr/>
        <w:t>（</w:t>
      </w:r>
      <w:r>
        <w:rPr>
          <w:rFonts w:ascii="Times New Roman" w:hAnsi="Times New Roman" w:cs="Times New Roman" w:eastAsia="Times New Roman" w:hint="default"/>
        </w:rPr>
        <w:t>2</w:t>
      </w:r>
      <w:r>
        <w:rPr/>
        <w:t>）对光大兴陇信托有限责任公司</w:t>
      </w:r>
      <w:r>
        <w:rPr>
          <w:rFonts w:ascii="Times New Roman" w:hAnsi="Times New Roman" w:cs="Times New Roman" w:eastAsia="Times New Roman" w:hint="default"/>
        </w:rPr>
        <w:t>54,600,000.00</w:t>
      </w:r>
      <w:r>
        <w:rPr/>
        <w:t>元借款，仁东控股股份有限公司向光大兴陇转让其合法持有的共青城民盛</w:t>
      </w:r>
      <w:r>
        <w:rPr>
          <w:spacing w:val="-48"/>
        </w:rPr>
        <w:t> </w:t>
      </w:r>
      <w:r>
        <w:rPr>
          <w:spacing w:val="-48"/>
        </w:rPr>
      </w:r>
      <w:r>
        <w:rPr/>
        <w:t>金控投资管理有限公司</w:t>
      </w:r>
      <w:r>
        <w:rPr>
          <w:rFonts w:ascii="Times New Roman" w:hAnsi="Times New Roman" w:cs="Times New Roman" w:eastAsia="Times New Roman" w:hint="default"/>
        </w:rPr>
        <w:t>100%</w:t>
      </w:r>
      <w:r>
        <w:rPr/>
        <w:t>股权、广东合利金融科技服务有限公司合法拥有的深圳前海合利商业保险有限公司</w:t>
      </w:r>
      <w:r>
        <w:rPr>
          <w:rFonts w:ascii="Times New Roman" w:hAnsi="Times New Roman" w:cs="Times New Roman" w:eastAsia="Times New Roman" w:hint="default"/>
        </w:rPr>
        <w:t>100%</w:t>
      </w:r>
      <w:r>
        <w:rPr/>
        <w:t>的股权 </w:t>
      </w:r>
      <w:r>
        <w:rPr>
          <w:spacing w:val="-2"/>
        </w:rPr>
        <w:t>收益权，光大兴陇信托有限责任公司分期支付受让仁东控股股份有限公司持有的股权收益权的受让价款，仁东控股股份有限</w:t>
      </w:r>
      <w:r>
        <w:rPr>
          <w:spacing w:val="-64"/>
        </w:rPr>
        <w:t> </w:t>
      </w:r>
      <w:r>
        <w:rPr>
          <w:spacing w:val="-64"/>
        </w:rPr>
      </w:r>
      <w:r>
        <w:rPr/>
        <w:t>公司于特定日期及到期日向光大兴陇信托有限责任公司支付回购价款。该借款由天津和柚技术有限公司、郝江波提供担保。</w:t>
      </w:r>
    </w:p>
    <w:p>
      <w:pPr>
        <w:pStyle w:val="BodyText"/>
        <w:spacing w:line="300" w:lineRule="auto" w:before="26"/>
        <w:ind w:left="558" w:right="1130" w:hanging="405"/>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200,000,000.00</w:t>
      </w:r>
      <w:r>
        <w:rPr/>
        <w:t>元质押借款期末重分类至一年内到期的非流动负债。 </w:t>
      </w:r>
      <w:r>
        <w:rPr>
          <w:spacing w:val="-1"/>
        </w:rPr>
        <w:t>其中：重分类至一年内到期的非流动负债</w:t>
      </w:r>
      <w:r>
        <w:rPr>
          <w:rFonts w:ascii="Times New Roman" w:hAnsi="Times New Roman" w:cs="Times New Roman" w:eastAsia="Times New Roman" w:hint="default"/>
          <w:spacing w:val="-1"/>
        </w:rPr>
        <w:t>2</w:t>
      </w:r>
      <w:r>
        <w:rPr>
          <w:spacing w:val="-1"/>
        </w:rPr>
        <w:t>亿借款既为质押借款也为保证借款，质押物为广东合利金融科技服务有限公</w:t>
      </w:r>
    </w:p>
    <w:p>
      <w:pPr>
        <w:pStyle w:val="BodyText"/>
        <w:spacing w:line="300" w:lineRule="auto" w:before="13"/>
        <w:ind w:right="1132"/>
        <w:jc w:val="both"/>
      </w:pPr>
      <w:r>
        <w:rPr/>
        <w:t>司持有的</w:t>
      </w:r>
      <w:r>
        <w:rPr>
          <w:rFonts w:ascii="Times New Roman" w:hAnsi="Times New Roman" w:cs="Times New Roman" w:eastAsia="Times New Roman" w:hint="default"/>
        </w:rPr>
        <w:t>100%</w:t>
      </w:r>
      <w:r>
        <w:rPr/>
        <w:t>深圳前海合利商业保理有限公司股权。仁东控股股份有限公司、天津和柚技术有限公司、霍东提供连带责任</w:t>
      </w:r>
      <w:r>
        <w:rPr>
          <w:spacing w:val="-57"/>
        </w:rPr>
        <w:t> </w:t>
      </w:r>
      <w:r>
        <w:rPr>
          <w:spacing w:val="-57"/>
        </w:rPr>
      </w:r>
      <w:r>
        <w:rPr/>
        <w:t>保证。</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42"/>
        <w:jc w:val="both"/>
      </w:pPr>
      <w:r>
        <w:rPr/>
        <w:t>（</w:t>
      </w:r>
      <w:r>
        <w:rPr>
          <w:rFonts w:ascii="Times New Roman" w:hAnsi="Times New Roman" w:cs="Times New Roman" w:eastAsia="Times New Roman" w:hint="default"/>
        </w:rPr>
        <w:t>4</w:t>
      </w:r>
      <w:r>
        <w:rPr/>
        <w:t>）对中信银行深圳西乡支行</w:t>
      </w:r>
      <w:r>
        <w:rPr>
          <w:rFonts w:ascii="Times New Roman" w:hAnsi="Times New Roman" w:cs="Times New Roman" w:eastAsia="Times New Roman" w:hint="default"/>
        </w:rPr>
        <w:t>420,000,000.00</w:t>
      </w:r>
      <w:r>
        <w:rPr/>
        <w:t>元借款，由天津和柚技术有限公司、郝江波及配偶田文军、张永东及其配偶黎 碧提供担保，广东合利金融科技服务有限公司（质押其拥有的广州合利宝支付科技有限公司</w:t>
      </w:r>
      <w:r>
        <w:rPr>
          <w:rFonts w:ascii="Times New Roman" w:hAnsi="Times New Roman" w:cs="Times New Roman" w:eastAsia="Times New Roman" w:hint="default"/>
        </w:rPr>
        <w:t>95%</w:t>
      </w:r>
      <w:r>
        <w:rPr/>
        <w:t>股权）、仁东控股股份有限 </w:t>
      </w:r>
      <w:r>
        <w:rPr>
          <w:spacing w:val="-1"/>
        </w:rPr>
        <w:t>公司（质押广东合利金融科技服务有限公司</w:t>
      </w:r>
      <w:r>
        <w:rPr>
          <w:rFonts w:ascii="Times New Roman" w:hAnsi="Times New Roman" w:cs="Times New Roman" w:eastAsia="Times New Roman" w:hint="default"/>
          <w:spacing w:val="-1"/>
        </w:rPr>
        <w:t>90%</w:t>
      </w:r>
      <w:r>
        <w:rPr>
          <w:spacing w:val="-1"/>
        </w:rPr>
        <w:t>股权）、郝江波提供（拥有的天津和柚技术有限公司</w:t>
      </w:r>
      <w:r>
        <w:rPr>
          <w:rFonts w:ascii="Times New Roman" w:hAnsi="Times New Roman" w:cs="Times New Roman" w:eastAsia="Times New Roman" w:hint="default"/>
          <w:spacing w:val="-1"/>
        </w:rPr>
        <w:t>100%</w:t>
      </w:r>
      <w:r>
        <w:rPr>
          <w:spacing w:val="-1"/>
        </w:rPr>
        <w:t>股权）质押担保。</w:t>
      </w:r>
    </w:p>
    <w:p>
      <w:pPr>
        <w:pStyle w:val="BodyText"/>
        <w:spacing w:line="240" w:lineRule="auto" w:before="53"/>
        <w:ind w:right="0"/>
        <w:jc w:val="both"/>
      </w:pPr>
      <w:r>
        <w:rPr/>
        <w:t>其他说明，包括利率区间：</w:t>
      </w:r>
    </w:p>
    <w:p>
      <w:pPr>
        <w:spacing w:line="240" w:lineRule="auto" w:before="11"/>
        <w:rPr>
          <w:rFonts w:ascii="宋体" w:hAnsi="宋体" w:cs="宋体" w:eastAsia="宋体" w:hint="default"/>
          <w:sz w:val="26"/>
          <w:szCs w:val="26"/>
        </w:rPr>
      </w:pPr>
    </w:p>
    <w:p>
      <w:pPr>
        <w:pStyle w:val="Heading4"/>
        <w:spacing w:line="240" w:lineRule="auto"/>
        <w:ind w:right="0"/>
        <w:jc w:val="both"/>
        <w:rPr>
          <w:b w:val="0"/>
          <w:bCs w:val="0"/>
        </w:rPr>
      </w:pPr>
      <w:bookmarkStart w:name="38、应付债券" w:id="331"/>
      <w:bookmarkEnd w:id="331"/>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应付债券" w:id="332"/>
      <w:bookmarkEnd w:id="332"/>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付债券的增减变动（不包括划分为金融负债的优先股、永续债等其他金融工具）" w:id="333"/>
      <w:bookmarkEnd w:id="333"/>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24"/>
          <w:szCs w:val="24"/>
        </w:rPr>
      </w:pPr>
    </w:p>
    <w:p>
      <w:pPr>
        <w:pStyle w:val="Heading4"/>
        <w:spacing w:line="240" w:lineRule="auto" w:before="35"/>
        <w:ind w:right="0"/>
        <w:jc w:val="left"/>
        <w:rPr>
          <w:b w:val="0"/>
          <w:bCs w:val="0"/>
        </w:rPr>
      </w:pPr>
      <w:bookmarkStart w:name="（3）可转换公司债券的转股条件、转股时间说明" w:id="334"/>
      <w:bookmarkEnd w:id="334"/>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划分为金融负债的其他金融工具说明" w:id="335"/>
      <w:bookmarkEnd w:id="335"/>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60"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right="7512"/>
        <w:jc w:val="left"/>
      </w:pPr>
      <w:r>
        <w:rPr/>
        <w:t>其他金融工具划分为金融负债的依据说明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39、长期应付款" w:id="336"/>
      <w:bookmarkEnd w:id="336"/>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按款项性质列示长期应付款" w:id="337"/>
      <w:bookmarkEnd w:id="337"/>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专项应付款" w:id="338"/>
      <w:bookmarkEnd w:id="338"/>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单位：人民币元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0、长期应付职工薪酬" w:id="339"/>
      <w:bookmarkEnd w:id="339"/>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付职工薪酬表" w:id="340"/>
      <w:bookmarkEnd w:id="340"/>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设定受益计划变动情况" w:id="341"/>
      <w:bookmarkEnd w:id="341"/>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设定受益计划义务现值：</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计划资产：</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设定受益计划净负债（净资产）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right="3552"/>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6"/>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1、预计负债" w:id="342"/>
      <w:bookmarkEnd w:id="342"/>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0"/>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2、递延收益" w:id="343"/>
      <w:bookmarkEnd w:id="343"/>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0"/>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3、其他非流动负债" w:id="344"/>
      <w:bookmarkEnd w:id="344"/>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4、股本" w:id="345"/>
      <w:bookmarkEnd w:id="345"/>
      <w:r>
        <w:rPr>
          <w:b w:val="0"/>
          <w:bCs w:val="0"/>
        </w:rPr>
      </w:r>
      <w:r>
        <w:rPr>
          <w:rFonts w:ascii="Times New Roman" w:hAnsi="Times New Roman" w:cs="Times New Roman" w:eastAsia="Times New Roman" w:hint="default"/>
        </w:rPr>
        <w:t>44</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373,291,100.00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186,645,550.00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186,645,550.00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559,936,650.00</w:t>
            </w:r>
          </w:p>
        </w:tc>
      </w:tr>
    </w:tbl>
    <w:p>
      <w:pPr>
        <w:pStyle w:val="BodyText"/>
        <w:spacing w:line="240" w:lineRule="auto" w:before="51"/>
        <w:ind w:right="0"/>
        <w:jc w:val="left"/>
      </w:pPr>
      <w:r>
        <w:rPr/>
        <w:t>其他说明：</w:t>
      </w:r>
    </w:p>
    <w:p>
      <w:pPr>
        <w:pStyle w:val="BodyText"/>
        <w:spacing w:line="300" w:lineRule="auto" w:before="115"/>
        <w:ind w:right="1024" w:firstLine="360"/>
        <w:jc w:val="left"/>
      </w:pPr>
      <w:r>
        <w:rPr/>
        <w:t>根据本公司</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年度股东大会决议，公司以现有总股本</w:t>
      </w:r>
      <w:r>
        <w:rPr>
          <w:rFonts w:ascii="Times New Roman" w:hAnsi="Times New Roman" w:cs="Times New Roman" w:eastAsia="Times New Roman" w:hint="default"/>
        </w:rPr>
        <w:t>373,291,100</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 增加股本</w:t>
      </w:r>
      <w:r>
        <w:rPr>
          <w:rFonts w:ascii="Times New Roman" w:hAnsi="Times New Roman" w:cs="Times New Roman" w:eastAsia="Times New Roman" w:hint="default"/>
        </w:rPr>
        <w:t>186,645,550.00</w:t>
      </w:r>
      <w:r>
        <w:rPr/>
        <w:t>元，公司于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日实施完毕资本公积转增股本。本次增资事项业经中兴财光华会计师事务所 </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审验，并出具了中兴财光华审验字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105002</w:t>
      </w:r>
      <w:r>
        <w:rPr/>
        <w:t>号《验资报告》。公司于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日办理完毕工商变更 登记手续。</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bookmarkStart w:name="45、其他权益工具" w:id="346"/>
      <w:bookmarkEnd w:id="346"/>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期末发行在外的优先股、永续债等其他金融工具基本情况" w:id="347"/>
      <w:bookmarkEnd w:id="347"/>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期末发行在外的优先股、永续债等金融工具变动情况表" w:id="348"/>
      <w:bookmarkEnd w:id="348"/>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2"/>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46、资本公积" w:id="349"/>
      <w:bookmarkEnd w:id="349"/>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227,406,035.01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186,645,550.00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40,760,485.01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10,879,133.57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139,502,400.00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150,381,533.57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238,285,168.58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139,502,400.00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186,645,550.00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191,142,018.58</w:t>
            </w:r>
          </w:p>
        </w:tc>
      </w:tr>
    </w:tbl>
    <w:p>
      <w:pPr>
        <w:pStyle w:val="BodyText"/>
        <w:spacing w:line="240" w:lineRule="auto" w:before="51"/>
        <w:ind w:right="0"/>
        <w:jc w:val="left"/>
      </w:pPr>
      <w:r>
        <w:rPr/>
        <w:t>其他说明，包括本期增减变动情况、变动原因说明：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3"/>
        <w:jc w:val="left"/>
      </w:pPr>
      <w:r>
        <w:rPr>
          <w:rFonts w:ascii="Times New Roman" w:hAnsi="Times New Roman" w:cs="Times New Roman" w:eastAsia="Times New Roman" w:hint="default"/>
        </w:rPr>
        <w:t>1. </w:t>
      </w:r>
      <w:r>
        <w:rPr/>
        <w:t>本公司本期因实施资本公积转增股本，增加股本</w:t>
      </w:r>
      <w:r>
        <w:rPr>
          <w:rFonts w:ascii="Times New Roman" w:hAnsi="Times New Roman" w:cs="Times New Roman" w:eastAsia="Times New Roman" w:hint="default"/>
        </w:rPr>
        <w:t>186,645,550.00</w:t>
      </w:r>
      <w:r>
        <w:rPr/>
        <w:t>元，同时减少资本公积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rFonts w:ascii="Times New Roman" w:hAnsi="Times New Roman" w:cs="Times New Roman" w:eastAsia="Times New Roman" w:hint="default"/>
        </w:rPr>
        <w:t>186,645,550.00</w:t>
      </w:r>
      <w:r>
        <w:rPr/>
        <w:t>元，详见 本财务报表附注</w:t>
      </w:r>
      <w:r>
        <w:rPr>
          <w:rFonts w:ascii="Times New Roman" w:hAnsi="Times New Roman" w:cs="Times New Roman" w:eastAsia="Times New Roman" w:hint="default"/>
        </w:rPr>
        <w:t>44</w:t>
      </w:r>
      <w:r>
        <w:rPr/>
        <w:t>。</w:t>
      </w:r>
    </w:p>
    <w:p>
      <w:pPr>
        <w:pStyle w:val="BodyText"/>
        <w:spacing w:line="240" w:lineRule="auto" w:before="13"/>
        <w:ind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7"/>
        </w:rPr>
        <w:t> </w:t>
      </w: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月收到内蒙古仁东科技有限公司业绩补偿款</w:t>
      </w:r>
      <w:r>
        <w:rPr>
          <w:rFonts w:ascii="Times New Roman" w:hAnsi="Times New Roman" w:cs="Times New Roman" w:eastAsia="Times New Roman" w:hint="default"/>
        </w:rPr>
        <w:t>139,502,400.00</w:t>
      </w:r>
      <w:r>
        <w:rPr/>
        <w:t>元</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bookmarkStart w:name="47、库存股" w:id="350"/>
      <w:bookmarkEnd w:id="350"/>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8、其他综合收益" w:id="351"/>
      <w:bookmarkEnd w:id="351"/>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-4,780.26</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-4,352.58</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-9,132.84</w:t>
            </w:r>
          </w:p>
        </w:tc>
      </w:tr>
      <w:tr>
        <w:trPr>
          <w:trHeight w:val="402"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-4,780.26</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-4,352.58</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-9,132.84</w:t>
            </w:r>
          </w:p>
        </w:tc>
      </w:tr>
      <w:tr>
        <w:trPr>
          <w:trHeight w:val="40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-4,780.26</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-4,352.58</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-9,132.84</w:t>
            </w:r>
          </w:p>
        </w:tc>
      </w:tr>
    </w:tbl>
    <w:p>
      <w:pPr>
        <w:pStyle w:val="BodyText"/>
        <w:spacing w:line="240" w:lineRule="auto" w:before="51"/>
        <w:ind w:right="0"/>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9、一般风险准备" w:id="352"/>
      <w:bookmarkEnd w:id="352"/>
      <w:r>
        <w:rPr>
          <w:b w:val="0"/>
          <w:bCs w:val="0"/>
        </w:rPr>
      </w:r>
      <w:r>
        <w:rPr>
          <w:rFonts w:ascii="Times New Roman" w:hAnsi="Times New Roman" w:cs="Times New Roman" w:eastAsia="Times New Roman" w:hint="default"/>
        </w:rPr>
        <w:t>49</w:t>
      </w:r>
      <w:r>
        <w:rPr/>
        <w:t>、一般风险准备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3,773.16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3,773.16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3,773.16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3,773.16</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0、盈余公积" w:id="353"/>
      <w:bookmarkEnd w:id="353"/>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43,544,814.66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43,544,814.66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43,544,814.66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43,544,814.66</w:t>
            </w:r>
          </w:p>
        </w:tc>
      </w:tr>
    </w:tbl>
    <w:p>
      <w:pPr>
        <w:pStyle w:val="BodyText"/>
        <w:spacing w:line="240" w:lineRule="auto" w:before="51"/>
        <w:ind w:right="0"/>
        <w:jc w:val="left"/>
      </w:pPr>
      <w:r>
        <w:rPr/>
        <w:t>盈余公积说明，包括本期增减变动情况、变动原因说明：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1、未分配利润" w:id="354"/>
      <w:bookmarkEnd w:id="354"/>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121,132,981.40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336,878,375.08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121,132,981.40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336,878,375.08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52,986,949.73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-215,741,620.52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3,773.16</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174,119,931.13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121,132,981.40</w:t>
            </w:r>
          </w:p>
        </w:tc>
      </w:tr>
    </w:tbl>
    <w:p>
      <w:pPr>
        <w:pStyle w:val="BodyText"/>
        <w:spacing w:line="240" w:lineRule="auto" w:before="51"/>
        <w:ind w:right="0"/>
        <w:jc w:val="left"/>
      </w:pPr>
      <w:r>
        <w:rPr/>
        <w:t>调整期初未分配利润明细：</w:t>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2、营业收入和营业成本" w:id="355"/>
      <w:bookmarkEnd w:id="355"/>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7"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1,484,741,817.75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1,206,693,303.02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953,250,581.35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769,412,343.30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1,188,163.26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201,888.57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223,080.86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46,546.27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1,485,929,981.01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1,206,895,191.59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953,473,662.21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769,458,889.57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3、税金及附加" w:id="356"/>
      <w:bookmarkEnd w:id="356"/>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1,651,348.13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1,224,105.35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1,179,534.39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872,381.72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422,806.34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3,147,248.43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3,985.00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3,256,808.86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5,247,720.50</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4、销售费用" w:id="357"/>
      <w:bookmarkEnd w:id="357"/>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工资福利保险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21,925,795.85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16,318,735.76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1,153,268.62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971,593.63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1,263,485.94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248,636.82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23,170.35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28,189.77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35,601.16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78,719.50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广告及业务宣传费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1,755,117.25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1,690,714.48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2,122,244.09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412,376.05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14,201.97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42,266.68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154,486.78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450,017.49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252,781.97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23,313.64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28,700,153.98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20,264,563.82</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5、管理费用" w:id="358"/>
      <w:bookmarkEnd w:id="358"/>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39,188,362.45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41,429,900.73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1,035,064.96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1,539,380.68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2,334,621.59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2,476,599.47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381,743.10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644,428.61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3,505,511.49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1,483,305.96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6,244,316.10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7,535,675.46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摊销、折旧费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8,171,102.43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8,428,377.76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142,410.16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155,686.16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13,444,496.89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12,754,935.45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1,238,817.35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671,810.03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装修与维修费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905,981.98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446,650.13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474,548.43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514,212.89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77,513,627.06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77,634,313.20</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6、研发费用" w:id="359"/>
      <w:bookmarkEnd w:id="359"/>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22,062,235.76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9,204,641.97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2,656,409.74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2,308,509.92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1,238,132.55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46,826.59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749,638.11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695,722.77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4,829,453.96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1,227,156.19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3,434,688.98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334,067.93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34,970,559.10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13,816,925.37</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7、财务费用" w:id="360"/>
      <w:bookmarkEnd w:id="360"/>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56,592,764.69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65,077,872.90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贴现利息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844,878.77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1,218,577.59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3,785,600.80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4,758.25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4,211.37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241,407.45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505,803.83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56,455,715.07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61,793,872.02</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8、资产减值损失" w:id="361"/>
      <w:bookmarkEnd w:id="361"/>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-131,609.60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2,729,684.01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1,148,139.20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195,853,086.86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231,660.02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1,248,189.62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198,586,520.87</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214" w:right="6252"/>
        <w:jc w:val="left"/>
        <w:rPr>
          <w:b w:val="0"/>
          <w:bCs w:val="0"/>
        </w:rPr>
      </w:pPr>
      <w:bookmarkStart w:name="59、其他收益" w:id="362"/>
      <w:bookmarkEnd w:id="362"/>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70,753.12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商务发展专项资金电子商务与商贸物流 事项扶持资金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广州市知识产权局专利资助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研发经费补助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中国制造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2025"</w:t>
            </w:r>
            <w:r>
              <w:rPr>
                <w:rFonts w:ascii="宋体" w:hAnsi="宋体" w:cs="宋体" w:eastAsia="宋体" w:hint="default"/>
                <w:sz w:val="18"/>
                <w:szCs w:val="18"/>
              </w:rPr>
              <w:t>产业发展资金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广州市知识产权局专利资助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南沙区政府专利补贴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企业研究开发省级财政补助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361,600.00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金融工作局财局补贴款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1,753.24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中新天津生态城管理委员会产业扶持专 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297,112.72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工业经济奖励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left="214" w:right="6252"/>
        <w:jc w:val="left"/>
        <w:rPr>
          <w:b w:val="0"/>
          <w:bCs w:val="0"/>
        </w:rPr>
      </w:pPr>
      <w:bookmarkStart w:name="60、投资收益" w:id="363"/>
      <w:bookmarkEnd w:id="363"/>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7,532,617.13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7,532,617.13</w:t>
            </w: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214" w:right="8052"/>
        <w:jc w:val="left"/>
      </w:pPr>
      <w:r>
        <w:rPr/>
        <w:pict>
          <v:shape style="position:absolute;margin-left:51.060001pt;margin-top:35.20174pt;width:445.65pt;height:60.8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10"/>
                    <w:gridCol w:w="2694"/>
                    <w:gridCol w:w="2693"/>
                  </w:tblGrid>
                  <w:tr>
                    <w:trPr>
                      <w:trHeight w:val="40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深圳民盛云尚信息技术有限公司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7,532,617.13</w:t>
                        </w: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b/>
                            <w:sz w:val="18"/>
                          </w:rPr>
                          <w:t>7,532,617.13</w:t>
                        </w:r>
                        <w:r>
                          <w:rPr>
                            <w:rFonts w:ascii="Times New Roman"/>
                            <w:sz w:val="18"/>
                          </w:rPr>
                        </w:r>
                      </w:p>
                    </w:tc>
                    <w:tc>
                      <w:tcPr>
                        <w:tcW w:w="2693"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其他说明： 处置长期股权投资产生的投资收益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1"/>
        <w:ind w:left="214" w:right="6252"/>
        <w:jc w:val="left"/>
        <w:rPr>
          <w:b w:val="0"/>
          <w:bCs w:val="0"/>
        </w:rPr>
      </w:pPr>
      <w:bookmarkStart w:name="61、公允价值变动收益" w:id="364"/>
      <w:bookmarkEnd w:id="364"/>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214" w:right="6252"/>
        <w:jc w:val="left"/>
      </w:pPr>
      <w:r>
        <w:rPr/>
        <w:t>其他说明：</w:t>
      </w:r>
    </w:p>
    <w:p>
      <w:pPr>
        <w:spacing w:after="0" w:line="240" w:lineRule="auto"/>
        <w:jc w:val="left"/>
        <w:sectPr>
          <w:pgSz w:w="11910" w:h="16840"/>
          <w:pgMar w:header="747" w:footer="979" w:top="1060" w:bottom="1160" w:left="92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2、资产处置收益" w:id="365"/>
      <w:bookmarkEnd w:id="365"/>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15,100.17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3、营业外收入" w:id="366"/>
      <w:bookmarkEnd w:id="366"/>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5,139,300.52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受让股权支付对价收益</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364,895.45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625.66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300,625.66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5,504,837.73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300,625.66</w:t>
            </w: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31"/>
              <w:jc w:val="both"/>
              <w:rPr>
                <w:rFonts w:ascii="宋体" w:hAnsi="宋体" w:cs="宋体" w:eastAsia="宋体" w:hint="default"/>
                <w:sz w:val="18"/>
                <w:szCs w:val="18"/>
              </w:rPr>
            </w:pPr>
            <w:r>
              <w:rPr>
                <w:rFonts w:ascii="宋体" w:hAnsi="宋体" w:cs="宋体" w:eastAsia="宋体" w:hint="default"/>
                <w:sz w:val="18"/>
                <w:szCs w:val="18"/>
              </w:rPr>
              <w:t>第一批高新 技术企业培 育库入库奖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福田区产业 发展专项资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广州市企业 研究开发机 构建设专项 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广州市商务 发展专项资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广州市高新 技术企业认 证补贴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中新天津生 态城管理委 员会产业扶 持专项资金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752,700.52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4、营业外支出" w:id="367"/>
      <w:bookmarkEnd w:id="367"/>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赔偿款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1,309.27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1,309.27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税收滞纳金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1,404,242.73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公益性捐赠支出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405,000.00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固定资产报废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97,197.36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97,197.36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64.65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503,506.63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1,404,307.38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503,506.63</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5、所得税费用" w:id="368"/>
      <w:bookmarkEnd w:id="368"/>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69"/>
      <w:bookmarkEnd w:id="36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29,045,029.06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27,206,819.41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-652,097.95</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-1,885,768.61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28,392,931.11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25,321,050.80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370"/>
      <w:bookmarkEnd w:id="37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87,132,490.97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21,783,122.74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-14,329,368.32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-159.55</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955,003.31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16,438,561.69</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7,004,274.01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-3,458,502.77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28,392,931.11</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547" w:lineRule="auto" w:before="35"/>
        <w:ind w:left="154" w:right="8855" w:firstLine="0"/>
        <w:jc w:val="left"/>
        <w:rPr>
          <w:rFonts w:ascii="宋体" w:hAnsi="宋体" w:cs="宋体" w:eastAsia="宋体" w:hint="default"/>
          <w:sz w:val="21"/>
          <w:szCs w:val="21"/>
        </w:rPr>
      </w:pPr>
      <w:bookmarkStart w:name="66、其他综合收益" w:id="371"/>
      <w:bookmarkEnd w:id="371"/>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宋体" w:hAnsi="宋体" w:cs="宋体" w:eastAsia="宋体" w:hint="default"/>
          <w:sz w:val="18"/>
          <w:szCs w:val="18"/>
        </w:rPr>
        <w:t>。 </w:t>
      </w:r>
      <w:bookmarkStart w:name="67、现金流量表项目" w:id="372"/>
      <w:bookmarkEnd w:id="372"/>
      <w:r>
        <w:rPr>
          <w:rFonts w:ascii="宋体" w:hAnsi="宋体" w:cs="宋体" w:eastAsia="宋体" w:hint="default"/>
          <w:sz w:val="18"/>
          <w:szCs w:val="18"/>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6"/>
        <w:ind w:right="0"/>
        <w:jc w:val="left"/>
        <w:rPr>
          <w:b w:val="0"/>
          <w:bCs w:val="0"/>
        </w:rPr>
      </w:pPr>
      <w:bookmarkStart w:name="（1）收到的其他与经营活动有关的现金" w:id="373"/>
      <w:bookmarkEnd w:id="37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收回的保理本金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603,424,935.70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580,607,698.73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收到的保证金、个人借款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4,262,173.31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6,192,854.88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1,218,577.59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3,598,493.57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3,142,265.96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5,139,300.52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平台提现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1,931,942.69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收回的融资租赁本金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27,034,745.49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收回的预付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76,337,597.10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收到承兑汇票及信用证保证金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70,753.12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142,593.16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717,565,584.12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595,538,947.40</w:t>
            </w:r>
          </w:p>
        </w:tc>
      </w:tr>
    </w:tbl>
    <w:p>
      <w:pPr>
        <w:pStyle w:val="BodyText"/>
        <w:spacing w:line="240" w:lineRule="auto" w:before="51"/>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支付的其他与经营活动有关的现金" w:id="374"/>
      <w:bookmarkEnd w:id="37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241,407.45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505,803.83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56,198,445.29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34,991,599.10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支付的保理本金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483,616,344.27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1,002,589,137.38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支付保证金、押金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6,206,770.53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支付的预付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105,597,298.23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平台充值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5,543,349.00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122,137,990.00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支付的第三方支付业务保证金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支付的税收滞纳金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1,404,242.73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4,515,678.62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779,946,604.77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1,044,606,526.31</w:t>
            </w:r>
          </w:p>
        </w:tc>
      </w:tr>
    </w:tbl>
    <w:p>
      <w:pPr>
        <w:pStyle w:val="BodyText"/>
        <w:spacing w:line="240" w:lineRule="auto" w:before="51"/>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收到的其他与投资活动有关的现金" w:id="375"/>
      <w:bookmarkEnd w:id="375"/>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收到资金拆借款及利息</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1,013,055.56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1,013,055.56</w:t>
            </w:r>
          </w:p>
        </w:tc>
      </w:tr>
    </w:tbl>
    <w:p>
      <w:pPr>
        <w:pStyle w:val="BodyText"/>
        <w:spacing w:line="240" w:lineRule="auto" w:before="51"/>
        <w:ind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支付的其他与投资活动有关的现金" w:id="376"/>
      <w:bookmarkEnd w:id="376"/>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处置固定资产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12,550.00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12,550.00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收到的其他与筹资活动有关的现金" w:id="377"/>
      <w:bookmarkEnd w:id="377"/>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收到股东借款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1,124,287,144.62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过渡期损益款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1,886,000.00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其他非金融机构借款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收回云尚往来款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5,212,855.38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收到业绩补偿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139,502,400.00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1,275,388,400.00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1,035,000,000.00</w:t>
            </w:r>
          </w:p>
        </w:tc>
      </w:tr>
    </w:tbl>
    <w:p>
      <w:pPr>
        <w:pStyle w:val="BodyText"/>
        <w:spacing w:line="240" w:lineRule="auto" w:before="51"/>
        <w:ind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支付的其他与筹资活动有关的现金" w:id="378"/>
      <w:bookmarkEnd w:id="378"/>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归还股东的借款及利息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724,287,144.62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6" w:right="0"/>
              <w:jc w:val="left"/>
              <w:rPr>
                <w:rFonts w:ascii="Times New Roman" w:hAnsi="Times New Roman" w:cs="Times New Roman" w:eastAsia="Times New Roman" w:hint="default"/>
                <w:sz w:val="18"/>
                <w:szCs w:val="18"/>
              </w:rPr>
            </w:pPr>
            <w:r>
              <w:rPr>
                <w:rFonts w:ascii="Times New Roman"/>
                <w:sz w:val="18"/>
              </w:rPr>
              <w:t>1,352,819,487.50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偿还其他非金融机构借款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492.069977pt;width:151.25pt;height:40.9pt;mso-position-horizontal-relative:page;mso-position-vertical-relative:page;z-index:-916192" coordorigin="4467,9841" coordsize="3025,818">
            <v:group style="position:absolute;left:4478;top:9853;width:2;height:393" coordorigin="4478,9853" coordsize="2,393">
              <v:shape style="position:absolute;left:4478;top:9853;width:2;height:393" coordorigin="4478,9853" coordsize="0,393" path="m4478,9853l4478,10245e" filled="false" stroked="true" strokeweight="1.140pt" strokecolor="#ffffff">
                <v:path arrowok="t"/>
              </v:shape>
            </v:group>
            <v:group style="position:absolute;left:4490;top:9853;width:3002;height:393" coordorigin="4490,9853" coordsize="3002,393">
              <v:shape style="position:absolute;left:4490;top:9853;width:3002;height:393" coordorigin="4490,9853" coordsize="3002,393" path="m4490,10245l7491,10245,7491,9853,4490,9853,4490,10245xe" filled="true" fillcolor="#ffffff" stroked="false">
                <v:path arrowok="t"/>
                <v:fill type="solid"/>
              </v:shape>
            </v:group>
            <v:group style="position:absolute;left:4478;top:10255;width:2;height:393" coordorigin="4478,10255" coordsize="2,393">
              <v:shape style="position:absolute;left:4478;top:10255;width:2;height:393" coordorigin="4478,10255" coordsize="0,393" path="m4478,10255l4478,10647e" filled="false" stroked="true" strokeweight="1.140pt" strokecolor="#ffffff">
                <v:path arrowok="t"/>
              </v:shape>
            </v:group>
            <v:group style="position:absolute;left:4490;top:10255;width:3002;height:393" coordorigin="4490,10255" coordsize="3002,393">
              <v:shape style="position:absolute;left:4490;top:10255;width:3002;height:393" coordorigin="4490,10255" coordsize="3002,393" path="m4490,10647l7491,10647,7491,10255,4490,10255,4490,10647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购买广东合利金融科技服务有限公司少 数股权而支付给少数股东的现金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155,555,600.00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728,787,144.62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1,508,375,087.50</w:t>
            </w:r>
          </w:p>
        </w:tc>
      </w:tr>
    </w:tbl>
    <w:p>
      <w:pPr>
        <w:pStyle w:val="BodyText"/>
        <w:spacing w:line="240" w:lineRule="auto" w:before="51"/>
        <w:ind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8、现金流量表补充资料" w:id="379"/>
      <w:bookmarkEnd w:id="379"/>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80"/>
      <w:bookmarkEnd w:id="38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122"/>
        <w:gridCol w:w="1947"/>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58,739,559.86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-214,534,563.42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1,248,189.62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198,586,520.87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3,473,289.61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3,064,537.59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7,548,122.99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7,058,962.93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833,481.38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604,249.57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-15,100.17</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97,197.36</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56,592,764.69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71,459,704.39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-7,532,617.13</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290,612.06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3,657,290.72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-942,710.01</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-5,548,043.33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-6,018.49</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-10,166.66</w:t>
            </w:r>
            <w:r>
              <w:rPr>
                <w:rFonts w:ascii="Times New Roman"/>
                <w:sz w:val="18"/>
              </w:rPr>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373,492,335.89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-756,113,835.50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-258,457,218.54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116,717,186.18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-364,895.45</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235,376,989.29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-575,438,152.28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493,430,500.43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378,147,499.85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378,147,499.85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193,782,820.59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6" w:right="0"/>
              <w:jc w:val="left"/>
              <w:rPr>
                <w:rFonts w:ascii="Times New Roman" w:hAnsi="Times New Roman" w:cs="Times New Roman" w:eastAsia="Times New Roman" w:hint="default"/>
                <w:sz w:val="18"/>
                <w:szCs w:val="18"/>
              </w:rPr>
            </w:pPr>
            <w:r>
              <w:rPr>
                <w:rFonts w:ascii="Times New Roman"/>
                <w:sz w:val="18"/>
              </w:rPr>
              <w:t>115,283,000.58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7" w:right="0"/>
              <w:jc w:val="left"/>
              <w:rPr>
                <w:rFonts w:ascii="Times New Roman" w:hAnsi="Times New Roman" w:cs="Times New Roman" w:eastAsia="Times New Roman" w:hint="default"/>
                <w:sz w:val="18"/>
                <w:szCs w:val="18"/>
              </w:rPr>
            </w:pPr>
            <w:r>
              <w:rPr>
                <w:rFonts w:ascii="Times New Roman"/>
                <w:sz w:val="18"/>
              </w:rPr>
              <w:t>184,364,679.26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本期支付的取得子公司的现金净额" w:id="381"/>
      <w:bookmarkEnd w:id="381"/>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47,872,416.78</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广东合利金融科技服务有限公司</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47,872,416.78</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47,872,416.78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本期收到的处置子公司的现金净额" w:id="382"/>
      <w:bookmarkEnd w:id="382"/>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深圳民盛云尚信息技术有限公司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157,832.03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深圳民盛云尚信息技术有限公司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157,832.03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4,642,167.97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现金和现金等价物的构成" w:id="383"/>
      <w:bookmarkEnd w:id="383"/>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17"/>
        <w:gridCol w:w="3057"/>
        <w:gridCol w:w="3184"/>
      </w:tblGrid>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493,430,500.43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378,147,499.85</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7,758.72</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493,423,800.43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378,139,741.13</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493,430,500.43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378,147,499.85</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547" w:lineRule="auto" w:before="35"/>
        <w:ind w:left="154" w:right="5372" w:firstLine="0"/>
        <w:jc w:val="left"/>
        <w:rPr>
          <w:rFonts w:ascii="宋体" w:hAnsi="宋体" w:cs="宋体" w:eastAsia="宋体" w:hint="default"/>
          <w:sz w:val="21"/>
          <w:szCs w:val="21"/>
        </w:rPr>
      </w:pPr>
      <w:bookmarkStart w:name="69、所有者权益变动表项目注释" w:id="384"/>
      <w:bookmarkEnd w:id="384"/>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0、所有权或使用权受到限制的资产" w:id="385"/>
      <w:bookmarkEnd w:id="385"/>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138,133,526.82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客户备付金、保证金及风险准备金。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138,133,526.82</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1、外币货币性项目" w:id="386"/>
      <w:bookmarkEnd w:id="386"/>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87"/>
      <w:bookmarkEnd w:id="387"/>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206,331.08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180,787.29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 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16,910.66</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59" w:lineRule="auto" w:before="35"/>
        <w:ind w:right="0"/>
        <w:jc w:val="left"/>
        <w:rPr>
          <w:b w:val="0"/>
          <w:bCs w:val="0"/>
        </w:rPr>
      </w:pPr>
      <w:bookmarkStart w:name="（2）境外经营实体说明，包括对于重要的境外经营实体，应披露其境外主要经营地、记账" w:id="388"/>
      <w:bookmarkEnd w:id="388"/>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72、套期" w:id="389"/>
      <w:bookmarkEnd w:id="389"/>
      <w:r>
        <w:rPr>
          <w:b w:val="0"/>
          <w:bCs w:val="0"/>
        </w:rPr>
      </w:r>
      <w:r>
        <w:rPr>
          <w:rFonts w:ascii="Times New Roman" w:hAnsi="Times New Roman" w:cs="Times New Roman" w:eastAsia="Times New Roman" w:hint="default"/>
        </w:rPr>
        <w:t>72</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3、政府补助" w:id="390"/>
      <w:bookmarkEnd w:id="390"/>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政府补助基本情况" w:id="391"/>
      <w:bookmarkEnd w:id="391"/>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第一批高新技术企业培育库 入库奖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商务发展专项资金电子商务 与商贸物流事项扶持资金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广州市知识产权局专利资助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研发经费补助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中国制造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2025”</w:t>
            </w:r>
            <w:r>
              <w:rPr>
                <w:rFonts w:ascii="宋体" w:hAnsi="宋体" w:cs="宋体" w:eastAsia="宋体" w:hint="default"/>
                <w:sz w:val="18"/>
                <w:szCs w:val="18"/>
              </w:rPr>
              <w:t>产业发展资 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广州市知识产权局专利资助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南沙区政府专利补贴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企业研究开发省级财政补助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361,600.00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金融工作局财局补贴款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中新天津生态城管理委员会 产业扶持专项资金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297,112.72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297,112.72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工业经济奖励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政府补助退回情况" w:id="392"/>
      <w:bookmarkEnd w:id="392"/>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4" w:right="8328" w:firstLine="0"/>
        <w:jc w:val="left"/>
        <w:rPr>
          <w:rFonts w:ascii="宋体" w:hAnsi="宋体" w:cs="宋体" w:eastAsia="宋体" w:hint="default"/>
          <w:sz w:val="21"/>
          <w:szCs w:val="21"/>
        </w:rPr>
      </w:pPr>
      <w:bookmarkStart w:name="74、其他" w:id="393"/>
      <w:bookmarkEnd w:id="393"/>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4"/>
      <w:bookmarkEnd w:id="394"/>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5"/>
      <w:bookmarkEnd w:id="39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right="0"/>
        <w:jc w:val="left"/>
        <w:rPr>
          <w:b w:val="0"/>
          <w:bCs w:val="0"/>
        </w:rPr>
      </w:pPr>
      <w:bookmarkStart w:name="（1）本期发生的非同一控制下企业合并" w:id="396"/>
      <w:bookmarkEnd w:id="396"/>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合并成本及商誉" w:id="397"/>
      <w:bookmarkEnd w:id="397"/>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1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1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799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799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right="6072"/>
        <w:jc w:val="left"/>
      </w:pPr>
      <w:r>
        <w:rPr/>
        <w:t>合并成本公允价值的确定方法、或有对价及其变动的说明： 大额商誉形成的主要原因：</w:t>
      </w:r>
    </w:p>
    <w:p>
      <w:pPr>
        <w:pStyle w:val="BodyText"/>
        <w:spacing w:line="240" w:lineRule="auto" w:before="26"/>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被购买方于购买日可辨认资产、负债" w:id="398"/>
      <w:bookmarkEnd w:id="398"/>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right="7530"/>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4"/>
        <w:spacing w:line="240" w:lineRule="auto"/>
        <w:ind w:right="0"/>
        <w:jc w:val="both"/>
        <w:rPr>
          <w:b w:val="0"/>
          <w:bCs w:val="0"/>
        </w:rPr>
      </w:pPr>
      <w:bookmarkStart w:name="（4）购买日之前持有的股权按照公允价值重新计量产生的利得或损失" w:id="399"/>
      <w:bookmarkEnd w:id="399"/>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6"/>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购买日或合并当期期末无法合理确定合并对价或被购买方可辨认资产、负债公允价值" w:id="400"/>
      <w:bookmarkEnd w:id="400"/>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其他说明" w:id="401"/>
      <w:bookmarkEnd w:id="401"/>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2、同一控制下企业合并" w:id="402"/>
      <w:bookmarkEnd w:id="402"/>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期发生的同一控制下企业合并" w:id="403"/>
      <w:bookmarkEnd w:id="403"/>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合并成本" w:id="404"/>
      <w:bookmarkEnd w:id="404"/>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799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799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799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799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right="8592"/>
        <w:jc w:val="left"/>
      </w:pPr>
      <w:r>
        <w:rPr/>
        <w:t>或有对价及其变动的说明： 其他说明：</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3）合并日被合并方资产、负债的账面价值" w:id="405"/>
      <w:bookmarkEnd w:id="405"/>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799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799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799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799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799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001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799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001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799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004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3、反向购买" w:id="406"/>
      <w:bookmarkEnd w:id="406"/>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4、处置子公司" w:id="407"/>
      <w:bookmarkEnd w:id="407"/>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25"/>
        <w:gridCol w:w="736"/>
        <w:gridCol w:w="736"/>
        <w:gridCol w:w="735"/>
        <w:gridCol w:w="735"/>
        <w:gridCol w:w="735"/>
        <w:gridCol w:w="735"/>
        <w:gridCol w:w="735"/>
        <w:gridCol w:w="737"/>
        <w:gridCol w:w="737"/>
        <w:gridCol w:w="736"/>
        <w:gridCol w:w="736"/>
        <w:gridCol w:w="725"/>
      </w:tblGrid>
      <w:tr>
        <w:trPr>
          <w:trHeight w:val="705" w:hRule="exact"/>
        </w:trPr>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17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92" w:right="92"/>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92" w:right="92"/>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0"/>
              <w:jc w:val="left"/>
              <w:rPr>
                <w:rFonts w:ascii="宋体" w:hAnsi="宋体" w:cs="宋体" w:eastAsia="宋体" w:hint="default"/>
                <w:sz w:val="18"/>
                <w:szCs w:val="18"/>
              </w:rPr>
            </w:pPr>
            <w:r>
              <w:rPr>
                <w:rFonts w:ascii="宋体" w:hAnsi="宋体" w:cs="宋体" w:eastAsia="宋体" w:hint="default"/>
                <w:sz w:val="18"/>
                <w:szCs w:val="18"/>
              </w:rPr>
              <w:t>丧失控 制权的</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2"/>
              <w:jc w:val="left"/>
              <w:rPr>
                <w:rFonts w:ascii="宋体" w:hAnsi="宋体" w:cs="宋体" w:eastAsia="宋体" w:hint="default"/>
                <w:sz w:val="18"/>
                <w:szCs w:val="18"/>
              </w:rPr>
            </w:pPr>
            <w:r>
              <w:rPr>
                <w:rFonts w:ascii="宋体" w:hAnsi="宋体" w:cs="宋体" w:eastAsia="宋体" w:hint="default"/>
                <w:sz w:val="18"/>
                <w:szCs w:val="18"/>
              </w:rPr>
              <w:t>丧失控 制权时</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0"/>
              <w:jc w:val="left"/>
              <w:rPr>
                <w:rFonts w:ascii="宋体" w:hAnsi="宋体" w:cs="宋体" w:eastAsia="宋体" w:hint="default"/>
                <w:sz w:val="18"/>
                <w:szCs w:val="18"/>
              </w:rPr>
            </w:pPr>
            <w:r>
              <w:rPr>
                <w:rFonts w:ascii="宋体" w:hAnsi="宋体" w:cs="宋体" w:eastAsia="宋体" w:hint="default"/>
                <w:sz w:val="18"/>
                <w:szCs w:val="18"/>
              </w:rPr>
              <w:t>处置价 款与处</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2"/>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4" w:right="92"/>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3"/>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2"/>
              <w:jc w:val="left"/>
              <w:rPr>
                <w:rFonts w:ascii="宋体" w:hAnsi="宋体" w:cs="宋体" w:eastAsia="宋体" w:hint="default"/>
                <w:sz w:val="18"/>
                <w:szCs w:val="18"/>
              </w:rPr>
            </w:pPr>
            <w:r>
              <w:rPr>
                <w:rFonts w:ascii="宋体" w:hAnsi="宋体" w:cs="宋体" w:eastAsia="宋体" w:hint="default"/>
                <w:sz w:val="18"/>
                <w:szCs w:val="18"/>
              </w:rPr>
              <w:t>按照公 允价值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1"/>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3" w:right="80"/>
              <w:jc w:val="left"/>
              <w:rPr>
                <w:rFonts w:ascii="宋体" w:hAnsi="宋体" w:cs="宋体" w:eastAsia="宋体" w:hint="default"/>
                <w:sz w:val="18"/>
                <w:szCs w:val="18"/>
              </w:rPr>
            </w:pPr>
            <w:r>
              <w:rPr>
                <w:rFonts w:ascii="宋体" w:hAnsi="宋体" w:cs="宋体" w:eastAsia="宋体" w:hint="default"/>
                <w:sz w:val="18"/>
                <w:szCs w:val="18"/>
              </w:rPr>
              <w:t>与原子 公司股</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171"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left"/>
              <w:rPr>
                <w:rFonts w:ascii="宋体" w:hAnsi="宋体" w:cs="宋体" w:eastAsia="宋体" w:hint="default"/>
                <w:sz w:val="18"/>
                <w:szCs w:val="18"/>
              </w:rPr>
            </w:pPr>
            <w:r>
              <w:rPr>
                <w:rFonts w:ascii="宋体" w:hAnsi="宋体" w:cs="宋体" w:eastAsia="宋体" w:hint="default"/>
                <w:sz w:val="18"/>
                <w:szCs w:val="18"/>
              </w:rPr>
              <w:t>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0"/>
              <w:jc w:val="center"/>
              <w:rPr>
                <w:rFonts w:ascii="宋体" w:hAnsi="宋体" w:cs="宋体" w:eastAsia="宋体" w:hint="default"/>
                <w:sz w:val="18"/>
                <w:szCs w:val="18"/>
              </w:rPr>
            </w:pPr>
            <w:r>
              <w:rPr>
                <w:rFonts w:ascii="宋体" w:hAnsi="宋体" w:cs="宋体" w:eastAsia="宋体" w:hint="default"/>
                <w:sz w:val="18"/>
                <w:szCs w:val="18"/>
              </w:rPr>
              <w:t>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3" w:right="91"/>
              <w:jc w:val="center"/>
              <w:rPr>
                <w:rFonts w:ascii="宋体" w:hAnsi="宋体" w:cs="宋体" w:eastAsia="宋体" w:hint="default"/>
                <w:sz w:val="18"/>
                <w:szCs w:val="18"/>
              </w:rPr>
            </w:pPr>
            <w:r>
              <w:rPr>
                <w:rFonts w:ascii="宋体" w:hAnsi="宋体" w:cs="宋体" w:eastAsia="宋体" w:hint="default"/>
                <w:sz w:val="18"/>
                <w:szCs w:val="18"/>
              </w:rPr>
              <w:t>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3"/>
              <w:jc w:val="center"/>
              <w:rPr>
                <w:rFonts w:ascii="宋体" w:hAnsi="宋体" w:cs="宋体" w:eastAsia="宋体" w:hint="default"/>
                <w:sz w:val="18"/>
                <w:szCs w:val="18"/>
              </w:rPr>
            </w:pPr>
            <w:r>
              <w:rPr>
                <w:rFonts w:ascii="宋体" w:hAnsi="宋体" w:cs="宋体" w:eastAsia="宋体" w:hint="default"/>
                <w:sz w:val="18"/>
                <w:szCs w:val="18"/>
              </w:rPr>
              <w:t>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center"/>
              <w:rPr>
                <w:rFonts w:ascii="宋体" w:hAnsi="宋体" w:cs="宋体" w:eastAsia="宋体" w:hint="default"/>
                <w:sz w:val="18"/>
                <w:szCs w:val="18"/>
              </w:rPr>
            </w:pPr>
            <w:r>
              <w:rPr>
                <w:rFonts w:ascii="宋体" w:hAnsi="宋体" w:cs="宋体" w:eastAsia="宋体" w:hint="default"/>
                <w:sz w:val="18"/>
                <w:szCs w:val="18"/>
              </w:rPr>
              <w:t>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3" w:right="91"/>
              <w:jc w:val="center"/>
              <w:rPr>
                <w:rFonts w:ascii="宋体" w:hAnsi="宋体" w:cs="宋体" w:eastAsia="宋体" w:hint="default"/>
                <w:sz w:val="18"/>
                <w:szCs w:val="18"/>
              </w:rPr>
            </w:pPr>
            <w:r>
              <w:rPr>
                <w:rFonts w:ascii="宋体" w:hAnsi="宋体" w:cs="宋体" w:eastAsia="宋体" w:hint="default"/>
                <w:sz w:val="18"/>
                <w:szCs w:val="18"/>
              </w:rPr>
              <w:t>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权投资 相关的 其他综 合收益 转入投 资损益 的金额</w:t>
            </w:r>
          </w:p>
        </w:tc>
      </w:tr>
      <w:tr>
        <w:trPr>
          <w:trHeight w:val="289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深圳民 盛云尚 信息技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4,800,00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48" w:right="0"/>
              <w:jc w:val="left"/>
              <w:rPr>
                <w:rFonts w:ascii="Times New Roman" w:hAnsi="Times New Roman" w:cs="Times New Roman" w:eastAsia="Times New Roman" w:hint="default"/>
                <w:sz w:val="18"/>
                <w:szCs w:val="18"/>
              </w:rPr>
            </w:pPr>
            <w:r>
              <w:rPr>
                <w:rFonts w:ascii="Times New Roman"/>
                <w:sz w:val="18"/>
              </w:rPr>
              <w:t>66.67%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现金交 易</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收到股 权转让 </w:t>
            </w:r>
            <w:r>
              <w:rPr>
                <w:rFonts w:ascii="宋体" w:hAnsi="宋体" w:cs="宋体" w:eastAsia="宋体" w:hint="default"/>
                <w:spacing w:val="-11"/>
                <w:sz w:val="18"/>
                <w:szCs w:val="18"/>
              </w:rPr>
              <w:t>款，完成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了股权 过户等 相关工 商变更 登记 手 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7,532,61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319" w:lineRule="auto" w:before="116"/>
        <w:ind w:right="1138"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月，经公司第三届董事会第四十二次会议审议同意，公司之全资子深圳民盛大数据技术有限公司以人民币</w:t>
      </w:r>
      <w:r>
        <w:rPr>
          <w:spacing w:val="-16"/>
        </w:rPr>
        <w:t> </w:t>
      </w:r>
      <w:r>
        <w:rPr>
          <w:rFonts w:ascii="Times New Roman" w:hAnsi="Times New Roman" w:cs="Times New Roman" w:eastAsia="Times New Roman" w:hint="default"/>
        </w:rPr>
        <w:t>480 </w:t>
      </w:r>
      <w:r>
        <w:rPr/>
        <w:t>万元向北京天尧信息技术有限公司出售其持有的深圳民盛云尚信息技术有限公司的</w:t>
      </w:r>
      <w:r>
        <w:rPr>
          <w:spacing w:val="-18"/>
        </w:rPr>
        <w:t> </w:t>
      </w:r>
      <w:r>
        <w:rPr>
          <w:rFonts w:ascii="Times New Roman" w:hAnsi="Times New Roman" w:cs="Times New Roman" w:eastAsia="Times New Roman" w:hint="default"/>
        </w:rPr>
        <w:t>66.67%</w:t>
      </w:r>
      <w:r>
        <w:rPr/>
        <w:t>股权。 是否存在通过多次交易分步处置对子公司投资且在本期丧失控制权的情形</w:t>
      </w:r>
    </w:p>
    <w:p>
      <w:pPr>
        <w:pStyle w:val="BodyText"/>
        <w:spacing w:line="240" w:lineRule="auto" w:before="5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其他原因的合并范围变动" w:id="408"/>
      <w:bookmarkEnd w:id="408"/>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300" w:lineRule="auto" w:before="116"/>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月，本公司之子公司深圳民盛大数据技术有限公司与合肥无相创利信息技术有限公司、深圳盘水资本管理有限 公司共同投资设立北京仁东无双信息科技有限公司，公司于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日完成了工商设立登记，注册资本为</w:t>
      </w:r>
      <w:r>
        <w:rPr>
          <w:rFonts w:ascii="Times New Roman" w:hAnsi="Times New Roman" w:cs="Times New Roman" w:eastAsia="Times New Roman" w:hint="default"/>
        </w:rPr>
        <w:t>1,000.00</w:t>
      </w:r>
      <w:r>
        <w:rPr/>
        <w:t>万人民 </w:t>
      </w:r>
      <w:r>
        <w:rPr>
          <w:spacing w:val="-1"/>
        </w:rPr>
        <w:t>币，其中深圳民盛大数据技术有限公司拟出资</w:t>
      </w:r>
      <w:r>
        <w:rPr>
          <w:rFonts w:ascii="Times New Roman" w:hAnsi="Times New Roman" w:cs="Times New Roman" w:eastAsia="Times New Roman" w:hint="default"/>
          <w:spacing w:val="-1"/>
        </w:rPr>
        <w:t>600.00</w:t>
      </w:r>
      <w:r>
        <w:rPr>
          <w:spacing w:val="-1"/>
        </w:rPr>
        <w:t>万人民币，占注册资本的</w:t>
      </w:r>
      <w:r>
        <w:rPr>
          <w:rFonts w:ascii="Times New Roman" w:hAnsi="Times New Roman" w:cs="Times New Roman" w:eastAsia="Times New Roman" w:hint="default"/>
          <w:spacing w:val="-1"/>
        </w:rPr>
        <w:t>60%</w:t>
      </w:r>
      <w:r>
        <w:rPr>
          <w:spacing w:val="-1"/>
        </w:rPr>
        <w:t>，本公司拥有对其的实质控制权，故自该</w:t>
      </w:r>
      <w:r>
        <w:rPr>
          <w:spacing w:val="-44"/>
        </w:rPr>
        <w:t> </w:t>
      </w:r>
      <w:r>
        <w:rPr>
          <w:spacing w:val="-44"/>
        </w:rPr>
      </w:r>
      <w:r>
        <w:rPr/>
        <w:t>公司成立之日起，将其纳入合并财务报表范围。截止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日，实收资本</w:t>
      </w:r>
      <w:r>
        <w:rPr>
          <w:rFonts w:ascii="Times New Roman" w:hAnsi="Times New Roman" w:cs="Times New Roman" w:eastAsia="Times New Roman" w:hint="default"/>
        </w:rPr>
        <w:t>1,000.00</w:t>
      </w:r>
      <w:r>
        <w:rPr/>
        <w:t>万元。</w:t>
      </w:r>
    </w:p>
    <w:p>
      <w:pPr>
        <w:pStyle w:val="BodyText"/>
        <w:spacing w:line="300" w:lineRule="auto" w:before="13"/>
        <w:ind w:right="1132"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月，本公司之子公司民盛租赁有限公司、民盛金控（香港）有限公司共同投资设立天津民盛国际融资租赁有限 公司，公司于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日完成了工商设立登记，注册资本为</w:t>
      </w:r>
      <w:r>
        <w:rPr>
          <w:rFonts w:ascii="Times New Roman" w:hAnsi="Times New Roman" w:cs="Times New Roman" w:eastAsia="Times New Roman" w:hint="default"/>
        </w:rPr>
        <w:t>20,000.00</w:t>
      </w:r>
      <w:r>
        <w:rPr/>
        <w:t>万人民币，其中民盛租赁有限公司拟出资</w:t>
      </w:r>
      <w:r>
        <w:rPr>
          <w:rFonts w:ascii="Times New Roman" w:hAnsi="Times New Roman" w:cs="Times New Roman" w:eastAsia="Times New Roman" w:hint="default"/>
        </w:rPr>
        <w:t>15,000.00 </w:t>
      </w:r>
      <w:r>
        <w:rPr/>
        <w:t>万人民币，占注册资本的</w:t>
      </w:r>
      <w:r>
        <w:rPr>
          <w:rFonts w:ascii="Times New Roman" w:hAnsi="Times New Roman" w:cs="Times New Roman" w:eastAsia="Times New Roman" w:hint="default"/>
        </w:rPr>
        <w:t>75%</w:t>
      </w:r>
      <w:r>
        <w:rPr/>
        <w:t>，民盛金控（香港）有限公司拟出资</w:t>
      </w:r>
      <w:r>
        <w:rPr>
          <w:rFonts w:ascii="Times New Roman" w:hAnsi="Times New Roman" w:cs="Times New Roman" w:eastAsia="Times New Roman" w:hint="default"/>
        </w:rPr>
        <w:t>5,000.00</w:t>
      </w:r>
      <w:r>
        <w:rPr/>
        <w:t>万人民币，占注册资本的</w:t>
      </w:r>
      <w:r>
        <w:rPr>
          <w:rFonts w:ascii="Times New Roman" w:hAnsi="Times New Roman" w:cs="Times New Roman" w:eastAsia="Times New Roman" w:hint="default"/>
        </w:rPr>
        <w:t>25%</w:t>
      </w:r>
      <w:r>
        <w:rPr/>
        <w:t>，本公司拥有对其 </w:t>
      </w:r>
      <w:r>
        <w:rPr>
          <w:spacing w:val="-2"/>
        </w:rPr>
        <w:t>的实质控制权，故自该公司成立之日起，将其纳入合并财务报表范围。截止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日，民盛租赁有限公司、民盛金控</w:t>
      </w:r>
    </w:p>
    <w:p>
      <w:pPr>
        <w:pStyle w:val="BodyText"/>
        <w:spacing w:line="240" w:lineRule="auto" w:before="13"/>
        <w:ind w:right="0"/>
        <w:jc w:val="left"/>
      </w:pPr>
      <w:r>
        <w:rPr/>
        <w:t>（香港）有限公司尚未实际出资，天津民盛国际融资租赁有限公司尚未开展任何经营活动，无任何交易发生。</w:t>
      </w:r>
    </w:p>
    <w:p>
      <w:pPr>
        <w:pStyle w:val="BodyText"/>
        <w:spacing w:line="300" w:lineRule="auto" w:before="76"/>
        <w:ind w:right="0"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06</w:t>
      </w:r>
      <w:r>
        <w:rPr/>
        <w:t>月，本公司之子公司深圳民盛大数据技术有限公司设立全资子公司仁东金融信息服务有限公司，公司于</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日完成了工商设立登记，注册资本为</w:t>
      </w:r>
      <w:r>
        <w:rPr>
          <w:rFonts w:ascii="Times New Roman" w:hAnsi="Times New Roman" w:cs="Times New Roman" w:eastAsia="Times New Roman" w:hint="default"/>
        </w:rPr>
        <w:t>10,000.00</w:t>
      </w:r>
      <w:r>
        <w:rPr/>
        <w:t>万人民币，深圳民盛大数据技术有限公司拟出资</w:t>
      </w:r>
      <w:r>
        <w:rPr>
          <w:rFonts w:ascii="Times New Roman" w:hAnsi="Times New Roman" w:cs="Times New Roman" w:eastAsia="Times New Roman" w:hint="default"/>
        </w:rPr>
        <w:t>10,000.00</w:t>
      </w:r>
      <w:r>
        <w:rPr/>
        <w:t>万人民币， 占注册资本的</w:t>
      </w:r>
      <w:r>
        <w:rPr>
          <w:rFonts w:ascii="Times New Roman" w:hAnsi="Times New Roman" w:cs="Times New Roman" w:eastAsia="Times New Roman" w:hint="default"/>
        </w:rPr>
        <w:t>100%</w:t>
      </w:r>
      <w:r>
        <w:rPr/>
        <w:t>，本公司拥有对其的实质控制权，故自该公司成立之日起，将其纳入合并财务报表范围。截止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 </w:t>
      </w:r>
      <w:r>
        <w:rPr>
          <w:spacing w:val="-4"/>
        </w:rPr>
        <w:t>月</w:t>
      </w:r>
      <w:r>
        <w:rPr>
          <w:rFonts w:ascii="Times New Roman" w:hAnsi="Times New Roman" w:cs="Times New Roman" w:eastAsia="Times New Roman" w:hint="default"/>
          <w:spacing w:val="-4"/>
        </w:rPr>
        <w:t>31</w:t>
      </w:r>
      <w:r>
        <w:rPr>
          <w:spacing w:val="-4"/>
        </w:rPr>
        <w:t>日，深圳民盛大数据技术有限公司尚未实际出资，仁东金融信息服务有限公司尚未开展任何经营活动，无任何交易发生。</w:t>
      </w:r>
    </w:p>
    <w:p>
      <w:pPr>
        <w:pStyle w:val="BodyText"/>
        <w:spacing w:line="300" w:lineRule="auto" w:before="13"/>
        <w:ind w:right="0" w:firstLine="36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月，本公司之子公司天津民盛金科信息技术有限公司与西藏亿源投资有限公司设立天津亿东科技有限公司，公</w:t>
      </w:r>
      <w:r>
        <w:rPr/>
        <w:t> 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日完成了工商设立登记，注册资本为</w:t>
      </w:r>
      <w:r>
        <w:rPr>
          <w:rFonts w:ascii="Times New Roman" w:hAnsi="Times New Roman" w:cs="Times New Roman" w:eastAsia="Times New Roman" w:hint="default"/>
        </w:rPr>
        <w:t>1,000.00</w:t>
      </w:r>
      <w:r>
        <w:rPr/>
        <w:t>万人民币，天津民盛金科信息技术有限公司拟出资</w:t>
      </w:r>
      <w:r>
        <w:rPr>
          <w:rFonts w:ascii="Times New Roman" w:hAnsi="Times New Roman" w:cs="Times New Roman" w:eastAsia="Times New Roman" w:hint="default"/>
        </w:rPr>
        <w:t>510.00</w:t>
      </w:r>
      <w:r>
        <w:rPr/>
        <w:t>万</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1"/>
        <w:jc w:val="both"/>
      </w:pPr>
      <w:r>
        <w:rPr/>
        <w:t>人民币，占注册资本的</w:t>
      </w:r>
      <w:r>
        <w:rPr>
          <w:rFonts w:ascii="Times New Roman" w:hAnsi="Times New Roman" w:cs="Times New Roman" w:eastAsia="Times New Roman" w:hint="default"/>
        </w:rPr>
        <w:t>51%</w:t>
      </w:r>
      <w:r>
        <w:rPr/>
        <w:t>，西藏亿源投资有限公司拟出资</w:t>
      </w:r>
      <w:r>
        <w:rPr>
          <w:rFonts w:ascii="Times New Roman" w:hAnsi="Times New Roman" w:cs="Times New Roman" w:eastAsia="Times New Roman" w:hint="default"/>
        </w:rPr>
        <w:t>490.00</w:t>
      </w:r>
      <w:r>
        <w:rPr/>
        <w:t>万人民币，占注册资本的</w:t>
      </w:r>
      <w:r>
        <w:rPr>
          <w:rFonts w:ascii="Times New Roman" w:hAnsi="Times New Roman" w:cs="Times New Roman" w:eastAsia="Times New Roman" w:hint="default"/>
        </w:rPr>
        <w:t>49%</w:t>
      </w:r>
      <w:r>
        <w:rPr/>
        <w:t>，本公司拥有对其的实质控 </w:t>
      </w:r>
      <w:r>
        <w:rPr>
          <w:spacing w:val="-2"/>
        </w:rPr>
        <w:t>制权，故自该公司成立之日起，将其纳入合并财务报表范围。截止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日，天津民盛金科信息技术有限公司尚未实</w:t>
      </w:r>
      <w:r>
        <w:rPr>
          <w:spacing w:val="-58"/>
        </w:rPr>
        <w:t> </w:t>
      </w:r>
      <w:r>
        <w:rPr>
          <w:spacing w:val="-58"/>
        </w:rPr>
      </w:r>
      <w:r>
        <w:rPr/>
        <w:t>际出资。</w:t>
      </w:r>
    </w:p>
    <w:p>
      <w:pPr>
        <w:pStyle w:val="BodyText"/>
        <w:spacing w:line="240" w:lineRule="auto" w:before="31"/>
        <w:ind w:left="514" w:right="0"/>
        <w:jc w:val="left"/>
      </w:pPr>
      <w:r>
        <w:rPr>
          <w:rFonts w:ascii="Times New Roman" w:hAnsi="Times New Roman" w:cs="Times New Roman" w:eastAsia="Times New Roman" w:hint="default"/>
        </w:rPr>
        <w:t>2018</w:t>
      </w:r>
      <w:r>
        <w:rPr/>
        <w:t>年度广州民盛经济信息服务有限公司、广州民盛振兴信息技术有限公司、山西民盛供应链管理有限公司已注销。</w:t>
      </w:r>
    </w:p>
    <w:p>
      <w:pPr>
        <w:spacing w:line="240" w:lineRule="auto" w:before="12"/>
        <w:rPr>
          <w:rFonts w:ascii="宋体" w:hAnsi="宋体" w:cs="宋体" w:eastAsia="宋体" w:hint="default"/>
          <w:sz w:val="25"/>
          <w:szCs w:val="25"/>
        </w:rPr>
      </w:pPr>
    </w:p>
    <w:p>
      <w:pPr>
        <w:spacing w:line="487" w:lineRule="auto" w:before="0"/>
        <w:ind w:left="154" w:right="7692" w:firstLine="0"/>
        <w:jc w:val="left"/>
        <w:rPr>
          <w:rFonts w:ascii="宋体" w:hAnsi="宋体" w:cs="宋体" w:eastAsia="宋体" w:hint="default"/>
          <w:sz w:val="21"/>
          <w:szCs w:val="21"/>
        </w:rPr>
      </w:pPr>
      <w:bookmarkStart w:name="6、其他" w:id="409"/>
      <w:bookmarkEnd w:id="40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0"/>
      <w:bookmarkEnd w:id="410"/>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1"/>
      <w:bookmarkEnd w:id="411"/>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0"/>
        <w:jc w:val="left"/>
        <w:rPr>
          <w:b w:val="0"/>
          <w:bCs w:val="0"/>
        </w:rPr>
      </w:pPr>
      <w:bookmarkStart w:name="（1）企业集团的构成" w:id="412"/>
      <w:bookmarkEnd w:id="41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浙江仁东新材料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诸暨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诸暨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霍尔果斯民盛创 业投资有限公司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创业投资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民盛租赁有限公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租赁业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深圳民盛大数据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共青城民盛金控 投资管理有限公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共青城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共青城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广东合利金融科 技服务有限公司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天津民盛金科信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天津民盛国际融 资租赁有限公司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租赁业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民盛金控</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仁东金融信息服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北京仁东科技有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科技推广和应用 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同一控制</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北京仁东无双信 息科技有限公司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科技推广和应用 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广州合利征信服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广州合利宝支付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深圳前海合利商 业保理有限公司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深圳前海民盛天 宫供应链管理有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民盛金科</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广州民盛互联网 小额贷款有限公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金融业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民盛友联金融有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民盛支付</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天津亿东科技有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科技服务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民盛科技有限公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民盛供应链管理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供应链管理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60" w:lineRule="auto" w:before="51"/>
        <w:ind w:right="2832"/>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right="7692"/>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4"/>
        <w:spacing w:line="240" w:lineRule="auto"/>
        <w:ind w:right="0"/>
        <w:jc w:val="left"/>
        <w:rPr>
          <w:b w:val="0"/>
          <w:bCs w:val="0"/>
        </w:rPr>
      </w:pPr>
      <w:bookmarkStart w:name="（2）重要的非全资子公司" w:id="413"/>
      <w:bookmarkEnd w:id="41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广州合利宝支付科技有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6,225,509.72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13,946,063.80</w:t>
            </w:r>
          </w:p>
        </w:tc>
      </w:tr>
    </w:tbl>
    <w:p>
      <w:pPr>
        <w:pStyle w:val="BodyText"/>
        <w:spacing w:line="360" w:lineRule="auto" w:before="51"/>
        <w:ind w:right="6432"/>
        <w:jc w:val="left"/>
      </w:pPr>
      <w:r>
        <w:rPr/>
        <w:t>子公司少数股东的持股比例不同于表决权比例的说明： 其他说明：</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重要非全资子公司的主要财务信息" w:id="414"/>
      <w:bookmarkEnd w:id="41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广州合 利宝支 付科技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2,914,81</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1,162.89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6,696,73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2,921,50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7,902.58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2,642,58</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6,626.67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2,642,58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6,626.67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638,586,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968.01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8,150,79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2.67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646,737,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760.68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492,326,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679.11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492,326,</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679.11</w:t>
            </w: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广州合利宝 支付科技有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873,253,914.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124,510,194.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124,510,194.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106,963,793.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265,071,684.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46,357,419.9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46,357,419.9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26,576,439.9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使用企业集团资产和清偿企业集团债务的重大限制" w:id="415"/>
      <w:bookmarkEnd w:id="415"/>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5）向纳入合并财务报表范围的结构化主体提供的财务支持或其他支持" w:id="416"/>
      <w:bookmarkEnd w:id="416"/>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在子公司的所有者权益份额发生变化且仍控制子公司的交易" w:id="417"/>
      <w:bookmarkEnd w:id="417"/>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在子公司所有者权益份额发生变化的情况说明" w:id="418"/>
      <w:bookmarkEnd w:id="418"/>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交易对于少数股东权益及归属于母公司所有者权益的影响" w:id="419"/>
      <w:bookmarkEnd w:id="419"/>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799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799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799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799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group>
          </v:group>
        </w:pict>
      </w:r>
      <w:r>
        <w:rPr>
          <w:rFonts w:ascii="宋体" w:hAnsi="宋体" w:cs="宋体" w:eastAsia="宋体" w:hint="default"/>
          <w:position w:val="-7"/>
          <w:sz w:val="20"/>
          <w:szCs w:val="20"/>
        </w:rPr>
      </w:r>
    </w:p>
    <w:p>
      <w:pPr>
        <w:pStyle w:val="BodyText"/>
        <w:spacing w:line="240" w:lineRule="auto" w:before="46"/>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在合营安排或联营企业中的权益" w:id="420"/>
      <w:bookmarkEnd w:id="42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421"/>
      <w:bookmarkEnd w:id="42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2734"/>
        <w:gridCol w:w="1366"/>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0" w:right="0"/>
              <w:jc w:val="left"/>
              <w:rPr>
                <w:rFonts w:ascii="宋体" w:hAnsi="宋体" w:cs="宋体" w:eastAsia="宋体" w:hint="default"/>
                <w:sz w:val="18"/>
                <w:szCs w:val="18"/>
              </w:rPr>
            </w:pPr>
            <w:r>
              <w:rPr>
                <w:rFonts w:ascii="宋体" w:hAnsi="宋体" w:cs="宋体" w:eastAsia="宋体" w:hint="default"/>
                <w:sz w:val="18"/>
                <w:szCs w:val="18"/>
              </w:rPr>
              <w:t>合营企业或联营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7" w:right="0"/>
              <w:jc w:val="left"/>
              <w:rPr>
                <w:rFonts w:ascii="宋体" w:hAnsi="宋体" w:cs="宋体" w:eastAsia="宋体" w:hint="default"/>
                <w:sz w:val="18"/>
                <w:szCs w:val="18"/>
              </w:rPr>
            </w:pPr>
            <w:r>
              <w:rPr>
                <w:rFonts w:ascii="宋体" w:hAnsi="宋体" w:cs="宋体" w:eastAsia="宋体" w:hint="default"/>
                <w:sz w:val="18"/>
                <w:szCs w:val="18"/>
              </w:rPr>
              <w:t>对合营企业或联</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0" w:right="0"/>
              <w:jc w:val="left"/>
              <w:rPr>
                <w:rFonts w:ascii="宋体" w:hAnsi="宋体" w:cs="宋体" w:eastAsia="宋体" w:hint="default"/>
                <w:sz w:val="18"/>
                <w:szCs w:val="18"/>
              </w:rPr>
            </w:pPr>
            <w:r>
              <w:rPr>
                <w:rFonts w:ascii="宋体" w:hAnsi="宋体" w:cs="宋体" w:eastAsia="宋体" w:hint="default"/>
                <w:sz w:val="18"/>
                <w:szCs w:val="18"/>
              </w:rPr>
              <w:t>企业名称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8" w:right="47" w:hanging="180"/>
              <w:jc w:val="left"/>
              <w:rPr>
                <w:rFonts w:ascii="宋体" w:hAnsi="宋体" w:cs="宋体" w:eastAsia="宋体" w:hint="default"/>
                <w:sz w:val="18"/>
                <w:szCs w:val="18"/>
              </w:rPr>
            </w:pPr>
            <w:r>
              <w:rPr>
                <w:rFonts w:ascii="宋体" w:hAnsi="宋体" w:cs="宋体" w:eastAsia="宋体" w:hint="default"/>
                <w:sz w:val="18"/>
                <w:szCs w:val="18"/>
              </w:rPr>
              <w:t>营企业投资的会 计处理方法</w:t>
            </w:r>
          </w:p>
        </w:tc>
      </w:tr>
    </w:tbl>
    <w:p>
      <w:pPr>
        <w:pStyle w:val="BodyText"/>
        <w:spacing w:line="240" w:lineRule="auto" w:before="51"/>
        <w:ind w:right="0"/>
        <w:jc w:val="left"/>
      </w:pPr>
      <w:r>
        <w:rPr/>
        <w:t>在合营企业或联营企业的持股比例不同于表决权比例的说明：</w:t>
      </w:r>
    </w:p>
    <w:p>
      <w:pPr>
        <w:pStyle w:val="BodyText"/>
        <w:spacing w:line="240" w:lineRule="auto" w:before="117"/>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重要合营企业的主要财务信息" w:id="422"/>
      <w:bookmarkEnd w:id="422"/>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重要联营企业的主要财务信息" w:id="423"/>
      <w:bookmarkEnd w:id="423"/>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不重要的合营企业和联营企业的汇总财务信息" w:id="424"/>
      <w:bookmarkEnd w:id="424"/>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合营企业或联营企业向本公司转移资金的能力存在重大限制的说明" w:id="425"/>
      <w:bookmarkEnd w:id="425"/>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合营企业或联营企业发生的超额亏损" w:id="426"/>
      <w:bookmarkEnd w:id="426"/>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2"/>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7）与合营企业投资相关的未确认承诺" w:id="427"/>
      <w:bookmarkEnd w:id="427"/>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8）与合营企业或联营企业投资相关的或有负债" w:id="428"/>
      <w:bookmarkEnd w:id="428"/>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4、重要的共同经营" w:id="429"/>
      <w:bookmarkEnd w:id="429"/>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right="5532"/>
        <w:jc w:val="left"/>
      </w:pPr>
      <w:r>
        <w:rPr/>
        <w:t>在共同经营中的持股比例或享有的份额不同于表决权比例的说明： 共同经营为单独主体的，分类为共同经营的依据：</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在未纳入合并财务报表范围的结构化主体中的权益" w:id="430"/>
      <w:bookmarkEnd w:id="430"/>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3"/>
        <w:spacing w:line="477" w:lineRule="auto"/>
        <w:ind w:right="7692"/>
        <w:jc w:val="left"/>
        <w:rPr>
          <w:b w:val="0"/>
          <w:bCs w:val="0"/>
        </w:rPr>
      </w:pPr>
      <w:bookmarkStart w:name="6、其他" w:id="431"/>
      <w:bookmarkEnd w:id="431"/>
      <w:r>
        <w:rPr>
          <w:b w:val="0"/>
          <w:bCs w:val="0"/>
        </w:rPr>
      </w:r>
      <w:r>
        <w:rPr>
          <w:rFonts w:ascii="Times New Roman" w:hAnsi="Times New Roman" w:cs="Times New Roman" w:eastAsia="Times New Roman" w:hint="default"/>
          <w:sz w:val="21"/>
          <w:szCs w:val="21"/>
        </w:rPr>
        <w:t>6</w:t>
      </w:r>
      <w:r>
        <w:rPr>
          <w:sz w:val="21"/>
          <w:szCs w:val="21"/>
        </w:rPr>
        <w:t>、其他</w:t>
      </w:r>
      <w:r>
        <w:rPr>
          <w:spacing w:val="1"/>
          <w:w w:val="99"/>
          <w:sz w:val="21"/>
          <w:szCs w:val="21"/>
        </w:rPr>
        <w:t> </w:t>
      </w:r>
      <w:bookmarkStart w:name="十、与金融工具相关的风险" w:id="432"/>
      <w:bookmarkEnd w:id="432"/>
      <w:r>
        <w:rPr>
          <w:spacing w:val="1"/>
          <w:w w:val="99"/>
          <w:sz w:val="21"/>
          <w:szCs w:val="21"/>
        </w:rPr>
      </w:r>
      <w:r>
        <w:rPr>
          <w:w w:val="95"/>
        </w:rPr>
        <w:t>十、与金融工具相关的风险</w:t>
      </w:r>
      <w:r>
        <w:rPr>
          <w:spacing w:val="18"/>
          <w:w w:val="95"/>
        </w:rPr>
        <w:t> </w:t>
      </w:r>
      <w:r>
        <w:rPr>
          <w:spacing w:val="18"/>
          <w:w w:val="95"/>
        </w:rPr>
      </w:r>
      <w:bookmarkStart w:name="十一、公允价值的披露" w:id="433"/>
      <w:bookmarkEnd w:id="433"/>
      <w:r>
        <w:rPr/>
        <w:t>十一、公允价值的披露</w:t>
      </w:r>
      <w:r>
        <w:rPr>
          <w:b w:val="0"/>
          <w:bCs w:val="0"/>
        </w:rPr>
      </w:r>
    </w:p>
    <w:p>
      <w:pPr>
        <w:pStyle w:val="Heading4"/>
        <w:spacing w:line="240" w:lineRule="auto" w:before="85"/>
        <w:ind w:right="0"/>
        <w:jc w:val="left"/>
        <w:rPr>
          <w:b w:val="0"/>
          <w:bCs w:val="0"/>
        </w:rPr>
      </w:pPr>
      <w:bookmarkStart w:name="1、以公允价值计量的资产和负债的期末公允价值" w:id="434"/>
      <w:bookmarkEnd w:id="434"/>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持续和非持续第一层次公允价值计量项目市价的确定依据" w:id="435"/>
      <w:bookmarkEnd w:id="435"/>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持续和非持续第二层次公允价值计量项目，采用的估值技术和重要参数的定性及定量信" w:id="436"/>
      <w:bookmarkEnd w:id="436"/>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4、持续和非持续第三层次公允价值计量项目，采用的估值技术和重要参数的定性及定量信" w:id="437"/>
      <w:bookmarkEnd w:id="437"/>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持续的第三层次公允价值计量项目，期初与期末账面价值间的调节信息及不可观察参数" w:id="438"/>
      <w:bookmarkEnd w:id="438"/>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持续的公允价值计量项目，本期内发生各层级之间转换的，转换的原因及确定转换时点" w:id="439"/>
      <w:bookmarkEnd w:id="439"/>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7、本期内发生的估值技术变更及变更原因" w:id="440"/>
      <w:bookmarkEnd w:id="440"/>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不以公允价值计量的金融资产和金融负债的公允价值情况" w:id="441"/>
      <w:bookmarkEnd w:id="441"/>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692" w:firstLine="0"/>
        <w:jc w:val="left"/>
        <w:rPr>
          <w:rFonts w:ascii="宋体" w:hAnsi="宋体" w:cs="宋体" w:eastAsia="宋体" w:hint="default"/>
          <w:sz w:val="21"/>
          <w:szCs w:val="21"/>
        </w:rPr>
      </w:pPr>
      <w:bookmarkStart w:name="9、其他" w:id="442"/>
      <w:bookmarkEnd w:id="44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3"/>
      <w:bookmarkEnd w:id="44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4"/>
      <w:bookmarkEnd w:id="444"/>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内蒙古仁东科技有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阿拉善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货物贸易、技术研发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应用及推广、咨询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13" w:right="0"/>
              <w:jc w:val="left"/>
              <w:rPr>
                <w:rFonts w:ascii="Times New Roman" w:hAnsi="Times New Roman" w:cs="Times New Roman" w:eastAsia="Times New Roman" w:hint="default"/>
                <w:sz w:val="18"/>
                <w:szCs w:val="18"/>
              </w:rPr>
            </w:pPr>
            <w:r>
              <w:rPr>
                <w:rFonts w:ascii="Times New Roman"/>
                <w:sz w:val="18"/>
              </w:rPr>
              <w:t>11.94%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31.08%</w:t>
            </w:r>
          </w:p>
        </w:tc>
      </w:tr>
    </w:tbl>
    <w:p>
      <w:pPr>
        <w:pStyle w:val="BodyText"/>
        <w:spacing w:line="360" w:lineRule="auto" w:before="51"/>
        <w:ind w:right="8558"/>
        <w:jc w:val="both"/>
      </w:pPr>
      <w:r>
        <w:rPr/>
        <w:t>本企业的母公司情况的说明 本企业最终控制方是霍东。 其他说明：</w:t>
      </w:r>
    </w:p>
    <w:p>
      <w:pPr>
        <w:spacing w:line="240" w:lineRule="auto" w:before="11"/>
        <w:rPr>
          <w:rFonts w:ascii="宋体" w:hAnsi="宋体" w:cs="宋体" w:eastAsia="宋体" w:hint="default"/>
          <w:sz w:val="19"/>
          <w:szCs w:val="19"/>
        </w:rPr>
      </w:pPr>
    </w:p>
    <w:p>
      <w:pPr>
        <w:spacing w:line="547" w:lineRule="auto" w:before="0"/>
        <w:ind w:left="154" w:right="6002" w:firstLine="0"/>
        <w:jc w:val="left"/>
        <w:rPr>
          <w:rFonts w:ascii="宋体" w:hAnsi="宋体" w:cs="宋体" w:eastAsia="宋体" w:hint="default"/>
          <w:sz w:val="21"/>
          <w:szCs w:val="21"/>
        </w:rPr>
      </w:pPr>
      <w:bookmarkStart w:name="2、本企业的子公司情况" w:id="445"/>
      <w:bookmarkEnd w:id="44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在子公司中的权益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446"/>
      <w:bookmarkEnd w:id="446"/>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60" w:lineRule="auto" w:before="50"/>
        <w:ind w:right="2292"/>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5"/>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447"/>
      <w:bookmarkEnd w:id="44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仁东（天津）科技发展集团有限公司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内蒙古仁东科技有限公司、仁东（天津）科技有限公司的母 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仁东（天津）科技有限公司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直接或间接持有本公司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本公司实际控制人之配偶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郝江波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原本公司实际控制人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田文军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原本公司实际控制人郝江波之配偶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天津和柚技术有限公司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直接或间接持有本公司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霍尓果斯柚子创业投资有限公司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郝江波控制的公司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北京天尧信息技术有限公司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霍尓果斯柚子创业投资有限公司之子公司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张永东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直接或间接持有本公司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黎碧</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张永东之配偶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上海兹诺金融信息服务有限公司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张永东施加重大影响的企业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原公司高管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田铮</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原公司董事</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关联交易情况" w:id="448"/>
      <w:bookmarkEnd w:id="44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449"/>
      <w:bookmarkEnd w:id="44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上海兹诺金融信息 服务有限公司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28,459.31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295,922.26</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关联受托管理/承包及委托管理/出包情况" w:id="450"/>
      <w:bookmarkEnd w:id="450"/>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pStyle w:val="BodyText"/>
        <w:spacing w:line="338" w:lineRule="auto" w:before="52"/>
        <w:ind w:right="8362"/>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after="0" w:line="33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right="0"/>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关联租赁情况" w:id="451"/>
      <w:bookmarkEnd w:id="451"/>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right="0"/>
        <w:jc w:val="left"/>
      </w:pPr>
      <w:r>
        <w:rPr/>
        <w:t>关联租赁情况说明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关联担保情况" w:id="452"/>
      <w:bookmarkEnd w:id="452"/>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right="0"/>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内蒙古仁东科技有限公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天津和柚技术有限公 司、郝江波及其配偶田 文军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天津和柚技术有限公 司、郝江波及配偶田文 军、张永东及其配偶黎 碧。注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8"/>
              <w:jc w:val="left"/>
              <w:rPr>
                <w:rFonts w:ascii="宋体" w:hAnsi="宋体" w:cs="宋体" w:eastAsia="宋体" w:hint="default"/>
                <w:sz w:val="18"/>
                <w:szCs w:val="18"/>
              </w:rPr>
            </w:pPr>
            <w:r>
              <w:rPr>
                <w:rFonts w:ascii="宋体" w:hAnsi="宋体" w:cs="宋体" w:eastAsia="宋体" w:hint="default"/>
                <w:sz w:val="18"/>
                <w:szCs w:val="18"/>
              </w:rPr>
              <w:t>天津和柚技术有限公 司、郝江波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8"/>
              <w:jc w:val="left"/>
              <w:rPr>
                <w:rFonts w:ascii="宋体" w:hAnsi="宋体" w:cs="宋体" w:eastAsia="宋体" w:hint="default"/>
                <w:sz w:val="18"/>
                <w:szCs w:val="18"/>
              </w:rPr>
            </w:pPr>
            <w:r>
              <w:rPr>
                <w:rFonts w:ascii="宋体" w:hAnsi="宋体" w:cs="宋体" w:eastAsia="宋体" w:hint="default"/>
                <w:sz w:val="18"/>
                <w:szCs w:val="18"/>
              </w:rPr>
              <w:t>天津和柚技术有限公 司、郝江波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仁东控股股份有限公 司、天津和柚技术有限 公司、霍东。注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天津和柚技术有限公司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179,050,000.00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8"/>
              <w:jc w:val="left"/>
              <w:rPr>
                <w:rFonts w:ascii="宋体" w:hAnsi="宋体" w:cs="宋体" w:eastAsia="宋体" w:hint="default"/>
                <w:sz w:val="18"/>
                <w:szCs w:val="18"/>
              </w:rPr>
            </w:pPr>
            <w:r>
              <w:rPr>
                <w:rFonts w:ascii="宋体" w:hAnsi="宋体" w:cs="宋体" w:eastAsia="宋体" w:hint="default"/>
                <w:sz w:val="18"/>
                <w:szCs w:val="18"/>
              </w:rPr>
              <w:t>天津和柚技术有限公 司、田峥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8"/>
              <w:jc w:val="left"/>
              <w:rPr>
                <w:rFonts w:ascii="宋体" w:hAnsi="宋体" w:cs="宋体" w:eastAsia="宋体" w:hint="default"/>
                <w:sz w:val="18"/>
                <w:szCs w:val="18"/>
              </w:rPr>
            </w:pPr>
            <w:r>
              <w:rPr>
                <w:rFonts w:ascii="宋体" w:hAnsi="宋体" w:cs="宋体" w:eastAsia="宋体" w:hint="default"/>
                <w:sz w:val="18"/>
                <w:szCs w:val="18"/>
              </w:rPr>
              <w:t>天津和柚技术有限公 司、田峥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8"/>
              <w:jc w:val="left"/>
              <w:rPr>
                <w:rFonts w:ascii="宋体" w:hAnsi="宋体" w:cs="宋体" w:eastAsia="宋体" w:hint="default"/>
                <w:sz w:val="18"/>
                <w:szCs w:val="18"/>
              </w:rPr>
            </w:pPr>
            <w:r>
              <w:rPr>
                <w:rFonts w:ascii="宋体" w:hAnsi="宋体" w:cs="宋体" w:eastAsia="宋体" w:hint="default"/>
                <w:sz w:val="18"/>
                <w:szCs w:val="18"/>
              </w:rPr>
              <w:t>天津和柚技术有限公 司、田峥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8"/>
              <w:jc w:val="left"/>
              <w:rPr>
                <w:rFonts w:ascii="宋体" w:hAnsi="宋体" w:cs="宋体" w:eastAsia="宋体" w:hint="default"/>
                <w:sz w:val="18"/>
                <w:szCs w:val="18"/>
              </w:rPr>
            </w:pPr>
            <w:r>
              <w:rPr>
                <w:rFonts w:ascii="宋体" w:hAnsi="宋体" w:cs="宋体" w:eastAsia="宋体" w:hint="default"/>
                <w:sz w:val="18"/>
                <w:szCs w:val="18"/>
              </w:rPr>
              <w:t>天津和柚技术有限公 司、田峥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天津和柚技术有限公 司、郝江波及其配偶田 文军、张永东及其配偶 黎碧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天津和柚技术有限公司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913"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霍东、内蒙古仁东科技 </w:t>
            </w:r>
            <w:r>
              <w:rPr>
                <w:rFonts w:ascii="宋体" w:hAnsi="宋体" w:cs="宋体" w:eastAsia="宋体" w:hint="default"/>
                <w:spacing w:val="-4"/>
                <w:sz w:val="18"/>
                <w:szCs w:val="18"/>
              </w:rPr>
              <w:t>有限公司、赵佳、闫伟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付宇</w:t>
            </w:r>
          </w:p>
        </w:tc>
        <w:tc>
          <w:tcPr>
            <w:tcW w:w="191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840" w:val="left" w:leader="none"/>
              </w:tabs>
              <w:spacing w:line="240" w:lineRule="auto" w:before="128"/>
              <w:ind w:left="-131"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天津和柚技术有限公 司、郝江波及其配偶田 文军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57" w:lineRule="auto" w:before="51"/>
        <w:ind w:right="1242"/>
        <w:jc w:val="left"/>
      </w:pPr>
      <w:r>
        <w:rPr/>
        <w:pict>
          <v:group style="position:absolute;margin-left:153.740005pt;margin-top:-87.038277pt;width:93.05pt;height:19.650pt;mso-position-horizontal-relative:page;mso-position-vertical-relative:paragraph;z-index:-915976" coordorigin="3075,-1741" coordsize="1861,393">
            <v:shape style="position:absolute;left:3075;top:-1741;width:1861;height:393" coordorigin="3075,-1741" coordsize="1861,393" path="m3075,-1348l4935,-1348,4935,-1741,3075,-1741,3075,-1348xe" filled="true" fillcolor="#ffffff" stroked="false">
              <v:path arrowok="t"/>
              <v:fill type="solid"/>
            </v:shape>
            <w10:wrap type="none"/>
          </v:group>
        </w:pict>
      </w:r>
      <w:r>
        <w:rPr/>
        <w:t>关联担保情况说明 注</w:t>
      </w:r>
      <w:r>
        <w:rPr>
          <w:rFonts w:ascii="Times New Roman" w:hAnsi="Times New Roman" w:cs="Times New Roman" w:eastAsia="Times New Roman" w:hint="default"/>
        </w:rPr>
        <w:t>1</w:t>
      </w:r>
      <w:r>
        <w:rPr/>
        <w:t>：该笔借款同时由郝江波持有的天津和柚技术有限公司的</w:t>
      </w:r>
      <w:r>
        <w:rPr>
          <w:rFonts w:ascii="Times New Roman" w:hAnsi="Times New Roman" w:cs="Times New Roman" w:eastAsia="Times New Roman" w:hint="default"/>
        </w:rPr>
        <w:t>100%</w:t>
      </w:r>
      <w:r>
        <w:rPr/>
        <w:t>的股权、本公司持有的广东合利金融科技服务有限公司</w:t>
      </w:r>
    </w:p>
    <w:p>
      <w:pPr>
        <w:pStyle w:val="BodyText"/>
        <w:spacing w:line="214" w:lineRule="exact"/>
        <w:ind w:right="0"/>
        <w:jc w:val="left"/>
      </w:pPr>
      <w:r>
        <w:rPr>
          <w:rFonts w:ascii="Times New Roman" w:hAnsi="Times New Roman" w:cs="Times New Roman" w:eastAsia="Times New Roman" w:hint="default"/>
        </w:rPr>
        <w:t>90%</w:t>
      </w:r>
      <w:r>
        <w:rPr/>
        <w:t>的股权、广东合利金融科技服务有限公司持有的广州合利宝支付科技有限公司</w:t>
      </w:r>
      <w:r>
        <w:rPr>
          <w:rFonts w:ascii="Times New Roman" w:hAnsi="Times New Roman" w:cs="Times New Roman" w:eastAsia="Times New Roman" w:hint="default"/>
        </w:rPr>
        <w:t>95%</w:t>
      </w:r>
      <w:r>
        <w:rPr/>
        <w:t>的股权提供质押担保。</w:t>
      </w:r>
    </w:p>
    <w:p>
      <w:pPr>
        <w:pStyle w:val="BodyText"/>
        <w:spacing w:line="240" w:lineRule="auto" w:before="63"/>
        <w:ind w:right="0"/>
        <w:jc w:val="left"/>
      </w:pPr>
      <w:r>
        <w:rPr/>
        <w:t>注</w:t>
      </w:r>
      <w:r>
        <w:rPr>
          <w:rFonts w:ascii="Times New Roman" w:hAnsi="Times New Roman" w:cs="Times New Roman" w:eastAsia="Times New Roman" w:hint="default"/>
        </w:rPr>
        <w:t>2</w:t>
      </w:r>
      <w:r>
        <w:rPr/>
        <w:t>：该笔借款同时由本公司提供保证担保，由广东合利金融科技服务有限公司持有的深圳前海合利商业保理有限公司的</w:t>
      </w:r>
    </w:p>
    <w:p>
      <w:pPr>
        <w:pStyle w:val="BodyText"/>
        <w:spacing w:line="240" w:lineRule="auto" w:before="63"/>
        <w:ind w:right="0"/>
        <w:jc w:val="left"/>
      </w:pPr>
      <w:r>
        <w:rPr>
          <w:rFonts w:ascii="Times New Roman" w:hAnsi="Times New Roman" w:cs="Times New Roman" w:eastAsia="Times New Roman" w:hint="default"/>
        </w:rPr>
        <w:t>100%</w:t>
      </w:r>
      <w:r>
        <w:rPr/>
        <w:t>的股权提供质押担保。</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5）关联方资金拆借" w:id="453"/>
      <w:bookmarkEnd w:id="453"/>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165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内蒙古仁东科技有限公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400,000,000.00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本期公司累计收到股东 借款</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112,428.71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累计偿还借款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72,428.71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万元，偿还利息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184.79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6）关联方资产转让、债务重组情况" w:id="454"/>
      <w:bookmarkEnd w:id="454"/>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7）关键管理人员报酬" w:id="455"/>
      <w:bookmarkEnd w:id="455"/>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5,742,255.74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7,733,500.00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8）其他关联交易" w:id="456"/>
      <w:bookmarkEnd w:id="456"/>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关联方应收应付款项" w:id="457"/>
      <w:bookmarkEnd w:id="45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458"/>
      <w:bookmarkEnd w:id="45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天津和柚技术有限 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1,131,600.00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16,974.00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霍尔果斯柚子创业 投资有限公司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754,400.00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11,316.00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付项目" w:id="459"/>
      <w:bookmarkEnd w:id="45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内蒙古仁东科技有限公司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天津和柚技术有限公司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24,166.67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内蒙古仁东科技有限公司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159,500.00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上海兹诺金融信息服务有限 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6" w:right="0"/>
              <w:jc w:val="left"/>
              <w:rPr>
                <w:rFonts w:ascii="Times New Roman" w:hAnsi="Times New Roman" w:cs="Times New Roman" w:eastAsia="Times New Roman" w:hint="default"/>
                <w:sz w:val="18"/>
                <w:szCs w:val="18"/>
              </w:rPr>
            </w:pPr>
            <w:r>
              <w:rPr>
                <w:rFonts w:ascii="Times New Roman"/>
                <w:sz w:val="18"/>
              </w:rPr>
              <w:t>311,649.63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7、关联方承诺" w:id="460"/>
      <w:bookmarkEnd w:id="460"/>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50" w:firstLine="0"/>
        <w:jc w:val="left"/>
        <w:rPr>
          <w:rFonts w:ascii="宋体" w:hAnsi="宋体" w:cs="宋体" w:eastAsia="宋体" w:hint="default"/>
          <w:sz w:val="21"/>
          <w:szCs w:val="21"/>
        </w:rPr>
      </w:pPr>
      <w:bookmarkStart w:name="8、其他" w:id="461"/>
      <w:bookmarkEnd w:id="46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2"/>
      <w:bookmarkEnd w:id="462"/>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3"/>
      <w:bookmarkEnd w:id="46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以权益结算的股份支付情况" w:id="464"/>
      <w:bookmarkEnd w:id="46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以现金结算的股份支付情况" w:id="465"/>
      <w:bookmarkEnd w:id="465"/>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股份支付的修改、终止情况" w:id="466"/>
      <w:bookmarkEnd w:id="466"/>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8052" w:firstLine="0"/>
        <w:jc w:val="left"/>
        <w:rPr>
          <w:rFonts w:ascii="宋体" w:hAnsi="宋体" w:cs="宋体" w:eastAsia="宋体" w:hint="default"/>
          <w:sz w:val="21"/>
          <w:szCs w:val="21"/>
        </w:rPr>
      </w:pPr>
      <w:bookmarkStart w:name="5、其他" w:id="467"/>
      <w:bookmarkEnd w:id="46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68"/>
      <w:bookmarkEnd w:id="46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69"/>
      <w:bookmarkEnd w:id="469"/>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8"/>
        <w:ind w:right="1752"/>
        <w:jc w:val="left"/>
      </w:pPr>
      <w:r>
        <w:rPr/>
        <w:t>资产负债表日存在的重要承诺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日，公司无重大未决诉讼或仲裁形成的或有负债，无为其他单位提供债务担保形成的或有负债。</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bookmarkStart w:name="2、或有事项" w:id="470"/>
      <w:bookmarkEnd w:id="47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负债表日存在的重要或有事项" w:id="471"/>
      <w:bookmarkEnd w:id="471"/>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公司没有需要披露的重要或有事项，也应予以说明" w:id="472"/>
      <w:bookmarkEnd w:id="47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3、其他" w:id="473"/>
      <w:bookmarkEnd w:id="47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4"/>
      <w:bookmarkEnd w:id="47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75"/>
      <w:bookmarkEnd w:id="475"/>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利润分配情况" w:id="476"/>
      <w:bookmarkEnd w:id="476"/>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042"/>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8"/>
        </w:rPr>
        <w:t> </w:t>
      </w:r>
      <w:r>
        <w:rPr>
          <w:spacing w:val="-3"/>
        </w:rPr>
        <w:t>日，公司第四届董事会第九次会议审议通过，公司拟以</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日总股本</w:t>
      </w:r>
      <w:r>
        <w:rPr>
          <w:spacing w:val="-46"/>
        </w:rPr>
        <w:t> </w:t>
      </w:r>
      <w:r>
        <w:rPr>
          <w:rFonts w:ascii="Times New Roman" w:hAnsi="Times New Roman" w:cs="Times New Roman" w:eastAsia="Times New Roman" w:hint="default"/>
        </w:rPr>
        <w:t>559,936,650</w:t>
      </w:r>
      <w:r>
        <w:rPr>
          <w:rFonts w:ascii="Times New Roman" w:hAnsi="Times New Roman" w:cs="Times New Roman" w:eastAsia="Times New Roman" w:hint="default"/>
          <w:spacing w:val="-9"/>
        </w:rPr>
        <w:t> </w:t>
      </w:r>
      <w:r>
        <w:rPr/>
        <w:t>股为基数，</w:t>
      </w:r>
    </w:p>
    <w:p>
      <w:pPr>
        <w:pStyle w:val="BodyText"/>
        <w:spacing w:line="240" w:lineRule="auto" w:before="64"/>
        <w:ind w:right="0"/>
        <w:jc w:val="left"/>
      </w:pPr>
      <w:r>
        <w:rPr/>
        <w:t>向公司全体股东每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股分派</w:t>
      </w:r>
      <w:r>
        <w:rPr>
          <w:spacing w:val="-46"/>
        </w:rPr>
        <w:t> </w:t>
      </w:r>
      <w:r>
        <w:rPr>
          <w:rFonts w:ascii="Times New Roman" w:hAnsi="Times New Roman" w:cs="Times New Roman" w:eastAsia="Times New Roman" w:hint="default"/>
        </w:rPr>
        <w:t>0.2</w:t>
      </w:r>
      <w:r>
        <w:rPr>
          <w:rFonts w:ascii="Times New Roman" w:hAnsi="Times New Roman" w:cs="Times New Roman" w:eastAsia="Times New Roman" w:hint="default"/>
          <w:spacing w:val="-10"/>
        </w:rPr>
        <w:t> </w:t>
      </w:r>
      <w:r>
        <w:rPr/>
        <w:t>元（含税），合计分派现金红利</w:t>
      </w:r>
      <w:r>
        <w:rPr>
          <w:spacing w:val="-47"/>
        </w:rPr>
        <w:t> </w:t>
      </w:r>
      <w:r>
        <w:rPr>
          <w:rFonts w:ascii="Times New Roman" w:hAnsi="Times New Roman" w:cs="Times New Roman" w:eastAsia="Times New Roman" w:hint="default"/>
        </w:rPr>
        <w:t>11,198,733</w:t>
      </w:r>
      <w:r>
        <w:rPr>
          <w:rFonts w:ascii="Times New Roman" w:hAnsi="Times New Roman" w:cs="Times New Roman" w:eastAsia="Times New Roman" w:hint="default"/>
          <w:spacing w:val="-10"/>
        </w:rPr>
        <w:t> </w:t>
      </w:r>
      <w:r>
        <w:rPr/>
        <w:t>元。</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销售退回" w:id="477"/>
      <w:bookmarkEnd w:id="477"/>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695" w:firstLine="0"/>
        <w:jc w:val="left"/>
        <w:rPr>
          <w:rFonts w:ascii="宋体" w:hAnsi="宋体" w:cs="宋体" w:eastAsia="宋体" w:hint="default"/>
          <w:sz w:val="21"/>
          <w:szCs w:val="21"/>
        </w:rPr>
      </w:pPr>
      <w:bookmarkStart w:name="4、其他资产负债表日后事项说明" w:id="478"/>
      <w:bookmarkEnd w:id="47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79"/>
      <w:bookmarkEnd w:id="479"/>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80"/>
      <w:bookmarkEnd w:id="48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4"/>
        <w:spacing w:line="240" w:lineRule="auto" w:before="83"/>
        <w:ind w:right="0"/>
        <w:jc w:val="left"/>
        <w:rPr>
          <w:b w:val="0"/>
          <w:bCs w:val="0"/>
        </w:rPr>
      </w:pPr>
      <w:bookmarkStart w:name="（1）追溯重述法" w:id="481"/>
      <w:bookmarkEnd w:id="481"/>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未来适用法" w:id="482"/>
      <w:bookmarkEnd w:id="482"/>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债务重组" w:id="483"/>
      <w:bookmarkEnd w:id="483"/>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资产置换" w:id="484"/>
      <w:bookmarkEnd w:id="484"/>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非货币性资产交换" w:id="485"/>
      <w:bookmarkEnd w:id="485"/>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其他资产置换" w:id="486"/>
      <w:bookmarkEnd w:id="486"/>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年金计划" w:id="487"/>
      <w:bookmarkEnd w:id="487"/>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终止经营" w:id="488"/>
      <w:bookmarkEnd w:id="488"/>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分部信息" w:id="489"/>
      <w:bookmarkEnd w:id="489"/>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报告分部的确定依据与会计政策" w:id="490"/>
      <w:bookmarkEnd w:id="490"/>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2）报告分部的财务信息" w:id="491"/>
      <w:bookmarkEnd w:id="491"/>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公司无报告分部的，或者不能披露各报告分部的资产总额和负债总额的，应说明原因" w:id="492"/>
      <w:bookmarkEnd w:id="492"/>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说明" w:id="493"/>
      <w:bookmarkEnd w:id="493"/>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7、其他对投资者决策有影响的重要交易和事项" w:id="494"/>
      <w:bookmarkEnd w:id="494"/>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其他" w:id="495"/>
      <w:bookmarkEnd w:id="495"/>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日，公司控股股东内蒙古仁东科技有限公司（以下简称</w:t>
      </w:r>
      <w:r>
        <w:rPr>
          <w:rFonts w:ascii="Times New Roman" w:hAnsi="Times New Roman" w:cs="Times New Roman" w:eastAsia="Times New Roman" w:hint="default"/>
        </w:rPr>
        <w:t>“</w:t>
      </w:r>
      <w:r>
        <w:rPr/>
        <w:t>仁东科技</w:t>
      </w:r>
      <w:r>
        <w:rPr>
          <w:rFonts w:ascii="Times New Roman" w:hAnsi="Times New Roman" w:cs="Times New Roman" w:eastAsia="Times New Roman" w:hint="default"/>
        </w:rPr>
        <w:t>”</w:t>
      </w:r>
      <w:r>
        <w:rPr/>
        <w:t>）与景华及其一致行动人、信三威和 上海迎水签署了《</w:t>
      </w:r>
      <w:r>
        <w:rPr>
          <w:rFonts w:ascii="Times New Roman" w:hAnsi="Times New Roman" w:cs="Times New Roman" w:eastAsia="Times New Roman" w:hint="default"/>
        </w:rPr>
        <w:t>&lt;</w:t>
      </w:r>
      <w:r>
        <w:rPr/>
        <w:t>表决权委托协议之解除协议</w:t>
      </w:r>
      <w:r>
        <w:rPr>
          <w:rFonts w:ascii="Times New Roman" w:hAnsi="Times New Roman" w:cs="Times New Roman" w:eastAsia="Times New Roman" w:hint="default"/>
        </w:rPr>
        <w:t>&gt;</w:t>
      </w:r>
      <w:r>
        <w:rPr/>
        <w:t>之补充协议》，仁东科技拟不再拥有景华及其一致行动人、信三威和上海</w:t>
      </w:r>
      <w:r>
        <w:rPr>
          <w:spacing w:val="-27"/>
        </w:rPr>
        <w:t> </w:t>
      </w:r>
      <w:r>
        <w:rPr>
          <w:spacing w:val="-27"/>
        </w:rPr>
      </w:r>
      <w:r>
        <w:rPr>
          <w:spacing w:val="-1"/>
        </w:rPr>
        <w:t>迎水持有的仁东控股</w:t>
      </w:r>
      <w:r>
        <w:rPr>
          <w:rFonts w:ascii="Times New Roman" w:hAnsi="Times New Roman" w:cs="Times New Roman" w:eastAsia="Times New Roman" w:hint="default"/>
          <w:spacing w:val="-1"/>
        </w:rPr>
        <w:t>77,357,255</w:t>
      </w:r>
      <w:r>
        <w:rPr>
          <w:spacing w:val="-1"/>
        </w:rPr>
        <w:t>股股份（占仁东控股股本总额的</w:t>
      </w:r>
      <w:r>
        <w:rPr>
          <w:rFonts w:ascii="Times New Roman" w:hAnsi="Times New Roman" w:cs="Times New Roman" w:eastAsia="Times New Roman" w:hint="default"/>
          <w:spacing w:val="-1"/>
        </w:rPr>
        <w:t>13.82%</w:t>
      </w:r>
      <w:r>
        <w:rPr>
          <w:spacing w:val="-1"/>
        </w:rPr>
        <w:t>）对应的表决权。同日，仁东科技与天津和柚技术有</w:t>
      </w:r>
      <w:r>
        <w:rPr>
          <w:spacing w:val="-41"/>
        </w:rPr>
        <w:t> </w:t>
      </w:r>
      <w:r>
        <w:rPr>
          <w:spacing w:val="-41"/>
        </w:rPr>
      </w:r>
      <w:r>
        <w:rPr>
          <w:spacing w:val="-2"/>
        </w:rPr>
        <w:t>限公司（以下简称</w:t>
      </w:r>
      <w:r>
        <w:rPr>
          <w:rFonts w:ascii="Times New Roman" w:hAnsi="Times New Roman" w:cs="Times New Roman" w:eastAsia="Times New Roman" w:hint="default"/>
          <w:spacing w:val="-2"/>
        </w:rPr>
        <w:t>“</w:t>
      </w:r>
      <w:r>
        <w:rPr>
          <w:spacing w:val="-2"/>
        </w:rPr>
        <w:t>和柚技术</w:t>
      </w:r>
      <w:r>
        <w:rPr>
          <w:rFonts w:ascii="Times New Roman" w:hAnsi="Times New Roman" w:cs="Times New Roman" w:eastAsia="Times New Roman" w:hint="default"/>
          <w:spacing w:val="-2"/>
        </w:rPr>
        <w:t>”</w:t>
      </w:r>
      <w:r>
        <w:rPr>
          <w:spacing w:val="-2"/>
        </w:rPr>
        <w:t>）签署了《</w:t>
      </w:r>
      <w:r>
        <w:rPr>
          <w:rFonts w:ascii="Times New Roman" w:hAnsi="Times New Roman" w:cs="Times New Roman" w:eastAsia="Times New Roman" w:hint="default"/>
          <w:spacing w:val="-2"/>
        </w:rPr>
        <w:t>&lt;</w:t>
      </w:r>
      <w:r>
        <w:rPr>
          <w:spacing w:val="-2"/>
        </w:rPr>
        <w:t>股份转让协议</w:t>
      </w:r>
      <w:r>
        <w:rPr>
          <w:rFonts w:ascii="Times New Roman" w:hAnsi="Times New Roman" w:cs="Times New Roman" w:eastAsia="Times New Roman" w:hint="default"/>
          <w:spacing w:val="-2"/>
        </w:rPr>
        <w:t>&gt;</w:t>
      </w:r>
      <w:r>
        <w:rPr>
          <w:spacing w:val="-2"/>
        </w:rPr>
        <w:t>之补充协议》，仁东科技拟通过协议转让的方式获得和柚技术所持</w:t>
      </w:r>
      <w:r>
        <w:rPr>
          <w:spacing w:val="-66"/>
        </w:rPr>
        <w:t> </w:t>
      </w:r>
      <w:r>
        <w:rPr>
          <w:spacing w:val="-66"/>
        </w:rPr>
      </w:r>
      <w:r>
        <w:rPr/>
        <w:t>有的仁东控股</w:t>
      </w:r>
      <w:r>
        <w:rPr>
          <w:rFonts w:ascii="Times New Roman" w:hAnsi="Times New Roman" w:cs="Times New Roman" w:eastAsia="Times New Roman" w:hint="default"/>
        </w:rPr>
        <w:t>61,445,028</w:t>
      </w:r>
      <w:r>
        <w:rPr>
          <w:rFonts w:ascii="Times New Roman" w:hAnsi="Times New Roman" w:cs="Times New Roman" w:eastAsia="Times New Roman" w:hint="default"/>
          <w:spacing w:val="34"/>
        </w:rPr>
        <w:t> </w:t>
      </w:r>
      <w:r>
        <w:rPr/>
        <w:t>股无限售条件流通股股份（占仁东控股股本总额的</w:t>
      </w:r>
      <w:r>
        <w:rPr>
          <w:rFonts w:ascii="Times New Roman" w:hAnsi="Times New Roman" w:cs="Times New Roman" w:eastAsia="Times New Roman" w:hint="default"/>
        </w:rPr>
        <w:t>10.97%</w:t>
      </w:r>
      <w:r>
        <w:rPr/>
        <w:t>）。其中，上述《</w:t>
      </w:r>
      <w:r>
        <w:rPr>
          <w:rFonts w:ascii="Times New Roman" w:hAnsi="Times New Roman" w:cs="Times New Roman" w:eastAsia="Times New Roman" w:hint="default"/>
        </w:rPr>
        <w:t>&lt;</w:t>
      </w:r>
      <w:r>
        <w:rPr/>
        <w:t>表决权委托协议</w:t>
      </w:r>
      <w:r>
        <w:rPr>
          <w:rFonts w:ascii="Times New Roman" w:hAnsi="Times New Roman" w:cs="Times New Roman" w:eastAsia="Times New Roman" w:hint="default"/>
        </w:rPr>
        <w:t>&gt;</w:t>
      </w:r>
      <w:r>
        <w:rPr/>
        <w:t>之</w:t>
      </w:r>
      <w:r>
        <w:rPr>
          <w:spacing w:val="-76"/>
        </w:rPr>
        <w:t> </w:t>
      </w:r>
      <w:r>
        <w:rPr/>
        <w:t>解除协议》及《</w:t>
      </w:r>
      <w:r>
        <w:rPr>
          <w:rFonts w:ascii="Times New Roman" w:hAnsi="Times New Roman" w:cs="Times New Roman" w:eastAsia="Times New Roman" w:hint="default"/>
        </w:rPr>
        <w:t>&lt;</w:t>
      </w:r>
      <w:r>
        <w:rPr/>
        <w:t>表决权委托协议之解除协议</w:t>
      </w:r>
      <w:r>
        <w:rPr>
          <w:rFonts w:ascii="Times New Roman" w:hAnsi="Times New Roman" w:cs="Times New Roman" w:eastAsia="Times New Roman" w:hint="default"/>
        </w:rPr>
        <w:t>&gt;</w:t>
      </w:r>
      <w:r>
        <w:rPr/>
        <w:t>之补充协议》的生效时间为仁东控股</w:t>
      </w:r>
      <w:r>
        <w:rPr>
          <w:rFonts w:ascii="Times New Roman" w:hAnsi="Times New Roman" w:cs="Times New Roman" w:eastAsia="Times New Roman" w:hint="default"/>
        </w:rPr>
        <w:t>10.97%</w:t>
      </w:r>
      <w:r>
        <w:rPr/>
        <w:t>股份完成交割之日。</w:t>
      </w:r>
      <w:r>
        <w:rPr>
          <w:spacing w:val="-33"/>
        </w:rPr>
        <w:t> </w:t>
      </w:r>
      <w:r>
        <w:rPr/>
        <w:t>权益变动完</w:t>
      </w:r>
      <w:r>
        <w:rPr/>
        <w:t> </w:t>
      </w:r>
      <w:r>
        <w:rPr>
          <w:spacing w:val="-3"/>
        </w:rPr>
        <w:t>成前，仁东科技及其一致行动人仁东（天津）科技有限公司（以下简称</w:t>
      </w:r>
      <w:r>
        <w:rPr>
          <w:rFonts w:ascii="Times New Roman" w:hAnsi="Times New Roman" w:cs="Times New Roman" w:eastAsia="Times New Roman" w:hint="default"/>
          <w:spacing w:val="-3"/>
        </w:rPr>
        <w:t>“</w:t>
      </w:r>
      <w:r>
        <w:rPr>
          <w:spacing w:val="-3"/>
        </w:rPr>
        <w:t>仁东天津</w:t>
      </w:r>
      <w:r>
        <w:rPr>
          <w:rFonts w:ascii="Times New Roman" w:hAnsi="Times New Roman" w:cs="Times New Roman" w:eastAsia="Times New Roman" w:hint="default"/>
          <w:spacing w:val="-3"/>
        </w:rPr>
        <w:t>”</w:t>
      </w:r>
      <w:r>
        <w:rPr>
          <w:spacing w:val="-3"/>
        </w:rPr>
        <w:t>）合计持有上市公司</w:t>
      </w:r>
      <w:r>
        <w:rPr>
          <w:rFonts w:ascii="Times New Roman" w:hAnsi="Times New Roman" w:cs="Times New Roman" w:eastAsia="Times New Roman" w:hint="default"/>
          <w:spacing w:val="-3"/>
        </w:rPr>
        <w:t>96,649,288</w:t>
      </w:r>
      <w:r>
        <w:rPr>
          <w:spacing w:val="-3"/>
        </w:rPr>
        <w:t>股股份（占</w:t>
      </w:r>
      <w:r>
        <w:rPr>
          <w:spacing w:val="-65"/>
        </w:rPr>
        <w:t> </w:t>
      </w:r>
      <w:r>
        <w:rPr>
          <w:spacing w:val="-65"/>
        </w:rPr>
      </w:r>
      <w:r>
        <w:rPr>
          <w:spacing w:val="-1"/>
        </w:rPr>
        <w:t>仁东控股股本总额的</w:t>
      </w:r>
      <w:r>
        <w:rPr>
          <w:rFonts w:ascii="Times New Roman" w:hAnsi="Times New Roman" w:cs="Times New Roman" w:eastAsia="Times New Roman" w:hint="default"/>
          <w:spacing w:val="-1"/>
        </w:rPr>
        <w:t>17.26%</w:t>
      </w:r>
      <w:r>
        <w:rPr>
          <w:spacing w:val="-1"/>
        </w:rPr>
        <w:t>，其中仁东科技持股比例</w:t>
      </w:r>
      <w:r>
        <w:rPr>
          <w:rFonts w:ascii="Times New Roman" w:hAnsi="Times New Roman" w:cs="Times New Roman" w:eastAsia="Times New Roman" w:hint="default"/>
          <w:spacing w:val="-1"/>
        </w:rPr>
        <w:t>11.94%</w:t>
      </w:r>
      <w:r>
        <w:rPr>
          <w:spacing w:val="-1"/>
        </w:rPr>
        <w:t>，一致行动人仁东（天津）科技有限公司持股比例</w:t>
      </w:r>
      <w:r>
        <w:rPr>
          <w:rFonts w:ascii="Times New Roman" w:hAnsi="Times New Roman" w:cs="Times New Roman" w:eastAsia="Times New Roman" w:hint="default"/>
          <w:spacing w:val="-1"/>
        </w:rPr>
        <w:t>5.27%</w:t>
      </w:r>
      <w:r>
        <w:rPr>
          <w:spacing w:val="-1"/>
        </w:rPr>
        <w:t>，赵美</w:t>
      </w:r>
      <w:r>
        <w:rPr>
          <w:spacing w:val="-73"/>
        </w:rPr>
        <w:t> </w:t>
      </w:r>
      <w:r>
        <w:rPr>
          <w:spacing w:val="-73"/>
        </w:rPr>
      </w:r>
      <w:r>
        <w:rPr/>
        <w:t>女士持股比例</w:t>
      </w:r>
      <w:r>
        <w:rPr>
          <w:rFonts w:ascii="Times New Roman" w:hAnsi="Times New Roman" w:cs="Times New Roman" w:eastAsia="Times New Roman" w:hint="default"/>
        </w:rPr>
        <w:t>0.05%</w:t>
      </w:r>
      <w:r>
        <w:rPr/>
        <w:t>）。景华及其一致行动人、润泽</w:t>
      </w:r>
      <w:r>
        <w:rPr>
          <w:rFonts w:ascii="Times New Roman" w:hAnsi="Times New Roman" w:cs="Times New Roman" w:eastAsia="Times New Roman" w:hint="default"/>
        </w:rPr>
        <w:t>2</w:t>
      </w:r>
      <w:r>
        <w:rPr/>
        <w:t>号基金和民盛景融</w:t>
      </w:r>
      <w:r>
        <w:rPr>
          <w:rFonts w:ascii="Times New Roman" w:hAnsi="Times New Roman" w:cs="Times New Roman" w:eastAsia="Times New Roman" w:hint="default"/>
        </w:rPr>
        <w:t>1</w:t>
      </w:r>
      <w:r>
        <w:rPr/>
        <w:t>号基金共持有仁东控股</w:t>
      </w:r>
      <w:r>
        <w:rPr>
          <w:rFonts w:ascii="Times New Roman" w:hAnsi="Times New Roman" w:cs="Times New Roman" w:eastAsia="Times New Roman" w:hint="default"/>
        </w:rPr>
        <w:t>77,357,255</w:t>
      </w:r>
      <w:r>
        <w:rPr/>
        <w:t>股股份（占仁东</w:t>
      </w:r>
      <w:r>
        <w:rPr>
          <w:spacing w:val="-19"/>
        </w:rPr>
        <w:t> </w:t>
      </w:r>
      <w:r>
        <w:rPr>
          <w:spacing w:val="-19"/>
        </w:rPr>
      </w:r>
      <w:r>
        <w:rPr/>
        <w:t>控股股本总额的</w:t>
      </w:r>
      <w:r>
        <w:rPr>
          <w:rFonts w:ascii="Times New Roman" w:hAnsi="Times New Roman" w:cs="Times New Roman" w:eastAsia="Times New Roman" w:hint="default"/>
        </w:rPr>
        <w:t>13.82%</w:t>
      </w:r>
      <w:r>
        <w:rPr/>
        <w:t>），并将上述股份对应的表决权委托给仁东科技行使。仁东科技及其一致行动人合计持有上市公司</w:t>
      </w:r>
      <w:r>
        <w:rPr>
          <w:spacing w:val="-23"/>
        </w:rPr>
        <w:t> </w:t>
      </w:r>
      <w:r>
        <w:rPr>
          <w:spacing w:val="-23"/>
        </w:rPr>
      </w:r>
      <w:r>
        <w:rPr>
          <w:rFonts w:ascii="Times New Roman" w:hAnsi="Times New Roman" w:cs="Times New Roman" w:eastAsia="Times New Roman" w:hint="default"/>
        </w:rPr>
        <w:t>31.08%</w:t>
      </w:r>
      <w:r>
        <w:rPr/>
        <w:t>的表决权。</w:t>
      </w:r>
      <w:r>
        <w:rPr>
          <w:spacing w:val="-12"/>
        </w:rPr>
        <w:t> </w:t>
      </w:r>
      <w:r>
        <w:rPr/>
        <w:t>权益变动完成后，仁东科技及其一致行动人将直接持有上市公司</w:t>
      </w:r>
      <w:r>
        <w:rPr>
          <w:rFonts w:ascii="Times New Roman" w:hAnsi="Times New Roman" w:cs="Times New Roman" w:eastAsia="Times New Roman" w:hint="default"/>
        </w:rPr>
        <w:t>158,094,316</w:t>
      </w:r>
      <w:r>
        <w:rPr/>
        <w:t>股股份（占上市公司总股本 的</w:t>
      </w:r>
      <w:r>
        <w:rPr>
          <w:rFonts w:ascii="Times New Roman" w:hAnsi="Times New Roman" w:cs="Times New Roman" w:eastAsia="Times New Roman" w:hint="default"/>
        </w:rPr>
        <w:t>28.23%</w:t>
      </w:r>
      <w:r>
        <w:rPr/>
        <w:t>），仁东科技仍为公司控股股东，上市公司的实际控制人仍为霍东先生。</w:t>
      </w:r>
    </w:p>
    <w:p>
      <w:pPr>
        <w:pStyle w:val="BodyText"/>
        <w:spacing w:line="307" w:lineRule="auto" w:before="13"/>
        <w:ind w:right="1032" w:firstLine="360"/>
        <w:jc w:val="left"/>
      </w:pPr>
      <w:r>
        <w:rPr>
          <w:rFonts w:ascii="Times New Roman" w:hAnsi="Times New Roman" w:cs="Times New Roman" w:eastAsia="Times New Roman" w:hint="default"/>
        </w:rPr>
        <w:t>2. 2017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日本公司与天津和柚技术有限公司（原名：和柚技术集团有限公司）签署《业绩承诺补偿协议》， 天津和柚技术有限公司承诺广东合利金融科技服务有限公司</w:t>
      </w:r>
      <w:r>
        <w:rPr>
          <w:spacing w:val="-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7"/>
        </w:rPr>
        <w:t> </w:t>
      </w:r>
      <w:r>
        <w:rPr/>
        <w:t>年度、</w:t>
      </w:r>
      <w:r>
        <w:rPr>
          <w:rFonts w:ascii="Times New Roman" w:hAnsi="Times New Roman" w:cs="Times New Roman" w:eastAsia="Times New Roman" w:hint="default"/>
        </w:rPr>
        <w:t>2018</w:t>
      </w:r>
      <w:r>
        <w:rPr>
          <w:rFonts w:ascii="Times New Roman" w:hAnsi="Times New Roman" w:cs="Times New Roman" w:eastAsia="Times New Roman" w:hint="default"/>
          <w:spacing w:val="39"/>
        </w:rPr>
        <w:t> </w:t>
      </w:r>
      <w:r>
        <w:rPr/>
        <w:t>年度扣除非经常性损益后归属于母公司所有</w:t>
      </w:r>
      <w:r>
        <w:rPr>
          <w:spacing w:val="-76"/>
        </w:rPr>
        <w:t> </w:t>
      </w:r>
      <w:r>
        <w:rPr>
          <w:spacing w:val="-76"/>
        </w:rPr>
      </w:r>
      <w:r>
        <w:rPr/>
        <w:t>者的净利润数额不低于 </w:t>
      </w:r>
      <w:r>
        <w:rPr>
          <w:rFonts w:ascii="Times New Roman" w:hAnsi="Times New Roman" w:cs="Times New Roman" w:eastAsia="Times New Roman" w:hint="default"/>
        </w:rPr>
        <w:t>11,400 </w:t>
      </w:r>
      <w:r>
        <w:rPr/>
        <w:t>万元、</w:t>
      </w:r>
      <w:r>
        <w:rPr>
          <w:rFonts w:ascii="Times New Roman" w:hAnsi="Times New Roman" w:cs="Times New Roman" w:eastAsia="Times New Roman" w:hint="default"/>
        </w:rPr>
        <w:t>21,800 </w:t>
      </w:r>
      <w:r>
        <w:rPr>
          <w:spacing w:val="-5"/>
        </w:rPr>
        <w:t>万元，若 </w:t>
      </w:r>
      <w:r>
        <w:rPr>
          <w:rFonts w:ascii="Times New Roman" w:hAnsi="Times New Roman" w:cs="Times New Roman" w:eastAsia="Times New Roman" w:hint="default"/>
        </w:rPr>
        <w:t>2017 </w:t>
      </w:r>
      <w:r>
        <w:rPr>
          <w:spacing w:val="-3"/>
        </w:rPr>
        <w:t>年度、</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3"/>
        </w:rPr>
        <w:t> </w:t>
      </w:r>
      <w:r>
        <w:rPr/>
        <w:t>年度任一年度内，截至当期期末累计实际实现净利 </w:t>
      </w:r>
      <w:r>
        <w:rPr>
          <w:spacing w:val="-2"/>
        </w:rPr>
        <w:t>润数低于截至当期期末累计承诺净利润数，天津和柚技术有限公司应按未实现的利润差额向本公司进行现金补偿。同时，根</w:t>
      </w:r>
      <w:r>
        <w:rPr>
          <w:spacing w:val="-66"/>
        </w:rPr>
        <w:t> </w:t>
      </w:r>
      <w:r>
        <w:rPr>
          <w:spacing w:val="-66"/>
        </w:rPr>
      </w:r>
      <w:r>
        <w:rPr>
          <w:spacing w:val="-4"/>
        </w:rPr>
        <w:t>据《业绩承诺补偿协议》，本公司</w:t>
      </w:r>
      <w:r>
        <w:rPr>
          <w:rFonts w:ascii="Times New Roman" w:hAnsi="Times New Roman" w:cs="Times New Roman" w:eastAsia="Times New Roman" w:hint="default"/>
          <w:spacing w:val="-4"/>
        </w:rPr>
        <w:t>2017 </w:t>
      </w:r>
      <w:r>
        <w:rPr>
          <w:spacing w:val="-4"/>
        </w:rPr>
        <w:t>年度、</w:t>
      </w:r>
      <w:r>
        <w:rPr>
          <w:rFonts w:ascii="Times New Roman" w:hAnsi="Times New Roman" w:cs="Times New Roman" w:eastAsia="Times New Roman" w:hint="default"/>
          <w:spacing w:val="-4"/>
        </w:rPr>
        <w:t>2018 </w:t>
      </w:r>
      <w:r>
        <w:rPr/>
        <w:t>年度将对广东合利金融科技服务有限公司进行减值测试，若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年度、 </w:t>
      </w:r>
      <w:r>
        <w:rPr>
          <w:rFonts w:ascii="Times New Roman" w:hAnsi="Times New Roman" w:cs="Times New Roman" w:eastAsia="Times New Roman" w:hint="default"/>
          <w:spacing w:val="-2"/>
        </w:rPr>
        <w:t>2018</w:t>
      </w:r>
      <w:r>
        <w:rPr>
          <w:spacing w:val="-2"/>
        </w:rPr>
        <w:t>年度任一年度内，广东合利金融科技服务有限公司的期末评估值小于本公司的收购价格，差额部分即为广东合利金融科</w:t>
      </w:r>
      <w:r>
        <w:rPr>
          <w:spacing w:val="-60"/>
        </w:rPr>
        <w:t> </w:t>
      </w:r>
      <w:r>
        <w:rPr>
          <w:spacing w:val="-60"/>
        </w:rPr>
      </w:r>
      <w:r>
        <w:rPr/>
        <w:t>技服务有限公司的减值额，当减值额大于前述的利润补偿额时，天津和柚技术有限公司需对本公司进行资产减值测试补偿， </w:t>
      </w:r>
      <w:r>
        <w:rPr>
          <w:spacing w:val="-3"/>
        </w:rPr>
        <w:t>补偿额为广东合利金融科技服务有限公司的期末减值额减去已实施的利润补偿额。</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34"/>
        </w:rPr>
        <w:t> </w:t>
      </w:r>
      <w:r>
        <w:rPr/>
        <w:t>年</w:t>
      </w:r>
      <w:r>
        <w:rPr>
          <w:spacing w:val="-12"/>
        </w:rPr>
        <w:t> </w:t>
      </w: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月</w:t>
      </w:r>
      <w:r>
        <w:rPr>
          <w:spacing w:val="-12"/>
        </w:rPr>
        <w:t> </w:t>
      </w:r>
      <w:r>
        <w:rPr>
          <w:rFonts w:ascii="Times New Roman" w:hAnsi="Times New Roman" w:cs="Times New Roman" w:eastAsia="Times New Roman" w:hint="default"/>
        </w:rPr>
        <w:t>8</w:t>
      </w:r>
      <w:r>
        <w:rPr>
          <w:rFonts w:ascii="Times New Roman" w:hAnsi="Times New Roman" w:cs="Times New Roman" w:eastAsia="Times New Roman" w:hint="default"/>
          <w:spacing w:val="33"/>
        </w:rPr>
        <w:t> </w:t>
      </w:r>
      <w:r>
        <w:rPr/>
        <w:t>日本公司与天津和柚技术</w:t>
      </w:r>
      <w:r>
        <w:rPr>
          <w:spacing w:val="-82"/>
        </w:rPr>
        <w:t> </w:t>
      </w:r>
      <w:r>
        <w:rPr>
          <w:spacing w:val="-2"/>
        </w:rPr>
        <w:t>有限公司、内蒙古仁东科技有限公司三方签署《业绩承诺补偿协议之补充协议》，根据该协议约定，利润承诺期内广东合利</w:t>
      </w:r>
      <w:r>
        <w:rPr>
          <w:spacing w:val="-66"/>
        </w:rPr>
        <w:t> </w:t>
      </w:r>
      <w:r>
        <w:rPr>
          <w:spacing w:val="-66"/>
        </w:rPr>
      </w:r>
      <w:r>
        <w:rPr>
          <w:spacing w:val="-2"/>
        </w:rPr>
        <w:t>金融科技服务有限公司实际实现净利润与承诺净利润的差额由天津和柚技术有限公司优先承担业绩补偿责任，若天津和柚技</w:t>
      </w:r>
      <w:r>
        <w:rPr>
          <w:spacing w:val="-64"/>
        </w:rPr>
        <w:t> </w:t>
      </w:r>
      <w:r>
        <w:rPr>
          <w:spacing w:val="-64"/>
        </w:rPr>
      </w:r>
      <w:r>
        <w:rPr/>
        <w:t>术有限公司不能足额向本公司承担业绩补偿责任，内蒙古仁东科技有限公司应就尚未补偿金额承担差额补足责任。</w:t>
      </w:r>
    </w:p>
    <w:p>
      <w:pPr>
        <w:pStyle w:val="BodyText"/>
        <w:spacing w:line="300" w:lineRule="auto" w:before="26"/>
        <w:ind w:right="1130" w:firstLine="360"/>
        <w:jc w:val="both"/>
      </w:pPr>
      <w:r>
        <w:rPr>
          <w:rFonts w:ascii="Times New Roman" w:hAnsi="Times New Roman" w:cs="Times New Roman" w:eastAsia="Times New Roman" w:hint="default"/>
        </w:rPr>
        <w:t>3. </w:t>
      </w: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日交付</w:t>
      </w:r>
      <w:r>
        <w:rPr>
          <w:rFonts w:ascii="Times New Roman" w:hAnsi="Times New Roman" w:cs="Times New Roman" w:eastAsia="Times New Roman" w:hint="default"/>
        </w:rPr>
        <w:t>“</w:t>
      </w:r>
      <w:r>
        <w:rPr/>
        <w:t>北京海淀科技金融资本控股集团股份有限公司</w:t>
      </w:r>
      <w:r>
        <w:rPr>
          <w:spacing w:val="-18"/>
        </w:rPr>
        <w:t> </w:t>
      </w:r>
      <w:r>
        <w:rPr/>
        <w:t>增资项目</w:t>
      </w:r>
      <w:r>
        <w:rPr>
          <w:rFonts w:ascii="Times New Roman" w:hAnsi="Times New Roman" w:cs="Times New Roman" w:eastAsia="Times New Roman" w:hint="default"/>
        </w:rPr>
        <w:t>”</w:t>
      </w:r>
      <w:r>
        <w:rPr/>
        <w:t>保证金</w:t>
      </w:r>
      <w:r>
        <w:rPr>
          <w:rFonts w:ascii="Times New Roman" w:hAnsi="Times New Roman" w:cs="Times New Roman" w:eastAsia="Times New Roman" w:hint="default"/>
        </w:rPr>
        <w:t>1,500</w:t>
      </w:r>
      <w:r>
        <w:rPr/>
        <w:t>万元。按照与北 </w:t>
      </w:r>
      <w:r>
        <w:rPr>
          <w:spacing w:val="2"/>
        </w:rPr>
        <w:t>京海淀科技金融资本控股集团股份有限公司签订的增资事项相关协议的要求，公司于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日又完成剩余增资款项</w:t>
      </w:r>
      <w:r>
        <w:rPr>
          <w:spacing w:val="-45"/>
        </w:rPr>
        <w:t> </w:t>
      </w:r>
      <w:r>
        <w:rPr>
          <w:spacing w:val="-45"/>
        </w:rPr>
      </w:r>
      <w:r>
        <w:rPr>
          <w:rFonts w:ascii="Times New Roman" w:hAnsi="Times New Roman" w:cs="Times New Roman" w:eastAsia="Times New Roman" w:hint="default"/>
        </w:rPr>
        <w:t>13,500</w:t>
      </w:r>
      <w:r>
        <w:rPr/>
        <w:t>万元的支付。至此，增资款项</w:t>
      </w:r>
      <w:r>
        <w:rPr>
          <w:rFonts w:ascii="Times New Roman" w:hAnsi="Times New Roman" w:cs="Times New Roman" w:eastAsia="Times New Roman" w:hint="default"/>
        </w:rPr>
        <w:t>1.5</w:t>
      </w:r>
      <w:r>
        <w:rPr/>
        <w:t>亿元已缴纳完毕，后续将办理工商变更登记手续。</w:t>
      </w:r>
    </w:p>
    <w:p>
      <w:pPr>
        <w:spacing w:after="0" w:line="300"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十七、母公司财务报表主要项目注释" w:id="496"/>
      <w:bookmarkEnd w:id="496"/>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及应收账款" w:id="497"/>
      <w:bookmarkEnd w:id="497"/>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29,763,438.13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30,763,438.13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498"/>
      <w:bookmarkEnd w:id="498"/>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期末公司因出票人未履约而将其转应收账款的票据" w:id="499"/>
      <w:bookmarkEnd w:id="499"/>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收账款" w:id="500"/>
      <w:bookmarkEnd w:id="500"/>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46"/>
        <w:gridCol w:w="752"/>
        <w:gridCol w:w="762"/>
        <w:gridCol w:w="774"/>
        <w:gridCol w:w="739"/>
        <w:gridCol w:w="812"/>
        <w:gridCol w:w="643"/>
        <w:gridCol w:w="762"/>
        <w:gridCol w:w="813"/>
        <w:gridCol w:w="932"/>
        <w:gridCol w:w="932"/>
      </w:tblGrid>
      <w:tr>
        <w:trPr>
          <w:trHeight w:val="403"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12" w:type="dxa"/>
            <w:vMerge w:val="restart"/>
            <w:tcBorders>
              <w:top w:val="single" w:sz="4" w:space="0" w:color="000000"/>
              <w:left w:val="single" w:sz="4" w:space="0" w:color="000000"/>
              <w:right w:val="single" w:sz="4" w:space="0" w:color="000000"/>
            </w:tcBorders>
            <w:shd w:val="clear" w:color="auto" w:fill="D2D2D2"/>
          </w:tcPr>
          <w:p>
            <w:pPr/>
          </w:p>
        </w:tc>
        <w:tc>
          <w:tcPr>
            <w:tcW w:w="14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1405"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74"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9" w:type="dxa"/>
            <w:vMerge/>
            <w:tcBorders>
              <w:left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6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39" w:type="dxa"/>
            <w:vMerge/>
            <w:tcBorders>
              <w:left w:val="single" w:sz="4" w:space="0" w:color="000000"/>
              <w:right w:val="single" w:sz="4" w:space="0" w:color="000000"/>
            </w:tcBorders>
            <w:shd w:val="clear" w:color="auto" w:fill="D2D2D2"/>
          </w:tcPr>
          <w:p>
            <w:pPr/>
          </w:p>
        </w:tc>
        <w:tc>
          <w:tcPr>
            <w:tcW w:w="812" w:type="dxa"/>
            <w:vMerge w:val="restart"/>
            <w:tcBorders>
              <w:top w:val="nil" w:sz="6" w:space="0" w:color="auto"/>
              <w:left w:val="single" w:sz="4" w:space="0" w:color="000000"/>
              <w:right w:val="single" w:sz="4" w:space="0" w:color="000000"/>
            </w:tcBorders>
            <w:shd w:val="clear" w:color="auto" w:fill="D2D2D2"/>
          </w:tcPr>
          <w:p>
            <w:pPr/>
          </w:p>
        </w:tc>
        <w:tc>
          <w:tcPr>
            <w:tcW w:w="64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single" w:sz="4" w:space="0" w:color="000000"/>
              <w:right w:val="single" w:sz="4" w:space="0" w:color="000000"/>
            </w:tcBorders>
            <w:shd w:val="clear" w:color="auto" w:fill="D2D2D2"/>
          </w:tcPr>
          <w:p>
            <w:pPr/>
          </w:p>
        </w:tc>
        <w:tc>
          <w:tcPr>
            <w:tcW w:w="6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52"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 w:right="0"/>
              <w:jc w:val="left"/>
              <w:rPr>
                <w:rFonts w:ascii="Times New Roman" w:hAnsi="Times New Roman" w:cs="Times New Roman" w:eastAsia="Times New Roman" w:hint="default"/>
                <w:sz w:val="18"/>
                <w:szCs w:val="18"/>
              </w:rPr>
            </w:pPr>
            <w:r>
              <w:rPr>
                <w:rFonts w:ascii="Times New Roman"/>
                <w:sz w:val="18"/>
              </w:rPr>
              <w:t>30,217,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454,292.2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5" w:right="0"/>
              <w:jc w:val="left"/>
              <w:rPr>
                <w:rFonts w:ascii="Times New Roman" w:hAnsi="Times New Roman" w:cs="Times New Roman" w:eastAsia="Times New Roman" w:hint="default"/>
                <w:sz w:val="18"/>
                <w:szCs w:val="18"/>
              </w:rPr>
            </w:pPr>
            <w:r>
              <w:rPr>
                <w:rFonts w:ascii="Times New Roman"/>
                <w:sz w:val="18"/>
              </w:rPr>
              <w:t>1.50%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29,763,438.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6" w:right="0"/>
              <w:jc w:val="left"/>
              <w:rPr>
                <w:rFonts w:ascii="Times New Roman" w:hAnsi="Times New Roman" w:cs="Times New Roman" w:eastAsia="Times New Roman" w:hint="default"/>
                <w:sz w:val="18"/>
                <w:szCs w:val="18"/>
              </w:rPr>
            </w:pPr>
            <w:r>
              <w:rPr>
                <w:rFonts w:ascii="Times New Roman"/>
                <w:sz w:val="18"/>
              </w:rPr>
              <w:t>730.39</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13</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30,217,</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730.39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454,292.2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29,763,438.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1420"/>
        <w:jc w:val="left"/>
      </w:pPr>
      <w:r>
        <w:rPr/>
        <w:t>期末单项金额重大并单项计提坏账准备的应收账款：</w:t>
      </w:r>
    </w:p>
    <w:p>
      <w:pPr>
        <w:pStyle w:val="BodyText"/>
        <w:spacing w:line="338" w:lineRule="auto" w:before="117"/>
        <w:ind w:right="17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340" w:lineRule="auto" w:before="42"/>
        <w:ind w:right="14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348" w:lineRule="auto" w:before="40"/>
        <w:ind w:right="17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38" w:lineRule="auto" w:before="12"/>
        <w:ind w:right="-19"/>
        <w:jc w:val="left"/>
      </w:pPr>
      <w:r>
        <w:rPr/>
        <w:t>本期计提坏账准备金额元；本期收回或转回坏账准备金额</w:t>
      </w:r>
      <w:r>
        <w:rPr>
          <w:spacing w:val="-45"/>
        </w:rPr>
        <w:t> </w:t>
      </w:r>
      <w:r>
        <w:rPr>
          <w:rFonts w:ascii="Times New Roman" w:hAnsi="Times New Roman" w:cs="Times New Roman" w:eastAsia="Times New Roman" w:hint="default"/>
        </w:rPr>
        <w:t>454,292.26</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5915" w:space="291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应收账款核销说明：</w:t>
      </w:r>
    </w:p>
    <w:p>
      <w:pPr>
        <w:pStyle w:val="BodyText"/>
        <w:spacing w:line="240" w:lineRule="auto" w:before="117"/>
        <w:ind w:right="0"/>
        <w:jc w:val="left"/>
      </w:pPr>
      <w:r>
        <w:rPr>
          <w:rFonts w:ascii="Times New Roman" w:hAnsi="Times New Roman" w:cs="Times New Roman" w:eastAsia="Times New Roman" w:hint="default"/>
        </w:rPr>
        <w:t>4)</w:t>
      </w:r>
      <w:r>
        <w:rPr/>
        <w:t>按欠款方归集的期末余额前五名的应收账款情况</w:t>
      </w:r>
    </w:p>
    <w:p>
      <w:pPr>
        <w:pStyle w:val="BodyText"/>
        <w:spacing w:line="240" w:lineRule="auto" w:before="102"/>
        <w:ind w:right="0"/>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2"/>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其他应收款" w:id="501"/>
      <w:bookmarkEnd w:id="50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943,780,892.53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924,396,107.30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943,780,892.53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924,396,107.30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502"/>
      <w:bookmarkEnd w:id="502"/>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应收利息分类</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收股利" w:id="503"/>
      <w:bookmarkEnd w:id="503"/>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其他应收款" w:id="504"/>
      <w:bookmarkEnd w:id="504"/>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946,031,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311.87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2,250,41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943,780,8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92.53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925,147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,891.78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751,784.4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924,396,10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7.30</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946,031,</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311.87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2,250,41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9.34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0.24%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943,780,8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92.53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925,147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,891.78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751,784.4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924,396,10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7.30</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92"/>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个月，下同）</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27,955.79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419.34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27,955.79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419.34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7,527,955.79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2,250,419.34</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214" w:right="6252"/>
        <w:jc w:val="left"/>
      </w:pPr>
      <w:r>
        <w:rPr/>
        <w:t>确定该组合依据的说明： 组合中，采用余额百分比法计提坏账准备的其他应收款：</w:t>
      </w:r>
    </w:p>
    <w:p>
      <w:pPr>
        <w:pStyle w:val="BodyText"/>
        <w:spacing w:line="340" w:lineRule="auto" w:before="26"/>
        <w:ind w:left="214"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214" w:right="6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561"/>
        <w:gridCol w:w="3824"/>
        <w:gridCol w:w="2560"/>
      </w:tblGrid>
      <w:tr>
        <w:trPr>
          <w:trHeight w:val="402" w:hRule="exact"/>
        </w:trPr>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918,457,316.33</w:t>
            </w:r>
          </w:p>
        </w:tc>
        <w:tc>
          <w:tcPr>
            <w:tcW w:w="2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20,046,039.75</w:t>
            </w:r>
          </w:p>
        </w:tc>
        <w:tc>
          <w:tcPr>
            <w:tcW w:w="2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938,503,356.08</w:t>
            </w:r>
          </w:p>
        </w:tc>
        <w:tc>
          <w:tcPr>
            <w:tcW w:w="25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20" w:right="0"/>
        </w:sectPr>
      </w:pPr>
    </w:p>
    <w:p>
      <w:pPr>
        <w:pStyle w:val="BodyText"/>
        <w:spacing w:line="240" w:lineRule="auto" w:before="51"/>
        <w:ind w:left="214" w:right="-12"/>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2"/>
        <w:ind w:left="214" w:right="-12"/>
        <w:jc w:val="left"/>
      </w:pPr>
      <w:r>
        <w:rPr/>
        <w:t>本期计提坏账准备金额</w:t>
      </w:r>
      <w:r>
        <w:rPr>
          <w:spacing w:val="-47"/>
        </w:rPr>
        <w:t> </w:t>
      </w:r>
      <w:r>
        <w:rPr>
          <w:rFonts w:ascii="Times New Roman" w:hAnsi="Times New Roman" w:cs="Times New Roman" w:eastAsia="Times New Roman" w:hint="default"/>
        </w:rPr>
        <w:t>1,500,419.34</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1,784.48</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213" w:right="0"/>
        <w:jc w:val="left"/>
      </w:pPr>
      <w:r>
        <w:rPr/>
        <w:t>单位： 元</w:t>
      </w:r>
    </w:p>
    <w:p>
      <w:pPr>
        <w:spacing w:after="0" w:line="240" w:lineRule="auto"/>
        <w:jc w:val="left"/>
        <w:sectPr>
          <w:type w:val="continuous"/>
          <w:pgSz w:w="11910" w:h="16840"/>
          <w:pgMar w:top="1060" w:bottom="1160" w:left="920" w:right="0"/>
          <w:cols w:num="2" w:equalWidth="0">
            <w:col w:w="6830" w:space="2000"/>
            <w:col w:w="2160"/>
          </w:cols>
        </w:sectPr>
      </w:pP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left="214" w:right="6252"/>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214" w:right="6252"/>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9" w:lineRule="auto"/>
        <w:jc w:val="left"/>
        <w:rPr>
          <w:rFonts w:ascii="宋体" w:hAnsi="宋体" w:cs="宋体" w:eastAsia="宋体" w:hint="default"/>
          <w:sz w:val="18"/>
          <w:szCs w:val="18"/>
        </w:rPr>
        <w:sectPr>
          <w:type w:val="continuous"/>
          <w:pgSz w:w="11910" w:h="16840"/>
          <w:pgMar w:top="1060" w:bottom="1160" w:left="920" w:right="0"/>
        </w:sectPr>
      </w:pPr>
    </w:p>
    <w:p>
      <w:pPr>
        <w:pStyle w:val="BodyText"/>
        <w:spacing w:line="240" w:lineRule="auto" w:before="51"/>
        <w:ind w:left="214" w:right="-20"/>
        <w:jc w:val="left"/>
      </w:pPr>
      <w:r>
        <w:rPr/>
        <w:t>其他应收款核销说明：</w:t>
      </w:r>
    </w:p>
    <w:p>
      <w:pPr>
        <w:pStyle w:val="BodyText"/>
        <w:spacing w:line="240" w:lineRule="auto" w:before="117"/>
        <w:ind w:left="214"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213" w:right="0"/>
        <w:jc w:val="left"/>
      </w:pPr>
      <w:r>
        <w:rPr/>
        <w:t>单位： 元</w:t>
      </w:r>
    </w:p>
    <w:p>
      <w:pPr>
        <w:spacing w:after="0" w:line="240" w:lineRule="auto"/>
        <w:jc w:val="left"/>
        <w:sectPr>
          <w:type w:val="continuous"/>
          <w:pgSz w:w="11910" w:h="16840"/>
          <w:pgMar w:top="1060" w:bottom="1160" w:left="920" w:right="0"/>
          <w:cols w:num="2" w:equalWidth="0">
            <w:col w:w="2885" w:space="5945"/>
            <w:col w:w="2160"/>
          </w:cols>
        </w:sectPr>
      </w:pP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集团关联方往来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918,457,316.33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916,887,854.74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20,046,039.75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641,071.42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代扣代缴款项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27,955.79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118,965.62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应收资产处置款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946,031,311.87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925,147,891.78</w:t>
            </w:r>
          </w:p>
        </w:tc>
      </w:tr>
    </w:tbl>
    <w:p>
      <w:pPr>
        <w:pStyle w:val="BodyText"/>
        <w:spacing w:line="240" w:lineRule="auto" w:before="51"/>
        <w:ind w:left="214" w:right="6252"/>
        <w:jc w:val="left"/>
      </w:pPr>
      <w:r>
        <w:rPr>
          <w:rFonts w:ascii="Times New Roman" w:hAnsi="Times New Roman" w:cs="Times New Roman" w:eastAsia="Times New Roman" w:hint="default"/>
        </w:rPr>
        <w:t>5)</w:t>
      </w:r>
      <w:r>
        <w:rPr/>
        <w:t>按欠款方归集的期末余额前五名的其他应收款情况</w:t>
      </w:r>
    </w:p>
    <w:p>
      <w:pPr>
        <w:spacing w:after="0" w:line="240" w:lineRule="auto"/>
        <w:jc w:val="left"/>
        <w:sectPr>
          <w:type w:val="continuous"/>
          <w:pgSz w:w="11910" w:h="16840"/>
          <w:pgMar w:top="1060" w:bottom="1160" w:left="92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集团关联方往来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454,065,637.75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集团关联方往来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232,790,000.00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24.61%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集团关联方往来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175,591,678.58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18.56%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集团关联方往来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56,010,000.00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933,457,316.33</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98.67%</w:t>
            </w:r>
          </w:p>
        </w:tc>
        <w:tc>
          <w:tcPr>
            <w:tcW w:w="16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1"/>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长期股权投资" w:id="505"/>
      <w:bookmarkEnd w:id="50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5,176,878,282.74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125,182,292.74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5,051,695,990.00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4,976,859,882.74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125,182,292.74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4,851,677,590.00</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5,176,878,282.74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125,182,292.74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5,051,695,990.00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4,976,859,882.74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125,182,292.74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4,851,677,590.00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506"/>
      <w:bookmarkEnd w:id="50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天津民盛金科信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1,200,558,000.00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1,200,558,000.00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民盛租赁有限公 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霍尔果斯民盛创 业投资有限公司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共青城民盛金控 投资管理有限公</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2,000,000,000.00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浙江仁东新材料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广州民盛互联网 小额贷款有限公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广东合利金融科 技服务有限公司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1,396,301,882.74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1,396,301,882.74</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125,182,292.74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125,182,292.74</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深圳民盛大数据 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4,976,859,882.74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200,018,400.00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5,176,878,282.74</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125,182,292.74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125,182,292.74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对联营、合营企业投资" w:id="507"/>
      <w:bookmarkEnd w:id="50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其他说明" w:id="508"/>
      <w:bookmarkEnd w:id="50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营业收入和营业成本" w:id="509"/>
      <w:bookmarkEnd w:id="50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247,606,777.02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246,284,537.59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86,132,272.14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82,128,080.70</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76,055.55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247,682,832.57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246,284,537.59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86,132,272.14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82,128,080.70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投资收益" w:id="510"/>
      <w:bookmarkEnd w:id="51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6、其他" w:id="511"/>
      <w:bookmarkEnd w:id="511"/>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0"/>
        <w:jc w:val="left"/>
        <w:rPr>
          <w:b w:val="0"/>
          <w:bCs w:val="0"/>
        </w:rPr>
      </w:pPr>
      <w:bookmarkStart w:name="十八、补充资料" w:id="512"/>
      <w:bookmarkEnd w:id="512"/>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513"/>
      <w:bookmarkEnd w:id="51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941" w:hRule="exact"/>
        </w:trPr>
        <w:tc>
          <w:tcPr>
            <w:tcW w:w="33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7,435,419.77</w:t>
            </w:r>
          </w:p>
        </w:tc>
        <w:tc>
          <w:tcPr>
            <w:tcW w:w="3186"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月，经公司第三届董事会第 四十二次会议审议同意，公司之全资子 深圳民盛大数据技术有限公司以人民币 </w:t>
            </w:r>
            <w:r>
              <w:rPr>
                <w:rFonts w:ascii="Times New Roman" w:hAnsi="Times New Roman" w:cs="Times New Roman" w:eastAsia="Times New Roman" w:hint="default"/>
                <w:sz w:val="18"/>
                <w:szCs w:val="18"/>
              </w:rPr>
              <w:t>480 </w:t>
            </w:r>
            <w:r>
              <w:rPr>
                <w:rFonts w:ascii="宋体" w:hAnsi="宋体" w:cs="宋体" w:eastAsia="宋体" w:hint="default"/>
                <w:sz w:val="18"/>
                <w:szCs w:val="18"/>
              </w:rPr>
              <w:t>万元向北京天尧信息技术有限公司 出售其持有的深圳民盛云尚信息技术有 限公司的</w:t>
            </w:r>
            <w:r>
              <w:rPr>
                <w:rFonts w:ascii="宋体" w:hAnsi="宋体" w:cs="宋体" w:eastAsia="宋体" w:hint="default"/>
                <w:spacing w:val="9"/>
                <w:sz w:val="18"/>
                <w:szCs w:val="18"/>
              </w:rPr>
              <w:t> </w:t>
            </w:r>
            <w:r>
              <w:rPr>
                <w:rFonts w:ascii="Times New Roman" w:hAnsi="Times New Roman" w:cs="Times New Roman" w:eastAsia="Times New Roman" w:hint="default"/>
                <w:spacing w:val="-3"/>
                <w:sz w:val="18"/>
                <w:szCs w:val="18"/>
              </w:rPr>
              <w:t>66.67%</w:t>
            </w:r>
            <w:r>
              <w:rPr>
                <w:rFonts w:ascii="宋体" w:hAnsi="宋体" w:cs="宋体" w:eastAsia="宋体" w:hint="default"/>
                <w:spacing w:val="-3"/>
                <w:sz w:val="18"/>
                <w:szCs w:val="18"/>
              </w:rPr>
              <w:t>股权，该业务产生投资</w:t>
            </w:r>
            <w:r>
              <w:rPr>
                <w:rFonts w:ascii="宋体" w:hAnsi="宋体" w:cs="宋体" w:eastAsia="宋体" w:hint="default"/>
                <w:sz w:val="18"/>
                <w:szCs w:val="18"/>
              </w:rPr>
              <w:t> 收益 </w:t>
            </w:r>
            <w:r>
              <w:rPr>
                <w:rFonts w:ascii="Times New Roman" w:hAnsi="Times New Roman" w:cs="Times New Roman" w:eastAsia="Times New Roman" w:hint="default"/>
                <w:sz w:val="18"/>
                <w:szCs w:val="18"/>
              </w:rPr>
              <w:t>753.26 </w:t>
            </w:r>
            <w:r>
              <w:rPr>
                <w:rFonts w:ascii="宋体" w:hAnsi="宋体" w:cs="宋体" w:eastAsia="宋体" w:hint="default"/>
                <w:sz w:val="18"/>
                <w:szCs w:val="18"/>
              </w:rPr>
              <w:t>万元。</w:t>
            </w:r>
          </w:p>
        </w:tc>
      </w:tr>
      <w:tr>
        <w:trPr>
          <w:trHeight w:val="392"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941" w:hRule="exact"/>
        </w:trPr>
        <w:tc>
          <w:tcPr>
            <w:tcW w:w="3324"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3,142,265.96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362,517.77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-405,683.61</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70,753.12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558,029.46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120,281.83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9,926,961.72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514"/>
      <w:bookmarkEnd w:id="51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bookmarkStart w:name="3、境内外会计准则下会计数据差异" w:id="515"/>
      <w:bookmarkEnd w:id="51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516"/>
      <w:bookmarkEnd w:id="51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517"/>
      <w:bookmarkEnd w:id="51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59" w:lineRule="auto"/>
        <w:ind w:right="0"/>
        <w:jc w:val="left"/>
        <w:rPr>
          <w:b w:val="0"/>
          <w:bCs w:val="0"/>
        </w:rPr>
      </w:pPr>
      <w:bookmarkStart w:name="（3）境内外会计准则下会计数据差异原因说明，对已经境外审计机构审计的数据进行差异" w:id="518"/>
      <w:bookmarkEnd w:id="51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 w:id="519"/>
      <w:bookmarkEnd w:id="519"/>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二节 备查文件目录" w:id="520"/>
      <w:bookmarkEnd w:id="520"/>
      <w:r>
        <w:rPr>
          <w:b w:val="0"/>
          <w:bCs w:val="0"/>
        </w:rPr>
      </w:r>
      <w:bookmarkStart w:name="_bookmark11" w:id="521"/>
      <w:bookmarkEnd w:id="521"/>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4" w:lineRule="auto"/>
        <w:ind w:right="0"/>
        <w:jc w:val="left"/>
      </w:pPr>
      <w:r>
        <w:rPr/>
        <w:t>一、载有董事长签名的公司</w:t>
      </w:r>
      <w:r>
        <w:rPr>
          <w:rFonts w:ascii="Times New Roman" w:hAnsi="Times New Roman" w:cs="Times New Roman" w:eastAsia="Times New Roman" w:hint="default"/>
        </w:rPr>
        <w:t>2018</w:t>
      </w:r>
      <w:r>
        <w:rPr/>
        <w:t>年年度报告全文； 二、载有公司法定代表人、主管会计工作负责人、会计机构负责人签名并盖章的会计报表； 三、载有会计师事务所盖章、注册会计师签名并盖章的审计报告原件； </w:t>
      </w:r>
      <w:r>
        <w:rPr>
          <w:spacing w:val="-2"/>
        </w:rPr>
        <w:t>四、报告期内在《证券日报》、《证券时报》、《中国证券报》、《上海证券报》及巨潮资讯网上公开披露过的所有公司文</w:t>
      </w:r>
      <w:r>
        <w:rPr>
          <w:spacing w:val="-72"/>
        </w:rPr>
        <w:t> </w:t>
      </w:r>
      <w:r>
        <w:rPr>
          <w:spacing w:val="-72"/>
        </w:rPr>
      </w:r>
      <w:r>
        <w:rPr/>
        <w:t>件的正本及公告原稿。</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6696" type="#_x0000_t75" stroked="false">
          <v:imagedata r:id="rId1" o:title=""/>
        </v:shape>
      </w:pict>
    </w:r>
    <w:r>
      <w:rPr/>
      <w:pict>
        <v:shape style="position:absolute;margin-left:533.179993pt;margin-top:795.517944pt;width:6.5pt;height:11pt;mso-position-horizontal-relative:page;mso-position-vertical-relative:page;z-index:-9166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6648" type="#_x0000_t75" stroked="false">
          <v:imagedata r:id="rId1" o:title=""/>
        </v:shape>
      </w:pict>
    </w:r>
    <w:r>
      <w:rPr/>
      <w:pict>
        <v:shape style="position:absolute;margin-left:527.679993pt;margin-top:781.957947pt;width:13pt;height:11pt;mso-position-horizontal-relative:page;mso-position-vertical-relative:page;z-index:-916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6600" type="#_x0000_t75" stroked="false">
          <v:imagedata r:id="rId1" o:title=""/>
        </v:shape>
      </w:pict>
    </w:r>
    <w:r>
      <w:rPr/>
      <w:pict>
        <v:shape style="position:absolute;margin-left:527.679993pt;margin-top:781.957947pt;width:13pt;height:11pt;mso-position-horizontal-relative:page;mso-position-vertical-relative:page;z-index:-916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6552" type="#_x0000_t75" stroked="false">
          <v:imagedata r:id="rId1" o:title=""/>
        </v:shape>
      </w:pict>
    </w:r>
    <w:r>
      <w:rPr/>
      <w:pict>
        <v:shape style="position:absolute;margin-left:527.679993pt;margin-top:781.957947pt;width:13pt;height:11pt;mso-position-horizontal-relative:page;mso-position-vertical-relative:page;z-index:-9165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6504" type="#_x0000_t75" stroked="false">
          <v:imagedata r:id="rId1" o:title=""/>
        </v:shape>
      </w:pict>
    </w:r>
    <w:r>
      <w:rPr/>
      <w:pict>
        <v:shape style="position:absolute;margin-left:524.179993pt;margin-top:781.957947pt;width:15.5pt;height:11pt;mso-position-horizontal-relative:page;mso-position-vertical-relative:page;z-index:-9164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6456" type="#_x0000_t75" stroked="false">
          <v:imagedata r:id="rId1" o:title=""/>
        </v:shape>
      </w:pict>
    </w:r>
    <w:r>
      <w:rPr/>
      <w:pict>
        <v:shape style="position:absolute;margin-left:523.179993pt;margin-top:781.957947pt;width:17.5pt;height:11pt;mso-position-horizontal-relative:page;mso-position-vertical-relative:page;z-index:-9164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60004pt;margin-top:36.325607pt;width:177.55pt;height:11.5pt;mso-position-horizontal-relative:page;mso-position-vertical-relative:page;z-index:-916720" type="#_x0000_t202" filled="false" stroked="false">
          <v:textbox inset="0,0,0,0">
            <w:txbxContent>
              <w:p>
                <w:pPr>
                  <w:pStyle w:val="BodyText"/>
                  <w:spacing w:line="214" w:lineRule="exact"/>
                  <w:ind w:left="20" w:right="0"/>
                  <w:jc w:val="left"/>
                </w:pPr>
                <w:r>
                  <w:rPr/>
                  <w:t>仁东控股股份有限公司</w:t>
                </w:r>
                <w:r>
                  <w:rPr>
                    <w:spacing w:val="-46"/>
                  </w:rPr>
                  <w:t> </w:t>
                </w:r>
                <w:r>
                  <w:rPr>
                    <w:rFonts w:ascii="Times New Roman" w:hAnsi="Times New Roman" w:cs="Times New Roman" w:eastAsia="Times New Roman" w:hint="default"/>
                  </w:rPr>
                  <w:t>2018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3"/>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49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8"/>
      <w:szCs w:val="28"/>
    </w:rPr>
  </w:style>
  <w:style w:styleId="Heading3" w:type="paragraph">
    <w:name w:val="Heading 3"/>
    <w:basedOn w:val="Normal"/>
    <w:uiPriority w:val="1"/>
    <w:qFormat/>
    <w:pPr>
      <w:ind w:left="154"/>
      <w:outlineLvl w:val="3"/>
    </w:pPr>
    <w:rPr>
      <w:rFonts w:ascii="宋体" w:hAnsi="宋体" w:eastAsia="宋体"/>
      <w:b/>
      <w:bCs/>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spacing w:before="19"/>
      <w:ind w:left="636"/>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rendongholdings.com/" TargetMode="External"/><Relationship Id="rId10" Type="http://schemas.openxmlformats.org/officeDocument/2006/relationships/hyperlink" Target="mailto:PR@mesonft.com" TargetMode="External"/><Relationship Id="rId11" Type="http://schemas.openxmlformats.org/officeDocument/2006/relationships/hyperlink" Target="mailto:Huod@rendongholdings.com" TargetMode="External"/><Relationship Id="rId12" Type="http://schemas.openxmlformats.org/officeDocument/2006/relationships/hyperlink" Target="mailto:Jiah@rendongholdings.com" TargetMode="External"/><Relationship Id="rId13" Type="http://schemas.openxmlformats.org/officeDocument/2006/relationships/hyperlink" Target="http://www.cninfo.com.cn/" TargetMode="External"/><Relationship Id="rId14" Type="http://schemas.openxmlformats.org/officeDocument/2006/relationships/hyperlink" Target="http://www/" TargetMode="External"/><Relationship Id="rId15" Type="http://schemas.openxmlformats.org/officeDocument/2006/relationships/image" Target="media/image3.pn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仁东控股股份有限公司</dc:creator>
  <dc:title>仁东控股股份有限公司2018年年度报告全文</dc:title>
  <dcterms:created xsi:type="dcterms:W3CDTF">2020-05-05T02:19:21Z</dcterms:created>
  <dcterms:modified xsi:type="dcterms:W3CDTF">2020-05-05T02:19:21Z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2019-04-24T00:00:00Z</vt:filetime>
  </property>
  <property fmtid="{D5CDD505-2E9C-101B-9397-08002B2CF9AE}" pid="3" name="Creator">
    <vt:lpwstr>Microsoft® Office Word 2007</vt:lpwstr>
  </property>
  <property fmtid="{D5CDD505-2E9C-101B-9397-08002B2CF9AE}" pid="4" name="LastSaved">
    <vt:filetime>2020-05-04T00:00:00Z</vt:filetime>
  </property>
</Properties>
</file>