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318" w:lineRule="exact"/>
        <w:ind w:left="38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1416725" cy="2020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6725" cy="202025"/>
                    </a:xfrm>
                    <a:prstGeom prst="rect">
                      <a:avLst/>
                    </a:prstGeom>
                  </pic:spPr>
                </pic:pic>
              </a:graphicData>
            </a:graphic>
          </wp:inline>
        </w:drawing>
      </w:r>
      <w:r>
        <w:rPr>
          <w:rFonts w:ascii="Times New Roman" w:hAnsi="Times New Roman" w:cs="Times New Roman" w:eastAsia="Times New Roman" w:hint="default"/>
          <w:position w:val="-5"/>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355" w:right="3336" w:firstLine="0"/>
        <w:jc w:val="center"/>
        <w:rPr>
          <w:rFonts w:ascii="宋体" w:hAnsi="宋体" w:cs="宋体" w:eastAsia="宋体" w:hint="default"/>
          <w:sz w:val="36"/>
          <w:szCs w:val="36"/>
        </w:rPr>
      </w:pPr>
      <w:r>
        <w:rPr>
          <w:rFonts w:ascii="宋体" w:hAnsi="宋体" w:cs="宋体" w:eastAsia="宋体" w:hint="default"/>
          <w:b/>
          <w:bCs/>
          <w:sz w:val="36"/>
          <w:szCs w:val="36"/>
        </w:rPr>
        <w:t>仁东控股股份有限公司</w:t>
      </w:r>
      <w:r>
        <w:rPr>
          <w:rFonts w:ascii="宋体" w:hAnsi="宋体" w:cs="宋体" w:eastAsia="宋体" w:hint="default"/>
          <w:sz w:val="36"/>
          <w:szCs w:val="36"/>
        </w:rPr>
      </w:r>
    </w:p>
    <w:p>
      <w:pPr>
        <w:spacing w:line="240" w:lineRule="auto" w:before="1"/>
        <w:rPr>
          <w:rFonts w:ascii="宋体" w:hAnsi="宋体" w:cs="宋体" w:eastAsia="宋体" w:hint="default"/>
          <w:b/>
          <w:bCs/>
          <w:sz w:val="31"/>
          <w:szCs w:val="31"/>
        </w:rPr>
      </w:pPr>
    </w:p>
    <w:p>
      <w:pPr>
        <w:spacing w:before="0"/>
        <w:ind w:left="2358" w:right="33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363" w:right="33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公司负责人霍东、主管会计工作负责人王石山及会计机构负责人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高硕声明：保证年度报告中财务报告的真实、准确、完整。</w:t>
      </w:r>
      <w:r>
        <w:rPr>
          <w:rFonts w:ascii="宋体" w:hAnsi="宋体" w:cs="宋体" w:eastAsia="宋体" w:hint="default"/>
          <w:spacing w:val="2"/>
          <w:sz w:val="28"/>
          <w:szCs w:val="28"/>
        </w:rPr>
      </w:r>
    </w:p>
    <w:p>
      <w:pPr>
        <w:spacing w:line="475"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本报告涉及未来计划等前瞻性描述，不构成公司对投资者的实质承诺，投</w:t>
      </w:r>
      <w:r>
        <w:rPr>
          <w:rFonts w:ascii="宋体" w:hAnsi="宋体" w:cs="宋体" w:eastAsia="宋体" w:hint="default"/>
          <w:spacing w:val="4"/>
          <w:sz w:val="28"/>
          <w:szCs w:val="28"/>
        </w:rPr>
      </w:r>
    </w:p>
    <w:p>
      <w:pPr>
        <w:spacing w:line="350" w:lineRule="exact" w:before="0"/>
        <w:ind w:left="153"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资者及相关人士均应当对此保持足够的风险认识，并且应当理解计划、预测与</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72" w:lineRule="auto" w:before="0"/>
        <w:ind w:left="714" w:right="0" w:hanging="562"/>
        <w:jc w:val="left"/>
        <w:rPr>
          <w:rFonts w:ascii="宋体" w:hAnsi="宋体" w:cs="宋体" w:eastAsia="宋体" w:hint="default"/>
          <w:sz w:val="28"/>
          <w:szCs w:val="28"/>
        </w:rPr>
      </w:pPr>
      <w:r>
        <w:rPr>
          <w:rFonts w:ascii="宋体" w:hAnsi="宋体" w:cs="宋体" w:eastAsia="宋体" w:hint="default"/>
          <w:b/>
          <w:bCs/>
          <w:sz w:val="28"/>
          <w:szCs w:val="28"/>
        </w:rPr>
        <w:t>承诺之间的差异。</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本公司敬请投资者认真阅读本报告，并特别注意公司未来经营可能面临的</w:t>
      </w:r>
      <w:r>
        <w:rPr>
          <w:rFonts w:ascii="宋体" w:hAnsi="宋体" w:cs="宋体" w:eastAsia="宋体" w:hint="default"/>
          <w:spacing w:val="4"/>
          <w:sz w:val="28"/>
          <w:szCs w:val="28"/>
        </w:rPr>
      </w:r>
    </w:p>
    <w:p>
      <w:pPr>
        <w:spacing w:line="408" w:lineRule="auto" w:before="0"/>
        <w:ind w:left="153" w:right="1141"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风险因素，包括商誉等资产的减值风险、因行业监管政策变化导致其业务受到</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不利影响的风险、金融科技业务市场竞争风险、系统软硬件及技术风险、客户</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的违法违规行为导致的经营风险。</w:t>
      </w:r>
      <w:r>
        <w:rPr>
          <w:rFonts w:ascii="宋体" w:hAnsi="宋体" w:cs="宋体" w:eastAsia="宋体" w:hint="default"/>
          <w:spacing w:val="2"/>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559,936,650</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pacing w:val="4"/>
          <w:w w:val="99"/>
          <w:sz w:val="28"/>
          <w:szCs w:val="28"/>
        </w:rPr>
        <w:t>全体</w:t>
      </w:r>
      <w:r>
        <w:rPr>
          <w:rFonts w:ascii="宋体" w:hAnsi="宋体" w:cs="宋体" w:eastAsia="宋体" w:hint="default"/>
          <w:b/>
          <w:bCs/>
          <w:w w:val="99"/>
          <w:sz w:val="28"/>
          <w:szCs w:val="28"/>
        </w:rPr>
        <w:t>股东每</w:t>
      </w:r>
      <w:r>
        <w:rPr>
          <w:rFonts w:ascii="宋体" w:hAnsi="宋体" w:cs="宋体" w:eastAsia="宋体" w:hint="default"/>
          <w:b/>
          <w:bCs/>
          <w:spacing w:val="-65"/>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4"/>
          <w:w w:val="99"/>
          <w:sz w:val="28"/>
          <w:szCs w:val="28"/>
        </w:rPr>
        <w:t>派发</w:t>
      </w:r>
      <w:r>
        <w:rPr>
          <w:rFonts w:ascii="宋体" w:hAnsi="宋体" w:cs="宋体" w:eastAsia="宋体" w:hint="default"/>
          <w:b/>
          <w:bCs/>
          <w:w w:val="99"/>
          <w:sz w:val="28"/>
          <w:szCs w:val="28"/>
        </w:rPr>
        <w:t>现</w:t>
      </w:r>
      <w:r>
        <w:rPr>
          <w:rFonts w:ascii="宋体" w:hAnsi="宋体" w:cs="宋体" w:eastAsia="宋体" w:hint="default"/>
          <w:b/>
          <w:bCs/>
          <w:spacing w:val="4"/>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1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4"/>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1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4"/>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0"/>
          <w:w w:val="99"/>
          <w:sz w:val="28"/>
          <w:szCs w:val="28"/>
        </w:rPr>
        <w:t>股</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spacing w:val="4"/>
          <w:w w:val="99"/>
          <w:sz w:val="28"/>
          <w:szCs w:val="28"/>
        </w:rPr>
        <w:t>以</w:t>
      </w:r>
      <w:r>
        <w:rPr>
          <w:rFonts w:ascii="宋体" w:hAnsi="宋体" w:cs="宋体" w:eastAsia="宋体" w:hint="default"/>
          <w:b/>
          <w:bCs/>
          <w:w w:val="99"/>
          <w:sz w:val="28"/>
          <w:szCs w:val="28"/>
        </w:rPr>
        <w:t>资</w:t>
      </w:r>
      <w:r>
        <w:rPr>
          <w:rFonts w:ascii="宋体" w:hAnsi="宋体" w:cs="宋体" w:eastAsia="宋体" w:hint="default"/>
          <w:b/>
          <w:bCs/>
          <w:spacing w:val="4"/>
          <w:w w:val="99"/>
          <w:sz w:val="28"/>
          <w:szCs w:val="28"/>
        </w:rPr>
        <w:t>本</w:t>
      </w:r>
      <w:r>
        <w:rPr>
          <w:rFonts w:ascii="宋体" w:hAnsi="宋体" w:cs="宋体" w:eastAsia="宋体" w:hint="default"/>
          <w:b/>
          <w:bCs/>
          <w:w w:val="99"/>
          <w:sz w:val="28"/>
          <w:szCs w:val="28"/>
        </w:rPr>
        <w:t>公积</w:t>
      </w:r>
      <w:r>
        <w:rPr>
          <w:rFonts w:ascii="宋体" w:hAnsi="宋体" w:cs="宋体" w:eastAsia="宋体" w:hint="default"/>
          <w:sz w:val="28"/>
          <w:szCs w:val="28"/>
        </w:rPr>
      </w:r>
    </w:p>
    <w:p>
      <w:pPr>
        <w:spacing w:before="237"/>
        <w:ind w:left="153"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3"/>
          <w:sz w:val="28"/>
          <w:szCs w:val="28"/>
        </w:rPr>
        <w:t>10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10"/>
          <w:sz w:val="28"/>
          <w:szCs w:val="28"/>
        </w:rPr>
        <w:t> </w:t>
      </w:r>
      <w:r>
        <w:rPr>
          <w:rFonts w:ascii="宋体" w:hAnsi="宋体" w:cs="宋体" w:eastAsia="宋体" w:hint="default"/>
          <w:b/>
          <w:bCs/>
          <w:spacing w:val="4"/>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60" w:lineRule="exact" w:before="0"/>
        <w:ind w:left="2362" w:right="3336"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5" w:val="right" w:leader="dot"/>
            </w:tabs>
            <w:spacing w:line="240" w:lineRule="auto" w:before="158"/>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70"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179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1" w:footer="979" w:top="1060" w:bottom="1160" w:left="980" w:right="0"/>
        </w:sectPr>
      </w:pPr>
    </w:p>
    <w:p>
      <w:pPr>
        <w:spacing w:before="954"/>
        <w:ind w:left="2362" w:right="333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163" w:hRule="exact"/>
        </w:trPr>
        <w:tc>
          <w:tcPr>
            <w:tcW w:w="3537" w:type="dxa"/>
            <w:vMerge w:val="restart"/>
            <w:tcBorders>
              <w:top w:val="single" w:sz="4" w:space="0" w:color="000000"/>
              <w:left w:val="single" w:sz="4" w:space="0" w:color="000000"/>
              <w:right w:val="single" w:sz="10" w:space="0" w:color="D2D2D2"/>
            </w:tcBorders>
          </w:tcPr>
          <w:p>
            <w:pPr>
              <w:pStyle w:val="TableParagraph"/>
              <w:spacing w:line="321" w:lineRule="auto" w:before="53"/>
              <w:ind w:left="24" w:right="23"/>
              <w:jc w:val="left"/>
              <w:rPr>
                <w:rFonts w:ascii="宋体" w:hAnsi="宋体" w:cs="宋体" w:eastAsia="宋体" w:hint="default"/>
                <w:sz w:val="18"/>
                <w:szCs w:val="18"/>
              </w:rPr>
            </w:pPr>
            <w:r>
              <w:rPr>
                <w:rFonts w:ascii="宋体" w:hAnsi="宋体" w:cs="宋体" w:eastAsia="宋体" w:hint="default"/>
                <w:spacing w:val="-9"/>
                <w:w w:val="101"/>
                <w:sz w:val="18"/>
                <w:szCs w:val="18"/>
              </w:rPr>
              <w:t>公司、民盛金科（变更前）、仁东控股（变更</w:t>
            </w:r>
            <w:r>
              <w:rPr>
                <w:rFonts w:ascii="宋体" w:hAnsi="宋体" w:cs="宋体" w:eastAsia="宋体" w:hint="default"/>
                <w:w w:val="101"/>
                <w:sz w:val="18"/>
                <w:szCs w:val="18"/>
              </w:rPr>
              <w:t> </w:t>
            </w:r>
            <w:r>
              <w:rPr>
                <w:rFonts w:ascii="宋体" w:hAnsi="宋体" w:cs="宋体" w:eastAsia="宋体" w:hint="default"/>
                <w:sz w:val="18"/>
                <w:szCs w:val="18"/>
              </w:rPr>
              <w:t>后）</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21" w:lineRule="auto" w:before="53"/>
              <w:ind w:left="28" w:right="75"/>
              <w:jc w:val="left"/>
              <w:rPr>
                <w:rFonts w:ascii="宋体" w:hAnsi="宋体" w:cs="宋体" w:eastAsia="宋体" w:hint="default"/>
                <w:sz w:val="18"/>
                <w:szCs w:val="18"/>
              </w:rPr>
            </w:pPr>
            <w:r>
              <w:rPr>
                <w:rFonts w:ascii="宋体" w:hAnsi="宋体" w:cs="宋体" w:eastAsia="宋体" w:hint="default"/>
                <w:spacing w:val="-6"/>
                <w:w w:val="101"/>
                <w:sz w:val="18"/>
                <w:szCs w:val="18"/>
              </w:rPr>
              <w:t>民盛金科控股股份有限公司（更名前）、仁东控股股份有限公司（更</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z w:val="18"/>
                <w:szCs w:val="18"/>
              </w:rPr>
              <w:t>名后）</w:t>
            </w:r>
          </w:p>
        </w:tc>
      </w:tr>
      <w:tr>
        <w:trPr>
          <w:trHeight w:val="394"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158"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实际控制人、海淀区国资委</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北京市海淀区人民政府国有资产监督管理委员会</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控股股东、海科金集团</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北京海淀科技金融资本控股集团股份有限公司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仁东信息</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北京仁东信息技术有限公司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仁东天津</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仁东（天津）科技有限公司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仁东无双</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北京仁东无双信息科技有限公司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广东合利</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广东合利金融科技服务有限公司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合利宝</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广州合利宝支付科技有限公司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合利征信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广州合利征信服务有限公司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合利保理</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深圳前海合利商业保理有限公司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民盛供应链</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深圳前海民盛天宫供应链管理有限公司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民盛金控</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共青城民盛金控投资管理有限公司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民盛租赁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民盛租赁有限公司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民盛大数据</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深圳民盛大数据技术有限公司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民盛信息</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天津民盛金科信息技术有限公司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仁东小贷</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广州仁东互联网小额贷款有限公司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和柚技术</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天津和柚技术有限公司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1.190002pt;margin-top:272.109985pt;width:362.8pt;height:20.9pt;mso-position-horizontal-relative:page;mso-position-vertical-relative:page;z-index:-983584" coordorigin="3424,5442" coordsize="7256,418">
            <v:group style="position:absolute;left:3436;top:5454;width:2;height:394" coordorigin="3436,5454" coordsize="2,394">
              <v:shape style="position:absolute;left:3436;top:5454;width:2;height:394" coordorigin="3436,5454" coordsize="0,394" path="m3436,5454l3436,5848e" filled="false" stroked="true" strokeweight="1.2pt" strokecolor="#ffffff">
                <v:path arrowok="t"/>
              </v:shape>
            </v:group>
            <v:group style="position:absolute;left:3448;top:5454;width:7232;height:394" coordorigin="3448,5454" coordsize="7232,394">
              <v:shape style="position:absolute;left:3448;top:5454;width:7232;height:394" coordorigin="3448,5454" coordsize="7232,394" path="m3448,5848l10679,5848,10679,5454,3448,5454,3448,5848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2722"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仁东控股</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002647</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仁东控股股份有限公司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仁东控股</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Rendong Holdings </w:t>
            </w:r>
            <w:r>
              <w:rPr>
                <w:rFonts w:ascii="Times New Roman"/>
                <w:spacing w:val="-3"/>
                <w:sz w:val="18"/>
              </w:rPr>
              <w:t>Co.,</w:t>
            </w:r>
            <w:r>
              <w:rPr>
                <w:rFonts w:ascii="Times New Roman"/>
                <w:spacing w:val="6"/>
                <w:sz w:val="18"/>
              </w:rPr>
              <w:t> </w:t>
            </w:r>
            <w:r>
              <w:rPr>
                <w:rFonts w:ascii="Times New Roman"/>
                <w:sz w:val="18"/>
              </w:rPr>
              <w:t>Ltd.</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Rendong</w:t>
            </w:r>
            <w:r>
              <w:rPr>
                <w:rFonts w:ascii="Times New Roman"/>
                <w:spacing w:val="-2"/>
                <w:sz w:val="18"/>
              </w:rPr>
              <w:t> </w:t>
            </w:r>
            <w:r>
              <w:rPr>
                <w:rFonts w:ascii="Times New Roman"/>
                <w:sz w:val="18"/>
              </w:rPr>
              <w:t>Holdings</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王石山</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浙江省诸暨市大唐镇开元东路</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311800</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北京市朝阳区光华路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号天阶大厦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100025</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z w:val="18"/>
                </w:rPr>
                <w:t>www.rendongholdings.com</w:t>
              </w:r>
            </w:hyperlink>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Dmb@rendongholdings.com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6"/>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霍东（代）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贾皓</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pacing w:val="-3"/>
                <w:sz w:val="18"/>
                <w:szCs w:val="18"/>
              </w:rPr>
              <w:t>北京市朝阳区光华路</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号天阶大厦</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北京市朝阳区光华路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号天阶大厦</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层</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010-65062267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010-65062267</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010-65062267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010-65062267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hyperlink r:id="rId11">
              <w:r>
                <w:rPr>
                  <w:rFonts w:ascii="Times New Roman"/>
                  <w:sz w:val="18"/>
                </w:rPr>
                <w:t>Huod@rendongholdings.com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2">
              <w:r>
                <w:rPr>
                  <w:rFonts w:ascii="Times New Roman"/>
                  <w:sz w:val="18"/>
                </w:rPr>
                <w:t>Jiah@rendongholdings.com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时</w:t>
            </w:r>
            <w:r>
              <w:rPr>
                <w:rFonts w:ascii="宋体" w:hAnsi="宋体" w:cs="宋体" w:eastAsia="宋体" w:hint="default"/>
                <w:spacing w:val="-5"/>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中</w:t>
            </w:r>
            <w:r>
              <w:rPr>
                <w:rFonts w:ascii="宋体" w:hAnsi="宋体" w:cs="宋体" w:eastAsia="宋体" w:hint="default"/>
                <w:spacing w:val="-5"/>
                <w:w w:val="101"/>
                <w:sz w:val="18"/>
                <w:szCs w:val="18"/>
              </w:rPr>
              <w:t>国</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z w:val="18"/>
                <w:szCs w:val="18"/>
              </w:rPr>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3">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91330000753974205M</w:t>
            </w:r>
          </w:p>
        </w:tc>
      </w:tr>
      <w:tr>
        <w:trPr>
          <w:trHeight w:val="102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12"/>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2016 </w:t>
            </w:r>
            <w:r>
              <w:rPr>
                <w:rFonts w:ascii="宋体" w:hAnsi="宋体" w:cs="宋体" w:eastAsia="宋体" w:hint="default"/>
                <w:spacing w:val="-5"/>
                <w:sz w:val="18"/>
                <w:szCs w:val="18"/>
              </w:rPr>
              <w:t>年度实施了重大资产重组事项，原有铜加工产业已经全部置出。</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宋体" w:hAnsi="宋体" w:cs="宋体" w:eastAsia="宋体" w:hint="default"/>
                <w:spacing w:val="-3"/>
                <w:sz w:val="18"/>
                <w:szCs w:val="18"/>
              </w:rPr>
              <w:t>年，公司的主营业务已转型为第三方支付、保理、供应链管理等金融科技相关的</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主营业务；公司的行业分类已变更为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其他金融业（代码</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J69</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日，公司控股股东由戚建萍变更为和柚技术集团有限公司；</w:t>
            </w:r>
            <w:r>
              <w:rPr>
                <w:rFonts w:ascii="Times New Roman" w:hAnsi="Times New Roman" w:cs="Times New Roman" w:eastAsia="Times New Roman" w:hint="default"/>
                <w:spacing w:val="-3"/>
                <w:sz w:val="18"/>
                <w:szCs w:val="18"/>
              </w:rPr>
              <w:t>2018</w:t>
            </w:r>
          </w:p>
          <w:p>
            <w:pPr>
              <w:pStyle w:val="TableParagraph"/>
              <w:spacing w:line="302" w:lineRule="auto" w:before="63"/>
              <w:ind w:left="23" w:right="1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日，公司控股股东由天津和柚技术有限公司（原名称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和柚技术集团有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）变更为北京仁东信息技术有限公司（原名称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内蒙古正东云驱科技有限</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12"/>
                <w:w w:val="101"/>
                <w:sz w:val="18"/>
                <w:szCs w:val="18"/>
              </w:rPr>
              <w:t>公司</w:t>
            </w:r>
            <w:r>
              <w:rPr>
                <w:rFonts w:ascii="Times New Roman" w:hAnsi="Times New Roman" w:cs="Times New Roman" w:eastAsia="Times New Roman" w:hint="default"/>
                <w:spacing w:val="-12"/>
                <w:w w:val="101"/>
                <w:sz w:val="18"/>
                <w:szCs w:val="18"/>
              </w:rPr>
              <w:t>”</w:t>
            </w:r>
            <w:r>
              <w:rPr>
                <w:rFonts w:ascii="宋体" w:hAnsi="宋体" w:cs="宋体" w:eastAsia="宋体" w:hint="default"/>
                <w:spacing w:val="-12"/>
                <w:w w:val="101"/>
                <w:sz w:val="18"/>
                <w:szCs w:val="18"/>
              </w:rPr>
              <w:t>）；</w:t>
            </w:r>
            <w:r>
              <w:rPr>
                <w:rFonts w:ascii="Times New Roman" w:hAnsi="Times New Roman" w:cs="Times New Roman" w:eastAsia="Times New Roman" w:hint="default"/>
                <w:spacing w:val="-12"/>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年</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3"/>
                <w:w w:val="101"/>
                <w:sz w:val="18"/>
                <w:szCs w:val="18"/>
              </w:rPr>
              <w:t>11</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月</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3"/>
                <w:w w:val="101"/>
                <w:sz w:val="18"/>
                <w:szCs w:val="18"/>
              </w:rPr>
              <w:t>日，公司控股股东由北京仁东信息技术有限公司变更为</w:t>
            </w:r>
            <w:r>
              <w:rPr>
                <w:rFonts w:ascii="宋体" w:hAnsi="宋体" w:cs="宋体" w:eastAsia="宋体" w:hint="default"/>
                <w:w w:val="101"/>
                <w:sz w:val="18"/>
                <w:szCs w:val="18"/>
              </w:rPr>
              <w:t> </w:t>
            </w:r>
            <w:r>
              <w:rPr>
                <w:rFonts w:ascii="宋体" w:hAnsi="宋体" w:cs="宋体" w:eastAsia="宋体" w:hint="default"/>
                <w:spacing w:val="-3"/>
                <w:sz w:val="18"/>
                <w:szCs w:val="18"/>
              </w:rPr>
              <w:t>北京海淀科技金融资本控股集团股份有限公司。</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spacing w:val="-3"/>
        </w:rPr>
        <w:t>公司聘请的会计师事务所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中兴财光华会计师事务所（特殊普通合伙）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北京市西城区阜成门外大街</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号万通大厦</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层</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齐正华、王雅栋</w:t>
            </w:r>
          </w:p>
        </w:tc>
      </w:tr>
    </w:tbl>
    <w:p>
      <w:pPr>
        <w:pStyle w:val="BodyText"/>
        <w:spacing w:line="240" w:lineRule="auto" w:before="53"/>
        <w:ind w:right="0"/>
        <w:jc w:val="left"/>
      </w:pPr>
      <w:r>
        <w:rPr>
          <w:spacing w:val="-3"/>
        </w:rPr>
        <w:t>公司聘请的报告期内履行持续督导职责的保荐机构</w:t>
      </w:r>
    </w:p>
    <w:p>
      <w:pPr>
        <w:pStyle w:val="BodyText"/>
        <w:spacing w:line="338" w:lineRule="auto" w:before="119"/>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公司聘请的报告期内履行持续督导职责的财务顾问</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财务顾问主办人姓名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新时代证券股份有限公司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北京市海淀区北三环西路</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99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号西海国际大厦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朱小明、张晨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spacing w:val="-3"/>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1,830,818,307.68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1,485,929,981.01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953,473,662.21</w:t>
            </w:r>
          </w:p>
        </w:tc>
      </w:tr>
      <w:tr>
        <w:trPr>
          <w:trHeight w:val="71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29,899,681.04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52,986,949.73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-215,741,620.52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21,780,634.75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43,059,988.01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-213,886,464.18</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-66,807,472.04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235,376,989.29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-575,438,152.28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-0.38</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-21.60%</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3,579,161,826.25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5,015,734,154.58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2,847,970,510.47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987,742,300.83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968,738,054.69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776,253,057.54</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211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before="0"/>
        <w:ind w:right="211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315,702,513.77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278,435,335.14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330,301,695.04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906,378,763.73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8,409,961.22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22,557,556.94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18,295,451.51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-19,363,288.63</w:t>
            </w:r>
          </w:p>
        </w:tc>
      </w:tr>
      <w:tr>
        <w:trPr>
          <w:trHeight w:val="71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8,602,206.40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21,893,775.97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12,931,480.59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-21,646,828.21</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65,692,875.70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60,454,047.76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-19,303,351.75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-173,651,043.75</w:t>
            </w:r>
          </w:p>
        </w:tc>
      </w:tr>
    </w:tbl>
    <w:p>
      <w:pPr>
        <w:pStyle w:val="BodyText"/>
        <w:spacing w:line="240" w:lineRule="auto" w:before="53"/>
        <w:ind w:right="0"/>
        <w:jc w:val="left"/>
      </w:pPr>
      <w:r>
        <w:rPr>
          <w:spacing w:val="-3"/>
        </w:rPr>
        <w:t>上述财务指标或其加总数是否与公司已披露季度报告、半年度报告相关财务指标存在重大差异</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-21,225.61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7,435,419.77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15,100.17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67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1,439,318.09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3,142,265.96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5,139,300.52</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360"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受的政府补助除外）</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8"/>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占用费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362,517.77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8,124.05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投资成本小于取得投资时应享有被投资单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位可辨认净资产公允价值产生的收益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364,895.45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
              <w:jc w:val="left"/>
              <w:rPr>
                <w:rFonts w:ascii="宋体" w:hAnsi="宋体" w:cs="宋体" w:eastAsia="宋体" w:hint="default"/>
                <w:sz w:val="18"/>
                <w:szCs w:val="18"/>
              </w:rPr>
            </w:pPr>
            <w:r>
              <w:rPr>
                <w:rFonts w:ascii="宋体" w:hAnsi="宋体" w:cs="宋体" w:eastAsia="宋体" w:hint="default"/>
                <w:spacing w:val="-3"/>
                <w:sz w:val="18"/>
                <w:szCs w:val="18"/>
              </w:rPr>
              <w:t>同一控制下企业合并产生的子公司期初至</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合并日的当期净损益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-5,525,737.14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5,458,125.74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-405,683.61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-1,403,665.62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3,317,317.10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70,753.12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1,922,975.38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558,029.46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394,670.10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151,513.65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120,281.83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58,503.67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8,119,046.29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9,926,961.72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-1,855,156.34</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63"/>
        <w:ind w:right="1051"/>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97"/>
        <w:ind w:right="0"/>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29" w:right="0"/>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3"/>
        <w:rPr>
          <w:rFonts w:ascii="宋体" w:hAnsi="宋体" w:cs="宋体" w:eastAsia="宋体" w:hint="default"/>
          <w:b/>
          <w:bCs/>
          <w:sz w:val="27"/>
          <w:szCs w:val="27"/>
        </w:rPr>
      </w:pPr>
    </w:p>
    <w:p>
      <w:pPr>
        <w:pStyle w:val="BodyText"/>
        <w:spacing w:line="314" w:lineRule="auto" w:before="0"/>
        <w:ind w:right="0" w:firstLine="360"/>
        <w:jc w:val="left"/>
      </w:pPr>
      <w:r>
        <w:rPr>
          <w:rFonts w:ascii="Times New Roman" w:hAnsi="Times New Roman" w:cs="Times New Roman" w:eastAsia="Times New Roman" w:hint="default"/>
          <w:spacing w:val="-3"/>
        </w:rPr>
        <w:t>1</w:t>
      </w:r>
      <w:r>
        <w:rPr>
          <w:spacing w:val="-3"/>
        </w:rPr>
        <w:t>、第三方支付相关业务：公司充分利用广东合利下属控股子公司合利宝拥有中国人民银行核发的支付业务许可证，经</w:t>
      </w:r>
      <w:r>
        <w:rPr>
          <w:w w:val="101"/>
        </w:rPr>
        <w:t> </w:t>
      </w:r>
      <w:r>
        <w:rPr>
          <w:spacing w:val="-4"/>
        </w:rPr>
        <w:t>营范围覆盖全国的优势，在继续保持原有支付业务的基础上，大力发展线上、线下及创新业务等其他第三方支付上下游相关</w:t>
      </w:r>
      <w:r>
        <w:rPr>
          <w:spacing w:val="43"/>
        </w:rPr>
        <w:t> </w:t>
      </w:r>
      <w:r>
        <w:rPr>
          <w:spacing w:val="43"/>
        </w:rPr>
      </w:r>
      <w:r>
        <w:rPr>
          <w:spacing w:val="-6"/>
        </w:rPr>
        <w:t>业务，重点打造金融科技产业生态闭环。经营模式：合利宝对外提供第三方支付服务，其生产行为是对支付系统的开发维护。</w:t>
      </w:r>
      <w:r>
        <w:rPr>
          <w:spacing w:val="70"/>
        </w:rPr>
        <w:t> </w:t>
      </w:r>
      <w:r>
        <w:rPr>
          <w:spacing w:val="70"/>
        </w:rPr>
      </w:r>
      <w:r>
        <w:rPr>
          <w:spacing w:val="-4"/>
        </w:rPr>
        <w:t>公司生产活动主要为开发、运营并维护支付系统以及清算平台系统、交易资金的清算、用户的审核、银联卡受理终端主密钥</w:t>
      </w:r>
      <w:r>
        <w:rPr>
          <w:spacing w:val="40"/>
        </w:rPr>
        <w:t> </w:t>
      </w:r>
      <w:r>
        <w:rPr>
          <w:spacing w:val="40"/>
        </w:rPr>
      </w:r>
      <w:r>
        <w:rPr>
          <w:spacing w:val="-3"/>
        </w:rPr>
        <w:t>的生成和管理、研发增值服务、拓展终端用户、提升用户体验、增强用户粘性、为用户提供电话、微信及网络平台客服等。</w:t>
      </w:r>
    </w:p>
    <w:p>
      <w:pPr>
        <w:pStyle w:val="BodyText"/>
        <w:spacing w:line="309" w:lineRule="auto" w:before="20"/>
        <w:ind w:right="1122" w:firstLine="360"/>
        <w:jc w:val="both"/>
      </w:pPr>
      <w:r>
        <w:rPr>
          <w:rFonts w:ascii="Times New Roman" w:hAnsi="Times New Roman" w:cs="Times New Roman" w:eastAsia="Times New Roman" w:hint="default"/>
          <w:spacing w:val="-3"/>
        </w:rPr>
        <w:t>2</w:t>
      </w:r>
      <w:r>
        <w:rPr>
          <w:spacing w:val="-3"/>
        </w:rPr>
        <w:t>、融资租赁业务：公司主要从事融资租赁及相关保理业务；租赁财产的购买、转让及残值处理；租赁业务咨询。经营</w:t>
      </w:r>
      <w:r>
        <w:rPr>
          <w:w w:val="101"/>
        </w:rPr>
        <w:t> </w:t>
      </w:r>
      <w:r>
        <w:rPr>
          <w:spacing w:val="-4"/>
        </w:rPr>
        <w:t>模式：以国企、上市公司为服务对象的融资租赁业务，重点专注于高端装备制造、节能环保、新能源等业务领域；以工程机</w:t>
      </w:r>
      <w:r>
        <w:rPr>
          <w:spacing w:val="40"/>
        </w:rPr>
        <w:t> </w:t>
      </w:r>
      <w:r>
        <w:rPr>
          <w:spacing w:val="40"/>
        </w:rPr>
      </w:r>
      <w:r>
        <w:rPr>
          <w:spacing w:val="-3"/>
        </w:rPr>
        <w:t>械、乘用车、手机及数码产品为租赁物的融资租赁业务，向小微企业或</w:t>
      </w:r>
      <w:r>
        <w:rPr>
          <w:rFonts w:ascii="Times New Roman" w:hAnsi="Times New Roman" w:cs="Times New Roman" w:eastAsia="Times New Roman" w:hint="default"/>
          <w:spacing w:val="-3"/>
        </w:rPr>
        <w:t>C</w:t>
      </w:r>
      <w:r>
        <w:rPr>
          <w:spacing w:val="-3"/>
        </w:rPr>
        <w:t>端客户提供融资服务；以医院、公共事业设施为主</w:t>
      </w:r>
      <w:r>
        <w:rPr>
          <w:spacing w:val="49"/>
        </w:rPr>
        <w:t> </w:t>
      </w:r>
      <w:r>
        <w:rPr>
          <w:spacing w:val="49"/>
        </w:rPr>
      </w:r>
      <w:r>
        <w:rPr>
          <w:spacing w:val="-4"/>
        </w:rPr>
        <w:t>体的融资租赁业务，将金融与民生有机结合，按照专业化、规范化、市场化的经营原则，在强化风控措施的前提下，促进消</w:t>
      </w:r>
      <w:r>
        <w:rPr>
          <w:spacing w:val="40"/>
        </w:rPr>
        <w:t> </w:t>
      </w:r>
      <w:r>
        <w:rPr>
          <w:spacing w:val="40"/>
        </w:rPr>
      </w:r>
      <w:r>
        <w:rPr>
          <w:spacing w:val="-3"/>
        </w:rPr>
        <w:t>费升级、民生设施的改善和实体产业发展。</w:t>
      </w:r>
    </w:p>
    <w:p>
      <w:pPr>
        <w:pStyle w:val="BodyText"/>
        <w:spacing w:line="309" w:lineRule="auto" w:before="24"/>
        <w:ind w:right="0" w:firstLine="360"/>
        <w:jc w:val="left"/>
      </w:pPr>
      <w:r>
        <w:rPr>
          <w:rFonts w:ascii="Times New Roman" w:hAnsi="Times New Roman" w:cs="Times New Roman" w:eastAsia="Times New Roman" w:hint="default"/>
          <w:spacing w:val="-3"/>
        </w:rPr>
        <w:t>3</w:t>
      </w:r>
      <w:r>
        <w:rPr>
          <w:spacing w:val="-3"/>
        </w:rPr>
        <w:t>、商业保理业务：合利保理主要从事保付代理业务（非银行融资类）；供应链管理咨询。经营模式：以保理业务为核</w:t>
      </w:r>
      <w:r>
        <w:rPr>
          <w:w w:val="101"/>
        </w:rPr>
        <w:t> </w:t>
      </w:r>
      <w:r>
        <w:rPr>
          <w:spacing w:val="-3"/>
        </w:rPr>
        <w:t>心，依托上市公司平台及资源，围绕核心企业（如央企、上市公司、医院、学校、大中型的优质企业）的供应链和产业链，</w:t>
      </w:r>
      <w:r>
        <w:rPr>
          <w:spacing w:val="66"/>
        </w:rPr>
        <w:t> </w:t>
      </w:r>
      <w:r>
        <w:rPr>
          <w:spacing w:val="66"/>
        </w:rPr>
      </w:r>
      <w:r>
        <w:rPr>
          <w:spacing w:val="-3"/>
        </w:rPr>
        <w:t>在建立风险控制机制，有效控制业务风险的基础上，拓展资产质量优质、周转良好的应收账款等新型保理业务。</w:t>
      </w:r>
    </w:p>
    <w:p>
      <w:pPr>
        <w:pStyle w:val="BodyText"/>
        <w:spacing w:line="240" w:lineRule="auto" w:before="24"/>
        <w:ind w:left="513" w:right="0"/>
        <w:jc w:val="left"/>
      </w:pPr>
      <w:r>
        <w:rPr>
          <w:rFonts w:ascii="Times New Roman" w:hAnsi="Times New Roman" w:cs="Times New Roman" w:eastAsia="Times New Roman" w:hint="default"/>
          <w:spacing w:val="-3"/>
        </w:rPr>
        <w:t>4</w:t>
      </w:r>
      <w:r>
        <w:rPr>
          <w:spacing w:val="-3"/>
        </w:rPr>
        <w:t>、供应链管理业务：公司供应链管理业务专注于供应链管理和供应链金融服务。经营模式：采用产业链</w:t>
      </w:r>
      <w:r>
        <w:rPr>
          <w:rFonts w:ascii="Times New Roman" w:hAnsi="Times New Roman" w:cs="Times New Roman" w:eastAsia="Times New Roman" w:hint="default"/>
          <w:spacing w:val="-3"/>
        </w:rPr>
        <w:t>+</w:t>
      </w:r>
      <w:r>
        <w:rPr>
          <w:spacing w:val="-3"/>
        </w:rPr>
        <w:t>供应链</w:t>
      </w:r>
      <w:r>
        <w:rPr>
          <w:rFonts w:ascii="Times New Roman" w:hAnsi="Times New Roman" w:cs="Times New Roman" w:eastAsia="Times New Roman" w:hint="default"/>
          <w:spacing w:val="-3"/>
        </w:rPr>
        <w:t>+</w:t>
      </w:r>
      <w:r>
        <w:rPr>
          <w:spacing w:val="-3"/>
        </w:rPr>
        <w:t>资本</w:t>
      </w:r>
    </w:p>
    <w:p>
      <w:pPr>
        <w:pStyle w:val="BodyText"/>
        <w:spacing w:line="300" w:lineRule="auto" w:before="63"/>
        <w:ind w:right="0"/>
        <w:jc w:val="left"/>
      </w:pPr>
      <w:r>
        <w:rPr>
          <w:rFonts w:ascii="Times New Roman" w:hAnsi="Times New Roman" w:cs="Times New Roman" w:eastAsia="Times New Roman" w:hint="default"/>
          <w:spacing w:val="-3"/>
        </w:rPr>
        <w:t>+</w:t>
      </w:r>
      <w:r>
        <w:rPr>
          <w:spacing w:val="-3"/>
        </w:rPr>
        <w:t>互联网的模式，有效整合了供应链上企业间的商流、信息流、物流、资金流，通过产品和服务创新，为客户提供一揽子供</w:t>
      </w:r>
      <w:r>
        <w:rPr>
          <w:spacing w:val="67"/>
        </w:rPr>
        <w:t> </w:t>
      </w:r>
      <w:r>
        <w:rPr>
          <w:spacing w:val="67"/>
        </w:rPr>
      </w:r>
      <w:r>
        <w:rPr>
          <w:spacing w:val="-3"/>
        </w:rPr>
        <w:t>应链解决方案，并搭建了包含上下游企业、金融机构等在内的多赢性服务平台。</w:t>
      </w:r>
    </w:p>
    <w:p>
      <w:pPr>
        <w:pStyle w:val="BodyText"/>
        <w:spacing w:line="314" w:lineRule="auto" w:before="31"/>
        <w:ind w:right="0" w:firstLine="360"/>
        <w:jc w:val="left"/>
      </w:pPr>
      <w:r>
        <w:rPr>
          <w:rFonts w:ascii="Times New Roman" w:hAnsi="Times New Roman" w:cs="Times New Roman" w:eastAsia="Times New Roman" w:hint="default"/>
          <w:spacing w:val="-3"/>
        </w:rPr>
        <w:t>5</w:t>
      </w:r>
      <w:r>
        <w:rPr>
          <w:spacing w:val="-3"/>
        </w:rPr>
        <w:t>、互联网小贷业务：公司互联网小贷业务是通过线上用户交互系统、数据化风控系统、全面贷后管理系统等面向传统</w:t>
      </w:r>
      <w:r>
        <w:rPr>
          <w:w w:val="101"/>
        </w:rPr>
        <w:t> </w:t>
      </w:r>
      <w:r>
        <w:rPr>
          <w:spacing w:val="-4"/>
        </w:rPr>
        <w:t>行业供应链上的小微企业（商户）提供的全方位金融服务。平台发力普惠金融，以数据为核心、以创新为向导、以科技为动</w:t>
      </w:r>
      <w:r>
        <w:rPr>
          <w:spacing w:val="42"/>
        </w:rPr>
        <w:t> </w:t>
      </w:r>
      <w:r>
        <w:rPr>
          <w:spacing w:val="42"/>
        </w:rPr>
      </w:r>
      <w:r>
        <w:rPr>
          <w:spacing w:val="-6"/>
        </w:rPr>
        <w:t>力、以互联网为路径以实现产融结合，通过大数据技术和体系化风控技术为供应链末端的中小微企业打造一个集商流、物流、</w:t>
      </w:r>
      <w:r>
        <w:rPr>
          <w:spacing w:val="63"/>
        </w:rPr>
        <w:t> </w:t>
      </w:r>
      <w:r>
        <w:rPr>
          <w:spacing w:val="63"/>
        </w:rPr>
      </w:r>
      <w:r>
        <w:rPr>
          <w:spacing w:val="-4"/>
        </w:rPr>
        <w:t>信息流和资金流四流合一的科技金融、智慧供应服务平台。经营模式：依托互联网大数据，反欺诈系统，民盛小贷推出移动</w:t>
      </w:r>
      <w:r>
        <w:rPr>
          <w:spacing w:val="40"/>
        </w:rPr>
        <w:t> </w:t>
      </w:r>
      <w:r>
        <w:rPr>
          <w:spacing w:val="40"/>
        </w:rPr>
      </w:r>
      <w:r>
        <w:rPr>
          <w:spacing w:val="-3"/>
        </w:rPr>
        <w:t>端借贷</w:t>
      </w:r>
      <w:r>
        <w:rPr>
          <w:rFonts w:ascii="Times New Roman" w:hAnsi="Times New Roman" w:cs="Times New Roman" w:eastAsia="Times New Roman" w:hint="default"/>
          <w:spacing w:val="-3"/>
        </w:rPr>
        <w:t>APP</w:t>
      </w:r>
      <w:r>
        <w:rPr>
          <w:rFonts w:ascii="Times New Roman" w:hAnsi="Times New Roman" w:cs="Times New Roman" w:eastAsia="Times New Roman" w:hint="default"/>
          <w:spacing w:val="-3"/>
        </w:rPr>
        <w:t>——</w:t>
      </w:r>
      <w:r>
        <w:rPr>
          <w:spacing w:val="-3"/>
        </w:rPr>
        <w:t>民盛易贷，为中小商户及消费者提供信用借款服务。</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76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126.47%</w:t>
            </w:r>
            <w:r>
              <w:rPr>
                <w:rFonts w:ascii="宋体" w:hAnsi="宋体" w:cs="宋体" w:eastAsia="宋体" w:hint="default"/>
                <w:spacing w:val="-3"/>
                <w:sz w:val="18"/>
                <w:szCs w:val="18"/>
              </w:rPr>
              <w:t>，主要有第三方支付业务客户备付金增加。</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较上年增加</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566.39%</w:t>
            </w:r>
            <w:r>
              <w:rPr>
                <w:rFonts w:ascii="宋体" w:hAnsi="宋体" w:cs="宋体" w:eastAsia="宋体" w:hint="default"/>
                <w:spacing w:val="-3"/>
                <w:sz w:val="18"/>
                <w:szCs w:val="18"/>
              </w:rPr>
              <w:t>，主要由于供应链预付款项增加。</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较上年下降</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50.84%</w:t>
            </w:r>
            <w:r>
              <w:rPr>
                <w:rFonts w:ascii="宋体" w:hAnsi="宋体" w:cs="宋体" w:eastAsia="宋体" w:hint="default"/>
                <w:spacing w:val="-3"/>
                <w:sz w:val="18"/>
                <w:szCs w:val="18"/>
              </w:rPr>
              <w:t>，主要由于上年支付投资项目保证金转为投资款。</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长期应收款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一年内到期的非流动资产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40.29%</w:t>
            </w:r>
            <w:r>
              <w:rPr>
                <w:rFonts w:ascii="宋体" w:hAnsi="宋体" w:cs="宋体" w:eastAsia="宋体" w:hint="default"/>
                <w:spacing w:val="-3"/>
                <w:sz w:val="18"/>
                <w:szCs w:val="18"/>
              </w:rPr>
              <w:t>，主要由于本年租赁业务放款增加。</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较上年减少</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99.06%</w:t>
            </w:r>
            <w:r>
              <w:rPr>
                <w:rFonts w:ascii="宋体" w:hAnsi="宋体" w:cs="宋体" w:eastAsia="宋体" w:hint="default"/>
                <w:spacing w:val="-3"/>
                <w:sz w:val="18"/>
                <w:szCs w:val="18"/>
              </w:rPr>
              <w:t>，主要由于第三方支付业务待清算款项减少。</w:t>
            </w:r>
          </w:p>
        </w:tc>
      </w:tr>
      <w:tr>
        <w:trPr>
          <w:trHeight w:val="39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较上年增加</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491.21%</w:t>
            </w:r>
            <w:r>
              <w:rPr>
                <w:rFonts w:ascii="宋体" w:hAnsi="宋体" w:cs="宋体" w:eastAsia="宋体" w:hint="default"/>
                <w:spacing w:val="-3"/>
                <w:sz w:val="18"/>
                <w:szCs w:val="18"/>
              </w:rPr>
              <w:t>，主要由于本年小贷业务放款增长。</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492.42%</w:t>
            </w:r>
            <w:r>
              <w:rPr>
                <w:rFonts w:ascii="宋体" w:hAnsi="宋体" w:cs="宋体" w:eastAsia="宋体" w:hint="default"/>
                <w:spacing w:val="-3"/>
                <w:sz w:val="18"/>
                <w:szCs w:val="18"/>
              </w:rPr>
              <w:t>，主要由于本期长治银行投资项目确权并投资海科金所致。</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b/>
          <w:bCs/>
          <w:sz w:val="25"/>
          <w:szCs w:val="25"/>
        </w:rPr>
      </w:pPr>
    </w:p>
    <w:p>
      <w:pPr>
        <w:pStyle w:val="Heading3"/>
        <w:spacing w:line="240" w:lineRule="auto" w:before="36"/>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3"/>
        <w:rPr>
          <w:rFonts w:ascii="宋体" w:hAnsi="宋体" w:cs="宋体" w:eastAsia="宋体" w:hint="default"/>
          <w:b/>
          <w:bCs/>
          <w:sz w:val="27"/>
          <w:szCs w:val="27"/>
        </w:rPr>
      </w:pPr>
    </w:p>
    <w:p>
      <w:pPr>
        <w:pStyle w:val="BodyText"/>
        <w:spacing w:line="309" w:lineRule="auto" w:before="0"/>
        <w:ind w:right="0" w:firstLine="360"/>
        <w:jc w:val="left"/>
      </w:pPr>
      <w:r>
        <w:rPr>
          <w:rFonts w:ascii="Times New Roman" w:hAnsi="Times New Roman" w:cs="Times New Roman" w:eastAsia="Times New Roman" w:hint="default"/>
          <w:spacing w:val="-3"/>
        </w:rPr>
        <w:t>1</w:t>
      </w:r>
      <w:r>
        <w:rPr>
          <w:spacing w:val="-3"/>
        </w:rPr>
        <w:t>、具备支付牌照的优势。公司一直坚持在国家主管部门的监管下合法、合规地开展业务，推进公司经营战略的发展。</w:t>
      </w:r>
      <w:r>
        <w:rPr>
          <w:w w:val="101"/>
        </w:rPr>
        <w:t> </w:t>
      </w:r>
      <w:r>
        <w:rPr>
          <w:spacing w:val="-3"/>
        </w:rPr>
        <w:t>公司下属控股子公司拥有中国人民银行核发的支付业务许可证，经营范围覆盖全国，公司将充分利用支付牌照资质的优势，</w:t>
      </w:r>
      <w:r>
        <w:rPr>
          <w:spacing w:val="66"/>
        </w:rPr>
        <w:t> </w:t>
      </w:r>
      <w:r>
        <w:rPr>
          <w:spacing w:val="66"/>
        </w:rPr>
      </w:r>
      <w:r>
        <w:rPr>
          <w:spacing w:val="-4"/>
        </w:rPr>
        <w:t>在继续保持原有支付业务的基础上，大力发展线上、线下及创新业务等其他第三方支付上下游相关业务。中国人民银行核发</w:t>
      </w:r>
      <w:r>
        <w:rPr>
          <w:spacing w:val="43"/>
        </w:rPr>
        <w:t> </w:t>
      </w:r>
      <w:r>
        <w:rPr>
          <w:spacing w:val="43"/>
        </w:rPr>
      </w:r>
      <w:r>
        <w:rPr>
          <w:spacing w:val="-4"/>
        </w:rPr>
        <w:t>的支付业务经营许可牌照具有一定的稀缺性，具备在全国范围开展线上、线下支付业务的经营资质优势。</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9</w:t>
      </w:r>
      <w:r>
        <w:rPr>
          <w:spacing w:val="-4"/>
        </w:rPr>
        <w:t>日，旗</w:t>
      </w:r>
      <w:r>
        <w:rPr>
          <w:spacing w:val="54"/>
        </w:rPr>
        <w:t> </w:t>
      </w:r>
      <w:r>
        <w:rPr>
          <w:spacing w:val="54"/>
        </w:rPr>
      </w:r>
      <w:r>
        <w:rPr>
          <w:spacing w:val="-3"/>
        </w:rPr>
        <w:t>下控股子公司合利宝《支付业务许可证》成功续展，有效期至</w:t>
      </w:r>
      <w:r>
        <w:rPr>
          <w:rFonts w:ascii="Times New Roman" w:hAnsi="Times New Roman" w:cs="Times New Roman" w:eastAsia="Times New Roman" w:hint="default"/>
          <w:spacing w:val="-3"/>
        </w:rPr>
        <w:t>2024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9</w:t>
      </w:r>
      <w:r>
        <w:rPr>
          <w:spacing w:val="-3"/>
        </w:rPr>
        <w:t>日。</w:t>
      </w:r>
      <w:r>
        <w:rPr/>
      </w:r>
    </w:p>
    <w:p>
      <w:pPr>
        <w:pStyle w:val="BodyText"/>
        <w:spacing w:line="312" w:lineRule="auto" w:before="5"/>
        <w:ind w:right="0" w:firstLine="360"/>
        <w:jc w:val="left"/>
      </w:pPr>
      <w:r>
        <w:rPr>
          <w:rFonts w:ascii="Times New Roman" w:hAnsi="Times New Roman" w:cs="Times New Roman" w:eastAsia="Times New Roman" w:hint="default"/>
          <w:spacing w:val="-3"/>
        </w:rPr>
        <w:t>2</w:t>
      </w:r>
      <w:r>
        <w:rPr>
          <w:spacing w:val="-3"/>
        </w:rPr>
        <w:t>、产业链的协同发展优势。结合公司</w:t>
      </w:r>
      <w:r>
        <w:rPr>
          <w:rFonts w:ascii="Times New Roman" w:hAnsi="Times New Roman" w:cs="Times New Roman" w:eastAsia="Times New Roman" w:hint="default"/>
          <w:spacing w:val="-3"/>
        </w:rPr>
        <w:t>“</w:t>
      </w:r>
      <w:r>
        <w:rPr>
          <w:spacing w:val="-3"/>
        </w:rPr>
        <w:t>打造金融科技生态圈，完善金融科技产业链</w:t>
      </w:r>
      <w:r>
        <w:rPr>
          <w:rFonts w:ascii="Times New Roman" w:hAnsi="Times New Roman" w:cs="Times New Roman" w:eastAsia="Times New Roman" w:hint="default"/>
          <w:spacing w:val="-3"/>
        </w:rPr>
        <w:t>”</w:t>
      </w:r>
      <w:r>
        <w:rPr>
          <w:spacing w:val="-3"/>
        </w:rPr>
        <w:t>的经营发展战略，公司将在第三方</w:t>
      </w:r>
      <w:r>
        <w:rPr>
          <w:w w:val="101"/>
        </w:rPr>
        <w:t> </w:t>
      </w:r>
      <w:r>
        <w:rPr>
          <w:spacing w:val="-3"/>
        </w:rPr>
        <w:t>支付、保理、供应链业务的基础上，合规、稳步推进互联网小额贷款业务、消费金融信息咨询和融资租赁等多元金融业务，</w:t>
      </w:r>
      <w:r>
        <w:rPr>
          <w:spacing w:val="66"/>
        </w:rPr>
        <w:t> </w:t>
      </w:r>
      <w:r>
        <w:rPr>
          <w:spacing w:val="66"/>
        </w:rPr>
      </w:r>
      <w:r>
        <w:rPr>
          <w:spacing w:val="-4"/>
        </w:rPr>
        <w:t>逐步投资并布局金融科技产业链上下游，进一步搭建商业金融、科技金融、消费金融等创新金融领域的业务，全面打造金融</w:t>
      </w:r>
      <w:r>
        <w:rPr>
          <w:spacing w:val="40"/>
        </w:rPr>
        <w:t> </w:t>
      </w:r>
      <w:r>
        <w:rPr>
          <w:spacing w:val="40"/>
        </w:rPr>
      </w:r>
      <w:r>
        <w:rPr>
          <w:spacing w:val="-3"/>
        </w:rPr>
        <w:t>科技生态圈。随着公司在金融科技产业链布局的落实与推进，使公司在产业战略协调方面优势明显，提升了整体竞争实力。</w:t>
      </w:r>
    </w:p>
    <w:p>
      <w:pPr>
        <w:pStyle w:val="BodyText"/>
        <w:spacing w:line="309" w:lineRule="auto" w:before="22"/>
        <w:ind w:right="1037" w:firstLine="360"/>
        <w:jc w:val="both"/>
      </w:pPr>
      <w:r>
        <w:rPr>
          <w:rFonts w:ascii="Times New Roman" w:hAnsi="Times New Roman" w:cs="Times New Roman" w:eastAsia="Times New Roman" w:hint="default"/>
          <w:spacing w:val="-3"/>
        </w:rPr>
        <w:t>3</w:t>
      </w:r>
      <w:r>
        <w:rPr>
          <w:spacing w:val="-3"/>
        </w:rPr>
        <w:t>、客户资源整合优势。公司以第三方支付业务为入口端已逐步积累了一批客户，具备比较明显的客户资源优势；公司</w:t>
      </w:r>
      <w:r>
        <w:rPr>
          <w:w w:val="101"/>
        </w:rPr>
        <w:t> </w:t>
      </w:r>
      <w:r>
        <w:rPr>
          <w:spacing w:val="-4"/>
        </w:rPr>
        <w:t>还与各类型金融机构、大型企业集团建立了战略合作伙伴关系；随着公司逐步建立业务模式与金融科技闭环生态系统，公司</w:t>
      </w:r>
      <w:r>
        <w:rPr>
          <w:spacing w:val="43"/>
        </w:rPr>
        <w:t> </w:t>
      </w:r>
      <w:r>
        <w:rPr>
          <w:spacing w:val="43"/>
        </w:rPr>
      </w:r>
      <w:r>
        <w:rPr>
          <w:spacing w:val="-6"/>
        </w:rPr>
        <w:t>能够不断整合行业内的各类型客户资源，尤其是优质客户资源。公司对客户资源的整合能力，能为公司持续增强市场竞争力。</w:t>
      </w:r>
    </w:p>
    <w:p>
      <w:pPr>
        <w:pStyle w:val="BodyText"/>
        <w:spacing w:line="307" w:lineRule="auto" w:before="24"/>
        <w:ind w:right="1122" w:firstLine="360"/>
        <w:jc w:val="both"/>
      </w:pPr>
      <w:r>
        <w:rPr>
          <w:rFonts w:ascii="Times New Roman" w:hAnsi="Times New Roman" w:cs="Times New Roman" w:eastAsia="Times New Roman" w:hint="default"/>
          <w:spacing w:val="-3"/>
        </w:rPr>
        <w:t>4</w:t>
      </w:r>
      <w:r>
        <w:rPr>
          <w:spacing w:val="-3"/>
        </w:rPr>
        <w:t>、金融科技产品研发技术优势与人才优势。作为拥有第三方支付牌照的企业，截至报告期末公司及其子公司已获得多</w:t>
      </w:r>
      <w:r>
        <w:rPr>
          <w:w w:val="101"/>
        </w:rPr>
        <w:t> </w:t>
      </w:r>
      <w:r>
        <w:rPr>
          <w:spacing w:val="-4"/>
        </w:rPr>
        <w:t>项安全类认证、发明专利、软件著作权、商标、域名、美术版权、产品登记证书等，还有多项商标、软件著作权等正在申请</w:t>
      </w:r>
      <w:r>
        <w:rPr>
          <w:spacing w:val="40"/>
        </w:rPr>
        <w:t> </w:t>
      </w:r>
      <w:r>
        <w:rPr>
          <w:spacing w:val="40"/>
        </w:rPr>
      </w:r>
      <w:r>
        <w:rPr>
          <w:spacing w:val="-4"/>
        </w:rPr>
        <w:t>受理中，涵盖银行卡收单、移动支付、跨境支付、清结算系统等多个方面。公司在发展过程中，不断招募和凝聚了一批由各</w:t>
      </w:r>
      <w:r>
        <w:rPr>
          <w:spacing w:val="41"/>
        </w:rPr>
        <w:t> </w:t>
      </w:r>
      <w:r>
        <w:rPr>
          <w:spacing w:val="41"/>
        </w:rPr>
      </w:r>
      <w:r>
        <w:rPr>
          <w:spacing w:val="-3"/>
        </w:rPr>
        <w:t>层次骨干人才组成的经营团队和技术团队，公司技术人员占公司员工总数的比例约</w:t>
      </w:r>
      <w:r>
        <w:rPr>
          <w:rFonts w:ascii="Times New Roman" w:hAnsi="Times New Roman" w:cs="Times New Roman" w:eastAsia="Times New Roman" w:hint="default"/>
          <w:spacing w:val="-3"/>
        </w:rPr>
        <w:t>30%</w:t>
      </w:r>
      <w:r>
        <w:rPr>
          <w:spacing w:val="-3"/>
        </w:rPr>
        <w:t>。合利宝</w:t>
      </w:r>
      <w:r>
        <w:rPr>
          <w:rFonts w:ascii="Times New Roman" w:hAnsi="Times New Roman" w:cs="Times New Roman" w:eastAsia="Times New Roman" w:hint="default"/>
          <w:spacing w:val="-3"/>
        </w:rPr>
        <w:t>2019</w:t>
      </w:r>
      <w:r>
        <w:rPr>
          <w:spacing w:val="-3"/>
        </w:rPr>
        <w:t>年度荣获</w:t>
      </w:r>
      <w:r>
        <w:rPr>
          <w:rFonts w:ascii="Times New Roman" w:hAnsi="Times New Roman" w:cs="Times New Roman" w:eastAsia="Times New Roman" w:hint="default"/>
          <w:spacing w:val="-3"/>
        </w:rPr>
        <w:t>“</w:t>
      </w:r>
      <w:r>
        <w:rPr>
          <w:spacing w:val="-3"/>
        </w:rPr>
        <w:t>广东省工程</w:t>
      </w:r>
      <w:r>
        <w:rPr>
          <w:spacing w:val="73"/>
        </w:rPr>
        <w:t> </w:t>
      </w:r>
      <w:r>
        <w:rPr>
          <w:spacing w:val="73"/>
        </w:rPr>
      </w:r>
      <w:r>
        <w:rPr>
          <w:spacing w:val="-3"/>
        </w:rPr>
        <w:t>技术研究中心</w:t>
      </w:r>
      <w:r>
        <w:rPr>
          <w:rFonts w:ascii="Times New Roman" w:hAnsi="Times New Roman" w:cs="Times New Roman" w:eastAsia="Times New Roman" w:hint="default"/>
          <w:spacing w:val="-3"/>
        </w:rPr>
        <w:t>”</w:t>
      </w:r>
      <w:r>
        <w:rPr>
          <w:spacing w:val="-3"/>
        </w:rPr>
        <w:t>认定和优秀跨境电商金融服务商称号。技术和人才的优势保证了公司面对新应用、新需求时具备快速集成与</w:t>
      </w:r>
      <w:r>
        <w:rPr>
          <w:spacing w:val="65"/>
        </w:rPr>
        <w:t> </w:t>
      </w:r>
      <w:r>
        <w:rPr>
          <w:spacing w:val="65"/>
        </w:rPr>
      </w:r>
      <w:r>
        <w:rPr>
          <w:spacing w:val="-3"/>
        </w:rPr>
        <w:t>融合和创新的能力，保障了公司的稳健持续发展，使得公司在行业内的竞争力不断增强。</w:t>
      </w:r>
    </w:p>
    <w:p>
      <w:pPr>
        <w:spacing w:after="0" w:line="307"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right="0"/>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300" w:lineRule="auto" w:before="0"/>
        <w:ind w:right="1123" w:firstLine="360"/>
        <w:jc w:val="both"/>
      </w:pPr>
      <w:r>
        <w:rPr>
          <w:spacing w:val="-4"/>
        </w:rPr>
        <w:t>过去一年，面对经济下行、行业竞争加剧等风险挑战，公司以</w:t>
      </w:r>
      <w:r>
        <w:rPr>
          <w:rFonts w:ascii="Times New Roman" w:hAnsi="Times New Roman" w:cs="Times New Roman" w:eastAsia="Times New Roman" w:hint="default"/>
          <w:spacing w:val="-4"/>
        </w:rPr>
        <w:t>“</w:t>
      </w:r>
      <w:r>
        <w:rPr>
          <w:spacing w:val="-4"/>
        </w:rPr>
        <w:t>助力国家经济改革、促进产业转型升级</w:t>
      </w:r>
      <w:r>
        <w:rPr>
          <w:rFonts w:ascii="Times New Roman" w:hAnsi="Times New Roman" w:cs="Times New Roman" w:eastAsia="Times New Roman" w:hint="default"/>
          <w:spacing w:val="-4"/>
        </w:rPr>
        <w:t>”</w:t>
      </w:r>
      <w:r>
        <w:rPr>
          <w:spacing w:val="-4"/>
        </w:rPr>
        <w:t>为己任，紧紧围</w:t>
      </w:r>
      <w:r>
        <w:rPr>
          <w:w w:val="101"/>
        </w:rPr>
        <w:t> </w:t>
      </w:r>
      <w:r>
        <w:rPr>
          <w:spacing w:val="-4"/>
        </w:rPr>
        <w:t>绕</w:t>
      </w:r>
      <w:r>
        <w:rPr>
          <w:rFonts w:ascii="Times New Roman" w:hAnsi="Times New Roman" w:cs="Times New Roman" w:eastAsia="Times New Roman" w:hint="default"/>
          <w:spacing w:val="-4"/>
        </w:rPr>
        <w:t>“</w:t>
      </w:r>
      <w:r>
        <w:rPr>
          <w:spacing w:val="-4"/>
        </w:rPr>
        <w:t>打造金融科技生态圈、完善金融科技产业链</w:t>
      </w:r>
      <w:r>
        <w:rPr>
          <w:rFonts w:ascii="Times New Roman" w:hAnsi="Times New Roman" w:cs="Times New Roman" w:eastAsia="Times New Roman" w:hint="default"/>
          <w:spacing w:val="-4"/>
        </w:rPr>
        <w:t>”</w:t>
      </w:r>
      <w:r>
        <w:rPr>
          <w:spacing w:val="-4"/>
        </w:rPr>
        <w:t>的战略思路，以第三方支付、融资租赁、保理、供应链、互联网小贷五大产</w:t>
      </w:r>
      <w:r>
        <w:rPr>
          <w:spacing w:val="65"/>
        </w:rPr>
        <w:t> </w:t>
      </w:r>
      <w:r>
        <w:rPr>
          <w:spacing w:val="65"/>
        </w:rPr>
      </w:r>
      <w:r>
        <w:rPr>
          <w:spacing w:val="-3"/>
        </w:rPr>
        <w:t>业板块为核心，规范运营、开拓创新、奋力发展，有力推进公司各项业务优化调整、脱虚向实、向高质量发展迈进。</w:t>
      </w:r>
    </w:p>
    <w:p>
      <w:pPr>
        <w:pStyle w:val="BodyText"/>
        <w:spacing w:line="316" w:lineRule="auto" w:before="31"/>
        <w:ind w:left="513" w:right="0"/>
        <w:jc w:val="left"/>
      </w:pPr>
      <w:r>
        <w:rPr>
          <w:spacing w:val="-3"/>
        </w:rPr>
        <w:t>（一）整体经营情况持续稳定</w:t>
      </w:r>
      <w:r>
        <w:rPr>
          <w:spacing w:val="-50"/>
        </w:rPr>
        <w:t> </w:t>
      </w:r>
      <w:r>
        <w:rPr>
          <w:spacing w:val="-50"/>
        </w:rPr>
      </w:r>
      <w:r>
        <w:rPr>
          <w:spacing w:val="-3"/>
        </w:rPr>
        <w:t>本报告期内，公司积极应对叠加挑战、全力化解经营风险，整体经营持续健康稳定。全年实现营业收入</w:t>
      </w:r>
      <w:r>
        <w:rPr>
          <w:rFonts w:ascii="Times New Roman" w:hAnsi="Times New Roman" w:cs="Times New Roman" w:eastAsia="Times New Roman" w:hint="default"/>
          <w:spacing w:val="-3"/>
        </w:rPr>
        <w:t>18.31</w:t>
      </w:r>
      <w:r>
        <w:rPr>
          <w:spacing w:val="-3"/>
        </w:rPr>
        <w:t>亿元，同</w:t>
      </w:r>
    </w:p>
    <w:p>
      <w:pPr>
        <w:pStyle w:val="BodyText"/>
        <w:spacing w:line="307" w:lineRule="auto" w:before="0"/>
        <w:ind w:right="0"/>
        <w:jc w:val="left"/>
      </w:pPr>
      <w:r>
        <w:rPr>
          <w:spacing w:val="-3"/>
        </w:rPr>
        <w:t>比增长</w:t>
      </w:r>
      <w:r>
        <w:rPr>
          <w:rFonts w:ascii="Times New Roman" w:hAnsi="Times New Roman" w:cs="Times New Roman" w:eastAsia="Times New Roman" w:hint="default"/>
          <w:spacing w:val="-3"/>
        </w:rPr>
        <w:t>23.21%</w:t>
      </w:r>
      <w:r>
        <w:rPr>
          <w:spacing w:val="-3"/>
        </w:rPr>
        <w:t>，其中租赁业务增长超</w:t>
      </w:r>
      <w:r>
        <w:rPr>
          <w:rFonts w:ascii="Times New Roman" w:hAnsi="Times New Roman" w:cs="Times New Roman" w:eastAsia="Times New Roman" w:hint="default"/>
          <w:spacing w:val="-3"/>
        </w:rPr>
        <w:t>60%</w:t>
      </w:r>
      <w:r>
        <w:rPr>
          <w:spacing w:val="-3"/>
        </w:rPr>
        <w:t>，支付业务增长近</w:t>
      </w:r>
      <w:r>
        <w:rPr>
          <w:rFonts w:ascii="Times New Roman" w:hAnsi="Times New Roman" w:cs="Times New Roman" w:eastAsia="Times New Roman" w:hint="default"/>
          <w:spacing w:val="-3"/>
        </w:rPr>
        <w:t>30%</w:t>
      </w:r>
      <w:r>
        <w:rPr>
          <w:spacing w:val="-3"/>
        </w:rPr>
        <w:t>；利润总额</w:t>
      </w:r>
      <w:r>
        <w:rPr>
          <w:rFonts w:ascii="Times New Roman" w:hAnsi="Times New Roman" w:cs="Times New Roman" w:eastAsia="Times New Roman" w:hint="default"/>
          <w:spacing w:val="-3"/>
        </w:rPr>
        <w:t>5468.89</w:t>
      </w:r>
      <w:r>
        <w:rPr>
          <w:spacing w:val="-3"/>
        </w:rPr>
        <w:t>万元，同比有所下降，主要是研发费用、</w:t>
      </w:r>
      <w:r>
        <w:rPr>
          <w:spacing w:val="3"/>
        </w:rPr>
        <w:t> </w:t>
      </w:r>
      <w:r>
        <w:rPr>
          <w:spacing w:val="3"/>
        </w:rPr>
      </w:r>
      <w:r>
        <w:rPr>
          <w:spacing w:val="-4"/>
        </w:rPr>
        <w:t>管理费用增加所致。本年度各产业发展成果显著，《支付业务许可证》续展成功，获得央行核准；融资租赁手机及数码产品</w:t>
      </w:r>
      <w:r>
        <w:rPr>
          <w:spacing w:val="41"/>
        </w:rPr>
        <w:t> </w:t>
      </w:r>
      <w:r>
        <w:rPr>
          <w:spacing w:val="41"/>
        </w:rPr>
      </w:r>
      <w:r>
        <w:rPr>
          <w:spacing w:val="-4"/>
        </w:rPr>
        <w:t>业务与京东合作，广受年轻群体认可；小贷公司新开辟中国移动手机项目，现已持续放量；供应链及保理公司业务结构持续</w:t>
      </w:r>
      <w:r>
        <w:rPr>
          <w:spacing w:val="40"/>
        </w:rPr>
        <w:t> </w:t>
      </w:r>
      <w:r>
        <w:rPr>
          <w:spacing w:val="40"/>
        </w:rPr>
      </w:r>
      <w:r>
        <w:rPr>
          <w:spacing w:val="-4"/>
        </w:rPr>
        <w:t>优化，持续不断探索新场景、新模式、新业务。除了持续稳定的经营情况，公司积极回馈广大投资者，</w:t>
      </w:r>
      <w:r>
        <w:rPr>
          <w:rFonts w:ascii="Times New Roman" w:hAnsi="Times New Roman" w:cs="Times New Roman" w:eastAsia="Times New Roman" w:hint="default"/>
          <w:spacing w:val="-4"/>
        </w:rPr>
        <w:t>2019</w:t>
      </w:r>
      <w:r>
        <w:rPr>
          <w:spacing w:val="-4"/>
        </w:rPr>
        <w:t>年度实施利润分</w:t>
      </w:r>
      <w:r>
        <w:rPr>
          <w:spacing w:val="50"/>
        </w:rPr>
        <w:t> </w:t>
      </w:r>
      <w:r>
        <w:rPr>
          <w:spacing w:val="50"/>
        </w:rPr>
      </w:r>
      <w:r>
        <w:rPr>
          <w:spacing w:val="-4"/>
        </w:rPr>
        <w:t>配</w:t>
      </w:r>
      <w:r>
        <w:rPr>
          <w:rFonts w:ascii="Times New Roman" w:hAnsi="Times New Roman" w:cs="Times New Roman" w:eastAsia="Times New Roman" w:hint="default"/>
          <w:spacing w:val="-4"/>
        </w:rPr>
        <w:t>1120</w:t>
      </w:r>
      <w:r>
        <w:rPr>
          <w:spacing w:val="-4"/>
        </w:rPr>
        <w:t>万元，占当年实现利润的比例超过</w:t>
      </w:r>
      <w:r>
        <w:rPr>
          <w:rFonts w:ascii="Times New Roman" w:hAnsi="Times New Roman" w:cs="Times New Roman" w:eastAsia="Times New Roman" w:hint="default"/>
          <w:spacing w:val="-4"/>
        </w:rPr>
        <w:t>20%</w:t>
      </w:r>
      <w:r>
        <w:rPr>
          <w:spacing w:val="-4"/>
        </w:rPr>
        <w:t>。整体来看，公司各产业发展基础持续夯实，创新能力持续提升，风控水平持</w:t>
      </w:r>
      <w:r>
        <w:rPr>
          <w:spacing w:val="-3"/>
        </w:rPr>
        <w:t> </w:t>
      </w:r>
      <w:r>
        <w:rPr>
          <w:spacing w:val="-3"/>
        </w:rPr>
        <w:t>续跟进，未来发展前景可期。</w:t>
      </w:r>
    </w:p>
    <w:p>
      <w:pPr>
        <w:pStyle w:val="BodyText"/>
        <w:spacing w:line="316" w:lineRule="auto" w:before="26"/>
        <w:ind w:left="513" w:right="0"/>
        <w:jc w:val="left"/>
      </w:pPr>
      <w:r>
        <w:rPr>
          <w:spacing w:val="-3"/>
        </w:rPr>
        <w:t>（二）多方战略合作共创共赢</w:t>
      </w:r>
      <w:r>
        <w:rPr>
          <w:spacing w:val="-50"/>
        </w:rPr>
        <w:t> </w:t>
      </w:r>
      <w:r>
        <w:rPr>
          <w:spacing w:val="-50"/>
        </w:rPr>
      </w:r>
      <w:r>
        <w:rPr>
          <w:spacing w:val="-4"/>
        </w:rPr>
        <w:t>本报告期内，公司控股股东层面迎来战略合作方</w:t>
      </w:r>
      <w:r>
        <w:rPr>
          <w:rFonts w:ascii="Times New Roman" w:hAnsi="Times New Roman" w:cs="Times New Roman" w:eastAsia="Times New Roman" w:hint="default"/>
          <w:spacing w:val="-4"/>
        </w:rPr>
        <w:t>——</w:t>
      </w:r>
      <w:r>
        <w:rPr>
          <w:spacing w:val="-4"/>
        </w:rPr>
        <w:t>海科金集团，集债权、股权、资管、辅助四大金融服务平台于一体</w:t>
      </w:r>
    </w:p>
    <w:p>
      <w:pPr>
        <w:pStyle w:val="BodyText"/>
        <w:spacing w:line="316" w:lineRule="auto" w:before="0"/>
        <w:ind w:right="1051"/>
        <w:jc w:val="left"/>
      </w:pPr>
      <w:r>
        <w:rPr>
          <w:spacing w:val="-4"/>
        </w:rPr>
        <w:t>的海淀国资控股金融服务集团。自年初公司原控股股东仁东信息将所持上市公司股权结构梳理完毕，并进一步实施增持计划</w:t>
      </w:r>
      <w:r>
        <w:rPr>
          <w:spacing w:val="43"/>
        </w:rPr>
        <w:t> </w:t>
      </w:r>
      <w:r>
        <w:rPr>
          <w:spacing w:val="43"/>
        </w:rPr>
      </w:r>
      <w:r>
        <w:rPr>
          <w:spacing w:val="-4"/>
        </w:rPr>
        <w:t>完成后，公司股东层面股权结构愈发清晰。进而通过委托表决权方式引入新控股股东海科金集团，海科金集团将在资金、业</w:t>
      </w:r>
      <w:r>
        <w:rPr>
          <w:spacing w:val="40"/>
        </w:rPr>
        <w:t> </w:t>
      </w:r>
      <w:r>
        <w:rPr>
          <w:spacing w:val="40"/>
        </w:rPr>
      </w:r>
      <w:r>
        <w:rPr>
          <w:spacing w:val="-3"/>
        </w:rPr>
        <w:t>务、管理等方面，与仁东信息携手共同支持上市公司快速发展。上市公司层面也在业务、资金、研发等方面引入京东集团、</w:t>
      </w:r>
      <w:r>
        <w:rPr>
          <w:spacing w:val="66"/>
        </w:rPr>
        <w:t> </w:t>
      </w:r>
      <w:r>
        <w:rPr>
          <w:spacing w:val="66"/>
        </w:rPr>
      </w:r>
      <w:r>
        <w:rPr>
          <w:spacing w:val="-4"/>
        </w:rPr>
        <w:t>兴业银行北京分行、众签科技等战略合作伙伴，全方位、多层次、多角度的共同促进上市公司快速发展，实现合作各方共创</w:t>
      </w:r>
      <w:r>
        <w:rPr>
          <w:spacing w:val="40"/>
        </w:rPr>
        <w:t> </w:t>
      </w:r>
      <w:r>
        <w:rPr>
          <w:spacing w:val="40"/>
        </w:rPr>
      </w:r>
      <w:r>
        <w:rPr/>
        <w:t>共赢。</w:t>
      </w:r>
    </w:p>
    <w:p>
      <w:pPr>
        <w:pStyle w:val="BodyText"/>
        <w:spacing w:line="316" w:lineRule="auto" w:before="19"/>
        <w:ind w:left="513" w:right="0"/>
        <w:jc w:val="left"/>
      </w:pPr>
      <w:r>
        <w:rPr>
          <w:spacing w:val="-3"/>
        </w:rPr>
        <w:t>（三）内控管理成效显著</w:t>
      </w:r>
      <w:r>
        <w:rPr>
          <w:spacing w:val="-56"/>
        </w:rPr>
        <w:t> </w:t>
      </w:r>
      <w:r>
        <w:rPr>
          <w:spacing w:val="-56"/>
        </w:rPr>
      </w:r>
      <w:r>
        <w:rPr>
          <w:spacing w:val="-5"/>
        </w:rPr>
        <w:t>本报告期内，公司不断完善法人治理结构，健全内部管理制度，加强内部控制和风险控制建设，提升公司治理水平和运</w:t>
      </w:r>
    </w:p>
    <w:p>
      <w:pPr>
        <w:pStyle w:val="BodyText"/>
        <w:spacing w:line="300" w:lineRule="auto" w:before="19"/>
        <w:ind w:right="1147"/>
        <w:jc w:val="both"/>
      </w:pPr>
      <w:r>
        <w:rPr>
          <w:spacing w:val="-3"/>
        </w:rPr>
        <w:t>转效率，确保公司各项事务和各类项目均合规高效完成。公司各项事务均依据监管规定和内部制度要求，严格履行</w:t>
      </w:r>
      <w:r>
        <w:rPr>
          <w:rFonts w:ascii="Times New Roman" w:hAnsi="Times New Roman" w:cs="Times New Roman" w:eastAsia="Times New Roman" w:hint="default"/>
          <w:spacing w:val="-3"/>
        </w:rPr>
        <w:t>“</w:t>
      </w:r>
      <w:r>
        <w:rPr>
          <w:spacing w:val="-3"/>
        </w:rPr>
        <w:t>三会一</w:t>
      </w:r>
      <w:r>
        <w:rPr>
          <w:spacing w:val="61"/>
        </w:rPr>
        <w:t> </w:t>
      </w:r>
      <w:r>
        <w:rPr>
          <w:spacing w:val="-3"/>
        </w:rPr>
        <w:t>层</w:t>
      </w:r>
      <w:r>
        <w:rPr>
          <w:rFonts w:ascii="Times New Roman" w:hAnsi="Times New Roman" w:cs="Times New Roman" w:eastAsia="Times New Roman" w:hint="default"/>
          <w:spacing w:val="-3"/>
        </w:rPr>
        <w:t>”</w:t>
      </w:r>
      <w:r>
        <w:rPr>
          <w:spacing w:val="-3"/>
        </w:rPr>
        <w:t>审议程序；公司各类投资项目均根据项目评审制度要求，在各子公司履行完毕各自风控和审议程序之后，再经上市公司</w:t>
      </w:r>
      <w:r>
        <w:rPr>
          <w:spacing w:val="65"/>
        </w:rPr>
        <w:t> </w:t>
      </w:r>
      <w:r>
        <w:rPr>
          <w:spacing w:val="65"/>
        </w:rPr>
      </w:r>
      <w:r>
        <w:rPr>
          <w:spacing w:val="-3"/>
        </w:rPr>
        <w:t>风控部门尽调审核、评审委员民主投票完成决策，多重保险、把控风险，确保公司各项工作</w:t>
      </w:r>
      <w:r>
        <w:rPr>
          <w:rFonts w:ascii="Times New Roman" w:hAnsi="Times New Roman" w:cs="Times New Roman" w:eastAsia="Times New Roman" w:hint="default"/>
          <w:spacing w:val="-3"/>
        </w:rPr>
        <w:t>“</w:t>
      </w:r>
      <w:r>
        <w:rPr>
          <w:spacing w:val="-3"/>
        </w:rPr>
        <w:t>进程序、留痕迹、可追溯</w:t>
      </w:r>
      <w:r>
        <w:rPr>
          <w:rFonts w:ascii="Times New Roman" w:hAnsi="Times New Roman" w:cs="Times New Roman" w:eastAsia="Times New Roman" w:hint="default"/>
          <w:spacing w:val="-3"/>
        </w:rPr>
        <w:t>”</w:t>
      </w:r>
      <w:r>
        <w:rPr>
          <w:spacing w:val="-3"/>
        </w:rPr>
        <w:t>。</w:t>
      </w:r>
    </w:p>
    <w:p>
      <w:pPr>
        <w:pStyle w:val="BodyText"/>
        <w:spacing w:line="300" w:lineRule="auto" w:before="13"/>
        <w:ind w:right="1123" w:firstLine="360"/>
        <w:jc w:val="both"/>
      </w:pPr>
      <w:r>
        <w:rPr>
          <w:spacing w:val="-4"/>
        </w:rPr>
        <w:t>回顾</w:t>
      </w:r>
      <w:r>
        <w:rPr>
          <w:rFonts w:ascii="Times New Roman" w:hAnsi="Times New Roman" w:cs="Times New Roman" w:eastAsia="Times New Roman" w:hint="default"/>
          <w:spacing w:val="-4"/>
        </w:rPr>
        <w:t>2019</w:t>
      </w:r>
      <w:r>
        <w:rPr>
          <w:spacing w:val="-4"/>
        </w:rPr>
        <w:t>年度，我们坚持做好自己的事、坚持做对的事，苦修内功、勤练外功，既经受住了挑战，又强化了自身。尤其</w:t>
      </w:r>
      <w:r>
        <w:rPr>
          <w:w w:val="101"/>
        </w:rPr>
        <w:t> </w:t>
      </w:r>
      <w:r>
        <w:rPr>
          <w:spacing w:val="-4"/>
        </w:rPr>
        <w:t>此次疫情所反映出来的诸多场景问题，更加让我们坚定了</w:t>
      </w:r>
      <w:r>
        <w:rPr>
          <w:rFonts w:ascii="Times New Roman" w:hAnsi="Times New Roman" w:cs="Times New Roman" w:eastAsia="Times New Roman" w:hint="default"/>
          <w:spacing w:val="-4"/>
        </w:rPr>
        <w:t>“</w:t>
      </w:r>
      <w:r>
        <w:rPr>
          <w:spacing w:val="-4"/>
        </w:rPr>
        <w:t>打造金融科技生态圈、完善金融科技产业链</w:t>
      </w:r>
      <w:r>
        <w:rPr>
          <w:rFonts w:ascii="Times New Roman" w:hAnsi="Times New Roman" w:cs="Times New Roman" w:eastAsia="Times New Roman" w:hint="default"/>
          <w:spacing w:val="-4"/>
        </w:rPr>
        <w:t>”</w:t>
      </w:r>
      <w:r>
        <w:rPr>
          <w:spacing w:val="-4"/>
        </w:rPr>
        <w:t>的战略定位，科技赋</w:t>
      </w:r>
      <w:r>
        <w:rPr>
          <w:spacing w:val="60"/>
        </w:rPr>
        <w:t> </w:t>
      </w:r>
      <w:r>
        <w:rPr>
          <w:spacing w:val="60"/>
        </w:rPr>
      </w:r>
      <w:r>
        <w:rPr>
          <w:spacing w:val="-3"/>
        </w:rPr>
        <w:t>能金融，金融服务实业，实业助力社会乃至国家。</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3" w:right="6287"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bookmarkStart w:name="2、收入与成本" w:id="28"/>
      <w:bookmarkEnd w:id="28"/>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9"/>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left="0" w:right="1122"/>
        <w:jc w:val="right"/>
      </w:pPr>
      <w:r>
        <w:rPr>
          <w:spacing w:val="-2"/>
        </w:rPr>
        <w:t>单位：元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2"/>
        <w:gridCol w:w="1597"/>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9"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2"/>
                <w:sz w:val="18"/>
              </w:rPr>
              <w:t>1,830,818,307.68</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1,485,929,981.01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23.21%</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657,093,262.53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540,689,320.43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36.39%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21.53%</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1,107,681,455.74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884,410,444.84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59.52%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25.25%</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保理行业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39,952,373.03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50,822,888.12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3.42%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-21.39%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15,063,477.32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9,354,838.19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61.02%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11,027,739.06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652,489.43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1,590.10%</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供应链业务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657,093,262.53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540,326,802.65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36.36%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21.61%</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1,101,324,776.66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872,429,931.65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58.71%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39,952,373.03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50,822,888.12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-21.39%</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信用卡推广</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130,805.70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316,521.50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7,771,795.95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0.52%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-95.93%</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小额贷款业务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11,027,739.06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652,489.43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1,590.10%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融资租赁业务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15,063,477.32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9,354,838.19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61.02%</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MPOS</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机具销售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3,409,261.19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2,974,137.96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14.63%</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18"/>
              <w:jc w:val="left"/>
              <w:rPr>
                <w:rFonts w:ascii="宋体" w:hAnsi="宋体" w:cs="宋体" w:eastAsia="宋体" w:hint="default"/>
                <w:sz w:val="18"/>
                <w:szCs w:val="18"/>
              </w:rPr>
            </w:pPr>
            <w:r>
              <w:rPr>
                <w:rFonts w:ascii="宋体" w:hAnsi="宋体" w:cs="宋体" w:eastAsia="宋体" w:hint="default"/>
                <w:spacing w:val="-2"/>
                <w:sz w:val="18"/>
                <w:szCs w:val="18"/>
              </w:rPr>
              <w:t>系统开发服务及其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2,630,896.39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1,466,291.36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79.43%</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1,830,818,307.68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1,485,929,981.01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657,093,262.53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653,961,410.24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22.79%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1,107,681,455.74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870,585,871.61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-4.03%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保理行业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39,952,373.03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14,583,777.78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-7.37%</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融资租赁业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15,063,477.32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217,784.96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61.02%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-1.45%</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供应链业务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657,093,262.53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653,961,410.24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22.79%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-0.95%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1,101,324,776.66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867,857,776.23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-3.52%</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39,952,373.03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14,583,777.78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-7.37%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融资租赁业务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15,063,477.32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217,784.96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61.02%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-1.45%</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1,830,818,307.68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1,539,348,844.59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27.55%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-2.86%</w:t>
            </w:r>
          </w:p>
        </w:tc>
      </w:tr>
    </w:tbl>
    <w:p>
      <w:pPr>
        <w:pStyle w:val="BodyText"/>
        <w:spacing w:line="240" w:lineRule="auto" w:before="53"/>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spacing w:val="-3"/>
        </w:rPr>
        <w:t>行业和产品分类</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653,961,410.24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42.48%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532,583,122.97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44.13%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22.79%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银行通道手续费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747,397,813.07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616,052,504.48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120,687,186.38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41,005,349.66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194.32%</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2,500,872.16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2,451,436.70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保理行业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14,583,777.78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0.95%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14,802,777.78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-1.48%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融资租赁业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217,784.96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供应链业务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653,961,410.24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532,583,122.97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22.79%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银行通道手续费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747,397,813.07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616,052,504.48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21.32%</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120,459,963.16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40,715,502.99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195.86%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14,583,777.78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0.95%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14,802,777.78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-1.48%</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融资租赁业务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217,784.96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信用卡推广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72,997.43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MPOS</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机具销售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2,500,872.16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2,451,436.70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系统开发服务等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227,223.22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216,849.24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w:t>
            </w:r>
          </w:p>
        </w:tc>
      </w:tr>
    </w:tbl>
    <w:p>
      <w:pPr>
        <w:pStyle w:val="BodyText"/>
        <w:spacing w:line="240" w:lineRule="auto" w:before="53"/>
        <w:ind w:right="0"/>
        <w:jc w:val="left"/>
      </w:pPr>
      <w:r>
        <w:rPr/>
        <w:t>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300" w:lineRule="auto" w:before="101"/>
        <w:ind w:right="0" w:firstLine="360"/>
        <w:jc w:val="left"/>
      </w:pPr>
      <w:r>
        <w:rPr>
          <w:spacing w:val="-4"/>
        </w:rPr>
        <w:t>本公司</w:t>
      </w:r>
      <w:r>
        <w:rPr>
          <w:rFonts w:ascii="Times New Roman" w:hAnsi="Times New Roman" w:cs="Times New Roman" w:eastAsia="Times New Roman" w:hint="default"/>
          <w:spacing w:val="-4"/>
        </w:rPr>
        <w:t>2019</w:t>
      </w:r>
      <w:r>
        <w:rPr>
          <w:spacing w:val="-4"/>
        </w:rPr>
        <w:t>年度纳入合并范围的子公司共</w:t>
      </w:r>
      <w:r>
        <w:rPr>
          <w:rFonts w:ascii="Times New Roman" w:hAnsi="Times New Roman" w:cs="Times New Roman" w:eastAsia="Times New Roman" w:hint="default"/>
          <w:spacing w:val="-4"/>
        </w:rPr>
        <w:t>19</w:t>
      </w:r>
      <w:r>
        <w:rPr>
          <w:spacing w:val="-4"/>
        </w:rPr>
        <w:t>家，详见附注九</w:t>
      </w:r>
      <w:r>
        <w:rPr>
          <w:rFonts w:ascii="Times New Roman" w:hAnsi="Times New Roman" w:cs="Times New Roman" w:eastAsia="Times New Roman" w:hint="default"/>
          <w:spacing w:val="-4"/>
        </w:rPr>
        <w:t>“</w:t>
      </w:r>
      <w:r>
        <w:rPr>
          <w:spacing w:val="-4"/>
        </w:rPr>
        <w:t>在其他主体中的权益</w:t>
      </w:r>
      <w:r>
        <w:rPr>
          <w:rFonts w:ascii="Times New Roman" w:hAnsi="Times New Roman" w:cs="Times New Roman" w:eastAsia="Times New Roman" w:hint="default"/>
          <w:spacing w:val="-4"/>
        </w:rPr>
        <w:t>”</w:t>
      </w:r>
      <w:r>
        <w:rPr>
          <w:spacing w:val="-4"/>
        </w:rPr>
        <w:t>。与上年度相比，本公司合并范围减</w:t>
      </w:r>
      <w:r>
        <w:rPr>
          <w:w w:val="101"/>
        </w:rPr>
        <w:t> </w:t>
      </w:r>
      <w:r>
        <w:rPr>
          <w:spacing w:val="-3"/>
        </w:rPr>
        <w:t>少</w:t>
      </w:r>
      <w:r>
        <w:rPr>
          <w:rFonts w:ascii="Times New Roman" w:hAnsi="Times New Roman" w:cs="Times New Roman" w:eastAsia="Times New Roman" w:hint="default"/>
          <w:spacing w:val="-3"/>
        </w:rPr>
        <w:t>4</w:t>
      </w:r>
      <w:r>
        <w:rPr>
          <w:spacing w:val="-3"/>
        </w:rPr>
        <w:t>家，详见附注八</w:t>
      </w:r>
      <w:r>
        <w:rPr>
          <w:rFonts w:ascii="Times New Roman" w:hAnsi="Times New Roman" w:cs="Times New Roman" w:eastAsia="Times New Roman" w:hint="default"/>
          <w:spacing w:val="-3"/>
        </w:rPr>
        <w:t>“</w:t>
      </w:r>
      <w:r>
        <w:rPr>
          <w:spacing w:val="-3"/>
        </w:rPr>
        <w:t>合并范围的变更</w:t>
      </w:r>
      <w:r>
        <w:rPr>
          <w:rFonts w:ascii="Times New Roman" w:hAnsi="Times New Roman" w:cs="Times New Roman" w:eastAsia="Times New Roman" w:hint="default"/>
          <w:spacing w:val="-3"/>
        </w:rPr>
        <w:t>”</w:t>
      </w:r>
      <w:r>
        <w:rPr>
          <w:spacing w:val="-3"/>
        </w:rPr>
        <w:t>。</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4"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639,812,452.36</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34.95%</w:t>
            </w:r>
          </w:p>
        </w:tc>
      </w:tr>
      <w:tr>
        <w:trPr>
          <w:trHeight w:val="715"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301,060,654.69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16.44%</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111,744,606.11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6.10%</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106,619,287.33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5.82%</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74,828,966.24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4.09%</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45,558,937.99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2.49%</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639,812,452.36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34.95%</w:t>
            </w:r>
          </w:p>
        </w:tc>
      </w:tr>
    </w:tbl>
    <w:p>
      <w:pPr>
        <w:pStyle w:val="BodyText"/>
        <w:spacing w:line="240" w:lineRule="auto" w:before="53"/>
        <w:ind w:right="0"/>
        <w:jc w:val="left"/>
      </w:pPr>
      <w:r>
        <w:rPr/>
        <w:t>主要客户其他情况说明</w:t>
      </w:r>
    </w:p>
    <w:p>
      <w:pPr>
        <w:pStyle w:val="BodyText"/>
        <w:spacing w:line="343" w:lineRule="auto" w:before="115"/>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公司主要供应商情况</w:t>
      </w: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741,363,680.85</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48.16%</w:t>
            </w:r>
          </w:p>
        </w:tc>
      </w:tr>
      <w:tr>
        <w:trPr>
          <w:trHeight w:val="711"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75"/>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191,166,073.61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12.42%</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176,713,515.53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3"/>
                <w:sz w:val="18"/>
              </w:rPr>
              <w:t>11.48%</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137,800,294.65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8.95%</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125,594,844.11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8.16%</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110,088,952.95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7.15%</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741,363,680.85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48.16%</w:t>
            </w:r>
          </w:p>
        </w:tc>
      </w:tr>
    </w:tbl>
    <w:p>
      <w:pPr>
        <w:pStyle w:val="BodyText"/>
        <w:spacing w:line="240" w:lineRule="auto" w:before="53"/>
        <w:ind w:right="0"/>
        <w:jc w:val="left"/>
      </w:pPr>
      <w:r>
        <w:rPr>
          <w:spacing w:val="-3"/>
        </w:rPr>
        <w:t>主要供应商其他情况说明</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3"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37,806,671.44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28,700,153.98</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31.73%</w:t>
            </w:r>
          </w:p>
        </w:tc>
        <w:tc>
          <w:tcPr>
            <w:tcW w:w="2919" w:type="dxa"/>
            <w:vMerge w:val="restart"/>
            <w:tcBorders>
              <w:top w:val="single" w:sz="4" w:space="0" w:color="000000"/>
              <w:left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主要由于本年随着业务增加租赁、小</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贷业务销售费用增长</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58"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104,324,301.34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77,513,627.06</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34.59%</w:t>
            </w:r>
          </w:p>
        </w:tc>
        <w:tc>
          <w:tcPr>
            <w:tcW w:w="2919" w:type="dxa"/>
            <w:vMerge w:val="restart"/>
            <w:tcBorders>
              <w:top w:val="single" w:sz="4" w:space="0" w:color="000000"/>
              <w:left w:val="single" w:sz="4" w:space="0" w:color="000000"/>
              <w:right w:val="single" w:sz="4" w:space="0" w:color="000000"/>
            </w:tcBorders>
          </w:tcPr>
          <w:p>
            <w:pPr>
              <w:pStyle w:val="TableParagraph"/>
              <w:spacing w:line="321" w:lineRule="auto" w:before="54"/>
              <w:ind w:left="23" w:right="17"/>
              <w:jc w:val="left"/>
              <w:rPr>
                <w:rFonts w:ascii="宋体" w:hAnsi="宋体" w:cs="宋体" w:eastAsia="宋体" w:hint="default"/>
                <w:sz w:val="18"/>
                <w:szCs w:val="18"/>
              </w:rPr>
            </w:pPr>
            <w:r>
              <w:rPr>
                <w:rFonts w:ascii="宋体" w:hAnsi="宋体" w:cs="宋体" w:eastAsia="宋体" w:hint="default"/>
                <w:spacing w:val="-4"/>
                <w:sz w:val="18"/>
                <w:szCs w:val="18"/>
              </w:rPr>
              <w:t>主要由于本年人工成本、租赁费、第</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三方服务费等增长</w:t>
            </w:r>
          </w:p>
        </w:tc>
      </w:tr>
      <w:tr>
        <w:trPr>
          <w:trHeight w:val="389"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3"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54" w:right="0"/>
              <w:jc w:val="left"/>
              <w:rPr>
                <w:rFonts w:ascii="Times New Roman" w:hAnsi="Times New Roman" w:cs="Times New Roman" w:eastAsia="Times New Roman" w:hint="default"/>
                <w:sz w:val="18"/>
                <w:szCs w:val="18"/>
              </w:rPr>
            </w:pPr>
            <w:r>
              <w:rPr>
                <w:rFonts w:ascii="Times New Roman"/>
                <w:sz w:val="18"/>
              </w:rPr>
              <w:t>51,402,003.78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56,455,715.07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-8.95%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主要由于本年偿还股东及银行借款</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54" w:right="0"/>
              <w:jc w:val="left"/>
              <w:rPr>
                <w:rFonts w:ascii="Times New Roman" w:hAnsi="Times New Roman" w:cs="Times New Roman" w:eastAsia="Times New Roman" w:hint="default"/>
                <w:sz w:val="18"/>
                <w:szCs w:val="18"/>
              </w:rPr>
            </w:pPr>
            <w:r>
              <w:rPr>
                <w:rFonts w:ascii="Times New Roman"/>
                <w:sz w:val="18"/>
              </w:rPr>
              <w:t>47,385,239.55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34,970,559.10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主要由于合利宝研发投入增加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
        <w:rPr>
          <w:rFonts w:ascii="宋体" w:hAnsi="宋体" w:cs="宋体" w:eastAsia="宋体" w:hint="default"/>
          <w:b/>
          <w:bCs/>
          <w:sz w:val="27"/>
          <w:szCs w:val="27"/>
        </w:rPr>
      </w:pPr>
    </w:p>
    <w:p>
      <w:pPr>
        <w:pStyle w:val="BodyText"/>
        <w:spacing w:line="333" w:lineRule="auto" w:before="0"/>
        <w:ind w:left="513" w:right="1051"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本报告期第三方支付业务加大研发投入用于跨境支付系统、多渠道收单系统、互联网和云智能的</w:t>
      </w:r>
      <w:r>
        <w:rPr>
          <w:rFonts w:ascii="Times New Roman" w:hAnsi="Times New Roman" w:cs="Times New Roman" w:eastAsia="Times New Roman" w:hint="default"/>
          <w:spacing w:val="-4"/>
        </w:rPr>
        <w:t>POS</w:t>
      </w:r>
      <w:r>
        <w:rPr>
          <w:spacing w:val="-4"/>
        </w:rPr>
        <w:t>终端、移动收付款</w:t>
      </w:r>
    </w:p>
    <w:p>
      <w:pPr>
        <w:pStyle w:val="BodyText"/>
        <w:spacing w:line="221" w:lineRule="exact" w:before="0"/>
        <w:ind w:right="0"/>
        <w:jc w:val="left"/>
      </w:pPr>
      <w:r>
        <w:rPr>
          <w:spacing w:val="-3"/>
        </w:rPr>
        <w:t>应用软件等多种技术的升级研发。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BodyText"/>
        <w:spacing w:line="240" w:lineRule="auto" w:before="0"/>
        <w:ind w:right="0"/>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-22.03%</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-9.08%</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47,385,239.55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34,970,559.10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35.50%</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研发投入资本化的金额（元）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spacing w:val="-3"/>
        </w:rPr>
        <w:t>研发投入总额占营业收入的比重较上年发生显著变化的原因</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ind w:right="0"/>
        <w:jc w:val="left"/>
      </w:pPr>
      <w:r>
        <w:rPr>
          <w:spacing w:val="-3"/>
        </w:rPr>
        <w:t>研发投入资本化率大幅变动的原因及其合理性说明</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2,460,097,174.88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2,372,479,082.38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3.69%</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2,526,904,646.92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2,137,102,093.09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18.24%</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-66,807,472.04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235,376,989.29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-128.38%</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22,189,200.00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4,642,167.97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377.99%</w:t>
            </w: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140,338,776.26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71,023,463.73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97.59%</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81"/>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-118,149,576.26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-66,381,295.76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-77.99%</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935,100,000.00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1,464,388,400.00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-36.14%</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1,154,470,154.80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1,518,100,628.94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-23.95%</w:t>
            </w:r>
          </w:p>
        </w:tc>
      </w:tr>
      <w:tr>
        <w:trPr>
          <w:trHeight w:val="71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-219,370,154.80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-53,712,228.94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-308.42%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-404,324,354.82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115,283,000.58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-450.72%</w:t>
            </w:r>
          </w:p>
        </w:tc>
      </w:tr>
    </w:tbl>
    <w:p>
      <w:pPr>
        <w:pStyle w:val="BodyText"/>
        <w:spacing w:line="240" w:lineRule="auto" w:before="53"/>
        <w:ind w:right="0"/>
        <w:jc w:val="left"/>
      </w:pPr>
      <w:r>
        <w:rPr>
          <w:spacing w:val="-3"/>
        </w:rPr>
        <w:t>相关数据同比发生重大变动的主要影响因素说明</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96"/>
        <w:ind w:right="0"/>
        <w:jc w:val="left"/>
      </w:pPr>
      <w:r>
        <w:rPr>
          <w:rFonts w:ascii="Times New Roman" w:hAnsi="Times New Roman" w:cs="Times New Roman" w:eastAsia="Times New Roman" w:hint="default"/>
          <w:spacing w:val="-3"/>
        </w:rPr>
        <w:t>1.</w:t>
      </w:r>
      <w:r>
        <w:rPr>
          <w:spacing w:val="-3"/>
        </w:rPr>
        <w:t>经营活动产生的现金流量净额为较上年减少，主要由于本年贷款业务放款增加、付现费用、人工成本增加所致。</w:t>
      </w:r>
    </w:p>
    <w:p>
      <w:pPr>
        <w:pStyle w:val="BodyText"/>
        <w:spacing w:line="240" w:lineRule="auto" w:before="63"/>
        <w:ind w:right="0"/>
        <w:jc w:val="left"/>
      </w:pPr>
      <w:r>
        <w:rPr>
          <w:rFonts w:ascii="Times New Roman" w:hAnsi="Times New Roman" w:cs="Times New Roman" w:eastAsia="Times New Roman" w:hint="default"/>
          <w:spacing w:val="-3"/>
        </w:rPr>
        <w:t>2.</w:t>
      </w:r>
      <w:r>
        <w:rPr>
          <w:spacing w:val="-3"/>
        </w:rPr>
        <w:t>投资活动产生的现金流量净额较上年减少，主要由于本年投资海科金支付投资款所致。</w:t>
      </w:r>
    </w:p>
    <w:p>
      <w:pPr>
        <w:pStyle w:val="BodyText"/>
        <w:spacing w:line="343" w:lineRule="auto" w:before="63"/>
        <w:ind w:right="0"/>
        <w:jc w:val="left"/>
      </w:pPr>
      <w:r>
        <w:rPr>
          <w:rFonts w:ascii="Times New Roman" w:hAnsi="Times New Roman" w:cs="Times New Roman" w:eastAsia="Times New Roman" w:hint="default"/>
          <w:spacing w:val="-3"/>
        </w:rPr>
        <w:t>3.</w:t>
      </w:r>
      <w:r>
        <w:rPr>
          <w:spacing w:val="-3"/>
        </w:rPr>
        <w:t>筹资活动产生的现金流量净额较上年减少，主要由于本年偿还上年控股股东借款所致。</w:t>
      </w:r>
      <w:r>
        <w:rPr>
          <w:spacing w:val="29"/>
        </w:rPr>
        <w:t> </w:t>
      </w:r>
      <w:r>
        <w:rPr>
          <w:spacing w:val="29"/>
        </w:rPr>
      </w:r>
      <w:r>
        <w:rPr>
          <w:spacing w:val="-3"/>
        </w:rPr>
        <w:t>报告期内公司经营活动产生的现金净流量与本年度净利润存在重大差异的原因说明</w:t>
      </w:r>
    </w:p>
    <w:p>
      <w:pPr>
        <w:pStyle w:val="BodyText"/>
        <w:spacing w:line="240" w:lineRule="auto" w:before="43"/>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0"/>
        <w:gridCol w:w="1916"/>
        <w:gridCol w:w="1628"/>
        <w:gridCol w:w="2252"/>
        <w:gridCol w:w="2257"/>
      </w:tblGrid>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58"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2"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11,385,000.00</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20.97%</w:t>
            </w:r>
          </w:p>
        </w:tc>
        <w:tc>
          <w:tcPr>
            <w:tcW w:w="2252"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公司收到长治银行分红</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1138.5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225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有可持续性</w:t>
            </w:r>
          </w:p>
        </w:tc>
      </w:tr>
      <w:tr>
        <w:trPr>
          <w:trHeight w:val="394"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2"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252" w:type="dxa"/>
            <w:vMerge/>
            <w:tcBorders>
              <w:left w:val="single" w:sz="4" w:space="0" w:color="000000"/>
              <w:right w:val="single" w:sz="4" w:space="0" w:color="000000"/>
            </w:tcBorders>
          </w:tcPr>
          <w:p>
            <w:pPr/>
          </w:p>
        </w:tc>
        <w:tc>
          <w:tcPr>
            <w:tcW w:w="2257" w:type="dxa"/>
            <w:vMerge/>
            <w:tcBorders>
              <w:left w:val="single" w:sz="4" w:space="0" w:color="000000"/>
              <w:right w:val="single" w:sz="4" w:space="0" w:color="000000"/>
            </w:tcBorders>
          </w:tcPr>
          <w:p>
            <w:pPr/>
          </w:p>
        </w:tc>
      </w:tr>
      <w:tr>
        <w:trPr>
          <w:trHeight w:val="158"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2"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252" w:type="dxa"/>
            <w:vMerge/>
            <w:tcBorders>
              <w:left w:val="single" w:sz="4" w:space="0" w:color="000000"/>
              <w:bottom w:val="single" w:sz="4" w:space="0" w:color="000000"/>
              <w:right w:val="single" w:sz="4" w:space="0" w:color="000000"/>
            </w:tcBorders>
          </w:tcPr>
          <w:p>
            <w:pPr/>
          </w:p>
        </w:tc>
        <w:tc>
          <w:tcPr>
            <w:tcW w:w="2257" w:type="dxa"/>
            <w:vMerge/>
            <w:tcBorders>
              <w:left w:val="single" w:sz="4" w:space="0" w:color="000000"/>
              <w:bottom w:val="single" w:sz="4" w:space="0" w:color="000000"/>
              <w:right w:val="single" w:sz="4" w:space="0" w:color="000000"/>
            </w:tcBorders>
          </w:tcPr>
          <w:p>
            <w:pPr/>
          </w:p>
        </w:tc>
      </w:tr>
      <w:tr>
        <w:trPr>
          <w:trHeight w:val="163"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6,901,800.36</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12.71%</w:t>
            </w:r>
          </w:p>
        </w:tc>
        <w:tc>
          <w:tcPr>
            <w:tcW w:w="2252" w:type="dxa"/>
            <w:vMerge w:val="restart"/>
            <w:tcBorders>
              <w:top w:val="single" w:sz="4" w:space="0" w:color="000000"/>
              <w:left w:val="single" w:sz="4" w:space="0" w:color="000000"/>
              <w:right w:val="single" w:sz="4" w:space="0" w:color="000000"/>
            </w:tcBorders>
          </w:tcPr>
          <w:p>
            <w:pPr>
              <w:pStyle w:val="TableParagraph"/>
              <w:spacing w:line="324" w:lineRule="auto" w:before="53"/>
              <w:ind w:left="23" w:right="51"/>
              <w:jc w:val="left"/>
              <w:rPr>
                <w:rFonts w:ascii="宋体" w:hAnsi="宋体" w:cs="宋体" w:eastAsia="宋体" w:hint="default"/>
                <w:sz w:val="18"/>
                <w:szCs w:val="18"/>
              </w:rPr>
            </w:pPr>
            <w:r>
              <w:rPr>
                <w:rFonts w:ascii="宋体" w:hAnsi="宋体" w:cs="宋体" w:eastAsia="宋体" w:hint="default"/>
                <w:spacing w:val="-3"/>
                <w:sz w:val="18"/>
                <w:szCs w:val="18"/>
              </w:rPr>
              <w:t>主要由于公司收到业绩补偿</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540.18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25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无持续性</w:t>
            </w:r>
          </w:p>
        </w:tc>
      </w:tr>
      <w:tr>
        <w:trPr>
          <w:trHeight w:val="394"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252" w:type="dxa"/>
            <w:vMerge/>
            <w:tcBorders>
              <w:left w:val="single" w:sz="4" w:space="0" w:color="000000"/>
              <w:right w:val="single" w:sz="4" w:space="0" w:color="000000"/>
            </w:tcBorders>
          </w:tcPr>
          <w:p>
            <w:pPr/>
          </w:p>
        </w:tc>
        <w:tc>
          <w:tcPr>
            <w:tcW w:w="2257" w:type="dxa"/>
            <w:vMerge/>
            <w:tcBorders>
              <w:left w:val="single" w:sz="4" w:space="0" w:color="000000"/>
              <w:right w:val="single" w:sz="4" w:space="0" w:color="000000"/>
            </w:tcBorders>
          </w:tcPr>
          <w:p>
            <w:pPr/>
          </w:p>
        </w:tc>
      </w:tr>
      <w:tr>
        <w:trPr>
          <w:trHeight w:val="158"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252" w:type="dxa"/>
            <w:vMerge/>
            <w:tcBorders>
              <w:left w:val="single" w:sz="4" w:space="0" w:color="000000"/>
              <w:bottom w:val="single" w:sz="4" w:space="0" w:color="000000"/>
              <w:right w:val="single" w:sz="4" w:space="0" w:color="000000"/>
            </w:tcBorders>
          </w:tcPr>
          <w:p>
            <w:pPr/>
          </w:p>
        </w:tc>
        <w:tc>
          <w:tcPr>
            <w:tcW w:w="2257" w:type="dxa"/>
            <w:vMerge/>
            <w:tcBorders>
              <w:left w:val="single" w:sz="4" w:space="0" w:color="000000"/>
              <w:bottom w:val="single" w:sz="4" w:space="0" w:color="000000"/>
              <w:right w:val="single" w:sz="4" w:space="0" w:color="000000"/>
            </w:tcBorders>
          </w:tcPr>
          <w:p>
            <w:pP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31" w:right="0"/>
              <w:jc w:val="left"/>
              <w:rPr>
                <w:rFonts w:ascii="Times New Roman" w:hAnsi="Times New Roman" w:cs="Times New Roman" w:eastAsia="Times New Roman" w:hint="default"/>
                <w:sz w:val="18"/>
                <w:szCs w:val="18"/>
              </w:rPr>
            </w:pPr>
            <w:r>
              <w:rPr>
                <w:rFonts w:ascii="Times New Roman"/>
                <w:sz w:val="18"/>
              </w:rPr>
              <w:t>1,143,674.62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2.11%</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主要由于支付罚款 </w:t>
            </w:r>
            <w:r>
              <w:rPr>
                <w:rFonts w:ascii="Times New Roman" w:hAnsi="Times New Roman" w:cs="Times New Roman" w:eastAsia="Times New Roman" w:hint="default"/>
                <w:sz w:val="18"/>
                <w:szCs w:val="18"/>
              </w:rPr>
              <w:t>109.61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无持续性</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1"/>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8531" w:space="390"/>
            <w:col w:w="200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7"/>
        <w:gridCol w:w="1061"/>
        <w:gridCol w:w="1196"/>
        <w:gridCol w:w="1061"/>
        <w:gridCol w:w="802"/>
        <w:gridCol w:w="2920"/>
      </w:tblGrid>
      <w:tr>
        <w:trPr>
          <w:trHeight w:val="377" w:hRule="exact"/>
        </w:trPr>
        <w:tc>
          <w:tcPr>
            <w:tcW w:w="135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20"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5" w:hRule="exact"/>
        </w:trPr>
        <w:tc>
          <w:tcPr>
            <w:tcW w:w="1357" w:type="dxa"/>
            <w:vMerge w:val="restart"/>
            <w:tcBorders>
              <w:top w:val="single" w:sz="13" w:space="0" w:color="FFFFFF"/>
              <w:left w:val="single" w:sz="4" w:space="0" w:color="000000"/>
              <w:right w:val="single" w:sz="4" w:space="0" w:color="000000"/>
            </w:tcBorders>
            <w:shd w:val="clear" w:color="auto" w:fill="D2D2D2"/>
          </w:tcPr>
          <w:p>
            <w:pPr/>
          </w:p>
        </w:tc>
        <w:tc>
          <w:tcPr>
            <w:tcW w:w="1167"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3" w:space="0" w:color="FFFFFF"/>
              <w:left w:val="single" w:sz="4" w:space="0" w:color="000000"/>
              <w:right w:val="single" w:sz="4" w:space="0" w:color="000000"/>
            </w:tcBorders>
            <w:shd w:val="clear" w:color="auto" w:fill="D2D2D2"/>
          </w:tcPr>
          <w:p>
            <w:pPr>
              <w:pStyle w:val="TableParagraph"/>
              <w:spacing w:line="321"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3" w:space="0" w:color="FFFFFF"/>
              <w:left w:val="single" w:sz="4" w:space="0" w:color="000000"/>
              <w:right w:val="single" w:sz="4" w:space="0" w:color="000000"/>
            </w:tcBorders>
            <w:shd w:val="clear" w:color="auto" w:fill="D2D2D2"/>
          </w:tcPr>
          <w:p>
            <w:pPr>
              <w:pStyle w:val="TableParagraph"/>
              <w:spacing w:line="321"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02"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20"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1,430,315,992.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39.96%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631,564,027.25</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12.59%</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27.37%</w:t>
            </w:r>
          </w:p>
        </w:tc>
        <w:tc>
          <w:tcPr>
            <w:tcW w:w="2920"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80"/>
              <w:jc w:val="left"/>
              <w:rPr>
                <w:rFonts w:ascii="宋体" w:hAnsi="宋体" w:cs="宋体" w:eastAsia="宋体" w:hint="default"/>
                <w:sz w:val="18"/>
                <w:szCs w:val="18"/>
              </w:rPr>
            </w:pPr>
            <w:r>
              <w:rPr>
                <w:rFonts w:ascii="宋体" w:hAnsi="宋体" w:cs="宋体" w:eastAsia="宋体" w:hint="default"/>
                <w:spacing w:val="-3"/>
                <w:sz w:val="18"/>
                <w:szCs w:val="18"/>
              </w:rPr>
              <w:t>主要由于第三方支付业务客户备付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金增加所致</w:t>
            </w:r>
          </w:p>
        </w:tc>
      </w:tr>
      <w:tr>
        <w:trPr>
          <w:trHeight w:val="389"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5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399,513,632.3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pacing w:val="-3"/>
                <w:sz w:val="18"/>
              </w:rPr>
              <w:t>11.16%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344,646,824.15</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6.87%</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4.29%</w:t>
            </w:r>
          </w:p>
        </w:tc>
        <w:tc>
          <w:tcPr>
            <w:tcW w:w="2920" w:type="dxa"/>
            <w:vMerge w:val="restart"/>
            <w:tcBorders>
              <w:top w:val="single" w:sz="4" w:space="0" w:color="000000"/>
              <w:left w:val="single" w:sz="4" w:space="0" w:color="000000"/>
              <w:right w:val="single" w:sz="4" w:space="0" w:color="000000"/>
            </w:tcBorders>
          </w:tcPr>
          <w:p>
            <w:pP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68,534.68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16,185.15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7" w:type="dxa"/>
            <w:tcBorders>
              <w:top w:val="single" w:sz="4" w:space="0" w:color="000000"/>
              <w:left w:val="single" w:sz="13"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tcBorders>
              <w:top w:val="single" w:sz="4" w:space="0" w:color="000000"/>
              <w:left w:val="single" w:sz="13"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4,718,403.41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5,923,984.80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tcBorders>
              <w:top w:val="single" w:sz="4" w:space="0" w:color="000000"/>
              <w:left w:val="single" w:sz="13"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440,765,723.6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12.31%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90,221,307.90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1.80%</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10.51%</w:t>
            </w:r>
          </w:p>
        </w:tc>
        <w:tc>
          <w:tcPr>
            <w:tcW w:w="2920" w:type="dxa"/>
            <w:vMerge w:val="restart"/>
            <w:tcBorders>
              <w:top w:val="single" w:sz="4" w:space="0" w:color="000000"/>
              <w:left w:val="single" w:sz="4" w:space="0" w:color="000000"/>
              <w:right w:val="single" w:sz="4" w:space="0" w:color="000000"/>
            </w:tcBorders>
          </w:tcPr>
          <w:p>
            <w:pPr>
              <w:pStyle w:val="TableParagraph"/>
              <w:spacing w:line="321"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主要由于本年新增兴业银行流动资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金贷款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6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415,887,638.8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pacing w:val="-3"/>
                <w:sz w:val="18"/>
              </w:rPr>
              <w:t>11.62%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420,898,333.33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8.39%</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3.23%</w:t>
            </w:r>
          </w:p>
        </w:tc>
        <w:tc>
          <w:tcPr>
            <w:tcW w:w="2920" w:type="dxa"/>
            <w:vMerge w:val="restart"/>
            <w:tcBorders>
              <w:top w:val="single" w:sz="4" w:space="0" w:color="000000"/>
              <w:left w:val="single" w:sz="4" w:space="0" w:color="000000"/>
              <w:right w:val="single" w:sz="4" w:space="0" w:color="000000"/>
            </w:tcBorders>
          </w:tcPr>
          <w:p>
            <w:pPr/>
          </w:p>
        </w:tc>
      </w:tr>
      <w:tr>
        <w:trPr>
          <w:trHeight w:val="389"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1" w:right="70"/>
              <w:jc w:val="left"/>
              <w:rPr>
                <w:rFonts w:ascii="宋体" w:hAnsi="宋体" w:cs="宋体" w:eastAsia="宋体" w:hint="default"/>
                <w:sz w:val="18"/>
                <w:szCs w:val="18"/>
              </w:rPr>
            </w:pPr>
            <w:r>
              <w:rPr>
                <w:rFonts w:ascii="宋体" w:hAnsi="宋体" w:cs="宋体" w:eastAsia="宋体" w:hint="default"/>
                <w:spacing w:val="-3"/>
                <w:sz w:val="18"/>
                <w:szCs w:val="18"/>
              </w:rPr>
              <w:t>其他权益工具投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462,085,000.0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11.35%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主要由于公司对长治银行投资确权、</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本年投资海科金所致</w:t>
            </w:r>
          </w:p>
        </w:tc>
      </w:tr>
      <w:tr>
        <w:trPr>
          <w:trHeight w:val="711"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23,850,840.34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2,537,379,692.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50.59%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主要由于第三方支付业务待清算款</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项减少所致。</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1,223,955,031.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34.20%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2,601,585,025.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51.87%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主要由于第三方支付业务结存客户</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备付金减少所致。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95"/>
        <w:gridCol w:w="1096"/>
        <w:gridCol w:w="1089"/>
        <w:gridCol w:w="1090"/>
        <w:gridCol w:w="1090"/>
        <w:gridCol w:w="1091"/>
        <w:gridCol w:w="1088"/>
        <w:gridCol w:w="971"/>
        <w:gridCol w:w="960"/>
      </w:tblGrid>
      <w:tr>
        <w:trPr>
          <w:trHeight w:val="163" w:hRule="exact"/>
        </w:trPr>
        <w:tc>
          <w:tcPr>
            <w:tcW w:w="1095" w:type="dxa"/>
            <w:vMerge w:val="restart"/>
            <w:tcBorders>
              <w:top w:val="single" w:sz="4" w:space="0" w:color="000000"/>
              <w:left w:val="single" w:sz="4" w:space="0" w:color="000000"/>
              <w:right w:val="single" w:sz="4" w:space="0" w:color="000000"/>
            </w:tcBorders>
            <w:shd w:val="clear" w:color="auto" w:fill="D2D2D2"/>
          </w:tcPr>
          <w:p>
            <w:pPr/>
          </w:p>
        </w:tc>
        <w:tc>
          <w:tcPr>
            <w:tcW w:w="1096" w:type="dxa"/>
            <w:vMerge w:val="restart"/>
            <w:tcBorders>
              <w:top w:val="single" w:sz="4" w:space="0" w:color="000000"/>
              <w:left w:val="single" w:sz="4" w:space="0" w:color="000000"/>
              <w:right w:val="single" w:sz="4" w:space="0" w:color="000000"/>
            </w:tcBorders>
            <w:shd w:val="clear" w:color="auto" w:fill="D2D2D2"/>
          </w:tcPr>
          <w:p>
            <w:pPr/>
          </w:p>
        </w:tc>
        <w:tc>
          <w:tcPr>
            <w:tcW w:w="10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91" w:right="84"/>
              <w:jc w:val="center"/>
              <w:rPr>
                <w:rFonts w:ascii="宋体" w:hAnsi="宋体" w:cs="宋体" w:eastAsia="宋体" w:hint="default"/>
                <w:sz w:val="18"/>
                <w:szCs w:val="18"/>
              </w:rPr>
            </w:pPr>
            <w:r>
              <w:rPr>
                <w:rFonts w:ascii="宋体" w:hAnsi="宋体" w:cs="宋体" w:eastAsia="宋体" w:hint="default"/>
                <w:spacing w:val="-2"/>
                <w:sz w:val="18"/>
                <w:szCs w:val="18"/>
              </w:rPr>
              <w:t>计入权益的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累计公允价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值变动</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8" w:type="dxa"/>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
        </w:tc>
        <w:tc>
          <w:tcPr>
            <w:tcW w:w="960" w:type="dxa"/>
            <w:vMerge w:val="restart"/>
            <w:tcBorders>
              <w:top w:val="single" w:sz="4" w:space="0" w:color="000000"/>
              <w:left w:val="single" w:sz="4" w:space="0" w:color="000000"/>
              <w:right w:val="single" w:sz="4" w:space="0" w:color="000000"/>
            </w:tcBorders>
            <w:shd w:val="clear" w:color="auto" w:fill="D2D2D2"/>
          </w:tcPr>
          <w:p>
            <w:pPr/>
          </w:p>
        </w:tc>
      </w:tr>
      <w:tr>
        <w:trPr>
          <w:trHeight w:val="154" w:hRule="exact"/>
        </w:trPr>
        <w:tc>
          <w:tcPr>
            <w:tcW w:w="1095" w:type="dxa"/>
            <w:vMerge/>
            <w:tcBorders>
              <w:left w:val="single" w:sz="4" w:space="0" w:color="000000"/>
              <w:bottom w:val="nil" w:sz="6" w:space="0" w:color="auto"/>
              <w:right w:val="single" w:sz="4" w:space="0" w:color="000000"/>
            </w:tcBorders>
            <w:shd w:val="clear" w:color="auto" w:fill="D2D2D2"/>
          </w:tcPr>
          <w:p>
            <w:pPr/>
          </w:p>
        </w:tc>
        <w:tc>
          <w:tcPr>
            <w:tcW w:w="1096" w:type="dxa"/>
            <w:vMerge/>
            <w:tcBorders>
              <w:left w:val="single" w:sz="4" w:space="0" w:color="000000"/>
              <w:bottom w:val="nil" w:sz="6" w:space="0" w:color="auto"/>
              <w:right w:val="single" w:sz="4" w:space="0" w:color="000000"/>
            </w:tcBorders>
            <w:shd w:val="clear" w:color="auto" w:fill="D2D2D2"/>
          </w:tcPr>
          <w:p>
            <w:pPr/>
          </w:p>
        </w:tc>
        <w:tc>
          <w:tcPr>
            <w:tcW w:w="108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85" w:right="89"/>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090"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360" w:right="84" w:hanging="270"/>
              <w:jc w:val="left"/>
              <w:rPr>
                <w:rFonts w:ascii="宋体" w:hAnsi="宋体" w:cs="宋体" w:eastAsia="宋体" w:hint="default"/>
                <w:sz w:val="18"/>
                <w:szCs w:val="18"/>
              </w:rPr>
            </w:pPr>
            <w:r>
              <w:rPr>
                <w:rFonts w:ascii="宋体" w:hAnsi="宋体" w:cs="宋体" w:eastAsia="宋体" w:hint="default"/>
                <w:spacing w:val="-2"/>
                <w:sz w:val="18"/>
                <w:szCs w:val="18"/>
              </w:rPr>
              <w:t>本期计提的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减值</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51" w:right="85" w:hanging="361"/>
              <w:jc w:val="left"/>
              <w:rPr>
                <w:rFonts w:ascii="宋体" w:hAnsi="宋体" w:cs="宋体" w:eastAsia="宋体" w:hint="default"/>
                <w:sz w:val="18"/>
                <w:szCs w:val="18"/>
              </w:rPr>
            </w:pPr>
            <w:r>
              <w:rPr>
                <w:rFonts w:ascii="宋体" w:hAnsi="宋体" w:cs="宋体" w:eastAsia="宋体" w:hint="default"/>
                <w:spacing w:val="-2"/>
                <w:sz w:val="18"/>
                <w:szCs w:val="18"/>
              </w:rPr>
              <w:t>本期购买金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49" w:right="83" w:hanging="360"/>
              <w:jc w:val="left"/>
              <w:rPr>
                <w:rFonts w:ascii="宋体" w:hAnsi="宋体" w:cs="宋体" w:eastAsia="宋体" w:hint="default"/>
                <w:sz w:val="18"/>
                <w:szCs w:val="18"/>
              </w:rPr>
            </w:pPr>
            <w:r>
              <w:rPr>
                <w:rFonts w:ascii="宋体" w:hAnsi="宋体" w:cs="宋体" w:eastAsia="宋体" w:hint="default"/>
                <w:spacing w:val="-2"/>
                <w:sz w:val="18"/>
                <w:szCs w:val="18"/>
              </w:rPr>
              <w:t>本期出售金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971" w:type="dxa"/>
            <w:vMerge/>
            <w:tcBorders>
              <w:left w:val="single" w:sz="4" w:space="0" w:color="000000"/>
              <w:bottom w:val="nil" w:sz="6" w:space="0" w:color="auto"/>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0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08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4" w:hRule="exact"/>
        </w:trPr>
        <w:tc>
          <w:tcPr>
            <w:tcW w:w="1095" w:type="dxa"/>
            <w:vMerge w:val="restart"/>
            <w:tcBorders>
              <w:top w:val="nil" w:sz="6" w:space="0" w:color="auto"/>
              <w:left w:val="single" w:sz="4" w:space="0" w:color="000000"/>
              <w:right w:val="single" w:sz="4" w:space="0" w:color="000000"/>
            </w:tcBorders>
            <w:shd w:val="clear" w:color="auto" w:fill="D2D2D2"/>
          </w:tcPr>
          <w:p>
            <w:pPr/>
          </w:p>
        </w:tc>
        <w:tc>
          <w:tcPr>
            <w:tcW w:w="1096" w:type="dxa"/>
            <w:vMerge w:val="restart"/>
            <w:tcBorders>
              <w:top w:val="nil" w:sz="6" w:space="0" w:color="auto"/>
              <w:left w:val="single" w:sz="4" w:space="0" w:color="000000"/>
              <w:right w:val="single" w:sz="4" w:space="0" w:color="000000"/>
            </w:tcBorders>
            <w:shd w:val="clear" w:color="auto" w:fill="D2D2D2"/>
          </w:tcPr>
          <w:p>
            <w:pPr/>
          </w:p>
        </w:tc>
        <w:tc>
          <w:tcPr>
            <w:tcW w:w="108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
        </w:tc>
        <w:tc>
          <w:tcPr>
            <w:tcW w:w="960"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095" w:type="dxa"/>
            <w:vMerge/>
            <w:tcBorders>
              <w:left w:val="single" w:sz="4" w:space="0" w:color="000000"/>
              <w:bottom w:val="single" w:sz="4" w:space="0" w:color="000000"/>
              <w:right w:val="single" w:sz="4" w:space="0" w:color="000000"/>
            </w:tcBorders>
            <w:shd w:val="clear" w:color="auto" w:fill="D2D2D2"/>
          </w:tcPr>
          <w:p>
            <w:pPr/>
          </w:p>
        </w:tc>
        <w:tc>
          <w:tcPr>
            <w:tcW w:w="1096" w:type="dxa"/>
            <w:vMerge/>
            <w:tcBorders>
              <w:left w:val="single" w:sz="4" w:space="0" w:color="000000"/>
              <w:bottom w:val="single" w:sz="4" w:space="0" w:color="000000"/>
              <w:right w:val="single" w:sz="4" w:space="0" w:color="000000"/>
            </w:tcBorders>
            <w:shd w:val="clear" w:color="auto" w:fill="D2D2D2"/>
          </w:tcPr>
          <w:p>
            <w:pPr/>
          </w:p>
        </w:tc>
        <w:tc>
          <w:tcPr>
            <w:tcW w:w="10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8" w:type="dxa"/>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75"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w:t>
            </w:r>
          </w:p>
        </w:tc>
        <w:tc>
          <w:tcPr>
            <w:tcW w:w="10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78,000,000.00</w:t>
            </w:r>
          </w:p>
        </w:tc>
        <w:tc>
          <w:tcPr>
            <w:tcW w:w="108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384,085,000.0</w:t>
            </w:r>
          </w:p>
        </w:tc>
        <w:tc>
          <w:tcPr>
            <w:tcW w:w="1088"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9" w:right="0"/>
              <w:jc w:val="center"/>
              <w:rPr>
                <w:rFonts w:ascii="Times New Roman" w:hAnsi="Times New Roman" w:cs="Times New Roman" w:eastAsia="Times New Roman" w:hint="default"/>
                <w:sz w:val="18"/>
                <w:szCs w:val="18"/>
              </w:rPr>
            </w:pPr>
            <w:r>
              <w:rPr>
                <w:rFonts w:ascii="Times New Roman"/>
                <w:sz w:val="18"/>
              </w:rPr>
              <w:t>462,085,000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95"/>
        <w:gridCol w:w="1090"/>
        <w:gridCol w:w="1095"/>
        <w:gridCol w:w="1090"/>
        <w:gridCol w:w="1090"/>
        <w:gridCol w:w="1090"/>
        <w:gridCol w:w="1095"/>
        <w:gridCol w:w="965"/>
        <w:gridCol w:w="960"/>
      </w:tblGrid>
      <w:tr>
        <w:trPr>
          <w:trHeight w:val="360" w:hRule="exact"/>
        </w:trPr>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具投资</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78,000,000.00</w:t>
            </w: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384,085,000.0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462,085,000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2" w:lineRule="auto" w:before="53"/>
        <w:ind w:right="6287"/>
        <w:jc w:val="left"/>
      </w:pPr>
      <w:r>
        <w:rPr>
          <w:spacing w:val="-3"/>
        </w:rPr>
        <w:t>其他变动的内容</w:t>
      </w:r>
      <w:r>
        <w:rPr>
          <w:spacing w:val="-68"/>
        </w:rPr>
        <w:t> </w:t>
      </w:r>
      <w:r>
        <w:rPr>
          <w:spacing w:val="-68"/>
        </w:rPr>
      </w:r>
      <w:r>
        <w:rPr>
          <w:spacing w:val="-3"/>
        </w:rPr>
        <w:t>报告期内公司主要资产计量属性是否发生重大变化</w:t>
      </w:r>
    </w:p>
    <w:p>
      <w:pPr>
        <w:pStyle w:val="BodyText"/>
        <w:spacing w:line="240" w:lineRule="auto" w:before="2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日，受限资金为</w:t>
      </w:r>
      <w:r>
        <w:rPr>
          <w:rFonts w:ascii="Times New Roman" w:hAnsi="Times New Roman" w:cs="Times New Roman" w:eastAsia="Times New Roman" w:hint="default"/>
        </w:rPr>
        <w:t>1,341,209,846.92</w:t>
      </w:r>
      <w:r>
        <w:rPr/>
        <w:t>元，主要是客户备付金、保证金及风险准备金。</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62"/>
        <w:gridCol w:w="1009"/>
        <w:gridCol w:w="288"/>
        <w:gridCol w:w="1181"/>
        <w:gridCol w:w="543"/>
        <w:gridCol w:w="538"/>
        <w:gridCol w:w="629"/>
        <w:gridCol w:w="288"/>
        <w:gridCol w:w="283"/>
        <w:gridCol w:w="442"/>
        <w:gridCol w:w="408"/>
        <w:gridCol w:w="1090"/>
        <w:gridCol w:w="288"/>
        <w:gridCol w:w="523"/>
        <w:gridCol w:w="1599"/>
      </w:tblGrid>
      <w:tr>
        <w:trPr>
          <w:trHeight w:val="2276" w:hRule="exact"/>
        </w:trPr>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pacing w:val="-86"/>
                <w:sz w:val="18"/>
                <w:szCs w:val="18"/>
              </w:rPr>
              <w:t> </w:t>
            </w:r>
            <w:r>
              <w:rPr>
                <w:rFonts w:ascii="宋体" w:hAnsi="宋体" w:cs="宋体" w:eastAsia="宋体" w:hint="default"/>
                <w:sz w:val="18"/>
                <w:szCs w:val="18"/>
              </w:rPr>
              <w:t>资公</w:t>
            </w:r>
            <w:r>
              <w:rPr>
                <w:rFonts w:ascii="宋体" w:hAnsi="宋体" w:cs="宋体" w:eastAsia="宋体" w:hint="default"/>
                <w:spacing w:val="-86"/>
                <w:sz w:val="18"/>
                <w:szCs w:val="18"/>
              </w:rPr>
              <w:t> </w:t>
            </w:r>
            <w:r>
              <w:rPr>
                <w:rFonts w:ascii="宋体" w:hAnsi="宋体" w:cs="宋体" w:eastAsia="宋体" w:hint="default"/>
                <w:sz w:val="18"/>
                <w:szCs w:val="18"/>
              </w:rPr>
              <w:t>司名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47" w:right="47"/>
              <w:jc w:val="both"/>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式</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6" w:right="8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6" w:right="74"/>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47" w:right="47"/>
              <w:jc w:val="both"/>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期</w:t>
            </w:r>
            <w:r>
              <w:rPr>
                <w:rFonts w:ascii="宋体" w:hAnsi="宋体" w:cs="宋体" w:eastAsia="宋体" w:hint="default"/>
                <w:spacing w:val="-88"/>
                <w:sz w:val="18"/>
                <w:szCs w:val="18"/>
              </w:rPr>
              <w:t> </w:t>
            </w:r>
            <w:r>
              <w:rPr>
                <w:rFonts w:ascii="宋体" w:hAnsi="宋体" w:cs="宋体" w:eastAsia="宋体" w:hint="default"/>
                <w:sz w:val="18"/>
                <w:szCs w:val="18"/>
              </w:rPr>
              <w:t>限</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47" w:right="41"/>
              <w:jc w:val="both"/>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88"/>
                <w:sz w:val="18"/>
                <w:szCs w:val="18"/>
              </w:rPr>
              <w:t> </w:t>
            </w:r>
            <w:r>
              <w:rPr>
                <w:rFonts w:ascii="宋体" w:hAnsi="宋体" w:cs="宋体" w:eastAsia="宋体" w:hint="default"/>
                <w:sz w:val="18"/>
                <w:szCs w:val="18"/>
              </w:rPr>
              <w:t>品</w:t>
            </w:r>
            <w:r>
              <w:rPr>
                <w:rFonts w:ascii="宋体" w:hAnsi="宋体" w:cs="宋体" w:eastAsia="宋体" w:hint="default"/>
                <w:spacing w:val="-88"/>
                <w:sz w:val="18"/>
                <w:szCs w:val="18"/>
              </w:rPr>
              <w:t> </w:t>
            </w:r>
            <w:r>
              <w:rPr>
                <w:rFonts w:ascii="宋体" w:hAnsi="宋体" w:cs="宋体" w:eastAsia="宋体" w:hint="default"/>
                <w:sz w:val="18"/>
                <w:szCs w:val="18"/>
              </w:rPr>
              <w:t>类</w:t>
            </w:r>
            <w:r>
              <w:rPr>
                <w:rFonts w:ascii="宋体" w:hAnsi="宋体" w:cs="宋体" w:eastAsia="宋体" w:hint="default"/>
                <w:spacing w:val="-88"/>
                <w:sz w:val="18"/>
                <w:szCs w:val="18"/>
              </w:rPr>
              <w:t> </w:t>
            </w:r>
            <w:r>
              <w:rPr>
                <w:rFonts w:ascii="宋体" w:hAnsi="宋体" w:cs="宋体" w:eastAsia="宋体" w:hint="default"/>
                <w:sz w:val="18"/>
                <w:szCs w:val="18"/>
              </w:rPr>
              <w:t>型</w:t>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31"/>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86"/>
                <w:sz w:val="18"/>
                <w:szCs w:val="18"/>
              </w:rPr>
              <w:t> </w:t>
            </w: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表日</w:t>
            </w:r>
            <w:r>
              <w:rPr>
                <w:rFonts w:ascii="宋体" w:hAnsi="宋体" w:cs="宋体" w:eastAsia="宋体" w:hint="default"/>
                <w:spacing w:val="-86"/>
                <w:sz w:val="18"/>
                <w:szCs w:val="18"/>
              </w:rPr>
              <w:t> </w:t>
            </w:r>
            <w:r>
              <w:rPr>
                <w:rFonts w:ascii="宋体" w:hAnsi="宋体" w:cs="宋体" w:eastAsia="宋体" w:hint="default"/>
                <w:sz w:val="18"/>
                <w:szCs w:val="18"/>
              </w:rPr>
              <w:t>的进</w:t>
            </w:r>
            <w:r>
              <w:rPr>
                <w:rFonts w:ascii="宋体" w:hAnsi="宋体" w:cs="宋体" w:eastAsia="宋体" w:hint="default"/>
                <w:spacing w:val="-86"/>
                <w:sz w:val="18"/>
                <w:szCs w:val="18"/>
              </w:rPr>
              <w:t> </w:t>
            </w:r>
            <w:r>
              <w:rPr>
                <w:rFonts w:ascii="宋体" w:hAnsi="宋体" w:cs="宋体" w:eastAsia="宋体" w:hint="default"/>
                <w:sz w:val="18"/>
                <w:szCs w:val="18"/>
              </w:rPr>
              <w:t>展情</w:t>
            </w:r>
            <w:r>
              <w:rPr>
                <w:rFonts w:ascii="宋体" w:hAnsi="宋体" w:cs="宋体" w:eastAsia="宋体" w:hint="default"/>
                <w:spacing w:val="-86"/>
                <w:sz w:val="18"/>
                <w:szCs w:val="18"/>
              </w:rPr>
              <w:t> </w:t>
            </w:r>
            <w:r>
              <w:rPr>
                <w:rFonts w:ascii="宋体" w:hAnsi="宋体" w:cs="宋体" w:eastAsia="宋体" w:hint="default"/>
                <w:sz w:val="18"/>
                <w:szCs w:val="18"/>
              </w:rPr>
              <w:t>况</w:t>
            </w:r>
          </w:p>
        </w:tc>
        <w:tc>
          <w:tcPr>
            <w:tcW w:w="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88"/>
                <w:sz w:val="18"/>
                <w:szCs w:val="18"/>
              </w:rPr>
              <w:t> </w:t>
            </w:r>
            <w:r>
              <w:rPr>
                <w:rFonts w:ascii="宋体" w:hAnsi="宋体" w:cs="宋体" w:eastAsia="宋体" w:hint="default"/>
                <w:sz w:val="18"/>
                <w:szCs w:val="18"/>
              </w:rPr>
              <w:t>计</w:t>
            </w:r>
            <w:r>
              <w:rPr>
                <w:rFonts w:ascii="宋体" w:hAnsi="宋体" w:cs="宋体" w:eastAsia="宋体" w:hint="default"/>
                <w:spacing w:val="-88"/>
                <w:sz w:val="18"/>
                <w:szCs w:val="18"/>
              </w:rPr>
              <w:t> </w:t>
            </w:r>
            <w:r>
              <w:rPr>
                <w:rFonts w:ascii="宋体" w:hAnsi="宋体" w:cs="宋体" w:eastAsia="宋体" w:hint="default"/>
                <w:sz w:val="18"/>
                <w:szCs w:val="18"/>
              </w:rPr>
              <w:t>收</w:t>
            </w:r>
            <w:r>
              <w:rPr>
                <w:rFonts w:ascii="宋体" w:hAnsi="宋体" w:cs="宋体" w:eastAsia="宋体" w:hint="default"/>
                <w:spacing w:val="-88"/>
                <w:sz w:val="18"/>
                <w:szCs w:val="18"/>
              </w:rPr>
              <w:t> </w:t>
            </w:r>
            <w:r>
              <w:rPr>
                <w:rFonts w:ascii="宋体" w:hAnsi="宋体" w:cs="宋体" w:eastAsia="宋体" w:hint="default"/>
                <w:sz w:val="18"/>
                <w:szCs w:val="18"/>
              </w:rPr>
              <w:t>益</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451" w:right="84" w:hanging="360"/>
              <w:jc w:val="left"/>
              <w:rPr>
                <w:rFonts w:ascii="宋体" w:hAnsi="宋体" w:cs="宋体" w:eastAsia="宋体" w:hint="default"/>
                <w:sz w:val="18"/>
                <w:szCs w:val="18"/>
              </w:rPr>
            </w:pPr>
            <w:r>
              <w:rPr>
                <w:rFonts w:ascii="宋体" w:hAnsi="宋体" w:cs="宋体" w:eastAsia="宋体" w:hint="default"/>
                <w:spacing w:val="-2"/>
                <w:sz w:val="18"/>
                <w:szCs w:val="18"/>
              </w:rPr>
              <w:t>本期投资盈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亏</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47" w:right="47"/>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8"/>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涉</w:t>
            </w:r>
            <w:r>
              <w:rPr>
                <w:rFonts w:ascii="宋体" w:hAnsi="宋体" w:cs="宋体" w:eastAsia="宋体" w:hint="default"/>
                <w:spacing w:val="-88"/>
                <w:sz w:val="18"/>
                <w:szCs w:val="18"/>
              </w:rPr>
              <w:t> </w:t>
            </w:r>
            <w:r>
              <w:rPr>
                <w:rFonts w:ascii="宋体" w:hAnsi="宋体" w:cs="宋体" w:eastAsia="宋体" w:hint="default"/>
                <w:sz w:val="18"/>
                <w:szCs w:val="18"/>
              </w:rPr>
              <w:t>诉</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2" w:lineRule="auto"/>
              <w:ind w:left="76" w:right="71"/>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p>
            <w:pPr>
              <w:pStyle w:val="TableParagraph"/>
              <w:spacing w:line="321" w:lineRule="auto" w:before="22"/>
              <w:ind w:left="76" w:right="71"/>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321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61"/>
              <w:jc w:val="both"/>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海淀</w:t>
            </w:r>
            <w:r>
              <w:rPr>
                <w:rFonts w:ascii="宋体" w:hAnsi="宋体" w:cs="宋体" w:eastAsia="宋体" w:hint="default"/>
                <w:spacing w:val="-86"/>
                <w:sz w:val="18"/>
                <w:szCs w:val="18"/>
              </w:rPr>
              <w:t> </w:t>
            </w:r>
            <w:r>
              <w:rPr>
                <w:rFonts w:ascii="宋体" w:hAnsi="宋体" w:cs="宋体" w:eastAsia="宋体" w:hint="default"/>
                <w:sz w:val="18"/>
                <w:szCs w:val="18"/>
              </w:rPr>
              <w:t>科技</w:t>
            </w:r>
            <w:r>
              <w:rPr>
                <w:rFonts w:ascii="宋体" w:hAnsi="宋体" w:cs="宋体" w:eastAsia="宋体" w:hint="default"/>
                <w:spacing w:val="-86"/>
                <w:sz w:val="18"/>
                <w:szCs w:val="18"/>
              </w:rPr>
              <w:t> </w:t>
            </w:r>
            <w:r>
              <w:rPr>
                <w:rFonts w:ascii="宋体" w:hAnsi="宋体" w:cs="宋体" w:eastAsia="宋体" w:hint="default"/>
                <w:sz w:val="18"/>
                <w:szCs w:val="18"/>
              </w:rPr>
              <w:t>金融</w:t>
            </w:r>
            <w:r>
              <w:rPr>
                <w:rFonts w:ascii="宋体" w:hAnsi="宋体" w:cs="宋体" w:eastAsia="宋体" w:hint="default"/>
                <w:spacing w:val="-86"/>
                <w:sz w:val="18"/>
                <w:szCs w:val="18"/>
              </w:rPr>
              <w:t> </w:t>
            </w: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控股</w:t>
            </w:r>
            <w:r>
              <w:rPr>
                <w:rFonts w:ascii="宋体" w:hAnsi="宋体" w:cs="宋体" w:eastAsia="宋体" w:hint="default"/>
                <w:spacing w:val="-86"/>
                <w:sz w:val="18"/>
                <w:szCs w:val="18"/>
              </w:rPr>
              <w:t> </w:t>
            </w:r>
            <w:r>
              <w:rPr>
                <w:rFonts w:ascii="宋体" w:hAnsi="宋体" w:cs="宋体" w:eastAsia="宋体" w:hint="default"/>
                <w:sz w:val="18"/>
                <w:szCs w:val="18"/>
              </w:rPr>
              <w:t>集团</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3" w:right="70"/>
              <w:jc w:val="both"/>
              <w:rPr>
                <w:rFonts w:ascii="宋体" w:hAnsi="宋体" w:cs="宋体" w:eastAsia="宋体" w:hint="default"/>
                <w:sz w:val="18"/>
                <w:szCs w:val="18"/>
              </w:rPr>
            </w:pPr>
            <w:r>
              <w:rPr>
                <w:rFonts w:ascii="宋体" w:hAnsi="宋体" w:cs="宋体" w:eastAsia="宋体" w:hint="default"/>
                <w:spacing w:val="-2"/>
                <w:sz w:val="18"/>
                <w:szCs w:val="18"/>
              </w:rPr>
              <w:t>投资与资产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管理；企业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管理；经济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信息咨询</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71"/>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150,000,000.00</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3.02%</w:t>
            </w:r>
          </w:p>
        </w:tc>
        <w:tc>
          <w:tcPr>
            <w:tcW w:w="53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8" w:right="-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r>
              <w:rPr>
                <w:rFonts w:ascii="宋体" w:hAnsi="宋体" w:cs="宋体" w:eastAsia="宋体" w:hint="default"/>
                <w:spacing w:val="-83"/>
                <w:sz w:val="18"/>
                <w:szCs w:val="18"/>
              </w:rPr>
              <w:t> </w:t>
            </w:r>
            <w:r>
              <w:rPr>
                <w:rFonts w:ascii="宋体" w:hAnsi="宋体" w:cs="宋体" w:eastAsia="宋体" w:hint="default"/>
                <w:sz w:val="18"/>
                <w:szCs w:val="18"/>
              </w:rPr>
              <w:t>自筹</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6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2" w:right="51"/>
              <w:jc w:val="both"/>
              <w:rPr>
                <w:rFonts w:ascii="宋体" w:hAnsi="宋体" w:cs="宋体" w:eastAsia="宋体" w:hint="default"/>
                <w:sz w:val="18"/>
                <w:szCs w:val="18"/>
              </w:rPr>
            </w:pPr>
            <w:r>
              <w:rPr>
                <w:rFonts w:ascii="宋体" w:hAnsi="宋体" w:cs="宋体" w:eastAsia="宋体" w:hint="default"/>
                <w:sz w:val="18"/>
                <w:szCs w:val="18"/>
              </w:rPr>
              <w:t>北京海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淀科技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金融资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其股东</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71"/>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88"/>
                <w:sz w:val="18"/>
                <w:szCs w:val="18"/>
              </w:rPr>
              <w:t> </w:t>
            </w:r>
            <w:r>
              <w:rPr>
                <w:rFonts w:ascii="宋体" w:hAnsi="宋体" w:cs="宋体" w:eastAsia="宋体" w:hint="default"/>
                <w:sz w:val="18"/>
                <w:szCs w:val="18"/>
              </w:rPr>
              <w:t>期</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3" w:right="65"/>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权</w:t>
            </w:r>
            <w:r>
              <w:rPr>
                <w:rFonts w:ascii="宋体" w:hAnsi="宋体" w:cs="宋体" w:eastAsia="宋体" w:hint="default"/>
                <w:spacing w:val="-88"/>
                <w:sz w:val="18"/>
                <w:szCs w:val="18"/>
              </w:rPr>
              <w:t> </w:t>
            </w: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3" w:right="41"/>
              <w:jc w:val="both"/>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pacing w:val="-86"/>
                <w:sz w:val="18"/>
                <w:szCs w:val="18"/>
              </w:rPr>
              <w:t> </w:t>
            </w:r>
            <w:r>
              <w:rPr>
                <w:rFonts w:ascii="宋体" w:hAnsi="宋体" w:cs="宋体" w:eastAsia="宋体" w:hint="default"/>
                <w:sz w:val="18"/>
                <w:szCs w:val="18"/>
              </w:rPr>
              <w:t>已完</w:t>
            </w:r>
            <w:r>
              <w:rPr>
                <w:rFonts w:ascii="宋体" w:hAnsi="宋体" w:cs="宋体" w:eastAsia="宋体" w:hint="default"/>
                <w:spacing w:val="-86"/>
                <w:sz w:val="18"/>
                <w:szCs w:val="18"/>
              </w:rPr>
              <w:t> </w:t>
            </w:r>
            <w:r>
              <w:rPr>
                <w:rFonts w:ascii="宋体" w:hAnsi="宋体" w:cs="宋体" w:eastAsia="宋体" w:hint="default"/>
                <w:sz w:val="18"/>
                <w:szCs w:val="18"/>
              </w:rPr>
              <w:t>成</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pacing w:val="-11"/>
                <w:w w:val="101"/>
                <w:sz w:val="18"/>
                <w:szCs w:val="18"/>
              </w:rPr>
              <w:t>巨潮资讯网《关于拟</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对外投资的公告》</w:t>
            </w:r>
          </w:p>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2018-165</w:t>
            </w:r>
            <w:r>
              <w:rPr>
                <w:rFonts w:ascii="宋体" w:hAnsi="宋体" w:cs="宋体" w:eastAsia="宋体" w:hint="default"/>
                <w:sz w:val="18"/>
                <w:szCs w:val="18"/>
              </w:rPr>
              <w:t>）</w:t>
            </w:r>
          </w:p>
        </w:tc>
      </w:tr>
      <w:tr>
        <w:trPr>
          <w:trHeight w:val="985"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61"/>
              <w:jc w:val="both"/>
              <w:rPr>
                <w:rFonts w:ascii="宋体" w:hAnsi="宋体" w:cs="宋体" w:eastAsia="宋体" w:hint="default"/>
                <w:sz w:val="18"/>
                <w:szCs w:val="18"/>
              </w:rPr>
            </w:pPr>
            <w:r>
              <w:rPr>
                <w:rFonts w:ascii="宋体" w:hAnsi="宋体" w:cs="宋体" w:eastAsia="宋体" w:hint="default"/>
                <w:sz w:val="18"/>
                <w:szCs w:val="18"/>
              </w:rPr>
              <w:t>长治</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70"/>
              <w:jc w:val="left"/>
              <w:rPr>
                <w:rFonts w:ascii="宋体" w:hAnsi="宋体" w:cs="宋体" w:eastAsia="宋体" w:hint="default"/>
                <w:sz w:val="18"/>
                <w:szCs w:val="18"/>
              </w:rPr>
            </w:pPr>
            <w:r>
              <w:rPr>
                <w:rFonts w:ascii="宋体" w:hAnsi="宋体" w:cs="宋体" w:eastAsia="宋体" w:hint="default"/>
                <w:spacing w:val="-2"/>
                <w:sz w:val="18"/>
                <w:szCs w:val="18"/>
              </w:rPr>
              <w:t>吸收公众存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发放短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期、中期和</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4" w:right="0"/>
              <w:jc w:val="center"/>
              <w:rPr>
                <w:rFonts w:ascii="Times New Roman" w:hAnsi="Times New Roman" w:cs="Times New Roman" w:eastAsia="Times New Roman" w:hint="default"/>
                <w:sz w:val="18"/>
                <w:szCs w:val="18"/>
              </w:rPr>
            </w:pPr>
            <w:r>
              <w:rPr>
                <w:rFonts w:ascii="Times New Roman"/>
                <w:sz w:val="18"/>
              </w:rPr>
              <w:t>239,085,000.00</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pacing w:val="-1"/>
                <w:sz w:val="18"/>
              </w:rPr>
              <w:t>4.95%</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8" w:right="132"/>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51"/>
              <w:jc w:val="both"/>
              <w:rPr>
                <w:rFonts w:ascii="宋体" w:hAnsi="宋体" w:cs="宋体" w:eastAsia="宋体" w:hint="default"/>
                <w:sz w:val="18"/>
                <w:szCs w:val="18"/>
              </w:rPr>
            </w:pPr>
            <w:r>
              <w:rPr>
                <w:rFonts w:ascii="宋体" w:hAnsi="宋体" w:cs="宋体" w:eastAsia="宋体" w:hint="default"/>
                <w:sz w:val="18"/>
                <w:szCs w:val="18"/>
              </w:rPr>
              <w:t>长治银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88"/>
                <w:sz w:val="18"/>
                <w:szCs w:val="18"/>
              </w:rPr>
              <w:t> </w:t>
            </w:r>
            <w:r>
              <w:rPr>
                <w:rFonts w:ascii="宋体" w:hAnsi="宋体" w:cs="宋体" w:eastAsia="宋体" w:hint="default"/>
                <w:sz w:val="18"/>
                <w:szCs w:val="18"/>
              </w:rPr>
              <w:t>期</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65"/>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权</w:t>
            </w:r>
            <w:r>
              <w:rPr>
                <w:rFonts w:ascii="宋体" w:hAnsi="宋体" w:cs="宋体" w:eastAsia="宋体" w:hint="default"/>
                <w:spacing w:val="-88"/>
                <w:sz w:val="18"/>
                <w:szCs w:val="18"/>
              </w:rPr>
              <w:t> </w:t>
            </w:r>
            <w:r>
              <w:rPr>
                <w:rFonts w:ascii="宋体" w:hAnsi="宋体" w:cs="宋体" w:eastAsia="宋体" w:hint="default"/>
                <w:sz w:val="18"/>
                <w:szCs w:val="18"/>
              </w:rPr>
              <w:t>投</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已完</w:t>
            </w:r>
            <w:r>
              <w:rPr>
                <w:rFonts w:ascii="宋体" w:hAnsi="宋体" w:cs="宋体" w:eastAsia="宋体" w:hint="default"/>
                <w:spacing w:val="-86"/>
                <w:sz w:val="18"/>
                <w:szCs w:val="18"/>
              </w:rPr>
              <w:t> </w:t>
            </w:r>
            <w:r>
              <w:rPr>
                <w:rFonts w:ascii="宋体" w:hAnsi="宋体" w:cs="宋体" w:eastAsia="宋体" w:hint="default"/>
                <w:sz w:val="18"/>
                <w:szCs w:val="18"/>
              </w:rPr>
              <w:t>成</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2"/>
              <w:jc w:val="righ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pacing w:val="-2"/>
                <w:sz w:val="18"/>
              </w:rPr>
              <w:t>11,385,000.00</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17"/>
              <w:jc w:val="left"/>
              <w:rPr>
                <w:rFonts w:ascii="宋体" w:hAnsi="宋体" w:cs="宋体" w:eastAsia="宋体" w:hint="default"/>
                <w:sz w:val="18"/>
                <w:szCs w:val="18"/>
              </w:rPr>
            </w:pPr>
            <w:r>
              <w:rPr>
                <w:rFonts w:ascii="宋体" w:hAnsi="宋体" w:cs="宋体" w:eastAsia="宋体" w:hint="default"/>
                <w:spacing w:val="-11"/>
                <w:w w:val="101"/>
                <w:sz w:val="18"/>
                <w:szCs w:val="18"/>
              </w:rPr>
              <w:t>巨潮资讯网《关于全</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资子公司拟参与长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治银行股份有限公</w:t>
            </w:r>
          </w:p>
        </w:tc>
      </w:tr>
    </w:tbl>
    <w:p>
      <w:pPr>
        <w:spacing w:after="0" w:line="31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6"/>
          <w:szCs w:val="26"/>
        </w:rPr>
      </w:pPr>
    </w:p>
    <w:p>
      <w:pPr>
        <w:pStyle w:val="BodyText"/>
        <w:spacing w:line="240" w:lineRule="auto"/>
        <w:ind w:left="0" w:right="1040"/>
        <w:jc w:val="right"/>
      </w:pPr>
      <w:r>
        <w:rPr/>
        <w:pict>
          <v:shape style="position:absolute;margin-left:56.424pt;margin-top:1.291724pt;width:484.3pt;height:101.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2"/>
                    <w:gridCol w:w="1009"/>
                    <w:gridCol w:w="288"/>
                    <w:gridCol w:w="1181"/>
                    <w:gridCol w:w="543"/>
                    <w:gridCol w:w="538"/>
                    <w:gridCol w:w="629"/>
                    <w:gridCol w:w="288"/>
                    <w:gridCol w:w="283"/>
                    <w:gridCol w:w="442"/>
                    <w:gridCol w:w="408"/>
                    <w:gridCol w:w="1090"/>
                    <w:gridCol w:w="288"/>
                    <w:gridCol w:w="523"/>
                    <w:gridCol w:w="1599"/>
                  </w:tblGrid>
                  <w:tr>
                    <w:trPr>
                      <w:trHeight w:val="1609"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61"/>
                          <w:jc w:val="left"/>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17"/>
                          <w:jc w:val="both"/>
                          <w:rPr>
                            <w:rFonts w:ascii="宋体" w:hAnsi="宋体" w:cs="宋体" w:eastAsia="宋体" w:hint="default"/>
                            <w:sz w:val="18"/>
                            <w:szCs w:val="18"/>
                          </w:rPr>
                        </w:pPr>
                        <w:r>
                          <w:rPr>
                            <w:rFonts w:ascii="宋体" w:hAnsi="宋体" w:cs="宋体" w:eastAsia="宋体" w:hint="default"/>
                            <w:sz w:val="18"/>
                            <w:szCs w:val="18"/>
                          </w:rPr>
                          <w:t>长期贷款</w:t>
                        </w:r>
                        <w:r>
                          <w:rPr>
                            <w:rFonts w:ascii="Times New Roman" w:hAnsi="Times New Roman" w:cs="Times New Roman" w:eastAsia="Times New Roman" w:hint="default"/>
                            <w:sz w:val="18"/>
                            <w:szCs w:val="18"/>
                          </w:rPr>
                          <w:t>;</w:t>
                        </w:r>
                        <w:r>
                          <w:rPr>
                            <w:rFonts w:ascii="宋体" w:hAnsi="宋体" w:cs="宋体" w:eastAsia="宋体" w:hint="default"/>
                            <w:sz w:val="18"/>
                            <w:szCs w:val="18"/>
                          </w:rPr>
                          <w:t>办</w:t>
                        </w:r>
                        <w:r>
                          <w:rPr>
                            <w:rFonts w:ascii="宋体" w:hAnsi="宋体" w:cs="宋体" w:eastAsia="宋体" w:hint="default"/>
                            <w:spacing w:val="-86"/>
                            <w:sz w:val="18"/>
                            <w:szCs w:val="18"/>
                          </w:rPr>
                          <w:t> </w:t>
                        </w:r>
                        <w:r>
                          <w:rPr>
                            <w:rFonts w:ascii="宋体" w:hAnsi="宋体" w:cs="宋体" w:eastAsia="宋体" w:hint="default"/>
                            <w:sz w:val="18"/>
                            <w:szCs w:val="18"/>
                          </w:rPr>
                          <w:t>理国内结算</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办理票据承</w:t>
                        </w:r>
                        <w:r>
                          <w:rPr>
                            <w:rFonts w:ascii="宋体" w:hAnsi="宋体" w:cs="宋体" w:eastAsia="宋体" w:hint="default"/>
                            <w:w w:val="101"/>
                            <w:sz w:val="18"/>
                            <w:szCs w:val="18"/>
                          </w:rPr>
                          <w:t> </w:t>
                        </w:r>
                        <w:r>
                          <w:rPr>
                            <w:rFonts w:ascii="宋体" w:hAnsi="宋体" w:cs="宋体" w:eastAsia="宋体" w:hint="default"/>
                            <w:sz w:val="18"/>
                            <w:szCs w:val="18"/>
                          </w:rPr>
                          <w:t>兑与贴现等</w:t>
                        </w:r>
                        <w:r>
                          <w:rPr>
                            <w:rFonts w:ascii="宋体" w:hAnsi="宋体" w:cs="宋体" w:eastAsia="宋体" w:hint="default"/>
                            <w:w w:val="101"/>
                            <w:sz w:val="18"/>
                            <w:szCs w:val="18"/>
                          </w:rPr>
                          <w:t> </w:t>
                        </w:r>
                        <w:r>
                          <w:rPr>
                            <w:rFonts w:ascii="宋体" w:hAnsi="宋体" w:cs="宋体" w:eastAsia="宋体" w:hint="default"/>
                            <w:sz w:val="18"/>
                            <w:szCs w:val="18"/>
                          </w:rPr>
                          <w:t>业务</w:t>
                        </w: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5"/>
                          <w:jc w:val="righ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司增资扩股的公告</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2017-130</w:t>
                        </w:r>
                        <w:r>
                          <w:rPr>
                            <w:rFonts w:ascii="宋体" w:hAnsi="宋体" w:cs="宋体" w:eastAsia="宋体" w:hint="default"/>
                            <w:sz w:val="18"/>
                            <w:szCs w:val="18"/>
                          </w:rPr>
                          <w:t>）</w:t>
                        </w:r>
                      </w:p>
                    </w:tc>
                  </w:tr>
                  <w:tr>
                    <w:trPr>
                      <w:trHeight w:val="403" w:hRule="exact"/>
                    </w:trPr>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389,085,000.00</w:t>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11,385,000.00</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36"/>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公司报告期无募集资金使用情况。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before="0"/>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pStyle w:val="BodyText"/>
        <w:spacing w:line="240" w:lineRule="auto"/>
        <w:ind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pict>
          <v:shape style="position:absolute;margin-left:215.83577pt;margin-top:37.391712pt;width:57.65pt;height:30.25pt;mso-position-horizontal-relative:page;mso-position-vertical-relative:paragraph;z-index:-98353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w w:val="101"/>
                    </w:rPr>
                    <w:t>；</w:t>
                  </w:r>
                  <w:r>
                    <w:rPr/>
                  </w:r>
                </w:p>
              </w:txbxContent>
            </v:textbox>
            <w10:wrap type="none"/>
          </v:shape>
        </w:pict>
      </w:r>
      <w:r>
        <w:rPr/>
        <w:t>单位：元</w:t>
      </w:r>
    </w:p>
    <w:p>
      <w:pPr>
        <w:spacing w:after="0" w:line="240" w:lineRule="auto"/>
        <w:jc w:val="left"/>
        <w:sectPr>
          <w:type w:val="continuous"/>
          <w:pgSz w:w="11910" w:h="16840"/>
          <w:pgMar w:top="1060" w:bottom="1160" w:left="980" w:right="0"/>
          <w:cols w:num="2" w:equalWidth="0">
            <w:col w:w="4854" w:space="4068"/>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398"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3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21"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广东合利金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融科技服务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3" w:right="104"/>
              <w:jc w:val="left"/>
              <w:rPr>
                <w:rFonts w:ascii="宋体" w:hAnsi="宋体" w:cs="宋体" w:eastAsia="宋体" w:hint="default"/>
                <w:sz w:val="18"/>
                <w:szCs w:val="18"/>
              </w:rPr>
            </w:pPr>
            <w:r>
              <w:rPr>
                <w:rFonts w:ascii="宋体" w:hAnsi="宋体" w:cs="宋体" w:eastAsia="宋体" w:hint="default"/>
                <w:spacing w:val="-2"/>
                <w:sz w:val="18"/>
                <w:szCs w:val="18"/>
              </w:rPr>
              <w:t>网络技术的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软件开发；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信息系统集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成服务</w:t>
            </w:r>
            <w:r>
              <w:rPr>
                <w:rFonts w:ascii="Times New Roman" w:hAnsi="Times New Roman" w:cs="Times New Roman" w:eastAsia="Times New Roman" w:hint="default"/>
                <w:sz w:val="18"/>
                <w:szCs w:val="18"/>
              </w:rPr>
              <w:t>;</w:t>
            </w:r>
            <w:r>
              <w:rPr>
                <w:rFonts w:ascii="宋体" w:hAnsi="宋体" w:cs="宋体" w:eastAsia="宋体" w:hint="default"/>
                <w:sz w:val="18"/>
                <w:szCs w:val="18"/>
              </w:rPr>
              <w:t>信</w:t>
            </w:r>
            <w:r>
              <w:rPr>
                <w:rFonts w:ascii="宋体" w:hAnsi="宋体" w:cs="宋体" w:eastAsia="宋体" w:hint="default"/>
                <w:w w:val="101"/>
                <w:sz w:val="18"/>
                <w:szCs w:val="18"/>
              </w:rPr>
              <w:t> </w:t>
            </w:r>
            <w:r>
              <w:rPr>
                <w:rFonts w:ascii="宋体" w:hAnsi="宋体" w:cs="宋体" w:eastAsia="宋体" w:hint="default"/>
                <w:spacing w:val="-2"/>
                <w:sz w:val="18"/>
                <w:szCs w:val="18"/>
              </w:rPr>
              <w:t>息技术咨询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604" w:lineRule="exact"/>
              <w:ind w:left="4"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51.6pt;height:30.25pt;mso-position-horizontal-relative:char;mso-position-vertical-relative:line" coordorigin="0,0" coordsize="1032,605">
                  <v:group style="position:absolute;left:0;top:0;width:1032;height:605" coordorigin="0,0" coordsize="1032,605">
                    <v:shape style="position:absolute;left:0;top:0;width:1032;height:605" coordorigin="0,0" coordsize="1032,605" path="m0,605l1032,605,1032,0,0,0,0,605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Times New Roman"/>
                <w:spacing w:val="-4"/>
                <w:sz w:val="18"/>
              </w:rPr>
              <w:t>111,111,100.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5,167,557,39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531,364,407.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1,281,199,80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150,959,832.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130,503,477.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984" w:hRule="exact"/>
        </w:trPr>
        <w:tc>
          <w:tcPr>
            <w:tcW w:w="105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4"/>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服务；数据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处理和存储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508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19"/>
              <w:ind w:left="24" w:right="118"/>
              <w:jc w:val="left"/>
              <w:rPr>
                <w:rFonts w:ascii="宋体" w:hAnsi="宋体" w:cs="宋体" w:eastAsia="宋体" w:hint="default"/>
                <w:sz w:val="18"/>
                <w:szCs w:val="18"/>
              </w:rPr>
            </w:pPr>
            <w:r>
              <w:rPr>
                <w:rFonts w:ascii="宋体" w:hAnsi="宋体" w:cs="宋体" w:eastAsia="宋体" w:hint="default"/>
                <w:spacing w:val="-2"/>
                <w:sz w:val="18"/>
                <w:szCs w:val="18"/>
              </w:rPr>
              <w:t>民盛租赁有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04"/>
              <w:jc w:val="left"/>
              <w:rPr>
                <w:rFonts w:ascii="宋体" w:hAnsi="宋体" w:cs="宋体" w:eastAsia="宋体" w:hint="default"/>
                <w:sz w:val="18"/>
                <w:szCs w:val="18"/>
              </w:rPr>
            </w:pPr>
            <w:r>
              <w:rPr>
                <w:rFonts w:ascii="宋体" w:hAnsi="宋体" w:cs="宋体" w:eastAsia="宋体" w:hint="default"/>
                <w:spacing w:val="-2"/>
                <w:sz w:val="18"/>
                <w:szCs w:val="18"/>
              </w:rPr>
              <w:t>融资租赁业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务；租赁业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务；向国内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外购买租赁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财产；租赁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财产的残值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处理及维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修；自营和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代理货物及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技术进出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口；租赁咨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询服务；兼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营与主营业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务有关的商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业保理业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8"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346,153,639.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225,671,837.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8"/>
              <w:jc w:val="right"/>
              <w:rPr>
                <w:rFonts w:ascii="Times New Roman" w:hAnsi="Times New Roman" w:cs="Times New Roman" w:eastAsia="Times New Roman" w:hint="default"/>
                <w:sz w:val="18"/>
                <w:szCs w:val="18"/>
              </w:rPr>
            </w:pPr>
            <w:r>
              <w:rPr>
                <w:rFonts w:ascii="Times New Roman"/>
                <w:spacing w:val="-1"/>
                <w:sz w:val="18"/>
              </w:rPr>
              <w:t>15,063,477.3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9,239,206.18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6,885,699.95</w:t>
            </w:r>
          </w:p>
        </w:tc>
      </w:tr>
    </w:tbl>
    <w:p>
      <w:pPr>
        <w:pStyle w:val="BodyText"/>
        <w:spacing w:line="240" w:lineRule="auto" w:before="54"/>
        <w:ind w:right="0"/>
        <w:jc w:val="left"/>
      </w:pPr>
      <w:r>
        <w:rPr>
          <w:spacing w:val="-3"/>
        </w:rPr>
        <w:t>报告期内取得和处置子公司的情况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霍尔果斯民盛创业投资有限公司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仁东金融信息服务有限公司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民盛科技有限公司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民盛供应链管理有限公司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53"/>
        <w:ind w:right="0"/>
        <w:jc w:val="left"/>
      </w:pPr>
      <w:r>
        <w:rPr>
          <w:spacing w:val="-3"/>
        </w:rPr>
        <w:t>主要控股参股公司情况说明</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3"/>
        <w:rPr>
          <w:rFonts w:ascii="宋体" w:hAnsi="宋体" w:cs="宋体" w:eastAsia="宋体" w:hint="default"/>
          <w:b/>
          <w:bCs/>
          <w:sz w:val="27"/>
          <w:szCs w:val="27"/>
        </w:rPr>
      </w:pPr>
    </w:p>
    <w:p>
      <w:pPr>
        <w:pStyle w:val="BodyText"/>
        <w:spacing w:line="316" w:lineRule="auto" w:before="0"/>
        <w:ind w:left="513" w:right="0"/>
        <w:jc w:val="left"/>
      </w:pPr>
      <w:r>
        <w:rPr>
          <w:spacing w:val="-3"/>
        </w:rPr>
        <w:t>（一）公司所处行业的发展趋势</w:t>
      </w:r>
      <w:r>
        <w:rPr>
          <w:spacing w:val="-45"/>
        </w:rPr>
        <w:t> </w:t>
      </w:r>
      <w:r>
        <w:rPr>
          <w:spacing w:val="-45"/>
        </w:rPr>
      </w:r>
      <w:r>
        <w:rPr>
          <w:spacing w:val="-3"/>
        </w:rPr>
        <w:t>公司已转型为金融科技企业。金融科技行业的</w:t>
      </w:r>
      <w:r>
        <w:rPr>
          <w:rFonts w:ascii="Times New Roman" w:hAnsi="Times New Roman" w:cs="Times New Roman" w:eastAsia="Times New Roman" w:hint="default"/>
          <w:spacing w:val="-3"/>
        </w:rPr>
        <w:t>2020</w:t>
      </w:r>
      <w:r>
        <w:rPr>
          <w:spacing w:val="-3"/>
        </w:rPr>
        <w:t>年度发展趋势展望：</w:t>
      </w:r>
      <w:r>
        <w:rPr>
          <w:rFonts w:ascii="Times New Roman" w:hAnsi="Times New Roman" w:cs="Times New Roman" w:eastAsia="Times New Roman" w:hint="default"/>
          <w:spacing w:val="-3"/>
        </w:rPr>
        <w:t>1</w:t>
      </w:r>
      <w:r>
        <w:rPr>
          <w:spacing w:val="-3"/>
        </w:rPr>
        <w:t>、严监管将成为常态，相关政策不断细化，金</w:t>
      </w:r>
    </w:p>
    <w:p>
      <w:pPr>
        <w:pStyle w:val="BodyText"/>
        <w:spacing w:line="307" w:lineRule="auto" w:before="0"/>
        <w:ind w:right="0"/>
        <w:jc w:val="left"/>
      </w:pPr>
      <w:r>
        <w:rPr>
          <w:spacing w:val="-5"/>
        </w:rPr>
        <w:t>融风险防控下沉地方，持牌经营成为必须；</w:t>
      </w:r>
      <w:r>
        <w:rPr>
          <w:rFonts w:ascii="Times New Roman" w:hAnsi="Times New Roman" w:cs="Times New Roman" w:eastAsia="Times New Roman" w:hint="default"/>
          <w:spacing w:val="-5"/>
        </w:rPr>
        <w:t>2</w:t>
      </w:r>
      <w:r>
        <w:rPr>
          <w:spacing w:val="-5"/>
        </w:rPr>
        <w:t>、行业加速洗牌，中小平台在竞争中加速淘汰，行业集中度进一步提升；</w:t>
      </w:r>
      <w:r>
        <w:rPr>
          <w:rFonts w:ascii="Times New Roman" w:hAnsi="Times New Roman" w:cs="Times New Roman" w:eastAsia="Times New Roman" w:hint="default"/>
          <w:spacing w:val="-5"/>
        </w:rPr>
        <w:t>3</w:t>
      </w:r>
      <w:r>
        <w:rPr>
          <w:spacing w:val="-5"/>
        </w:rPr>
        <w:t>、大</w:t>
      </w:r>
      <w:r>
        <w:rPr>
          <w:spacing w:val="-4"/>
        </w:rPr>
        <w:t> </w:t>
      </w:r>
      <w:r>
        <w:rPr>
          <w:spacing w:val="-3"/>
        </w:rPr>
        <w:t>数据产业将全面提速，机构合作和数据开放是大势所趋，社会征信体系不断完善；</w:t>
      </w:r>
      <w:r>
        <w:rPr>
          <w:rFonts w:ascii="Times New Roman" w:hAnsi="Times New Roman" w:cs="Times New Roman" w:eastAsia="Times New Roman" w:hint="default"/>
          <w:spacing w:val="-3"/>
        </w:rPr>
        <w:t>4</w:t>
      </w:r>
      <w:r>
        <w:rPr>
          <w:spacing w:val="-3"/>
        </w:rPr>
        <w:t>、互联网技术的作用从快速扩张增量市</w:t>
      </w:r>
      <w:r>
        <w:rPr>
          <w:spacing w:val="71"/>
        </w:rPr>
        <w:t> </w:t>
      </w:r>
      <w:r>
        <w:rPr>
          <w:spacing w:val="71"/>
        </w:rPr>
      </w:r>
      <w:r>
        <w:rPr>
          <w:spacing w:val="-3"/>
        </w:rPr>
        <w:t>场转而深耕存量市场，差异化逐渐显现；</w:t>
      </w:r>
      <w:r>
        <w:rPr>
          <w:rFonts w:ascii="Times New Roman" w:hAnsi="Times New Roman" w:cs="Times New Roman" w:eastAsia="Times New Roman" w:hint="default"/>
          <w:spacing w:val="-3"/>
        </w:rPr>
        <w:t>5</w:t>
      </w:r>
      <w:r>
        <w:rPr>
          <w:spacing w:val="-3"/>
        </w:rPr>
        <w:t>、第三方支付作为新技术、新业态、新模式的新兴产业，具有广阔的市场需求前</w:t>
      </w:r>
      <w:r>
        <w:rPr>
          <w:spacing w:val="70"/>
        </w:rPr>
        <w:t> </w:t>
      </w:r>
      <w:r>
        <w:rPr>
          <w:spacing w:val="70"/>
        </w:rPr>
      </w:r>
      <w:r>
        <w:rPr>
          <w:spacing w:val="-6"/>
        </w:rPr>
        <w:t>景。随着第三方支付行业的快速发展，第三方支付市场不断扩大，同时进一步被细分，第三方支付行业在技术上的深入创新、</w:t>
      </w:r>
      <w:r>
        <w:rPr>
          <w:spacing w:val="63"/>
        </w:rPr>
        <w:t> </w:t>
      </w:r>
      <w:r>
        <w:rPr>
          <w:spacing w:val="63"/>
        </w:rPr>
      </w:r>
      <w:r>
        <w:rPr>
          <w:spacing w:val="-4"/>
        </w:rPr>
        <w:t>多场景的切入、多种合作模式及行业上下游的打通，将逐渐形成以支付为入口，不只是支付的综合形态模式。支付成为金融</w:t>
      </w:r>
      <w:r>
        <w:rPr>
          <w:spacing w:val="40"/>
        </w:rPr>
        <w:t> </w:t>
      </w:r>
      <w:r>
        <w:rPr>
          <w:spacing w:val="40"/>
        </w:rPr>
      </w:r>
      <w:r>
        <w:rPr>
          <w:spacing w:val="-3"/>
        </w:rPr>
        <w:t>科技（</w:t>
      </w:r>
      <w:r>
        <w:rPr>
          <w:rFonts w:ascii="Times New Roman" w:hAnsi="Times New Roman" w:cs="Times New Roman" w:eastAsia="Times New Roman" w:hint="default"/>
          <w:spacing w:val="-3"/>
        </w:rPr>
        <w:t>FinTech</w:t>
      </w:r>
      <w:r>
        <w:rPr>
          <w:spacing w:val="-3"/>
        </w:rPr>
        <w:t>）的重要组成部分，通过大数据、区块链等技术的应用，围绕消费者特殊需求满足和维护，定制化产品，企</w:t>
      </w:r>
    </w:p>
    <w:p>
      <w:pPr>
        <w:spacing w:after="0" w:line="307"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ind w:right="0"/>
        <w:jc w:val="left"/>
      </w:pPr>
      <w:r>
        <w:rPr>
          <w:spacing w:val="-4"/>
        </w:rPr>
        <w:t>业和商户综合支付解决方案等将是未来的发展方向。移动支付的渗透率继续提升，第三方支付的交易规模保持高速增长；</w:t>
      </w:r>
      <w:r>
        <w:rPr>
          <w:rFonts w:ascii="Times New Roman" w:hAnsi="Times New Roman" w:cs="Times New Roman" w:eastAsia="Times New Roman" w:hint="default"/>
          <w:spacing w:val="-4"/>
        </w:rPr>
        <w:t>6</w:t>
      </w:r>
      <w:r>
        <w:rPr>
          <w:spacing w:val="-4"/>
        </w:rPr>
        <w:t>、</w:t>
      </w:r>
      <w:r>
        <w:rPr>
          <w:spacing w:val="50"/>
        </w:rPr>
        <w:t> </w:t>
      </w:r>
      <w:r>
        <w:rPr>
          <w:spacing w:val="-3"/>
        </w:rPr>
        <w:t>金融科技全球化进一步加强，境内外合作及竞争并存。</w:t>
      </w:r>
    </w:p>
    <w:p>
      <w:pPr>
        <w:pStyle w:val="BodyText"/>
        <w:spacing w:line="319" w:lineRule="auto" w:before="31"/>
        <w:ind w:left="513" w:right="0"/>
        <w:jc w:val="left"/>
      </w:pPr>
      <w:r>
        <w:rPr/>
        <w:t>（二）公司的发展战略</w:t>
      </w:r>
      <w:r>
        <w:rPr>
          <w:spacing w:val="-86"/>
        </w:rPr>
        <w:t> </w:t>
      </w:r>
      <w:r>
        <w:rPr>
          <w:spacing w:val="-86"/>
        </w:rPr>
      </w:r>
      <w:r>
        <w:rPr>
          <w:spacing w:val="-4"/>
        </w:rPr>
        <w:t>公司按照</w:t>
      </w:r>
      <w:r>
        <w:rPr>
          <w:rFonts w:ascii="Times New Roman" w:hAnsi="Times New Roman" w:cs="Times New Roman" w:eastAsia="Times New Roman" w:hint="default"/>
          <w:spacing w:val="-4"/>
        </w:rPr>
        <w:t>“</w:t>
      </w:r>
      <w:r>
        <w:rPr>
          <w:spacing w:val="-4"/>
        </w:rPr>
        <w:t>打造金融科技生态圈，完善金融科技产业链</w:t>
      </w:r>
      <w:r>
        <w:rPr>
          <w:rFonts w:ascii="Times New Roman" w:hAnsi="Times New Roman" w:cs="Times New Roman" w:eastAsia="Times New Roman" w:hint="default"/>
          <w:spacing w:val="-4"/>
        </w:rPr>
        <w:t>”</w:t>
      </w:r>
      <w:r>
        <w:rPr>
          <w:spacing w:val="-4"/>
        </w:rPr>
        <w:t>的战略发展规划，进一步搭建商业金融、科技金融、资产管理等</w:t>
      </w:r>
    </w:p>
    <w:p>
      <w:pPr>
        <w:pStyle w:val="BodyText"/>
        <w:spacing w:line="316" w:lineRule="auto" w:before="0"/>
        <w:ind w:right="1051"/>
        <w:jc w:val="left"/>
      </w:pPr>
      <w:r>
        <w:rPr>
          <w:spacing w:val="-3"/>
        </w:rPr>
        <w:t>创新金融领域的业务，形成第三方支付相关业务的上下游产业链，创建中国领先的金融科技公司。积极推进产业升级步伐，</w:t>
      </w:r>
      <w:r>
        <w:rPr>
          <w:spacing w:val="66"/>
        </w:rPr>
        <w:t> </w:t>
      </w:r>
      <w:r>
        <w:rPr>
          <w:spacing w:val="66"/>
        </w:rPr>
      </w:r>
      <w:r>
        <w:rPr>
          <w:spacing w:val="-4"/>
        </w:rPr>
        <w:t>加大科技创新力度，增强核心竞争力，优化公司治理结构，提升内控管理水平，积极履行社会责任，着力提升企业价值和股</w:t>
      </w:r>
      <w:r>
        <w:rPr>
          <w:spacing w:val="40"/>
        </w:rPr>
        <w:t> </w:t>
      </w:r>
      <w:r>
        <w:rPr>
          <w:spacing w:val="40"/>
        </w:rPr>
      </w:r>
      <w:r>
        <w:rPr>
          <w:spacing w:val="-3"/>
        </w:rPr>
        <w:t>东利益最大化。</w:t>
      </w:r>
    </w:p>
    <w:p>
      <w:pPr>
        <w:pStyle w:val="BodyText"/>
        <w:spacing w:line="300" w:lineRule="auto" w:before="19"/>
        <w:ind w:left="513" w:right="0"/>
        <w:jc w:val="left"/>
      </w:pPr>
      <w:r>
        <w:rPr/>
        <w:t>（三）</w:t>
      </w:r>
      <w:r>
        <w:rPr>
          <w:rFonts w:ascii="Times New Roman" w:hAnsi="Times New Roman" w:cs="Times New Roman" w:eastAsia="Times New Roman" w:hint="default"/>
        </w:rPr>
        <w:t>2020</w:t>
      </w:r>
      <w:r>
        <w:rPr/>
        <w:t>年度经营计划</w:t>
      </w:r>
      <w:r>
        <w:rPr>
          <w:w w:val="101"/>
        </w:rPr>
        <w:t> </w:t>
      </w:r>
      <w:r>
        <w:rPr>
          <w:spacing w:val="-4"/>
        </w:rPr>
        <w:t>我国金融领域对外开放步伐明显加快，行业竞争更加激烈。</w:t>
      </w:r>
      <w:r>
        <w:rPr>
          <w:rFonts w:ascii="Times New Roman" w:hAnsi="Times New Roman" w:cs="Times New Roman" w:eastAsia="Times New Roman" w:hint="default"/>
          <w:spacing w:val="-4"/>
        </w:rPr>
        <w:t>2020</w:t>
      </w:r>
      <w:r>
        <w:rPr>
          <w:spacing w:val="-4"/>
        </w:rPr>
        <w:t>年度，公司将面临更多的风险和挑战，公司将继续保持</w:t>
      </w:r>
    </w:p>
    <w:p>
      <w:pPr>
        <w:pStyle w:val="BodyText"/>
        <w:spacing w:line="300" w:lineRule="auto" w:before="13"/>
        <w:ind w:right="1127"/>
        <w:jc w:val="both"/>
      </w:pPr>
      <w:r>
        <w:rPr>
          <w:spacing w:val="-4"/>
        </w:rPr>
        <w:t>清醒头脑，理性看待问题，迎接挑战，抢抓机遇，化危为机，助力企业实现更好的发展。</w:t>
      </w:r>
      <w:r>
        <w:rPr>
          <w:rFonts w:ascii="Times New Roman" w:hAnsi="Times New Roman" w:cs="Times New Roman" w:eastAsia="Times New Roman" w:hint="default"/>
          <w:spacing w:val="-4"/>
        </w:rPr>
        <w:t>2020</w:t>
      </w:r>
      <w:r>
        <w:rPr>
          <w:spacing w:val="-4"/>
        </w:rPr>
        <w:t>年度，是海科金集团入主公司</w:t>
      </w:r>
      <w:r>
        <w:rPr>
          <w:spacing w:val="44"/>
        </w:rPr>
        <w:t> </w:t>
      </w:r>
      <w:r>
        <w:rPr>
          <w:spacing w:val="44"/>
        </w:rPr>
      </w:r>
      <w:r>
        <w:rPr>
          <w:spacing w:val="-4"/>
        </w:rPr>
        <w:t>全新的一年，公司将充分发挥自有</w:t>
      </w:r>
      <w:r>
        <w:rPr>
          <w:rFonts w:ascii="Times New Roman" w:hAnsi="Times New Roman" w:cs="Times New Roman" w:eastAsia="Times New Roman" w:hint="default"/>
          <w:spacing w:val="-4"/>
        </w:rPr>
        <w:t>“</w:t>
      </w:r>
      <w:r>
        <w:rPr>
          <w:spacing w:val="-4"/>
        </w:rPr>
        <w:t>科技金融</w:t>
      </w:r>
      <w:r>
        <w:rPr>
          <w:rFonts w:ascii="Times New Roman" w:hAnsi="Times New Roman" w:cs="Times New Roman" w:eastAsia="Times New Roman" w:hint="default"/>
          <w:spacing w:val="-4"/>
        </w:rPr>
        <w:t>”</w:t>
      </w:r>
      <w:r>
        <w:rPr>
          <w:spacing w:val="-4"/>
        </w:rPr>
        <w:t>优势，与海科金集团管理、资金、内控、风控、人才等优势深度融合，全力推</w:t>
      </w:r>
      <w:r>
        <w:rPr>
          <w:spacing w:val="59"/>
        </w:rPr>
        <w:t> </w:t>
      </w:r>
      <w:r>
        <w:rPr>
          <w:spacing w:val="59"/>
        </w:rPr>
      </w:r>
      <w:r>
        <w:rPr>
          <w:spacing w:val="-3"/>
        </w:rPr>
        <w:t>动公司发展升级换档，实现持续、稳定、健康的发展。</w:t>
      </w:r>
    </w:p>
    <w:p>
      <w:pPr>
        <w:pStyle w:val="BodyText"/>
        <w:spacing w:line="300" w:lineRule="auto" w:before="31"/>
        <w:ind w:left="513" w:right="0"/>
        <w:jc w:val="left"/>
      </w:pPr>
      <w:r>
        <w:rPr>
          <w:rFonts w:ascii="Times New Roman" w:hAnsi="Times New Roman" w:cs="Times New Roman" w:eastAsia="Times New Roman" w:hint="default"/>
          <w:spacing w:val="-3"/>
        </w:rPr>
        <w:t>1.</w:t>
      </w:r>
      <w:r>
        <w:rPr>
          <w:spacing w:val="-3"/>
        </w:rPr>
        <w:t>坚定</w:t>
      </w:r>
      <w:r>
        <w:rPr>
          <w:rFonts w:ascii="Times New Roman" w:hAnsi="Times New Roman" w:cs="Times New Roman" w:eastAsia="Times New Roman" w:hint="default"/>
          <w:spacing w:val="-3"/>
        </w:rPr>
        <w:t>“</w:t>
      </w:r>
      <w:r>
        <w:rPr>
          <w:spacing w:val="-3"/>
        </w:rPr>
        <w:t>科技金融</w:t>
      </w:r>
      <w:r>
        <w:rPr>
          <w:rFonts w:ascii="Times New Roman" w:hAnsi="Times New Roman" w:cs="Times New Roman" w:eastAsia="Times New Roman" w:hint="default"/>
          <w:spacing w:val="-3"/>
        </w:rPr>
        <w:t>”</w:t>
      </w:r>
      <w:r>
        <w:rPr>
          <w:spacing w:val="-3"/>
        </w:rPr>
        <w:t>战略发展思路</w:t>
      </w:r>
      <w:r>
        <w:rPr>
          <w:spacing w:val="-43"/>
        </w:rPr>
        <w:t> </w:t>
      </w:r>
      <w:r>
        <w:rPr>
          <w:spacing w:val="-43"/>
        </w:rPr>
      </w:r>
      <w:r>
        <w:rPr>
          <w:spacing w:val="-4"/>
        </w:rPr>
        <w:t>公司将坚定</w:t>
      </w:r>
      <w:r>
        <w:rPr>
          <w:rFonts w:ascii="Times New Roman" w:hAnsi="Times New Roman" w:cs="Times New Roman" w:eastAsia="Times New Roman" w:hint="default"/>
          <w:spacing w:val="-4"/>
        </w:rPr>
        <w:t>“</w:t>
      </w:r>
      <w:r>
        <w:rPr>
          <w:spacing w:val="-4"/>
        </w:rPr>
        <w:t>打造金融科技生态圈、完善金融科技产业链</w:t>
      </w:r>
      <w:r>
        <w:rPr>
          <w:rFonts w:ascii="Times New Roman" w:hAnsi="Times New Roman" w:cs="Times New Roman" w:eastAsia="Times New Roman" w:hint="default"/>
          <w:spacing w:val="-4"/>
        </w:rPr>
        <w:t>”</w:t>
      </w:r>
      <w:r>
        <w:rPr>
          <w:spacing w:val="-4"/>
        </w:rPr>
        <w:t>的战略发展方向，坚持</w:t>
      </w:r>
      <w:r>
        <w:rPr>
          <w:rFonts w:ascii="Times New Roman" w:hAnsi="Times New Roman" w:cs="Times New Roman" w:eastAsia="Times New Roman" w:hint="default"/>
          <w:spacing w:val="-4"/>
        </w:rPr>
        <w:t>“</w:t>
      </w:r>
      <w:r>
        <w:rPr>
          <w:spacing w:val="-4"/>
        </w:rPr>
        <w:t>金融科技、服务实业</w:t>
      </w:r>
      <w:r>
        <w:rPr>
          <w:rFonts w:ascii="Times New Roman" w:hAnsi="Times New Roman" w:cs="Times New Roman" w:eastAsia="Times New Roman" w:hint="default"/>
          <w:spacing w:val="-4"/>
        </w:rPr>
        <w:t>”</w:t>
      </w:r>
      <w:r>
        <w:rPr>
          <w:spacing w:val="-4"/>
        </w:rPr>
        <w:t>的战略定位，围</w:t>
      </w:r>
    </w:p>
    <w:p>
      <w:pPr>
        <w:pStyle w:val="BodyText"/>
        <w:spacing w:line="316" w:lineRule="auto" w:before="13"/>
        <w:ind w:right="0"/>
        <w:jc w:val="left"/>
      </w:pPr>
      <w:r>
        <w:rPr>
          <w:spacing w:val="-4"/>
        </w:rPr>
        <w:t>绕第三方支付、融资租赁、保理、供应链、互联网小贷五大产业板块，既要寻求每个业务板块的发展，也要推动各个板块的</w:t>
      </w:r>
      <w:r>
        <w:rPr>
          <w:spacing w:val="40"/>
        </w:rPr>
        <w:t> </w:t>
      </w:r>
      <w:r>
        <w:rPr>
          <w:spacing w:val="40"/>
        </w:rPr>
      </w:r>
      <w:r>
        <w:rPr>
          <w:spacing w:val="-3"/>
        </w:rPr>
        <w:t>协同整合，积极探索新的场景解决方案，从而有效服务企业商户，实现创新发展。</w:t>
      </w:r>
    </w:p>
    <w:p>
      <w:pPr>
        <w:pStyle w:val="BodyText"/>
        <w:spacing w:line="309" w:lineRule="auto" w:before="19"/>
        <w:ind w:right="1124" w:firstLine="360"/>
        <w:jc w:val="both"/>
      </w:pPr>
      <w:r>
        <w:rPr>
          <w:spacing w:val="-5"/>
        </w:rPr>
        <w:t>公司将继续加强研发创新，借力大数据、区块链等新兴技术的进步，持续构建企业核心竞争力。公司全资子公司与关联</w:t>
      </w:r>
      <w:r>
        <w:rPr>
          <w:w w:val="101"/>
        </w:rPr>
        <w:t> </w:t>
      </w:r>
      <w:r>
        <w:rPr>
          <w:spacing w:val="-4"/>
          <w:w w:val="101"/>
        </w:rPr>
        <w:t>方仁东区块链有限公司共同战略入股北京众签科技有限公司事项已于</w:t>
      </w:r>
      <w:r>
        <w:rPr>
          <w:rFonts w:ascii="Times New Roman" w:hAnsi="Times New Roman" w:cs="Times New Roman" w:eastAsia="Times New Roman" w:hint="default"/>
          <w:spacing w:val="-4"/>
          <w:w w:val="101"/>
        </w:rPr>
        <w:t>2020</w:t>
      </w:r>
      <w:r>
        <w:rPr>
          <w:spacing w:val="-4"/>
          <w:w w:val="101"/>
        </w:rPr>
        <w:t>年</w:t>
      </w:r>
      <w:r>
        <w:rPr>
          <w:rFonts w:ascii="Times New Roman" w:hAnsi="Times New Roman" w:cs="Times New Roman" w:eastAsia="Times New Roman" w:hint="default"/>
          <w:spacing w:val="-4"/>
          <w:w w:val="101"/>
        </w:rPr>
        <w:t>4</w:t>
      </w:r>
      <w:r>
        <w:rPr>
          <w:spacing w:val="-4"/>
          <w:w w:val="101"/>
        </w:rPr>
        <w:t>月实施完成，公司</w:t>
      </w:r>
      <w:r>
        <w:rPr>
          <w:rFonts w:ascii="Times New Roman" w:hAnsi="Times New Roman" w:cs="Times New Roman" w:eastAsia="Times New Roman" w:hint="default"/>
          <w:spacing w:val="-4"/>
          <w:w w:val="101"/>
        </w:rPr>
        <w:t>“</w:t>
      </w:r>
      <w:r>
        <w:rPr>
          <w:spacing w:val="-4"/>
          <w:w w:val="101"/>
        </w:rPr>
        <w:t>金融</w:t>
      </w:r>
      <w:r>
        <w:rPr>
          <w:rFonts w:ascii="Times New Roman" w:hAnsi="Times New Roman" w:cs="Times New Roman" w:eastAsia="Times New Roman" w:hint="default"/>
          <w:spacing w:val="-4"/>
          <w:w w:val="101"/>
        </w:rPr>
        <w:t>+</w:t>
      </w:r>
      <w:r>
        <w:rPr>
          <w:spacing w:val="-4"/>
          <w:w w:val="101"/>
        </w:rPr>
        <w:t>区块链</w:t>
      </w:r>
      <w:r>
        <w:rPr>
          <w:rFonts w:ascii="Times New Roman" w:hAnsi="Times New Roman" w:cs="Times New Roman" w:eastAsia="Times New Roman" w:hint="default"/>
          <w:spacing w:val="-4"/>
          <w:w w:val="101"/>
        </w:rPr>
        <w:t>”</w:t>
      </w:r>
      <w:r>
        <w:rPr>
          <w:spacing w:val="-4"/>
          <w:w w:val="101"/>
        </w:rPr>
        <w:t>业务探索已经</w:t>
      </w:r>
      <w:r>
        <w:rPr>
          <w:spacing w:val="-71"/>
          <w:w w:val="101"/>
        </w:rPr>
        <w:t> </w:t>
      </w:r>
      <w:r>
        <w:rPr>
          <w:spacing w:val="-71"/>
          <w:w w:val="101"/>
        </w:rPr>
      </w:r>
      <w:r>
        <w:rPr>
          <w:spacing w:val="-3"/>
        </w:rPr>
        <w:t>迈出坚实一步，下一步则致力于发挥双方协同优势，有效植入商业应用场景，展现企业竞争优势。</w:t>
      </w:r>
    </w:p>
    <w:p>
      <w:pPr>
        <w:pStyle w:val="BodyText"/>
        <w:spacing w:line="316" w:lineRule="auto" w:before="24"/>
        <w:ind w:right="1037" w:firstLine="360"/>
        <w:jc w:val="both"/>
      </w:pPr>
      <w:r>
        <w:rPr>
          <w:spacing w:val="-6"/>
        </w:rPr>
        <w:t>公司与京东集团、兴业银行北京分行等战略合作伙伴将现有合作项目基础上，进一步加强合作的广度和深度，优势互补、</w:t>
      </w:r>
      <w:r>
        <w:rPr>
          <w:w w:val="101"/>
        </w:rPr>
        <w:t> </w:t>
      </w:r>
      <w:r>
        <w:rPr>
          <w:spacing w:val="-3"/>
        </w:rPr>
        <w:t>以点带面、提质增效，从实践中不断探索和创造价值。</w:t>
      </w:r>
    </w:p>
    <w:p>
      <w:pPr>
        <w:pStyle w:val="BodyText"/>
        <w:spacing w:line="300" w:lineRule="auto" w:before="19"/>
        <w:ind w:left="513" w:right="0"/>
        <w:jc w:val="left"/>
      </w:pPr>
      <w:r>
        <w:rPr>
          <w:rFonts w:ascii="Times New Roman" w:hAnsi="Times New Roman" w:cs="Times New Roman" w:eastAsia="Times New Roman" w:hint="default"/>
          <w:spacing w:val="-3"/>
        </w:rPr>
        <w:t>2.</w:t>
      </w:r>
      <w:r>
        <w:rPr>
          <w:spacing w:val="-3"/>
        </w:rPr>
        <w:t>提升</w:t>
      </w:r>
      <w:r>
        <w:rPr>
          <w:rFonts w:ascii="Times New Roman" w:hAnsi="Times New Roman" w:cs="Times New Roman" w:eastAsia="Times New Roman" w:hint="default"/>
          <w:spacing w:val="-3"/>
        </w:rPr>
        <w:t>“</w:t>
      </w:r>
      <w:r>
        <w:rPr>
          <w:spacing w:val="-3"/>
        </w:rPr>
        <w:t>内部控制</w:t>
      </w:r>
      <w:r>
        <w:rPr>
          <w:rFonts w:ascii="Times New Roman" w:hAnsi="Times New Roman" w:cs="Times New Roman" w:eastAsia="Times New Roman" w:hint="default"/>
          <w:spacing w:val="-3"/>
        </w:rPr>
        <w:t>”</w:t>
      </w:r>
      <w:r>
        <w:rPr>
          <w:spacing w:val="-3"/>
        </w:rPr>
        <w:t>水平</w:t>
      </w:r>
      <w:r>
        <w:rPr>
          <w:spacing w:val="-59"/>
        </w:rPr>
        <w:t> </w:t>
      </w:r>
      <w:r>
        <w:rPr>
          <w:spacing w:val="-4"/>
        </w:rPr>
        <w:t>作为上市公司和金融公司，任何时候都要把规范运作和风险防范放在第一位，在经济下行和疫情冲击的大环境下更要关</w:t>
      </w:r>
    </w:p>
    <w:p>
      <w:pPr>
        <w:pStyle w:val="BodyText"/>
        <w:spacing w:line="307" w:lineRule="auto" w:before="31"/>
        <w:ind w:right="1051"/>
        <w:jc w:val="left"/>
      </w:pPr>
      <w:r>
        <w:rPr>
          <w:spacing w:val="-4"/>
        </w:rPr>
        <w:t>注合规和风险问题。</w:t>
      </w:r>
      <w:r>
        <w:rPr>
          <w:rFonts w:ascii="Times New Roman" w:hAnsi="Times New Roman" w:cs="Times New Roman" w:eastAsia="Times New Roman" w:hint="default"/>
          <w:spacing w:val="-4"/>
        </w:rPr>
        <w:t>2020</w:t>
      </w:r>
      <w:r>
        <w:rPr>
          <w:spacing w:val="-4"/>
        </w:rPr>
        <w:t>年度随着监管部门一系列政策新规的出台，一方面公司将强化监管政策动态跟踪，及时更新公司既</w:t>
      </w:r>
      <w:r>
        <w:rPr>
          <w:spacing w:val="51"/>
        </w:rPr>
        <w:t> </w:t>
      </w:r>
      <w:r>
        <w:rPr>
          <w:spacing w:val="51"/>
        </w:rPr>
      </w:r>
      <w:r>
        <w:rPr>
          <w:spacing w:val="-3"/>
        </w:rPr>
        <w:t>有制度，持续优化</w:t>
      </w:r>
      <w:r>
        <w:rPr>
          <w:rFonts w:ascii="Times New Roman" w:hAnsi="Times New Roman" w:cs="Times New Roman" w:eastAsia="Times New Roman" w:hint="default"/>
          <w:spacing w:val="-3"/>
        </w:rPr>
        <w:t>“</w:t>
      </w:r>
      <w:r>
        <w:rPr>
          <w:spacing w:val="-3"/>
        </w:rPr>
        <w:t>内部控制</w:t>
      </w:r>
      <w:r>
        <w:rPr>
          <w:rFonts w:ascii="Times New Roman" w:hAnsi="Times New Roman" w:cs="Times New Roman" w:eastAsia="Times New Roman" w:hint="default"/>
          <w:spacing w:val="-3"/>
        </w:rPr>
        <w:t>”</w:t>
      </w:r>
      <w:r>
        <w:rPr>
          <w:spacing w:val="-3"/>
        </w:rPr>
        <w:t>水平；另一方面构建更加有效的合规管理体系，加强法律合规审查，强化内控审计监督检查；</w:t>
      </w:r>
      <w:r>
        <w:rPr>
          <w:spacing w:val="69"/>
        </w:rPr>
        <w:t> </w:t>
      </w:r>
      <w:r>
        <w:rPr>
          <w:spacing w:val="69"/>
        </w:rPr>
      </w:r>
      <w:r>
        <w:rPr>
          <w:spacing w:val="-5"/>
        </w:rPr>
        <w:t>再一方面公司也将积极借鉴和引入海科金集团优秀的内部控制理念和管理模式，取其精华优化公司现有业务流程，确保企业</w:t>
      </w:r>
      <w:r>
        <w:rPr>
          <w:spacing w:val="6"/>
        </w:rPr>
        <w:t> </w:t>
      </w:r>
      <w:r>
        <w:rPr>
          <w:spacing w:val="6"/>
        </w:rPr>
      </w:r>
      <w:r>
        <w:rPr>
          <w:spacing w:val="-3"/>
        </w:rPr>
        <w:t>稳健合规发展。</w:t>
      </w:r>
    </w:p>
    <w:p>
      <w:pPr>
        <w:pStyle w:val="BodyText"/>
        <w:spacing w:line="300" w:lineRule="auto" w:before="26"/>
        <w:ind w:left="513" w:right="0"/>
        <w:jc w:val="left"/>
      </w:pPr>
      <w:r>
        <w:rPr>
          <w:rFonts w:ascii="Times New Roman" w:hAnsi="Times New Roman" w:cs="Times New Roman" w:eastAsia="Times New Roman" w:hint="default"/>
        </w:rPr>
        <w:t>3.</w:t>
      </w:r>
      <w:r>
        <w:rPr/>
        <w:t>强化企业投融资能力</w:t>
      </w:r>
      <w:r>
        <w:rPr>
          <w:spacing w:val="-85"/>
        </w:rPr>
        <w:t> </w:t>
      </w:r>
      <w:r>
        <w:rPr>
          <w:spacing w:val="-85"/>
        </w:rPr>
      </w:r>
      <w:r>
        <w:rPr>
          <w:spacing w:val="-3"/>
        </w:rPr>
        <w:t>作为金融企业，资金是企业的生命线，一方面我们将结合实际情况，继续巩固和加强融资能力，充分借助海科金集团、</w:t>
      </w:r>
    </w:p>
    <w:p>
      <w:pPr>
        <w:pStyle w:val="BodyText"/>
        <w:spacing w:line="309" w:lineRule="auto" w:before="31"/>
        <w:ind w:right="0"/>
        <w:jc w:val="left"/>
      </w:pPr>
      <w:r>
        <w:rPr>
          <w:spacing w:val="-4"/>
        </w:rPr>
        <w:t>兴业银行北京分行等战略伙伴资金优势，推动各业务板块快速发展，</w:t>
      </w:r>
      <w:r>
        <w:rPr>
          <w:rFonts w:ascii="Times New Roman" w:hAnsi="Times New Roman" w:cs="Times New Roman" w:eastAsia="Times New Roman" w:hint="default"/>
          <w:spacing w:val="-4"/>
        </w:rPr>
        <w:t>2020</w:t>
      </w:r>
      <w:r>
        <w:rPr>
          <w:spacing w:val="-4"/>
        </w:rPr>
        <w:t>年公司拟向海科金集团申请借款不超过</w:t>
      </w:r>
      <w:r>
        <w:rPr>
          <w:rFonts w:ascii="Times New Roman" w:hAnsi="Times New Roman" w:cs="Times New Roman" w:eastAsia="Times New Roman" w:hint="default"/>
          <w:spacing w:val="-4"/>
        </w:rPr>
        <w:t>20</w:t>
      </w:r>
      <w:r>
        <w:rPr>
          <w:spacing w:val="-4"/>
        </w:rPr>
        <w:t>亿元，租</w:t>
      </w:r>
      <w:r>
        <w:rPr>
          <w:spacing w:val="56"/>
        </w:rPr>
        <w:t> </w:t>
      </w:r>
      <w:r>
        <w:rPr>
          <w:spacing w:val="56"/>
        </w:rPr>
      </w:r>
      <w:r>
        <w:rPr>
          <w:spacing w:val="-3"/>
        </w:rPr>
        <w:t>赁、保理、小贷等业务也将进一步深化合作，公司各产业发展有了充足的潜力和底气；另一方面继续加强投后和融后管理，</w:t>
      </w:r>
      <w:r>
        <w:rPr>
          <w:spacing w:val="66"/>
        </w:rPr>
        <w:t> </w:t>
      </w:r>
      <w:r>
        <w:rPr>
          <w:spacing w:val="66"/>
        </w:rPr>
      </w:r>
      <w:r>
        <w:rPr>
          <w:spacing w:val="-3"/>
        </w:rPr>
        <w:t>保障项目贷款及时回收，加快资金周转速度；再一方面继续提升资金管理能力，有效降低资金成本，提高企业利润水平。</w:t>
      </w:r>
    </w:p>
    <w:p>
      <w:pPr>
        <w:pStyle w:val="BodyText"/>
        <w:spacing w:line="300" w:lineRule="auto" w:before="24"/>
        <w:ind w:left="513" w:right="0"/>
        <w:jc w:val="left"/>
      </w:pPr>
      <w:r>
        <w:rPr>
          <w:rFonts w:ascii="Times New Roman" w:hAnsi="Times New Roman" w:cs="Times New Roman" w:eastAsia="Times New Roman" w:hint="default"/>
        </w:rPr>
        <w:t>4.</w:t>
      </w:r>
      <w:r>
        <w:rPr/>
        <w:t>加强企业人才队伍建设</w:t>
      </w:r>
      <w:r>
        <w:rPr>
          <w:spacing w:val="-88"/>
        </w:rPr>
        <w:t> </w:t>
      </w:r>
      <w:r>
        <w:rPr>
          <w:spacing w:val="-88"/>
        </w:rPr>
      </w:r>
      <w:r>
        <w:rPr>
          <w:spacing w:val="-5"/>
        </w:rPr>
        <w:t>面对日趋激烈的市场竞争，公司将抢抓机遇、积极应对挑战，切实加强企业文化建设，打造高品质素养的、具备风险意</w:t>
      </w:r>
    </w:p>
    <w:p>
      <w:pPr>
        <w:pStyle w:val="BodyText"/>
        <w:spacing w:line="309" w:lineRule="auto" w:before="31"/>
        <w:ind w:right="1123"/>
        <w:jc w:val="both"/>
      </w:pPr>
      <w:r>
        <w:rPr>
          <w:spacing w:val="-4"/>
        </w:rPr>
        <w:t>识和风险规避技能的人才队伍，满足公司发展对人力资源方面的需求。在绩效管理方面，公司也将通过推动企业创新建立绩</w:t>
      </w:r>
      <w:r>
        <w:rPr>
          <w:spacing w:val="43"/>
        </w:rPr>
        <w:t> </w:t>
      </w:r>
      <w:r>
        <w:rPr>
          <w:spacing w:val="43"/>
        </w:rPr>
      </w:r>
      <w:r>
        <w:rPr>
          <w:spacing w:val="-4"/>
        </w:rPr>
        <w:t>效考核机制，激励员工不断进取，形成</w:t>
      </w:r>
      <w:r>
        <w:rPr>
          <w:rFonts w:ascii="Times New Roman" w:hAnsi="Times New Roman" w:cs="Times New Roman" w:eastAsia="Times New Roman" w:hint="default"/>
          <w:spacing w:val="-4"/>
        </w:rPr>
        <w:t>“</w:t>
      </w:r>
      <w:r>
        <w:rPr>
          <w:spacing w:val="-4"/>
        </w:rPr>
        <w:t>有为才有位</w:t>
      </w:r>
      <w:r>
        <w:rPr>
          <w:rFonts w:ascii="Times New Roman" w:hAnsi="Times New Roman" w:cs="Times New Roman" w:eastAsia="Times New Roman" w:hint="default"/>
          <w:spacing w:val="-4"/>
        </w:rPr>
        <w:t>”</w:t>
      </w:r>
      <w:r>
        <w:rPr>
          <w:spacing w:val="-4"/>
        </w:rPr>
        <w:t>的企业氛围，努力创建金融科技类型的企业文化，为公司可持续发展奠</w:t>
      </w:r>
      <w:r>
        <w:rPr>
          <w:spacing w:val="64"/>
        </w:rPr>
        <w:t> </w:t>
      </w:r>
      <w:r>
        <w:rPr>
          <w:spacing w:val="64"/>
        </w:rPr>
      </w:r>
      <w:r>
        <w:rPr>
          <w:spacing w:val="-3"/>
        </w:rPr>
        <w:t>定坚实的基础。</w:t>
      </w:r>
    </w:p>
    <w:p>
      <w:pPr>
        <w:pStyle w:val="BodyText"/>
        <w:spacing w:line="316" w:lineRule="auto" w:before="24"/>
        <w:ind w:left="513" w:right="0"/>
        <w:jc w:val="left"/>
        <w:rPr>
          <w:rFonts w:ascii="Times New Roman" w:hAnsi="Times New Roman" w:cs="Times New Roman" w:eastAsia="Times New Roman" w:hint="default"/>
        </w:rPr>
      </w:pPr>
      <w:r>
        <w:rPr/>
        <w:t>（四）资金需求与筹措</w:t>
      </w:r>
      <w:r>
        <w:rPr>
          <w:spacing w:val="-86"/>
        </w:rPr>
        <w:t> </w:t>
      </w:r>
      <w:r>
        <w:rPr>
          <w:spacing w:val="-86"/>
        </w:rPr>
      </w:r>
      <w:r>
        <w:rPr>
          <w:spacing w:val="-8"/>
          <w:w w:val="101"/>
        </w:rPr>
        <w:t>为推动企业持续稳健经营，满足公司不断扩展的经营规模对流动资金需求，确保公司现金流充足，公司及控股子公司</w:t>
      </w:r>
      <w:r>
        <w:rPr>
          <w:rFonts w:ascii="Times New Roman" w:hAnsi="Times New Roman" w:cs="Times New Roman" w:eastAsia="Times New Roman" w:hint="default"/>
          <w:spacing w:val="-8"/>
          <w:w w:val="101"/>
        </w:rPr>
        <w:t>2020</w:t>
      </w:r>
      <w:r>
        <w:rPr>
          <w:rFonts w:ascii="Times New Roman" w:hAnsi="Times New Roman" w:cs="Times New Roman" w:eastAsia="Times New Roman" w:hint="default"/>
          <w:spacing w:val="-8"/>
        </w:rPr>
      </w:r>
    </w:p>
    <w:p>
      <w:pPr>
        <w:pStyle w:val="BodyText"/>
        <w:spacing w:line="309" w:lineRule="auto" w:before="0"/>
        <w:ind w:right="0"/>
        <w:jc w:val="left"/>
      </w:pPr>
      <w:r>
        <w:rPr>
          <w:spacing w:val="-4"/>
        </w:rPr>
        <w:t>年度拟向银行等金融机构或其他机构申请不超过</w:t>
      </w:r>
      <w:r>
        <w:rPr>
          <w:rFonts w:ascii="Times New Roman" w:hAnsi="Times New Roman" w:cs="Times New Roman" w:eastAsia="Times New Roman" w:hint="default"/>
          <w:spacing w:val="-4"/>
        </w:rPr>
        <w:t>30</w:t>
      </w:r>
      <w:r>
        <w:rPr>
          <w:spacing w:val="-4"/>
        </w:rPr>
        <w:t>亿元人民币的综合授信额度（按有效到位资金统计），授信种类包含但不</w:t>
      </w:r>
      <w:r>
        <w:rPr>
          <w:spacing w:val="42"/>
        </w:rPr>
        <w:t> </w:t>
      </w:r>
      <w:r>
        <w:rPr>
          <w:spacing w:val="42"/>
        </w:rPr>
      </w:r>
      <w:r>
        <w:rPr>
          <w:spacing w:val="-3"/>
        </w:rPr>
        <w:t>限于各类贷款、保函、承兑汇票、信用证、进口押汇、进口代付、进出口保理、融资租赁等品种。在实际授信审批过程中，</w:t>
      </w:r>
      <w:r>
        <w:rPr>
          <w:spacing w:val="66"/>
        </w:rPr>
        <w:t> </w:t>
      </w:r>
      <w:r>
        <w:rPr>
          <w:spacing w:val="66"/>
        </w:rPr>
      </w:r>
      <w:r>
        <w:rPr>
          <w:spacing w:val="-3"/>
        </w:rPr>
        <w:t>在上述申请授信的总额度内，各银行等金融机构之间的授信额度可作适当调整。</w:t>
      </w:r>
    </w:p>
    <w:p>
      <w:pPr>
        <w:pStyle w:val="BodyText"/>
        <w:spacing w:line="240" w:lineRule="auto" w:before="24"/>
        <w:ind w:left="513" w:right="0"/>
        <w:jc w:val="left"/>
      </w:pPr>
      <w:r>
        <w:rPr>
          <w:spacing w:val="-3"/>
        </w:rPr>
        <w:t>（五）主要风险因素及公司应对策略</w:t>
      </w:r>
    </w:p>
    <w:p>
      <w:pPr>
        <w:pStyle w:val="BodyText"/>
        <w:spacing w:line="240" w:lineRule="auto" w:before="76"/>
        <w:ind w:left="513" w:right="0"/>
        <w:jc w:val="left"/>
      </w:pPr>
      <w:r>
        <w:rPr>
          <w:rFonts w:ascii="Times New Roman" w:hAnsi="Times New Roman" w:cs="Times New Roman" w:eastAsia="Times New Roman" w:hint="default"/>
          <w:spacing w:val="-3"/>
        </w:rPr>
        <w:t>1</w:t>
      </w:r>
      <w:r>
        <w:rPr>
          <w:spacing w:val="-3"/>
        </w:rPr>
        <w:t>、商誉等资产的减值风险</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ind w:right="1124" w:firstLine="360"/>
        <w:jc w:val="both"/>
      </w:pPr>
      <w:r>
        <w:rPr>
          <w:spacing w:val="-5"/>
        </w:rPr>
        <w:t>广东合利未来经营业绩的影响因素发生不利变化所导致的盈利能力下降风险，对公司经营业绩造成影响，有可能导致广</w:t>
      </w:r>
      <w:r>
        <w:rPr>
          <w:w w:val="101"/>
        </w:rPr>
        <w:t> </w:t>
      </w:r>
      <w:r>
        <w:rPr>
          <w:spacing w:val="-4"/>
        </w:rPr>
        <w:t>东合利的商誉存在一定的减值风险。公司通过加强内部控制管理、积极拓展业务、完善系统建设、招募第三方支付的专业团</w:t>
      </w:r>
      <w:r>
        <w:rPr>
          <w:spacing w:val="40"/>
        </w:rPr>
        <w:t> </w:t>
      </w:r>
      <w:r>
        <w:rPr>
          <w:spacing w:val="40"/>
        </w:rPr>
      </w:r>
      <w:r>
        <w:rPr>
          <w:spacing w:val="-3"/>
        </w:rPr>
        <w:t>队等措施，提升广东合利的经营业绩。</w:t>
      </w:r>
    </w:p>
    <w:p>
      <w:pPr>
        <w:pStyle w:val="BodyText"/>
        <w:spacing w:line="300" w:lineRule="auto" w:before="19"/>
        <w:ind w:left="513" w:right="0"/>
        <w:jc w:val="left"/>
      </w:pPr>
      <w:r>
        <w:rPr>
          <w:rFonts w:ascii="Times New Roman" w:hAnsi="Times New Roman" w:cs="Times New Roman" w:eastAsia="Times New Roman" w:hint="default"/>
          <w:spacing w:val="-3"/>
        </w:rPr>
        <w:t>2</w:t>
      </w:r>
      <w:r>
        <w:rPr>
          <w:spacing w:val="-3"/>
        </w:rPr>
        <w:t>、因行业监管政策变化导致其业务受到不利影响的风险</w:t>
      </w:r>
      <w:r>
        <w:rPr>
          <w:spacing w:val="-12"/>
        </w:rPr>
        <w:t> </w:t>
      </w:r>
      <w:r>
        <w:rPr>
          <w:spacing w:val="-12"/>
        </w:rPr>
      </w:r>
      <w:r>
        <w:rPr>
          <w:spacing w:val="-5"/>
          <w:w w:val="101"/>
        </w:rPr>
        <w:t>相关法律法规的颁布代表主管部门向非金融机构放开了第三方支付市场，但由于该行业与国家金融体系的平稳运行密切</w:t>
      </w:r>
      <w:r>
        <w:rPr>
          <w:spacing w:val="-5"/>
        </w:rPr>
      </w:r>
    </w:p>
    <w:p>
      <w:pPr>
        <w:pStyle w:val="BodyText"/>
        <w:spacing w:line="316" w:lineRule="auto" w:before="31"/>
        <w:ind w:right="0"/>
        <w:jc w:val="left"/>
      </w:pPr>
      <w:r>
        <w:rPr>
          <w:spacing w:val="-4"/>
        </w:rPr>
        <w:t>相关，主管部门对此行业的监管将趋于严格，若由于行业内某些企业的违法违规行为而扰乱金融市场、造成恶劣影响，主管</w:t>
      </w:r>
      <w:r>
        <w:rPr>
          <w:spacing w:val="40"/>
        </w:rPr>
        <w:t> </w:t>
      </w:r>
      <w:r>
        <w:rPr>
          <w:spacing w:val="40"/>
        </w:rPr>
      </w:r>
      <w:r>
        <w:rPr>
          <w:spacing w:val="-4"/>
          <w:w w:val="101"/>
        </w:rPr>
        <w:t>机关可能对上述法律法规进行调整或出台趋紧的法律法规，收紧对非金融机构从事第三方支付业务的许可经营范围或加强对</w:t>
      </w:r>
      <w:r>
        <w:rPr>
          <w:w w:val="101"/>
        </w:rPr>
        <w:t> </w:t>
      </w:r>
      <w:r>
        <w:rPr>
          <w:spacing w:val="-4"/>
        </w:rPr>
        <w:t>此行业的监管力度，这将深刻影响行业未来的发展方向和行业的竞争格局，从而可能对公司金融科技业务的稳定性与持续性</w:t>
      </w:r>
      <w:r>
        <w:rPr>
          <w:spacing w:val="43"/>
        </w:rPr>
        <w:t> </w:t>
      </w:r>
      <w:r>
        <w:rPr>
          <w:spacing w:val="43"/>
        </w:rPr>
      </w:r>
      <w:r>
        <w:rPr>
          <w:spacing w:val="-4"/>
        </w:rPr>
        <w:t>产生重要影响。公司严格按照监管机构相关政策及要求在许可业务类型范围内合规开展第三方支付业务，最大限度降低政策</w:t>
      </w:r>
      <w:r>
        <w:rPr>
          <w:spacing w:val="45"/>
        </w:rPr>
        <w:t> </w:t>
      </w:r>
      <w:r>
        <w:rPr>
          <w:spacing w:val="45"/>
        </w:rPr>
      </w:r>
      <w:r>
        <w:rPr>
          <w:spacing w:val="-3"/>
        </w:rPr>
        <w:t>风险对公司的不利影响；制定合规、有效的持续发展战略，引领行业市场规范，协同相关监管机构共同规范市场发展行为，</w:t>
      </w:r>
      <w:r>
        <w:rPr>
          <w:spacing w:val="66"/>
        </w:rPr>
        <w:t> </w:t>
      </w:r>
      <w:r>
        <w:rPr>
          <w:spacing w:val="66"/>
        </w:rPr>
      </w:r>
      <w:r>
        <w:rPr>
          <w:spacing w:val="-3"/>
        </w:rPr>
        <w:t>保证公司发展的优先性和持续性。</w:t>
      </w:r>
    </w:p>
    <w:p>
      <w:pPr>
        <w:pStyle w:val="BodyText"/>
        <w:spacing w:line="300" w:lineRule="auto" w:before="19"/>
        <w:ind w:left="513" w:right="0"/>
        <w:jc w:val="left"/>
      </w:pPr>
      <w:r>
        <w:rPr>
          <w:rFonts w:ascii="Times New Roman" w:hAnsi="Times New Roman" w:cs="Times New Roman" w:eastAsia="Times New Roman" w:hint="default"/>
          <w:spacing w:val="-3"/>
        </w:rPr>
        <w:t>3</w:t>
      </w:r>
      <w:r>
        <w:rPr>
          <w:spacing w:val="-3"/>
        </w:rPr>
        <w:t>、金融科技业务市场竞争风险</w:t>
      </w:r>
      <w:r>
        <w:rPr>
          <w:spacing w:val="-46"/>
        </w:rPr>
        <w:t> </w:t>
      </w:r>
      <w:r>
        <w:rPr>
          <w:spacing w:val="-46"/>
        </w:rPr>
      </w:r>
      <w:r>
        <w:rPr>
          <w:spacing w:val="-4"/>
        </w:rPr>
        <w:t>金融科技业务处于快速发展阶段，具有产品和服务更新换代快的特点，若公司金融科技业务对技术、产品和市场的发展</w:t>
      </w:r>
    </w:p>
    <w:p>
      <w:pPr>
        <w:pStyle w:val="BodyText"/>
        <w:spacing w:line="319" w:lineRule="auto" w:before="31"/>
        <w:ind w:right="0"/>
        <w:jc w:val="left"/>
      </w:pPr>
      <w:r>
        <w:rPr>
          <w:spacing w:val="-4"/>
        </w:rPr>
        <w:t>趋势不能正确判断，不能持续研发升级产品和服务，将导致公司的市场竞争能力下降，存在一定的市场竞争风险。公司实施</w:t>
      </w:r>
      <w:r>
        <w:rPr>
          <w:spacing w:val="40"/>
        </w:rPr>
        <w:t> </w:t>
      </w:r>
      <w:r>
        <w:rPr>
          <w:spacing w:val="40"/>
        </w:rPr>
      </w:r>
      <w:r>
        <w:rPr>
          <w:spacing w:val="-3"/>
        </w:rPr>
        <w:t>有竞争力的人才政策，保证在金融科技行业的竞争中能引进优秀的各类人才。</w:t>
      </w:r>
    </w:p>
    <w:p>
      <w:pPr>
        <w:pStyle w:val="BodyText"/>
        <w:spacing w:line="300" w:lineRule="auto" w:before="17"/>
        <w:ind w:left="513" w:right="0"/>
        <w:jc w:val="left"/>
      </w:pPr>
      <w:r>
        <w:rPr>
          <w:rFonts w:ascii="Times New Roman" w:hAnsi="Times New Roman" w:cs="Times New Roman" w:eastAsia="Times New Roman" w:hint="default"/>
          <w:spacing w:val="-3"/>
        </w:rPr>
        <w:t>4</w:t>
      </w:r>
      <w:r>
        <w:rPr>
          <w:spacing w:val="-3"/>
        </w:rPr>
        <w:t>、系统软硬件及技术风险</w:t>
      </w:r>
      <w:r>
        <w:rPr>
          <w:spacing w:val="-52"/>
        </w:rPr>
        <w:t> </w:t>
      </w:r>
      <w:r>
        <w:rPr>
          <w:spacing w:val="-52"/>
        </w:rPr>
      </w:r>
      <w:r>
        <w:rPr>
          <w:spacing w:val="-5"/>
        </w:rPr>
        <w:t>技术风险是指由于软硬件及网络等原因导致的损失。具体包括：网络系统被恶意攻击，门户网站的页面被恶意替换，业</w:t>
      </w:r>
    </w:p>
    <w:p>
      <w:pPr>
        <w:pStyle w:val="BodyText"/>
        <w:spacing w:line="314" w:lineRule="auto" w:before="31"/>
        <w:ind w:right="1122"/>
        <w:jc w:val="both"/>
      </w:pPr>
      <w:r>
        <w:rPr>
          <w:spacing w:val="-4"/>
        </w:rPr>
        <w:t>务数据遭破坏或失窃，客户数据及密码信息遗失，造成资金损失；由于主机、网络以及其他设备等故障造成合利宝支付全部</w:t>
      </w:r>
      <w:r>
        <w:rPr>
          <w:spacing w:val="40"/>
        </w:rPr>
        <w:t> </w:t>
      </w:r>
      <w:r>
        <w:rPr>
          <w:spacing w:val="40"/>
        </w:rPr>
      </w:r>
      <w:r>
        <w:rPr>
          <w:spacing w:val="-4"/>
        </w:rPr>
        <w:t>业务停顿，导致用户直接资金损失或间接损失；客户服务中心系统出现故障，导致客户服务工作停顿。根据对客户或其他相</w:t>
      </w:r>
      <w:r>
        <w:rPr>
          <w:spacing w:val="40"/>
        </w:rPr>
        <w:t> </w:t>
      </w:r>
      <w:r>
        <w:rPr>
          <w:spacing w:val="40"/>
        </w:rPr>
      </w:r>
      <w:r>
        <w:rPr>
          <w:spacing w:val="-5"/>
        </w:rPr>
        <w:t>关单位造成损失的大小，公司受到的影响可能是支付赔偿金、缴纳罚款、暂停业务、被吊销《支付业务许可证》的风险。公</w:t>
      </w:r>
      <w:r>
        <w:rPr>
          <w:spacing w:val="4"/>
        </w:rPr>
        <w:t> </w:t>
      </w:r>
      <w:r>
        <w:rPr>
          <w:spacing w:val="4"/>
        </w:rPr>
      </w:r>
      <w:r>
        <w:rPr>
          <w:spacing w:val="-4"/>
        </w:rPr>
        <w:t>司将配备充足的</w:t>
      </w:r>
      <w:r>
        <w:rPr>
          <w:rFonts w:ascii="Times New Roman" w:hAnsi="Times New Roman" w:cs="Times New Roman" w:eastAsia="Times New Roman" w:hint="default"/>
          <w:spacing w:val="-4"/>
        </w:rPr>
        <w:t>IT</w:t>
      </w:r>
      <w:r>
        <w:rPr>
          <w:spacing w:val="-4"/>
        </w:rPr>
        <w:t>技术人员，加强系统及软硬件建设；加强相关软硬件设施的配备，以满足更多的业务种类和业务量；提高</w:t>
      </w:r>
      <w:r>
        <w:rPr>
          <w:spacing w:val="57"/>
        </w:rPr>
        <w:t> </w:t>
      </w:r>
      <w:r>
        <w:rPr>
          <w:spacing w:val="57"/>
        </w:rPr>
      </w:r>
      <w:r>
        <w:rPr>
          <w:spacing w:val="-3"/>
        </w:rPr>
        <w:t>公司业务系统的安全级别，尽可能降低上述风险事件发生的可能性。</w:t>
      </w:r>
    </w:p>
    <w:p>
      <w:pPr>
        <w:pStyle w:val="BodyText"/>
        <w:spacing w:line="300" w:lineRule="auto" w:before="20"/>
        <w:ind w:left="513" w:right="0"/>
        <w:jc w:val="left"/>
      </w:pPr>
      <w:r>
        <w:rPr>
          <w:rFonts w:ascii="Times New Roman" w:hAnsi="Times New Roman" w:cs="Times New Roman" w:eastAsia="Times New Roman" w:hint="default"/>
          <w:spacing w:val="-3"/>
        </w:rPr>
        <w:t>5</w:t>
      </w:r>
      <w:r>
        <w:rPr>
          <w:spacing w:val="-3"/>
        </w:rPr>
        <w:t>、客户的违法违规行为导致的经营风险</w:t>
      </w:r>
      <w:r>
        <w:rPr>
          <w:spacing w:val="-34"/>
        </w:rPr>
        <w:t> </w:t>
      </w:r>
      <w:r>
        <w:rPr>
          <w:spacing w:val="-34"/>
        </w:rPr>
      </w:r>
      <w:r>
        <w:rPr>
          <w:spacing w:val="-5"/>
        </w:rPr>
        <w:t>商户弄虚作假，将通道私自嫁接给第三方使用或移做他用；违规操作资金进出；银行卡盗刷、恶意拒付的风险。公司的</w:t>
      </w:r>
    </w:p>
    <w:p>
      <w:pPr>
        <w:pStyle w:val="BodyText"/>
        <w:spacing w:line="319" w:lineRule="auto" w:before="31"/>
        <w:ind w:right="0"/>
        <w:jc w:val="left"/>
      </w:pPr>
      <w:r>
        <w:rPr>
          <w:spacing w:val="-6"/>
        </w:rPr>
        <w:t>商户自身发生违规行为，在选择商户时，若未严格执行对商户的筛选标准，导致出现上述违规行为进而造成交易量大幅下降，</w:t>
      </w:r>
      <w:r>
        <w:rPr>
          <w:spacing w:val="63"/>
        </w:rPr>
        <w:t> </w:t>
      </w:r>
      <w:r>
        <w:rPr>
          <w:spacing w:val="63"/>
        </w:rPr>
      </w:r>
      <w:r>
        <w:rPr>
          <w:spacing w:val="-4"/>
        </w:rPr>
        <w:t>将会导致的手续费收入大幅减少的经营风险。公司将强化商户审核机制，严格按照公司商户准入制度实行准入制，对存量商</w:t>
      </w:r>
      <w:r>
        <w:rPr>
          <w:spacing w:val="43"/>
        </w:rPr>
        <w:t> </w:t>
      </w:r>
      <w:r>
        <w:rPr>
          <w:spacing w:val="43"/>
        </w:rPr>
      </w:r>
      <w:r>
        <w:rPr>
          <w:spacing w:val="-4"/>
        </w:rPr>
        <w:t>户定期进行梳理，及时发现违规行为并采取有效防范措施；积极拓展市场，增加优质商户数量，降低对单一市场或行业的业</w:t>
      </w:r>
      <w:r>
        <w:rPr>
          <w:spacing w:val="42"/>
        </w:rPr>
        <w:t> </w:t>
      </w:r>
      <w:r>
        <w:rPr>
          <w:spacing w:val="42"/>
        </w:rPr>
      </w:r>
      <w:r>
        <w:rPr>
          <w:spacing w:val="-3"/>
        </w:rPr>
        <w:t>绩依赖；公司坚持只提供支付服务，不参与交易业务的中性合规原则。</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公司报告期内未发生接待调研、沟通、采访等活动。</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367" w:right="3336"/>
        <w:jc w:val="center"/>
        <w:rPr>
          <w:b w:val="0"/>
          <w:bCs w:val="0"/>
        </w:rPr>
      </w:pPr>
      <w:bookmarkStart w:name="第五节重要事项" w:id="59"/>
      <w:bookmarkEnd w:id="59"/>
      <w:r>
        <w:rPr>
          <w:b w:val="0"/>
          <w:bCs w:val="0"/>
        </w:rPr>
      </w:r>
      <w:bookmarkStart w:name="_bookmark4" w:id="60"/>
      <w:bookmarkEnd w:id="60"/>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spacing w:val="-3"/>
        </w:rPr>
        <w:t>报告期内普通股利润分配政策，特别是现金分红政策的制定、执行或调整情况</w:t>
      </w:r>
    </w:p>
    <w:p>
      <w:pPr>
        <w:pStyle w:val="BodyText"/>
        <w:spacing w:line="333" w:lineRule="auto" w:before="115"/>
        <w:ind w:left="513" w:right="1051"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本报告期内，公司严格按照有关规定</w:t>
      </w:r>
      <w:r>
        <w:rPr>
          <w:rFonts w:ascii="Times New Roman" w:hAnsi="Times New Roman" w:cs="Times New Roman" w:eastAsia="Times New Roman" w:hint="default"/>
          <w:spacing w:val="-3"/>
        </w:rPr>
        <w:t>,</w:t>
      </w:r>
      <w:r>
        <w:rPr>
          <w:spacing w:val="-3"/>
        </w:rPr>
        <w:t>积极做好公司利润分配方案。公司董事会在听取独立董事及公司股东的意见，并</w:t>
      </w:r>
    </w:p>
    <w:p>
      <w:pPr>
        <w:pStyle w:val="BodyText"/>
        <w:spacing w:line="234" w:lineRule="exact" w:before="0"/>
        <w:ind w:right="0"/>
        <w:jc w:val="left"/>
      </w:pPr>
      <w:r>
        <w:rPr>
          <w:spacing w:val="-3"/>
        </w:rPr>
        <w:t>结合公司</w:t>
      </w:r>
      <w:r>
        <w:rPr>
          <w:rFonts w:ascii="Times New Roman" w:hAnsi="Times New Roman" w:cs="Times New Roman" w:eastAsia="Times New Roman" w:hint="default"/>
          <w:spacing w:val="-3"/>
        </w:rPr>
        <w:t>2018</w:t>
      </w:r>
      <w:r>
        <w:rPr>
          <w:spacing w:val="-3"/>
        </w:rPr>
        <w:t>年度经营情况和</w:t>
      </w:r>
      <w:r>
        <w:rPr>
          <w:rFonts w:ascii="Times New Roman" w:hAnsi="Times New Roman" w:cs="Times New Roman" w:eastAsia="Times New Roman" w:hint="default"/>
          <w:spacing w:val="-3"/>
        </w:rPr>
        <w:t>2019</w:t>
      </w:r>
      <w:r>
        <w:rPr>
          <w:spacing w:val="-3"/>
        </w:rPr>
        <w:t>年度投资、支出计划等制定了公司</w:t>
      </w:r>
      <w:r>
        <w:rPr>
          <w:rFonts w:ascii="Times New Roman" w:hAnsi="Times New Roman" w:cs="Times New Roman" w:eastAsia="Times New Roman" w:hint="default"/>
          <w:spacing w:val="-3"/>
        </w:rPr>
        <w:t>2018</w:t>
      </w:r>
      <w:r>
        <w:rPr>
          <w:spacing w:val="-3"/>
        </w:rPr>
        <w:t>年度利润分配预案，拟以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p>
    <w:p>
      <w:pPr>
        <w:pStyle w:val="BodyText"/>
        <w:spacing w:line="300" w:lineRule="auto" w:before="63"/>
        <w:ind w:right="1051"/>
        <w:jc w:val="left"/>
      </w:pPr>
      <w:r>
        <w:rPr>
          <w:rFonts w:ascii="Times New Roman" w:hAnsi="Times New Roman" w:cs="Times New Roman" w:eastAsia="Times New Roman" w:hint="default"/>
          <w:spacing w:val="-3"/>
        </w:rPr>
        <w:t>559,936,650</w:t>
      </w:r>
      <w:r>
        <w:rPr>
          <w:spacing w:val="-3"/>
        </w:rPr>
        <w:t>股为基数，向公司全体股东每</w:t>
      </w:r>
      <w:r>
        <w:rPr>
          <w:rFonts w:ascii="Times New Roman" w:hAnsi="Times New Roman" w:cs="Times New Roman" w:eastAsia="Times New Roman" w:hint="default"/>
          <w:spacing w:val="-3"/>
        </w:rPr>
        <w:t>10</w:t>
      </w:r>
      <w:r>
        <w:rPr>
          <w:spacing w:val="-3"/>
        </w:rPr>
        <w:t>股分派</w:t>
      </w:r>
      <w:r>
        <w:rPr>
          <w:rFonts w:ascii="Times New Roman" w:hAnsi="Times New Roman" w:cs="Times New Roman" w:eastAsia="Times New Roman" w:hint="default"/>
          <w:spacing w:val="-3"/>
        </w:rPr>
        <w:t>0.2</w:t>
      </w:r>
      <w:r>
        <w:rPr>
          <w:spacing w:val="-3"/>
        </w:rPr>
        <w:t>元（含税），合计分派现金红利</w:t>
      </w:r>
      <w:r>
        <w:rPr>
          <w:rFonts w:ascii="Times New Roman" w:hAnsi="Times New Roman" w:cs="Times New Roman" w:eastAsia="Times New Roman" w:hint="default"/>
          <w:spacing w:val="-3"/>
        </w:rPr>
        <w:t>11,198,733</w:t>
      </w:r>
      <w:r>
        <w:rPr>
          <w:spacing w:val="-3"/>
        </w:rPr>
        <w:t>元，剩余未分配利润转入下</w:t>
      </w:r>
      <w:r>
        <w:rPr>
          <w:spacing w:val="71"/>
        </w:rPr>
        <w:t> </w:t>
      </w:r>
      <w:r>
        <w:rPr>
          <w:spacing w:val="71"/>
        </w:rPr>
      </w:r>
      <w:r>
        <w:rPr/>
        <w:t>一年度。 </w:t>
      </w:r>
      <w:r>
        <w:rPr>
          <w:spacing w:val="55"/>
        </w:rPr>
        <w:t> </w:t>
      </w:r>
      <w:r>
        <w:rPr>
          <w:spacing w:val="-3"/>
        </w:rPr>
        <w:t>该分配方案在</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日召开的第四届董事会第九会议上审议通过，并提交公司</w:t>
      </w:r>
      <w:r>
        <w:rPr>
          <w:rFonts w:ascii="Times New Roman" w:hAnsi="Times New Roman" w:cs="Times New Roman" w:eastAsia="Times New Roman" w:hint="default"/>
          <w:spacing w:val="-3"/>
        </w:rPr>
        <w:t>2018</w:t>
      </w:r>
      <w:r>
        <w:rPr>
          <w:spacing w:val="-3"/>
        </w:rPr>
        <w:t>年度股东大会审议通过。</w:t>
      </w: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BodyText"/>
        <w:spacing w:line="316" w:lineRule="auto" w:before="56"/>
        <w:ind w:right="0"/>
        <w:jc w:val="left"/>
      </w:pPr>
      <w:r>
        <w:rPr>
          <w:w w:val="101"/>
        </w:rPr>
        <w:t>公司近</w:t>
      </w:r>
      <w:r>
        <w:rPr>
          <w:spacing w:val="-48"/>
          <w:w w:val="101"/>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8"/>
          <w:w w:val="101"/>
        </w:rPr>
        <w:t> </w:t>
      </w:r>
      <w:r>
        <w:rPr>
          <w:spacing w:val="-5"/>
          <w:w w:val="101"/>
        </w:rPr>
        <w:t>年（包括本报告期）的普通股股利分配方案（预案）、资本公积金转增股本方案（预案）情况</w:t>
      </w:r>
      <w:r>
        <w:rPr>
          <w:spacing w:val="-74"/>
          <w:w w:val="101"/>
        </w:rPr>
        <w:t> </w:t>
      </w:r>
      <w:r>
        <w:rPr>
          <w:spacing w:val="-74"/>
          <w:w w:val="101"/>
        </w:rPr>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w:t>
      </w:r>
      <w:r>
        <w:rPr>
          <w:spacing w:val="-4"/>
        </w:rPr>
        <w:t>年度，公司以</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373,291,100</w:t>
      </w:r>
      <w:r>
        <w:rPr>
          <w:spacing w:val="-4"/>
        </w:rPr>
        <w:t>股为基数，拟以资本公积金转增股本，向公司全体股东每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5</w:t>
      </w:r>
      <w:r>
        <w:rPr>
          <w:rFonts w:ascii="Times New Roman" w:hAnsi="Times New Roman" w:cs="Times New Roman" w:eastAsia="Times New Roman" w:hint="default"/>
          <w:spacing w:val="16"/>
        </w:rPr>
        <w:t> </w:t>
      </w:r>
      <w:r>
        <w:rPr>
          <w:spacing w:val="-3"/>
        </w:rPr>
        <w:t>股，共转增股本</w:t>
      </w:r>
      <w:r>
        <w:rPr>
          <w:rFonts w:ascii="Times New Roman" w:hAnsi="Times New Roman" w:cs="Times New Roman" w:eastAsia="Times New Roman" w:hint="default"/>
          <w:spacing w:val="-3"/>
        </w:rPr>
        <w:t>186,645,550.00</w:t>
      </w:r>
      <w:r>
        <w:rPr>
          <w:spacing w:val="-3"/>
        </w:rPr>
        <w:t>股。不送现金红利，剩余未分配利润转入下一年度。不送红股。</w:t>
      </w:r>
    </w:p>
    <w:p>
      <w:pPr>
        <w:pStyle w:val="BodyText"/>
        <w:spacing w:line="300" w:lineRule="auto" w:before="0"/>
        <w:ind w:right="1051"/>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spacing w:val="-3"/>
        </w:rPr>
        <w:t>年度，公司以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559,936,650</w:t>
      </w:r>
      <w:r>
        <w:rPr>
          <w:spacing w:val="-3"/>
        </w:rPr>
        <w:t>股为基数，向公司全体股东每</w:t>
      </w:r>
      <w:r>
        <w:rPr>
          <w:rFonts w:ascii="Times New Roman" w:hAnsi="Times New Roman" w:cs="Times New Roman" w:eastAsia="Times New Roman" w:hint="default"/>
          <w:spacing w:val="-3"/>
        </w:rPr>
        <w:t>10</w:t>
      </w:r>
      <w:r>
        <w:rPr>
          <w:spacing w:val="-3"/>
        </w:rPr>
        <w:t>股分派现金</w:t>
      </w:r>
      <w:r>
        <w:rPr>
          <w:rFonts w:ascii="Times New Roman" w:hAnsi="Times New Roman" w:cs="Times New Roman" w:eastAsia="Times New Roman" w:hint="default"/>
          <w:spacing w:val="-3"/>
        </w:rPr>
        <w:t>0.2</w:t>
      </w:r>
      <w:r>
        <w:rPr>
          <w:spacing w:val="-3"/>
        </w:rPr>
        <w:t>元（含税），共计分</w:t>
      </w:r>
      <w:r>
        <w:rPr>
          <w:spacing w:val="76"/>
        </w:rPr>
        <w:t> </w:t>
      </w:r>
      <w:r>
        <w:rPr>
          <w:spacing w:val="76"/>
        </w:rPr>
      </w:r>
      <w:r>
        <w:rPr>
          <w:spacing w:val="-3"/>
        </w:rPr>
        <w:t>派</w:t>
      </w:r>
      <w:r>
        <w:rPr>
          <w:rFonts w:ascii="Times New Roman" w:hAnsi="Times New Roman" w:cs="Times New Roman" w:eastAsia="Times New Roman" w:hint="default"/>
          <w:spacing w:val="-3"/>
        </w:rPr>
        <w:t>11,198,733</w:t>
      </w:r>
      <w:r>
        <w:rPr>
          <w:spacing w:val="-3"/>
        </w:rPr>
        <w:t>元（含税）。剩余未分配利润转入下一年度。不送红股。</w:t>
      </w:r>
      <w:r>
        <w:rPr>
          <w:spacing w:val="20"/>
        </w:rPr>
        <w:t> </w:t>
      </w:r>
      <w:r>
        <w:rPr>
          <w:spacing w:val="20"/>
        </w:rPr>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年度，鉴于报告期末公司母公司单体报表可供普通股股东分配利润为负数，为保障公司正常生产经营和未来发展，</w:t>
      </w:r>
      <w:r>
        <w:rPr>
          <w:spacing w:val="75"/>
        </w:rPr>
        <w:t> </w:t>
      </w:r>
      <w:r>
        <w:rPr>
          <w:spacing w:val="75"/>
        </w:rPr>
      </w:r>
      <w:r>
        <w:rPr>
          <w:spacing w:val="-4"/>
        </w:rPr>
        <w:t>同时兼顾公司转型升级和回报广大投资者的需求，公司拟以</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559,936,650</w:t>
      </w:r>
      <w:r>
        <w:rPr>
          <w:spacing w:val="-4"/>
        </w:rPr>
        <w:t>股为基数，以资本公积金转增</w:t>
      </w:r>
      <w:r>
        <w:rPr>
          <w:spacing w:val="81"/>
        </w:rPr>
        <w:t> </w:t>
      </w:r>
      <w:r>
        <w:rPr>
          <w:spacing w:val="81"/>
        </w:rPr>
      </w:r>
      <w:r>
        <w:rPr>
          <w:spacing w:val="-3"/>
        </w:rPr>
        <w:t>股本，向公司全体股东每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股，共转增股本</w:t>
      </w:r>
      <w:r>
        <w:rPr>
          <w:rFonts w:ascii="Times New Roman" w:hAnsi="Times New Roman" w:cs="Times New Roman" w:eastAsia="Times New Roman" w:hint="default"/>
          <w:spacing w:val="-3"/>
        </w:rPr>
        <w:t>111,987,330</w:t>
      </w:r>
      <w:r>
        <w:rPr>
          <w:spacing w:val="-3"/>
        </w:rPr>
        <w:t>股，不派发现金股利，不送红股。剩余未分配利润转入下一</w:t>
      </w:r>
      <w:r>
        <w:rPr>
          <w:spacing w:val="2"/>
        </w:rPr>
        <w:t> </w:t>
      </w:r>
      <w:r>
        <w:rPr>
          <w:spacing w:val="2"/>
        </w:rPr>
      </w:r>
      <w:r>
        <w:rPr/>
        <w:t>年度。</w:t>
      </w:r>
    </w:p>
    <w:p>
      <w:pPr>
        <w:pStyle w:val="BodyText"/>
        <w:spacing w:line="240" w:lineRule="auto" w:before="74"/>
        <w:ind w:right="0"/>
        <w:jc w:val="left"/>
      </w:pPr>
      <w:r>
        <w:rPr>
          <w:spacing w:val="-3"/>
        </w:rPr>
        <w:t>公司近三年（包括本报告期）普通股现金分红情况表</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208"/>
        <w:gridCol w:w="1189"/>
        <w:gridCol w:w="1196"/>
        <w:gridCol w:w="1196"/>
        <w:gridCol w:w="1184"/>
        <w:gridCol w:w="1210"/>
        <w:gridCol w:w="1183"/>
      </w:tblGrid>
      <w:tr>
        <w:trPr>
          <w:trHeight w:val="164"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表中归属于上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市公司普通股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股东的净利润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的比率</w:t>
            </w: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9"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10"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40"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9"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6"/>
              <w:ind w:left="424" w:right="13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83"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0"/>
              <w:jc w:val="center"/>
              <w:rPr>
                <w:rFonts w:ascii="宋体" w:hAnsi="宋体" w:cs="宋体" w:eastAsia="宋体" w:hint="default"/>
                <w:sz w:val="18"/>
                <w:szCs w:val="18"/>
              </w:rPr>
            </w:pPr>
            <w:r>
              <w:rPr>
                <w:rFonts w:ascii="宋体" w:hAnsi="宋体" w:cs="宋体" w:eastAsia="宋体" w:hint="default"/>
                <w:sz w:val="18"/>
                <w:szCs w:val="18"/>
              </w:rPr>
              <w:t>（含税）</w:t>
            </w:r>
          </w:p>
        </w:tc>
        <w:tc>
          <w:tcPr>
            <w:tcW w:w="1189"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39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8" w:type="dxa"/>
            <w:vMerge/>
            <w:tcBorders>
              <w:left w:val="single" w:sz="4" w:space="0" w:color="000000"/>
              <w:right w:val="single" w:sz="4" w:space="0" w:color="000000"/>
            </w:tcBorders>
            <w:shd w:val="clear" w:color="auto" w:fill="D2D2D2"/>
          </w:tcPr>
          <w:p>
            <w:pPr/>
          </w:p>
        </w:tc>
        <w:tc>
          <w:tcPr>
            <w:tcW w:w="1189"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4"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9"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9"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9" w:hRule="exact"/>
        </w:trPr>
        <w:tc>
          <w:tcPr>
            <w:tcW w:w="1196"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9"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9"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6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z w:val="18"/>
              </w:rPr>
              <w:t>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29,899,681.04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0"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0" w:right="0"/>
              <w:jc w:val="left"/>
              <w:rPr>
                <w:rFonts w:ascii="Times New Roman" w:hAnsi="Times New Roman" w:cs="Times New Roman" w:eastAsia="Times New Roman" w:hint="default"/>
                <w:sz w:val="18"/>
                <w:szCs w:val="18"/>
              </w:rPr>
            </w:pPr>
            <w:r>
              <w:rPr>
                <w:rFonts w:ascii="Times New Roman"/>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8"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11,198,733.00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52,986,949.73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11,198,733.00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21.13%</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-215,741,620.5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spacing w:val="-3"/>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情况" w:id="62"/>
      <w:bookmarkEnd w:id="62"/>
      <w:r>
        <w:rPr>
          <w:b w:val="0"/>
          <w:bCs w:val="0"/>
        </w:rPr>
      </w:r>
      <w:r>
        <w:rPr/>
        <w:t>二、本报告期利润分配及资本公积金转增股本情况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4"/>
        <w:gridCol w:w="5783"/>
      </w:tblGrid>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4"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559936650</w:t>
            </w: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377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11" w:right="-43"/>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78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189,550,879.17</w:t>
            </w:r>
          </w:p>
        </w:tc>
      </w:tr>
      <w:tr>
        <w:trPr>
          <w:trHeight w:val="715"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
              <w:jc w:val="left"/>
              <w:rPr>
                <w:rFonts w:ascii="宋体" w:hAnsi="宋体" w:cs="宋体" w:eastAsia="宋体" w:hint="default"/>
                <w:sz w:val="18"/>
                <w:szCs w:val="18"/>
              </w:rPr>
            </w:pPr>
            <w:r>
              <w:rPr>
                <w:rFonts w:ascii="宋体" w:hAnsi="宋体" w:cs="宋体" w:eastAsia="宋体" w:hint="default"/>
                <w:spacing w:val="-5"/>
                <w:sz w:val="18"/>
                <w:szCs w:val="18"/>
              </w:rPr>
              <w:t>现金分红总额（含其他方式）占利润分配总额的</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比例</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8"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1340"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1" w:right="-10"/>
              <w:jc w:val="left"/>
              <w:rPr>
                <w:rFonts w:ascii="宋体" w:hAnsi="宋体" w:cs="宋体" w:eastAsia="宋体" w:hint="default"/>
                <w:sz w:val="18"/>
                <w:szCs w:val="18"/>
              </w:rPr>
            </w:pPr>
            <w:r>
              <w:rPr>
                <w:rFonts w:ascii="宋体" w:hAnsi="宋体" w:cs="宋体" w:eastAsia="宋体" w:hint="default"/>
                <w:spacing w:val="-3"/>
                <w:sz w:val="18"/>
                <w:szCs w:val="18"/>
              </w:rPr>
              <w:t>鉴于报告期末公司母公司单体报表可供普通股股东分配利润为负数，为保障公司正常生产经营和未来发展，同时兼顾公司</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转型升级和回报广大投资者的需求，公司拟以</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日总股本</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559,936,650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股为基数，以资本公积金转增股本，</w:t>
            </w:r>
          </w:p>
          <w:p>
            <w:pPr>
              <w:pStyle w:val="TableParagraph"/>
              <w:spacing w:line="304" w:lineRule="auto" w:before="3"/>
              <w:ind w:left="11" w:right="13"/>
              <w:jc w:val="left"/>
              <w:rPr>
                <w:rFonts w:ascii="宋体" w:hAnsi="宋体" w:cs="宋体" w:eastAsia="宋体" w:hint="default"/>
                <w:sz w:val="18"/>
                <w:szCs w:val="18"/>
              </w:rPr>
            </w:pPr>
            <w:r>
              <w:rPr>
                <w:rFonts w:ascii="宋体" w:hAnsi="宋体" w:cs="宋体" w:eastAsia="宋体" w:hint="default"/>
                <w:sz w:val="18"/>
                <w:szCs w:val="18"/>
              </w:rPr>
              <w:t>向公司全体股东每</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股转增</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股，共转增股本</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111,987,330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股，不派发现金股利，不送红股。剩余未分配利润转入下一年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度。</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3"/>
        <w:rPr>
          <w:rFonts w:ascii="宋体" w:hAnsi="宋体" w:cs="宋体" w:eastAsia="宋体" w:hint="default"/>
          <w:b/>
          <w:bCs/>
          <w:sz w:val="25"/>
          <w:szCs w:val="25"/>
        </w:rPr>
      </w:pPr>
    </w:p>
    <w:p>
      <w:pPr>
        <w:pStyle w:val="Heading3"/>
        <w:spacing w:line="254"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3"/>
        </w:rPr>
        <w:t> </w:t>
      </w:r>
      <w:r>
        <w:rPr>
          <w:spacing w:val="-63"/>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670"/>
        <w:gridCol w:w="1604"/>
        <w:gridCol w:w="734"/>
        <w:gridCol w:w="4994"/>
        <w:gridCol w:w="581"/>
        <w:gridCol w:w="770"/>
        <w:gridCol w:w="293"/>
      </w:tblGrid>
      <w:tr>
        <w:trPr>
          <w:trHeight w:val="317" w:hRule="exact"/>
        </w:trPr>
        <w:tc>
          <w:tcPr>
            <w:tcW w:w="6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4" w:type="dxa"/>
            <w:vMerge w:val="restart"/>
            <w:tcBorders>
              <w:top w:val="single" w:sz="4" w:space="0" w:color="000000"/>
              <w:left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4994" w:type="dxa"/>
            <w:vMerge w:val="restart"/>
            <w:tcBorders>
              <w:top w:val="single" w:sz="4" w:space="0" w:color="000000"/>
              <w:left w:val="single" w:sz="4" w:space="0" w:color="000000"/>
              <w:right w:val="single" w:sz="4" w:space="0" w:color="000000"/>
            </w:tcBorders>
            <w:shd w:val="clear" w:color="auto" w:fill="D2D2D2"/>
          </w:tcPr>
          <w:p>
            <w:pP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50" w:right="48"/>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情</w:t>
            </w:r>
            <w:r>
              <w:rPr>
                <w:rFonts w:ascii="宋体" w:hAnsi="宋体" w:cs="宋体" w:eastAsia="宋体" w:hint="default"/>
                <w:spacing w:val="-88"/>
                <w:sz w:val="18"/>
                <w:szCs w:val="18"/>
              </w:rPr>
              <w:t> </w:t>
            </w:r>
            <w:r>
              <w:rPr>
                <w:rFonts w:ascii="宋体" w:hAnsi="宋体" w:cs="宋体" w:eastAsia="宋体" w:hint="default"/>
                <w:sz w:val="18"/>
                <w:szCs w:val="18"/>
              </w:rPr>
              <w:t>况</w:t>
            </w:r>
          </w:p>
        </w:tc>
      </w:tr>
      <w:tr>
        <w:trPr>
          <w:trHeight w:val="158" w:hRule="exact"/>
        </w:trPr>
        <w:tc>
          <w:tcPr>
            <w:tcW w:w="670"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37" w:right="60" w:hanging="183"/>
              <w:jc w:val="left"/>
              <w:rPr>
                <w:rFonts w:ascii="宋体" w:hAnsi="宋体" w:cs="宋体" w:eastAsia="宋体" w:hint="default"/>
                <w:sz w:val="18"/>
                <w:szCs w:val="18"/>
              </w:rPr>
            </w:pPr>
            <w:r>
              <w:rPr>
                <w:rFonts w:ascii="宋体" w:hAnsi="宋体" w:cs="宋体" w:eastAsia="宋体" w:hint="default"/>
                <w:sz w:val="18"/>
                <w:szCs w:val="18"/>
              </w:rPr>
              <w:t>承诺事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w:t>
            </w:r>
          </w:p>
        </w:tc>
        <w:tc>
          <w:tcPr>
            <w:tcW w:w="1604" w:type="dxa"/>
            <w:vMerge/>
            <w:tcBorders>
              <w:left w:val="single" w:sz="4" w:space="0" w:color="000000"/>
              <w:bottom w:val="nil" w:sz="6" w:space="0" w:color="auto"/>
              <w:right w:val="single" w:sz="4" w:space="0" w:color="000000"/>
            </w:tcBorders>
            <w:shd w:val="clear" w:color="auto" w:fill="D2D2D2"/>
          </w:tcPr>
          <w:p>
            <w:pPr/>
          </w:p>
        </w:tc>
        <w:tc>
          <w:tcPr>
            <w:tcW w:w="73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承诺类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4994" w:type="dxa"/>
            <w:vMerge/>
            <w:tcBorders>
              <w:left w:val="single" w:sz="4" w:space="0" w:color="000000"/>
              <w:bottom w:val="nil" w:sz="6" w:space="0" w:color="auto"/>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时间</w:t>
            </w:r>
          </w:p>
        </w:tc>
        <w:tc>
          <w:tcPr>
            <w:tcW w:w="770"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83" w:right="110" w:hanging="178"/>
              <w:jc w:val="left"/>
              <w:rPr>
                <w:rFonts w:ascii="宋体" w:hAnsi="宋体" w:cs="宋体" w:eastAsia="宋体" w:hint="default"/>
                <w:sz w:val="18"/>
                <w:szCs w:val="18"/>
              </w:rPr>
            </w:pPr>
            <w:r>
              <w:rPr>
                <w:rFonts w:ascii="宋体" w:hAnsi="宋体" w:cs="宋体" w:eastAsia="宋体" w:hint="default"/>
                <w:sz w:val="18"/>
                <w:szCs w:val="18"/>
              </w:rPr>
              <w:t>承诺期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293" w:type="dxa"/>
            <w:vMerge/>
            <w:tcBorders>
              <w:left w:val="single" w:sz="4" w:space="0" w:color="000000"/>
              <w:right w:val="single" w:sz="4" w:space="0" w:color="000000"/>
            </w:tcBorders>
            <w:shd w:val="clear" w:color="auto" w:fill="D2D2D2"/>
          </w:tcPr>
          <w:p>
            <w:pPr/>
          </w:p>
        </w:tc>
      </w:tr>
      <w:tr>
        <w:trPr>
          <w:trHeight w:val="394" w:hRule="exact"/>
        </w:trPr>
        <w:tc>
          <w:tcPr>
            <w:tcW w:w="670" w:type="dxa"/>
            <w:vMerge/>
            <w:tcBorders>
              <w:left w:val="single" w:sz="4" w:space="0" w:color="000000"/>
              <w:right w:val="single" w:sz="4" w:space="0" w:color="000000"/>
            </w:tcBorders>
            <w:shd w:val="clear" w:color="auto" w:fill="D2D2D2"/>
          </w:tcPr>
          <w:p>
            <w:pPr/>
          </w:p>
        </w:tc>
        <w:tc>
          <w:tcPr>
            <w:tcW w:w="16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34" w:type="dxa"/>
            <w:vMerge/>
            <w:tcBorders>
              <w:left w:val="single" w:sz="4" w:space="0" w:color="000000"/>
              <w:right w:val="single" w:sz="4" w:space="0" w:color="000000"/>
            </w:tcBorders>
            <w:shd w:val="clear" w:color="auto" w:fill="D2D2D2"/>
          </w:tcPr>
          <w:p>
            <w:pPr/>
          </w:p>
        </w:tc>
        <w:tc>
          <w:tcPr>
            <w:tcW w:w="4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81" w:type="dxa"/>
            <w:vMerge/>
            <w:tcBorders>
              <w:left w:val="single" w:sz="4" w:space="0" w:color="000000"/>
              <w:right w:val="single" w:sz="4" w:space="0" w:color="000000"/>
            </w:tcBorders>
            <w:shd w:val="clear" w:color="auto" w:fill="D2D2D2"/>
          </w:tcPr>
          <w:p>
            <w:pPr/>
          </w:p>
        </w:tc>
        <w:tc>
          <w:tcPr>
            <w:tcW w:w="770" w:type="dxa"/>
            <w:vMerge/>
            <w:tcBorders>
              <w:left w:val="single" w:sz="4" w:space="0" w:color="000000"/>
              <w:right w:val="single" w:sz="4" w:space="0" w:color="000000"/>
            </w:tcBorders>
            <w:shd w:val="clear" w:color="auto" w:fill="D2D2D2"/>
          </w:tcPr>
          <w:p>
            <w:pPr/>
          </w:p>
        </w:tc>
        <w:tc>
          <w:tcPr>
            <w:tcW w:w="293" w:type="dxa"/>
            <w:vMerge/>
            <w:tcBorders>
              <w:left w:val="single" w:sz="4" w:space="0" w:color="000000"/>
              <w:right w:val="single" w:sz="4" w:space="0" w:color="000000"/>
            </w:tcBorders>
            <w:shd w:val="clear" w:color="auto" w:fill="D2D2D2"/>
          </w:tcPr>
          <w:p>
            <w:pPr/>
          </w:p>
        </w:tc>
      </w:tr>
      <w:tr>
        <w:trPr>
          <w:trHeight w:val="154" w:hRule="exact"/>
        </w:trPr>
        <w:tc>
          <w:tcPr>
            <w:tcW w:w="670" w:type="dxa"/>
            <w:vMerge/>
            <w:tcBorders>
              <w:left w:val="single" w:sz="4" w:space="0" w:color="000000"/>
              <w:bottom w:val="nil" w:sz="6" w:space="0" w:color="auto"/>
              <w:right w:val="single" w:sz="4" w:space="0" w:color="000000"/>
            </w:tcBorders>
            <w:shd w:val="clear" w:color="auto" w:fill="D2D2D2"/>
          </w:tcPr>
          <w:p>
            <w:pPr/>
          </w:p>
        </w:tc>
        <w:tc>
          <w:tcPr>
            <w:tcW w:w="1604" w:type="dxa"/>
            <w:vMerge w:val="restart"/>
            <w:tcBorders>
              <w:top w:val="nil" w:sz="6" w:space="0" w:color="auto"/>
              <w:left w:val="single" w:sz="4" w:space="0" w:color="000000"/>
              <w:right w:val="single" w:sz="4" w:space="0" w:color="000000"/>
            </w:tcBorders>
            <w:shd w:val="clear" w:color="auto" w:fill="D2D2D2"/>
          </w:tcPr>
          <w:p>
            <w:pPr/>
          </w:p>
        </w:tc>
        <w:tc>
          <w:tcPr>
            <w:tcW w:w="734" w:type="dxa"/>
            <w:vMerge/>
            <w:tcBorders>
              <w:left w:val="single" w:sz="4" w:space="0" w:color="000000"/>
              <w:bottom w:val="nil" w:sz="6" w:space="0" w:color="auto"/>
              <w:right w:val="single" w:sz="4" w:space="0" w:color="000000"/>
            </w:tcBorders>
            <w:shd w:val="clear" w:color="auto" w:fill="D2D2D2"/>
          </w:tcPr>
          <w:p>
            <w:pPr/>
          </w:p>
        </w:tc>
        <w:tc>
          <w:tcPr>
            <w:tcW w:w="4994"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770" w:type="dxa"/>
            <w:vMerge/>
            <w:tcBorders>
              <w:left w:val="single" w:sz="4" w:space="0" w:color="000000"/>
              <w:bottom w:val="nil" w:sz="6" w:space="0" w:color="auto"/>
              <w:right w:val="single" w:sz="4" w:space="0" w:color="000000"/>
            </w:tcBorders>
            <w:shd w:val="clear" w:color="auto" w:fill="D2D2D2"/>
          </w:tcPr>
          <w:p>
            <w:pPr/>
          </w:p>
        </w:tc>
        <w:tc>
          <w:tcPr>
            <w:tcW w:w="293" w:type="dxa"/>
            <w:vMerge/>
            <w:tcBorders>
              <w:left w:val="single" w:sz="4" w:space="0" w:color="000000"/>
              <w:right w:val="single" w:sz="4" w:space="0" w:color="000000"/>
            </w:tcBorders>
            <w:shd w:val="clear" w:color="auto" w:fill="D2D2D2"/>
          </w:tcPr>
          <w:p>
            <w:pPr/>
          </w:p>
        </w:tc>
      </w:tr>
      <w:tr>
        <w:trPr>
          <w:trHeight w:val="317" w:hRule="exact"/>
        </w:trPr>
        <w:tc>
          <w:tcPr>
            <w:tcW w:w="6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4"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4994"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29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3"/>
              <w:jc w:val="left"/>
              <w:rPr>
                <w:rFonts w:ascii="宋体" w:hAnsi="宋体" w:cs="宋体" w:eastAsia="宋体" w:hint="default"/>
                <w:sz w:val="18"/>
                <w:szCs w:val="18"/>
              </w:rPr>
            </w:pPr>
            <w:r>
              <w:rPr>
                <w:rFonts w:ascii="宋体" w:hAnsi="宋体" w:cs="宋体" w:eastAsia="宋体" w:hint="default"/>
                <w:sz w:val="18"/>
                <w:szCs w:val="18"/>
              </w:rPr>
              <w:t>股改承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1604" w:type="dxa"/>
            <w:tcBorders>
              <w:top w:val="single" w:sz="4" w:space="0" w:color="000000"/>
              <w:left w:val="single" w:sz="12" w:space="0" w:color="D2D2D2"/>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4994"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2"/>
        <w:gridCol w:w="1604"/>
        <w:gridCol w:w="734"/>
        <w:gridCol w:w="4994"/>
        <w:gridCol w:w="581"/>
        <w:gridCol w:w="758"/>
        <w:gridCol w:w="317"/>
      </w:tblGrid>
      <w:tr>
        <w:trPr>
          <w:trHeight w:val="1652" w:hRule="exact"/>
        </w:trPr>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4" w:right="103"/>
              <w:jc w:val="both"/>
              <w:rPr>
                <w:rFonts w:ascii="宋体" w:hAnsi="宋体" w:cs="宋体" w:eastAsia="宋体" w:hint="default"/>
                <w:sz w:val="18"/>
                <w:szCs w:val="18"/>
              </w:rPr>
            </w:pPr>
            <w:r>
              <w:rPr>
                <w:rFonts w:ascii="宋体" w:hAnsi="宋体" w:cs="宋体" w:eastAsia="宋体" w:hint="default"/>
                <w:sz w:val="18"/>
                <w:szCs w:val="18"/>
              </w:rPr>
              <w:t>收购报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告书或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书中所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作承诺</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3"/>
              <w:jc w:val="both"/>
              <w:rPr>
                <w:rFonts w:ascii="宋体" w:hAnsi="宋体" w:cs="宋体" w:eastAsia="宋体" w:hint="default"/>
                <w:sz w:val="18"/>
                <w:szCs w:val="18"/>
              </w:rPr>
            </w:pPr>
            <w:r>
              <w:rPr>
                <w:rFonts w:ascii="宋体" w:hAnsi="宋体" w:cs="宋体" w:eastAsia="宋体" w:hint="default"/>
                <w:spacing w:val="-2"/>
                <w:sz w:val="18"/>
                <w:szCs w:val="18"/>
              </w:rPr>
              <w:t>北京海淀科技金融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资本控股集团股份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56"/>
              <w:jc w:val="both"/>
              <w:rPr>
                <w:rFonts w:ascii="宋体" w:hAnsi="宋体" w:cs="宋体" w:eastAsia="宋体" w:hint="default"/>
                <w:sz w:val="18"/>
                <w:szCs w:val="18"/>
              </w:rPr>
            </w:pPr>
            <w:r>
              <w:rPr>
                <w:rFonts w:ascii="宋体" w:hAnsi="宋体" w:cs="宋体" w:eastAsia="宋体" w:hint="default"/>
                <w:sz w:val="18"/>
                <w:szCs w:val="18"/>
              </w:rPr>
              <w:t>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司独立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w:t>
            </w:r>
          </w:p>
        </w:tc>
        <w:tc>
          <w:tcPr>
            <w:tcW w:w="4994"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3"/>
              <w:ind w:left="23" w:right="83"/>
              <w:jc w:val="both"/>
              <w:rPr>
                <w:rFonts w:ascii="宋体" w:hAnsi="宋体" w:cs="宋体" w:eastAsia="宋体" w:hint="default"/>
                <w:sz w:val="18"/>
                <w:szCs w:val="18"/>
              </w:rPr>
            </w:pPr>
            <w:r>
              <w:rPr>
                <w:rFonts w:ascii="宋体" w:hAnsi="宋体" w:cs="宋体" w:eastAsia="宋体" w:hint="default"/>
                <w:spacing w:val="-3"/>
                <w:sz w:val="18"/>
                <w:szCs w:val="18"/>
              </w:rPr>
              <w:t>承诺将按照有关法律法规及上市公司《公司章程》的规定行使</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权利并履行相应的股东义务，上市公司仍具有独立的法人资格</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具有较为完善的法人治理结构，具有面向市场独立经营的能力</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和持续盈利的能力，其在采购、生产、运营、销售、财务、知</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识产权等方面仍将继续保持独立。</w:t>
            </w:r>
          </w:p>
        </w:tc>
        <w:tc>
          <w:tcPr>
            <w:tcW w:w="58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157" w:lineRule="exact"/>
              <w:ind w:left="11"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147" w:lineRule="exact"/>
              <w:ind w:left="-13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11"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662" w:lineRule="exact"/>
              <w:ind w:left="12" w:right="-3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26.45pt;height:33.15pt;mso-position-horizontal-relative:char;mso-position-vertical-relative:line" coordorigin="0,0" coordsize="529,663">
                  <v:group style="position:absolute;left:0;top:0;width:529;height:351" coordorigin="0,0" coordsize="529,351">
                    <v:shape style="position:absolute;left:0;top:0;width:529;height:351" coordorigin="0,0" coordsize="529,351" path="m0,350l528,350,528,0,0,0,0,350xe" filled="true" fillcolor="#ffffff" stroked="false">
                      <v:path arrowok="t"/>
                      <v:fill type="solid"/>
                    </v:shape>
                  </v:group>
                  <v:group style="position:absolute;left:0;top:350;width:529;height:312" coordorigin="0,350" coordsize="529,312">
                    <v:shape style="position:absolute;left:0;top:350;width:529;height:312" coordorigin="0,350" coordsize="529,312" path="m0,662l528,662,528,350,0,350,0,662xe" filled="true" fillcolor="#ffffff" stroked="false">
                      <v:path arrowok="t"/>
                      <v:fill type="solid"/>
                    </v:shape>
                  </v:group>
                </v:group>
              </w:pict>
            </w:r>
            <w:r>
              <w:rPr>
                <w:rFonts w:ascii="Times New Roman" w:hAnsi="Times New Roman" w:cs="Times New Roman" w:eastAsia="Times New Roman" w:hint="default"/>
                <w:position w:val="-1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80"/>
              <w:jc w:val="left"/>
              <w:rPr>
                <w:rFonts w:ascii="宋体" w:hAnsi="宋体" w:cs="宋体" w:eastAsia="宋体" w:hint="default"/>
                <w:sz w:val="18"/>
                <w:szCs w:val="18"/>
              </w:rPr>
            </w:pPr>
            <w:r>
              <w:rPr>
                <w:rFonts w:ascii="宋体" w:hAnsi="宋体" w:cs="宋体" w:eastAsia="宋体" w:hint="default"/>
                <w:sz w:val="18"/>
                <w:szCs w:val="18"/>
              </w:rPr>
              <w:t>托管期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99"/>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8"/>
                <w:sz w:val="18"/>
                <w:szCs w:val="18"/>
              </w:rPr>
              <w:t> </w:t>
            </w:r>
            <w:r>
              <w:rPr>
                <w:rFonts w:ascii="宋体" w:hAnsi="宋体" w:cs="宋体" w:eastAsia="宋体" w:hint="default"/>
                <w:sz w:val="18"/>
                <w:szCs w:val="18"/>
              </w:rPr>
              <w:t>常</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p>
        </w:tc>
      </w:tr>
      <w:tr>
        <w:trPr>
          <w:trHeight w:val="1335" w:hRule="exact"/>
        </w:trPr>
        <w:tc>
          <w:tcPr>
            <w:tcW w:w="682" w:type="dxa"/>
            <w:vMerge/>
            <w:tcBorders>
              <w:left w:val="single" w:sz="4" w:space="0" w:color="000000"/>
              <w:right w:val="single" w:sz="4" w:space="0" w:color="000000"/>
            </w:tcBorders>
            <w:shd w:val="clear" w:color="auto" w:fill="D2D2D2"/>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北京海淀科技金融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资本控股集团股份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56"/>
              <w:jc w:val="left"/>
              <w:rPr>
                <w:rFonts w:ascii="宋体" w:hAnsi="宋体" w:cs="宋体" w:eastAsia="宋体" w:hint="default"/>
                <w:sz w:val="18"/>
                <w:szCs w:val="18"/>
              </w:rPr>
            </w:pPr>
            <w:r>
              <w:rPr>
                <w:rFonts w:ascii="宋体" w:hAnsi="宋体" w:cs="宋体" w:eastAsia="宋体" w:hint="default"/>
                <w:sz w:val="18"/>
                <w:szCs w:val="18"/>
              </w:rPr>
              <w:t>同业竞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争</w:t>
            </w:r>
          </w:p>
        </w:tc>
        <w:tc>
          <w:tcPr>
            <w:tcW w:w="4994"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53"/>
              <w:ind w:left="23" w:right="-46"/>
              <w:jc w:val="left"/>
              <w:rPr>
                <w:rFonts w:ascii="宋体" w:hAnsi="宋体" w:cs="宋体" w:eastAsia="宋体" w:hint="default"/>
                <w:sz w:val="18"/>
                <w:szCs w:val="18"/>
              </w:rPr>
            </w:pPr>
            <w:r>
              <w:rPr>
                <w:rFonts w:ascii="宋体" w:hAnsi="宋体" w:cs="宋体" w:eastAsia="宋体" w:hint="default"/>
                <w:spacing w:val="-3"/>
                <w:sz w:val="18"/>
                <w:szCs w:val="18"/>
              </w:rPr>
              <w:t>如海科金集团在托管期内行使收购选择权且海科金集团成为上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5"/>
                <w:sz w:val="18"/>
                <w:szCs w:val="18"/>
              </w:rPr>
              <w:t>市公司的控股股东，则在所收购股份完成相关过户登记之日起，</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6"/>
                <w:w w:val="101"/>
                <w:sz w:val="18"/>
                <w:szCs w:val="18"/>
              </w:rPr>
              <w:t>海科金集团将承诺按照</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同业竞争解决方案</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解决同业竞争（详见</w:t>
            </w:r>
            <w:r>
              <w:rPr>
                <w:rFonts w:ascii="宋体" w:hAnsi="宋体" w:cs="宋体" w:eastAsia="宋体" w:hint="default"/>
                <w:spacing w:val="-70"/>
                <w:w w:val="101"/>
                <w:sz w:val="18"/>
                <w:szCs w:val="18"/>
              </w:rPr>
              <w:t> </w:t>
            </w:r>
            <w:r>
              <w:rPr>
                <w:rFonts w:ascii="宋体" w:hAnsi="宋体" w:cs="宋体" w:eastAsia="宋体" w:hint="default"/>
                <w:spacing w:val="-70"/>
                <w:w w:val="101"/>
                <w:sz w:val="18"/>
                <w:szCs w:val="18"/>
              </w:rPr>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10"/>
                <w:w w:val="101"/>
                <w:sz w:val="18"/>
                <w:szCs w:val="18"/>
              </w:rPr>
              <w:t>日《详式权益变动报告书》）</w:t>
            </w:r>
            <w:r>
              <w:rPr>
                <w:rFonts w:ascii="宋体" w:hAnsi="宋体" w:cs="宋体" w:eastAsia="宋体" w:hint="default"/>
                <w:spacing w:val="-10"/>
                <w:sz w:val="18"/>
                <w:szCs w:val="18"/>
              </w:rPr>
            </w:r>
          </w:p>
        </w:tc>
        <w:tc>
          <w:tcPr>
            <w:tcW w:w="58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0"/>
                <w:szCs w:val="10"/>
              </w:rPr>
            </w:pPr>
          </w:p>
          <w:p>
            <w:pPr>
              <w:pStyle w:val="TableParagraph"/>
              <w:spacing w:line="312" w:lineRule="exact"/>
              <w:ind w:left="12" w:right="-3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6.45pt;height:15.6pt;mso-position-horizontal-relative:char;mso-position-vertical-relative:line" coordorigin="0,0" coordsize="529,312">
                  <v:group style="position:absolute;left:0;top:0;width:529;height:312" coordorigin="0,0" coordsize="529,312">
                    <v:shape style="position:absolute;left:0;top:0;width:529;height:312" coordorigin="0,0" coordsize="529,312" path="m0,312l528,312,528,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180"/>
              <w:jc w:val="left"/>
              <w:rPr>
                <w:rFonts w:ascii="宋体" w:hAnsi="宋体" w:cs="宋体" w:eastAsia="宋体" w:hint="default"/>
                <w:sz w:val="18"/>
                <w:szCs w:val="18"/>
              </w:rPr>
            </w:pPr>
            <w:r>
              <w:rPr>
                <w:rFonts w:ascii="宋体" w:hAnsi="宋体" w:cs="宋体" w:eastAsia="宋体" w:hint="default"/>
                <w:sz w:val="18"/>
                <w:szCs w:val="18"/>
              </w:rPr>
              <w:t>托管期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99"/>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8"/>
                <w:sz w:val="18"/>
                <w:szCs w:val="18"/>
              </w:rPr>
              <w:t> </w:t>
            </w:r>
            <w:r>
              <w:rPr>
                <w:rFonts w:ascii="宋体" w:hAnsi="宋体" w:cs="宋体" w:eastAsia="宋体" w:hint="default"/>
                <w:sz w:val="18"/>
                <w:szCs w:val="18"/>
              </w:rPr>
              <w:t>常</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p>
        </w:tc>
      </w:tr>
      <w:tr>
        <w:trPr>
          <w:trHeight w:val="2276" w:hRule="exact"/>
        </w:trPr>
        <w:tc>
          <w:tcPr>
            <w:tcW w:w="682" w:type="dxa"/>
            <w:vMerge/>
            <w:tcBorders>
              <w:left w:val="single" w:sz="4" w:space="0" w:color="000000"/>
              <w:right w:val="single" w:sz="4" w:space="0" w:color="000000"/>
            </w:tcBorders>
            <w:shd w:val="clear" w:color="auto" w:fill="D2D2D2"/>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北京海淀科技金融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资本控股集团股份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w:t>
            </w:r>
          </w:p>
        </w:tc>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94"/>
              <w:jc w:val="both"/>
              <w:rPr>
                <w:rFonts w:ascii="宋体" w:hAnsi="宋体" w:cs="宋体" w:eastAsia="宋体" w:hint="default"/>
                <w:sz w:val="18"/>
                <w:szCs w:val="18"/>
              </w:rPr>
            </w:pPr>
            <w:r>
              <w:rPr>
                <w:rFonts w:ascii="宋体" w:hAnsi="宋体" w:cs="宋体" w:eastAsia="宋体" w:hint="default"/>
                <w:spacing w:val="-3"/>
                <w:sz w:val="18"/>
                <w:szCs w:val="18"/>
              </w:rPr>
              <w:t>本公司及本公司一致行动人与上市公司之间发生关联交易，则</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9"/>
                <w:w w:val="101"/>
                <w:sz w:val="18"/>
                <w:szCs w:val="18"/>
              </w:rPr>
              <w:t>该等交易将在符合《深圳证券交易所股票上市规则》、《公司章</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程》等相关规定的前提下进行，同时将根据法律规定积极履行</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相应义务并进行信息披露。本公司及本公司关联方与上市公司</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发生的各项关联交易，均遵循客观公正、平等自愿、互惠互利</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的原则，关联交易价格的制定会以市场价格为依据，不会损害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上市公司和股东的利益。</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180"/>
              <w:jc w:val="left"/>
              <w:rPr>
                <w:rFonts w:ascii="宋体" w:hAnsi="宋体" w:cs="宋体" w:eastAsia="宋体" w:hint="default"/>
                <w:sz w:val="18"/>
                <w:szCs w:val="18"/>
              </w:rPr>
            </w:pPr>
            <w:r>
              <w:rPr>
                <w:rFonts w:ascii="宋体" w:hAnsi="宋体" w:cs="宋体" w:eastAsia="宋体" w:hint="default"/>
                <w:sz w:val="18"/>
                <w:szCs w:val="18"/>
              </w:rPr>
              <w:t>托管期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4" w:right="99"/>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8"/>
                <w:sz w:val="18"/>
                <w:szCs w:val="18"/>
              </w:rPr>
              <w:t> </w:t>
            </w:r>
            <w:r>
              <w:rPr>
                <w:rFonts w:ascii="宋体" w:hAnsi="宋体" w:cs="宋体" w:eastAsia="宋体" w:hint="default"/>
                <w:sz w:val="18"/>
                <w:szCs w:val="18"/>
              </w:rPr>
              <w:t>常</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p>
        </w:tc>
      </w:tr>
      <w:tr>
        <w:trPr>
          <w:trHeight w:val="1652" w:hRule="exact"/>
        </w:trPr>
        <w:tc>
          <w:tcPr>
            <w:tcW w:w="682" w:type="dxa"/>
            <w:vMerge/>
            <w:tcBorders>
              <w:left w:val="single" w:sz="4" w:space="0" w:color="000000"/>
              <w:right w:val="single" w:sz="4" w:space="0" w:color="000000"/>
            </w:tcBorders>
            <w:shd w:val="clear" w:color="auto" w:fill="D2D2D2"/>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23"/>
              <w:jc w:val="both"/>
              <w:rPr>
                <w:rFonts w:ascii="宋体" w:hAnsi="宋体" w:cs="宋体" w:eastAsia="宋体" w:hint="default"/>
                <w:sz w:val="18"/>
                <w:szCs w:val="18"/>
              </w:rPr>
            </w:pPr>
            <w:r>
              <w:rPr>
                <w:rFonts w:ascii="宋体" w:hAnsi="宋体" w:cs="宋体" w:eastAsia="宋体" w:hint="default"/>
                <w:spacing w:val="-2"/>
                <w:sz w:val="18"/>
                <w:szCs w:val="18"/>
              </w:rPr>
              <w:t>北京海淀科技金融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资本控股集团股份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both"/>
              <w:rPr>
                <w:rFonts w:ascii="宋体" w:hAnsi="宋体" w:cs="宋体" w:eastAsia="宋体" w:hint="default"/>
                <w:sz w:val="18"/>
                <w:szCs w:val="18"/>
              </w:rPr>
            </w:pPr>
            <w:r>
              <w:rPr>
                <w:rFonts w:ascii="宋体" w:hAnsi="宋体" w:cs="宋体" w:eastAsia="宋体" w:hint="default"/>
                <w:sz w:val="18"/>
                <w:szCs w:val="18"/>
              </w:rPr>
              <w:t>不单方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面解除</w:t>
            </w:r>
          </w:p>
          <w:p>
            <w:pPr>
              <w:pStyle w:val="TableParagraph"/>
              <w:spacing w:line="319" w:lineRule="auto" w:before="19"/>
              <w:ind w:left="23" w:right="156"/>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托管协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议》</w:t>
            </w:r>
          </w:p>
        </w:tc>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8"/>
              <w:ind w:left="23" w:right="18"/>
              <w:jc w:val="both"/>
              <w:rPr>
                <w:rFonts w:ascii="宋体" w:hAnsi="宋体" w:cs="宋体" w:eastAsia="宋体" w:hint="default"/>
                <w:sz w:val="18"/>
                <w:szCs w:val="18"/>
              </w:rPr>
            </w:pPr>
            <w:r>
              <w:rPr>
                <w:rFonts w:ascii="宋体" w:hAnsi="宋体" w:cs="宋体" w:eastAsia="宋体" w:hint="default"/>
                <w:spacing w:val="-7"/>
                <w:w w:val="101"/>
                <w:sz w:val="18"/>
                <w:szCs w:val="18"/>
              </w:rPr>
              <w:t>初始托管期内（股份托管第一年），无论是否发生《股份托管协</w:t>
            </w:r>
            <w:r>
              <w:rPr>
                <w:rFonts w:ascii="宋体" w:hAnsi="宋体" w:cs="宋体" w:eastAsia="宋体" w:hint="default"/>
                <w:spacing w:val="-68"/>
                <w:w w:val="101"/>
                <w:sz w:val="18"/>
                <w:szCs w:val="18"/>
              </w:rPr>
              <w:t> </w:t>
            </w:r>
            <w:r>
              <w:rPr>
                <w:rFonts w:ascii="宋体" w:hAnsi="宋体" w:cs="宋体" w:eastAsia="宋体" w:hint="default"/>
                <w:spacing w:val="-68"/>
                <w:w w:val="101"/>
                <w:sz w:val="18"/>
                <w:szCs w:val="18"/>
              </w:rPr>
            </w:r>
            <w:r>
              <w:rPr>
                <w:rFonts w:ascii="宋体" w:hAnsi="宋体" w:cs="宋体" w:eastAsia="宋体" w:hint="default"/>
                <w:sz w:val="18"/>
                <w:szCs w:val="18"/>
              </w:rPr>
              <w:t>议》第 </w:t>
            </w:r>
            <w:r>
              <w:rPr>
                <w:rFonts w:ascii="Times New Roman" w:hAnsi="Times New Roman" w:cs="Times New Roman" w:eastAsia="Times New Roman" w:hint="default"/>
                <w:spacing w:val="-3"/>
                <w:sz w:val="18"/>
                <w:szCs w:val="18"/>
              </w:rPr>
              <w:t>11.2 </w:t>
            </w:r>
            <w:r>
              <w:rPr>
                <w:rFonts w:ascii="宋体" w:hAnsi="宋体" w:cs="宋体" w:eastAsia="宋体" w:hint="default"/>
                <w:spacing w:val="-3"/>
                <w:sz w:val="18"/>
                <w:szCs w:val="18"/>
              </w:rPr>
              <w:t>款约定的情形，本公司均不会单方面撤销、终止或</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解除《股份托管协议》</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0"/>
              <w:jc w:val="both"/>
              <w:rPr>
                <w:rFonts w:ascii="宋体" w:hAnsi="宋体" w:cs="宋体" w:eastAsia="宋体" w:hint="default"/>
                <w:sz w:val="18"/>
                <w:szCs w:val="18"/>
              </w:rPr>
            </w:pPr>
            <w:r>
              <w:rPr>
                <w:rFonts w:ascii="宋体" w:hAnsi="宋体" w:cs="宋体" w:eastAsia="宋体" w:hint="default"/>
                <w:sz w:val="18"/>
                <w:szCs w:val="18"/>
              </w:rPr>
              <w:t>初始托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管期内</w:t>
            </w:r>
          </w:p>
          <w:p>
            <w:pPr>
              <w:pStyle w:val="TableParagraph"/>
              <w:spacing w:line="319" w:lineRule="auto" w:before="19"/>
              <w:ind w:left="24" w:right="180"/>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托管第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一年）</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99"/>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8"/>
                <w:sz w:val="18"/>
                <w:szCs w:val="18"/>
              </w:rPr>
              <w:t> </w:t>
            </w:r>
            <w:r>
              <w:rPr>
                <w:rFonts w:ascii="宋体" w:hAnsi="宋体" w:cs="宋体" w:eastAsia="宋体" w:hint="default"/>
                <w:sz w:val="18"/>
                <w:szCs w:val="18"/>
              </w:rPr>
              <w:t>常</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p>
        </w:tc>
      </w:tr>
      <w:tr>
        <w:trPr>
          <w:trHeight w:val="1964" w:hRule="exact"/>
        </w:trPr>
        <w:tc>
          <w:tcPr>
            <w:tcW w:w="682" w:type="dxa"/>
            <w:vMerge/>
            <w:tcBorders>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53"/>
              <w:ind w:left="23" w:right="5"/>
              <w:jc w:val="both"/>
              <w:rPr>
                <w:rFonts w:ascii="宋体" w:hAnsi="宋体" w:cs="宋体" w:eastAsia="宋体" w:hint="default"/>
                <w:sz w:val="18"/>
                <w:szCs w:val="18"/>
              </w:rPr>
            </w:pPr>
            <w:r>
              <w:rPr>
                <w:rFonts w:ascii="宋体" w:hAnsi="宋体" w:cs="宋体" w:eastAsia="宋体" w:hint="default"/>
                <w:sz w:val="18"/>
                <w:szCs w:val="18"/>
              </w:rPr>
              <w:t>北京仁东信息技术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有限公司、仁东</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r>
              <w:rPr>
                <w:rFonts w:ascii="宋体" w:hAnsi="宋体" w:cs="宋体" w:eastAsia="宋体" w:hint="default"/>
                <w:spacing w:val="-88"/>
                <w:sz w:val="18"/>
                <w:szCs w:val="18"/>
              </w:rPr>
              <w:t> </w:t>
            </w:r>
            <w:r>
              <w:rPr>
                <w:rFonts w:ascii="宋体" w:hAnsi="宋体" w:cs="宋体" w:eastAsia="宋体" w:hint="default"/>
                <w:spacing w:val="-21"/>
                <w:w w:val="101"/>
                <w:sz w:val="18"/>
                <w:szCs w:val="18"/>
              </w:rPr>
              <w:t>津）科技有限公司、</w:t>
            </w:r>
            <w:r>
              <w:rPr>
                <w:rFonts w:ascii="宋体" w:hAnsi="宋体" w:cs="宋体" w:eastAsia="宋体" w:hint="default"/>
                <w:spacing w:val="-91"/>
                <w:w w:val="101"/>
                <w:sz w:val="18"/>
                <w:szCs w:val="18"/>
              </w:rPr>
              <w:t> </w:t>
            </w:r>
            <w:r>
              <w:rPr>
                <w:rFonts w:ascii="宋体" w:hAnsi="宋体" w:cs="宋体" w:eastAsia="宋体" w:hint="default"/>
                <w:spacing w:val="-91"/>
                <w:w w:val="101"/>
                <w:sz w:val="18"/>
                <w:szCs w:val="18"/>
              </w:rPr>
            </w:r>
            <w:r>
              <w:rPr>
                <w:rFonts w:ascii="宋体" w:hAnsi="宋体" w:cs="宋体" w:eastAsia="宋体" w:hint="default"/>
                <w:spacing w:val="-3"/>
                <w:sz w:val="18"/>
                <w:szCs w:val="18"/>
              </w:rPr>
              <w:t>仁东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天津）科技发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1"/>
                <w:w w:val="101"/>
                <w:sz w:val="18"/>
                <w:szCs w:val="18"/>
              </w:rPr>
              <w:t>展集团有限公司、霍</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z w:val="18"/>
                <w:szCs w:val="18"/>
              </w:rPr>
              <w:t>东</w:t>
            </w:r>
          </w:p>
        </w:tc>
        <w:tc>
          <w:tcPr>
            <w:tcW w:w="734" w:type="dxa"/>
            <w:tcBorders>
              <w:top w:val="single" w:sz="4" w:space="0" w:color="000000"/>
              <w:left w:val="single" w:sz="13" w:space="0" w:color="FFFFFF"/>
              <w:bottom w:val="single" w:sz="4" w:space="0" w:color="000000"/>
              <w:right w:val="single" w:sz="4" w:space="0" w:color="000000"/>
            </w:tcBorders>
          </w:tcPr>
          <w:p>
            <w:pPr>
              <w:pStyle w:val="TableParagraph"/>
              <w:spacing w:line="300" w:lineRule="atLeast" w:before="147"/>
              <w:ind w:left="12" w:right="156"/>
              <w:jc w:val="left"/>
              <w:rPr>
                <w:rFonts w:ascii="宋体" w:hAnsi="宋体" w:cs="宋体" w:eastAsia="宋体" w:hint="default"/>
                <w:sz w:val="18"/>
                <w:szCs w:val="18"/>
              </w:rPr>
            </w:pPr>
            <w:r>
              <w:rPr>
                <w:rFonts w:ascii="宋体" w:hAnsi="宋体" w:cs="宋体" w:eastAsia="宋体" w:hint="default"/>
                <w:sz w:val="18"/>
                <w:szCs w:val="18"/>
              </w:rPr>
              <w:t>不单方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面解除</w:t>
            </w:r>
          </w:p>
          <w:p>
            <w:pPr>
              <w:pStyle w:val="TableParagraph"/>
              <w:spacing w:line="115" w:lineRule="exact"/>
              <w:ind w:left="-13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2"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321" w:lineRule="auto" w:before="76"/>
              <w:ind w:left="12" w:right="156"/>
              <w:jc w:val="left"/>
              <w:rPr>
                <w:rFonts w:ascii="宋体" w:hAnsi="宋体" w:cs="宋体" w:eastAsia="宋体" w:hint="default"/>
                <w:sz w:val="18"/>
                <w:szCs w:val="18"/>
              </w:rPr>
            </w:pPr>
            <w:r>
              <w:rPr>
                <w:rFonts w:ascii="宋体" w:hAnsi="宋体" w:cs="宋体" w:eastAsia="宋体" w:hint="default"/>
                <w:sz w:val="18"/>
                <w:szCs w:val="18"/>
              </w:rPr>
              <w:t>托管协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议》</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624" w:lineRule="exact"/>
              <w:ind w:left="12"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33.85pt;height:31.25pt;mso-position-horizontal-relative:char;mso-position-vertical-relative:line" coordorigin="0,0" coordsize="677,625">
                  <v:group style="position:absolute;left:0;top:0;width:677;height:312" coordorigin="0,0" coordsize="677,312">
                    <v:shape style="position:absolute;left:0;top:0;width:677;height:312" coordorigin="0,0" coordsize="677,312" path="m0,312l677,312,677,0,0,0,0,312xe" filled="true" fillcolor="#ffffff" stroked="false">
                      <v:path arrowok="t"/>
                      <v:fill type="solid"/>
                    </v:shape>
                  </v:group>
                  <v:group style="position:absolute;left:0;top:312;width:677;height:313" coordorigin="0,312" coordsize="677,313">
                    <v:shape style="position:absolute;left:0;top:312;width:677;height:313" coordorigin="0,312" coordsize="677,313" path="m0,624l677,624,677,312,0,312,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0"/>
              <w:ind w:left="23" w:right="18"/>
              <w:jc w:val="both"/>
              <w:rPr>
                <w:rFonts w:ascii="宋体" w:hAnsi="宋体" w:cs="宋体" w:eastAsia="宋体" w:hint="default"/>
                <w:sz w:val="18"/>
                <w:szCs w:val="18"/>
              </w:rPr>
            </w:pPr>
            <w:r>
              <w:rPr>
                <w:rFonts w:ascii="宋体" w:hAnsi="宋体" w:cs="宋体" w:eastAsia="宋体" w:hint="default"/>
                <w:spacing w:val="-7"/>
                <w:w w:val="101"/>
                <w:sz w:val="18"/>
                <w:szCs w:val="18"/>
              </w:rPr>
              <w:t>初始托管期内（股份托管第一年），无论是否发生《股份托管协</w:t>
            </w:r>
            <w:r>
              <w:rPr>
                <w:rFonts w:ascii="宋体" w:hAnsi="宋体" w:cs="宋体" w:eastAsia="宋体" w:hint="default"/>
                <w:spacing w:val="-68"/>
                <w:w w:val="101"/>
                <w:sz w:val="18"/>
                <w:szCs w:val="18"/>
              </w:rPr>
              <w:t> </w:t>
            </w:r>
            <w:r>
              <w:rPr>
                <w:rFonts w:ascii="宋体" w:hAnsi="宋体" w:cs="宋体" w:eastAsia="宋体" w:hint="default"/>
                <w:spacing w:val="-68"/>
                <w:w w:val="101"/>
                <w:sz w:val="18"/>
                <w:szCs w:val="18"/>
              </w:rPr>
            </w:r>
            <w:r>
              <w:rPr>
                <w:rFonts w:ascii="宋体" w:hAnsi="宋体" w:cs="宋体" w:eastAsia="宋体" w:hint="default"/>
                <w:sz w:val="18"/>
                <w:szCs w:val="18"/>
              </w:rPr>
              <w:t>议》第 </w:t>
            </w:r>
            <w:r>
              <w:rPr>
                <w:rFonts w:ascii="Times New Roman" w:hAnsi="Times New Roman" w:cs="Times New Roman" w:eastAsia="Times New Roman" w:hint="default"/>
                <w:spacing w:val="-3"/>
                <w:sz w:val="18"/>
                <w:szCs w:val="18"/>
              </w:rPr>
              <w:t>11.2 </w:t>
            </w:r>
            <w:r>
              <w:rPr>
                <w:rFonts w:ascii="宋体" w:hAnsi="宋体" w:cs="宋体" w:eastAsia="宋体" w:hint="default"/>
                <w:spacing w:val="-3"/>
                <w:sz w:val="18"/>
                <w:szCs w:val="18"/>
              </w:rPr>
              <w:t>款约定的情形，本公司均不会单方面撤销、终止或</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解除《股份托管协议》</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2" w:lineRule="auto"/>
              <w:ind w:left="24" w:right="180"/>
              <w:jc w:val="both"/>
              <w:rPr>
                <w:rFonts w:ascii="宋体" w:hAnsi="宋体" w:cs="宋体" w:eastAsia="宋体" w:hint="default"/>
                <w:sz w:val="18"/>
                <w:szCs w:val="18"/>
              </w:rPr>
            </w:pPr>
            <w:r>
              <w:rPr>
                <w:rFonts w:ascii="宋体" w:hAnsi="宋体" w:cs="宋体" w:eastAsia="宋体" w:hint="default"/>
                <w:sz w:val="18"/>
                <w:szCs w:val="18"/>
              </w:rPr>
              <w:t>初始托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管期内</w:t>
            </w:r>
          </w:p>
          <w:p>
            <w:pPr>
              <w:pStyle w:val="TableParagraph"/>
              <w:spacing w:line="319" w:lineRule="auto" w:before="23"/>
              <w:ind w:left="24" w:right="180"/>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托管第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一年）</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99"/>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8"/>
                <w:sz w:val="18"/>
                <w:szCs w:val="18"/>
              </w:rPr>
              <w:t> </w:t>
            </w:r>
            <w:r>
              <w:rPr>
                <w:rFonts w:ascii="宋体" w:hAnsi="宋体" w:cs="宋体" w:eastAsia="宋体" w:hint="default"/>
                <w:sz w:val="18"/>
                <w:szCs w:val="18"/>
              </w:rPr>
              <w:t>常</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p>
        </w:tc>
      </w:tr>
      <w:tr>
        <w:trPr>
          <w:trHeight w:val="1023"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03"/>
              <w:jc w:val="both"/>
              <w:rPr>
                <w:rFonts w:ascii="宋体" w:hAnsi="宋体" w:cs="宋体" w:eastAsia="宋体" w:hint="default"/>
                <w:sz w:val="18"/>
                <w:szCs w:val="18"/>
              </w:rPr>
            </w:pPr>
            <w:r>
              <w:rPr>
                <w:rFonts w:ascii="宋体" w:hAnsi="宋体" w:cs="宋体" w:eastAsia="宋体" w:hint="default"/>
                <w:sz w:val="18"/>
                <w:szCs w:val="18"/>
              </w:rPr>
              <w:t>资产重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组时所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作承诺</w:t>
            </w:r>
          </w:p>
        </w:tc>
        <w:tc>
          <w:tcPr>
            <w:tcW w:w="160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4994"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03"/>
              <w:jc w:val="both"/>
              <w:rPr>
                <w:rFonts w:ascii="宋体" w:hAnsi="宋体" w:cs="宋体" w:eastAsia="宋体" w:hint="default"/>
                <w:sz w:val="18"/>
                <w:szCs w:val="18"/>
              </w:rPr>
            </w:pPr>
            <w:r>
              <w:rPr>
                <w:rFonts w:ascii="宋体" w:hAnsi="宋体" w:cs="宋体" w:eastAsia="宋体" w:hint="default"/>
                <w:sz w:val="18"/>
                <w:szCs w:val="18"/>
              </w:rPr>
              <w:t>首次公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或再融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资时所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作承诺</w:t>
            </w:r>
          </w:p>
        </w:tc>
        <w:tc>
          <w:tcPr>
            <w:tcW w:w="160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4994"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03"/>
              <w:jc w:val="left"/>
              <w:rPr>
                <w:rFonts w:ascii="宋体" w:hAnsi="宋体" w:cs="宋体" w:eastAsia="宋体" w:hint="default"/>
                <w:sz w:val="18"/>
                <w:szCs w:val="18"/>
              </w:rPr>
            </w:pPr>
            <w:r>
              <w:rPr>
                <w:rFonts w:ascii="宋体" w:hAnsi="宋体" w:cs="宋体" w:eastAsia="宋体" w:hint="default"/>
                <w:sz w:val="18"/>
                <w:szCs w:val="18"/>
              </w:rPr>
              <w:t>股权激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励承诺</w:t>
            </w:r>
          </w:p>
        </w:tc>
        <w:tc>
          <w:tcPr>
            <w:tcW w:w="160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4994"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03"/>
              <w:jc w:val="both"/>
              <w:rPr>
                <w:rFonts w:ascii="宋体" w:hAnsi="宋体" w:cs="宋体" w:eastAsia="宋体" w:hint="default"/>
                <w:sz w:val="18"/>
                <w:szCs w:val="18"/>
              </w:rPr>
            </w:pPr>
            <w:r>
              <w:rPr>
                <w:rFonts w:ascii="宋体" w:hAnsi="宋体" w:cs="宋体" w:eastAsia="宋体" w:hint="default"/>
                <w:sz w:val="18"/>
                <w:szCs w:val="18"/>
              </w:rPr>
              <w:t>其他对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所作承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160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4994"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7"/>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672"/>
        <w:gridCol w:w="8999"/>
      </w:tblGrid>
      <w:tr>
        <w:trPr>
          <w:trHeight w:val="334" w:hRule="exact"/>
        </w:trPr>
        <w:tc>
          <w:tcPr>
            <w:tcW w:w="672" w:type="dxa"/>
            <w:tcBorders>
              <w:top w:val="single" w:sz="6" w:space="0" w:color="000000"/>
              <w:left w:val="nil" w:sz="6" w:space="0" w:color="auto"/>
              <w:bottom w:val="single" w:sz="4" w:space="0" w:color="000000"/>
              <w:right w:val="nil" w:sz="6" w:space="0" w:color="auto"/>
            </w:tcBorders>
          </w:tcPr>
          <w:p>
            <w:pPr/>
          </w:p>
        </w:tc>
        <w:tc>
          <w:tcPr>
            <w:tcW w:w="8999" w:type="dxa"/>
            <w:tcBorders>
              <w:top w:val="single" w:sz="6" w:space="0" w:color="000000"/>
              <w:left w:val="nil" w:sz="6" w:space="0" w:color="auto"/>
              <w:bottom w:val="single" w:sz="4" w:space="0" w:color="000000"/>
              <w:right w:val="nil" w:sz="6" w:space="0" w:color="auto"/>
            </w:tcBorders>
          </w:tcPr>
          <w:p>
            <w:pPr/>
          </w:p>
        </w:tc>
      </w:tr>
      <w:tr>
        <w:trPr>
          <w:trHeight w:val="1027" w:hRule="exact"/>
        </w:trPr>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3"/>
              <w:jc w:val="both"/>
              <w:rPr>
                <w:rFonts w:ascii="宋体" w:hAnsi="宋体" w:cs="宋体" w:eastAsia="宋体" w:hint="default"/>
                <w:sz w:val="18"/>
                <w:szCs w:val="18"/>
              </w:rPr>
            </w:pPr>
            <w:r>
              <w:rPr>
                <w:rFonts w:ascii="宋体" w:hAnsi="宋体" w:cs="宋体" w:eastAsia="宋体" w:hint="default"/>
                <w:sz w:val="18"/>
                <w:szCs w:val="18"/>
              </w:rPr>
              <w:t>承诺是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否按时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w:t>
            </w:r>
          </w:p>
        </w:tc>
        <w:tc>
          <w:tcPr>
            <w:tcW w:w="89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left="113" w:right="387"/>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left="113" w:right="3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06"/>
        <w:gridCol w:w="1181"/>
        <w:gridCol w:w="1181"/>
        <w:gridCol w:w="1176"/>
        <w:gridCol w:w="1181"/>
        <w:gridCol w:w="1181"/>
        <w:gridCol w:w="1181"/>
        <w:gridCol w:w="1181"/>
      </w:tblGrid>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96" w:right="104" w:hanging="92"/>
              <w:jc w:val="left"/>
              <w:rPr>
                <w:rFonts w:ascii="宋体" w:hAnsi="宋体" w:cs="宋体" w:eastAsia="宋体" w:hint="default"/>
                <w:sz w:val="18"/>
                <w:szCs w:val="18"/>
              </w:rPr>
            </w:pPr>
            <w:r>
              <w:rPr>
                <w:rFonts w:ascii="宋体" w:hAnsi="宋体" w:cs="宋体" w:eastAsia="宋体" w:hint="default"/>
                <w:spacing w:val="-2"/>
                <w:sz w:val="18"/>
                <w:szCs w:val="18"/>
              </w:rPr>
              <w:t>盈利预测资产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或项目名称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 w:right="41"/>
              <w:jc w:val="left"/>
              <w:rPr>
                <w:rFonts w:ascii="宋体" w:hAnsi="宋体" w:cs="宋体" w:eastAsia="宋体" w:hint="default"/>
                <w:sz w:val="18"/>
                <w:szCs w:val="18"/>
              </w:rPr>
            </w:pPr>
            <w:r>
              <w:rPr>
                <w:rFonts w:ascii="宋体" w:hAnsi="宋体" w:cs="宋体" w:eastAsia="宋体" w:hint="default"/>
                <w:spacing w:val="-2"/>
                <w:sz w:val="18"/>
                <w:szCs w:val="18"/>
              </w:rPr>
              <w:t>未达预测的原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因（如适用）</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99" w:right="36"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94" w:right="41"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引</w:t>
            </w:r>
          </w:p>
        </w:tc>
      </w:tr>
      <w:tr>
        <w:trPr>
          <w:trHeight w:val="227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2" w:lineRule="auto"/>
              <w:ind w:left="24" w:right="5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z w:val="18"/>
                <w:szCs w:val="18"/>
              </w:rPr>
              <w:t>元对蔚洁科技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增资参股对应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的股权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8,800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1,116.58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1"/>
              <w:ind w:left="24" w:right="17"/>
              <w:jc w:val="both"/>
              <w:rPr>
                <w:rFonts w:ascii="宋体" w:hAnsi="宋体" w:cs="宋体" w:eastAsia="宋体" w:hint="default"/>
                <w:sz w:val="18"/>
                <w:szCs w:val="18"/>
              </w:rPr>
            </w:pPr>
            <w:r>
              <w:rPr>
                <w:rFonts w:ascii="宋体" w:hAnsi="宋体" w:cs="宋体" w:eastAsia="宋体" w:hint="default"/>
                <w:sz w:val="18"/>
                <w:szCs w:val="18"/>
              </w:rPr>
              <w:t>《关于全资子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公司拟对外投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资暨关联交易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w w:val="101"/>
                <w:sz w:val="18"/>
                <w:szCs w:val="18"/>
              </w:rPr>
              <w:t>的公告》（公告</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编号：</w:t>
            </w:r>
          </w:p>
          <w:p>
            <w:pPr>
              <w:pStyle w:val="TableParagraph"/>
              <w:spacing w:line="240" w:lineRule="auto" w:before="22"/>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2017-104</w:t>
            </w:r>
            <w:r>
              <w:rPr>
                <w:rFonts w:ascii="宋体" w:hAnsi="宋体" w:cs="宋体" w:eastAsia="宋体" w:hint="default"/>
                <w:sz w:val="18"/>
                <w:szCs w:val="18"/>
              </w:rPr>
              <w:t>）</w:t>
            </w:r>
          </w:p>
        </w:tc>
      </w:tr>
    </w:tbl>
    <w:p>
      <w:pPr>
        <w:pStyle w:val="BodyText"/>
        <w:spacing w:line="240" w:lineRule="auto" w:before="53"/>
        <w:ind w:left="113" w:right="387"/>
        <w:jc w:val="left"/>
      </w:pPr>
      <w:r>
        <w:rPr>
          <w:spacing w:val="-3"/>
        </w:rPr>
        <w:t>公司股东、交易对手方在报告年度经营业绩做出的承诺情况</w:t>
      </w:r>
    </w:p>
    <w:p>
      <w:pPr>
        <w:pStyle w:val="BodyText"/>
        <w:spacing w:line="333" w:lineRule="auto" w:before="120"/>
        <w:ind w:left="473" w:right="387"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根据投资协议约定，蔚洁科技实际控制人温志华向民盛金控承诺，蔚洁科技</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2019</w:t>
      </w:r>
      <w:r>
        <w:rPr>
          <w:spacing w:val="-4"/>
        </w:rPr>
        <w:t>年连续三年净利润分</w:t>
      </w:r>
    </w:p>
    <w:p>
      <w:pPr>
        <w:pStyle w:val="BodyText"/>
        <w:spacing w:line="234" w:lineRule="exact" w:before="0"/>
        <w:ind w:left="113" w:right="387"/>
        <w:jc w:val="left"/>
      </w:pPr>
      <w:r>
        <w:rPr>
          <w:spacing w:val="-3"/>
        </w:rPr>
        <w:t>别不低于</w:t>
      </w:r>
      <w:r>
        <w:rPr>
          <w:rFonts w:ascii="Times New Roman" w:hAnsi="Times New Roman" w:cs="Times New Roman" w:eastAsia="Times New Roman" w:hint="default"/>
          <w:spacing w:val="-3"/>
        </w:rPr>
        <w:t>200</w:t>
      </w:r>
      <w:r>
        <w:rPr>
          <w:spacing w:val="-3"/>
        </w:rPr>
        <w:t>万元、</w:t>
      </w:r>
      <w:r>
        <w:rPr>
          <w:rFonts w:ascii="Times New Roman" w:hAnsi="Times New Roman" w:cs="Times New Roman" w:eastAsia="Times New Roman" w:hint="default"/>
          <w:spacing w:val="-3"/>
        </w:rPr>
        <w:t>4500</w:t>
      </w:r>
      <w:r>
        <w:rPr>
          <w:spacing w:val="-3"/>
        </w:rPr>
        <w:t>万元、</w:t>
      </w:r>
      <w:r>
        <w:rPr>
          <w:rFonts w:ascii="Times New Roman" w:hAnsi="Times New Roman" w:cs="Times New Roman" w:eastAsia="Times New Roman" w:hint="default"/>
          <w:spacing w:val="-3"/>
        </w:rPr>
        <w:t>8800</w:t>
      </w:r>
      <w:r>
        <w:rPr>
          <w:spacing w:val="-3"/>
        </w:rPr>
        <w:t>万元，上述净利润是指经审计合并报表中扣除非经常性损益后归属于母公司股东的税后</w:t>
      </w:r>
    </w:p>
    <w:p>
      <w:pPr>
        <w:pStyle w:val="BodyText"/>
        <w:spacing w:line="300" w:lineRule="auto" w:before="63"/>
        <w:ind w:left="113" w:right="1122"/>
        <w:jc w:val="both"/>
      </w:pPr>
      <w:r>
        <w:rPr>
          <w:spacing w:val="-4"/>
        </w:rPr>
        <w:t>净利润（以下简称</w:t>
      </w:r>
      <w:r>
        <w:rPr>
          <w:rFonts w:ascii="Times New Roman" w:hAnsi="Times New Roman" w:cs="Times New Roman" w:eastAsia="Times New Roman" w:hint="default"/>
          <w:spacing w:val="-4"/>
        </w:rPr>
        <w:t>“</w:t>
      </w:r>
      <w:r>
        <w:rPr>
          <w:spacing w:val="-4"/>
        </w:rPr>
        <w:t>扣非归母净利润</w:t>
      </w:r>
      <w:r>
        <w:rPr>
          <w:rFonts w:ascii="Times New Roman" w:hAnsi="Times New Roman" w:cs="Times New Roman" w:eastAsia="Times New Roman" w:hint="default"/>
          <w:spacing w:val="-4"/>
        </w:rPr>
        <w:t>”</w:t>
      </w:r>
      <w:r>
        <w:rPr>
          <w:spacing w:val="-4"/>
        </w:rPr>
        <w:t>）。如果业绩承诺期间任一年度实现的净利润低于当年承诺的净利润，则民盛金控有权</w:t>
      </w:r>
      <w:r>
        <w:rPr>
          <w:spacing w:val="60"/>
        </w:rPr>
        <w:t> </w:t>
      </w:r>
      <w:r>
        <w:rPr>
          <w:spacing w:val="60"/>
        </w:rPr>
      </w:r>
      <w:r>
        <w:rPr>
          <w:spacing w:val="-3"/>
        </w:rPr>
        <w:t>要求业绩承诺方以现金方式进行利润补偿。业绩承诺方当期应补偿金额</w:t>
      </w:r>
      <w:r>
        <w:rPr>
          <w:rFonts w:ascii="Times New Roman" w:hAnsi="Times New Roman" w:cs="Times New Roman" w:eastAsia="Times New Roman" w:hint="default"/>
          <w:spacing w:val="-3"/>
        </w:rPr>
        <w:t>=</w:t>
      </w:r>
      <w:r>
        <w:rPr>
          <w:spacing w:val="-3"/>
        </w:rPr>
        <w:t>（截至当期期末累计承诺净利润</w:t>
      </w:r>
      <w:r>
        <w:rPr>
          <w:rFonts w:ascii="Times New Roman" w:hAnsi="Times New Roman" w:cs="Times New Roman" w:eastAsia="Times New Roman" w:hint="default"/>
          <w:spacing w:val="-3"/>
        </w:rPr>
        <w:t>—</w:t>
      </w:r>
      <w:r>
        <w:rPr>
          <w:spacing w:val="-3"/>
        </w:rPr>
        <w:t>截至当期期末累</w:t>
      </w:r>
      <w:r>
        <w:rPr>
          <w:spacing w:val="69"/>
        </w:rPr>
        <w:t> </w:t>
      </w:r>
      <w:r>
        <w:rPr>
          <w:spacing w:val="69"/>
        </w:rPr>
      </w:r>
      <w:r>
        <w:rPr>
          <w:spacing w:val="-3"/>
        </w:rPr>
        <w:t>计实际净利润）</w:t>
      </w:r>
      <w:r>
        <w:rPr>
          <w:rFonts w:ascii="Times New Roman" w:hAnsi="Times New Roman" w:cs="Times New Roman" w:eastAsia="Times New Roman" w:hint="default"/>
          <w:spacing w:val="-3"/>
        </w:rPr>
        <w:t>/</w:t>
      </w:r>
      <w:r>
        <w:rPr>
          <w:spacing w:val="-3"/>
        </w:rPr>
        <w:t>业绩承诺期内各期累计承诺净利润</w:t>
      </w:r>
      <w:r>
        <w:rPr>
          <w:rFonts w:ascii="Times New Roman" w:hAnsi="Times New Roman" w:cs="Times New Roman" w:eastAsia="Times New Roman" w:hint="default"/>
          <w:spacing w:val="-3"/>
        </w:rPr>
        <w:t>*</w:t>
      </w:r>
      <w:r>
        <w:rPr>
          <w:spacing w:val="-3"/>
        </w:rPr>
        <w:t>本轮投资方投资金额</w:t>
      </w:r>
      <w:r>
        <w:rPr>
          <w:rFonts w:ascii="Times New Roman" w:hAnsi="Times New Roman" w:cs="Times New Roman" w:eastAsia="Times New Roman" w:hint="default"/>
          <w:spacing w:val="-3"/>
        </w:rPr>
        <w:t>—</w:t>
      </w:r>
      <w:r>
        <w:rPr>
          <w:spacing w:val="-3"/>
        </w:rPr>
        <w:t>截至当期期末累计已补偿金额。</w:t>
      </w:r>
    </w:p>
    <w:p>
      <w:pPr>
        <w:pStyle w:val="BodyText"/>
        <w:spacing w:line="357" w:lineRule="auto" w:before="56"/>
        <w:ind w:left="473" w:right="387" w:hanging="360"/>
        <w:jc w:val="left"/>
      </w:pPr>
      <w:r>
        <w:rPr>
          <w:spacing w:val="-3"/>
        </w:rPr>
        <w:t>业绩承诺的完成情况及其对商誉减值测试的影响</w:t>
      </w:r>
      <w:r>
        <w:rPr>
          <w:spacing w:val="-27"/>
        </w:rPr>
        <w:t> </w:t>
      </w:r>
      <w:r>
        <w:rPr>
          <w:spacing w:val="-27"/>
        </w:rPr>
      </w:r>
      <w:r>
        <w:rPr>
          <w:spacing w:val="-3"/>
        </w:rPr>
        <w:t>经中兴财光华会计师事务所（特殊普通合伙）审计，参股公司蔚洁科技</w:t>
      </w:r>
      <w:r>
        <w:rPr>
          <w:rFonts w:ascii="Times New Roman" w:hAnsi="Times New Roman" w:cs="Times New Roman" w:eastAsia="Times New Roman" w:hint="default"/>
          <w:spacing w:val="-3"/>
        </w:rPr>
        <w:t>2019</w:t>
      </w:r>
      <w:r>
        <w:rPr>
          <w:spacing w:val="-3"/>
        </w:rPr>
        <w:t>年实现扣非归母净利润为</w:t>
      </w:r>
      <w:r>
        <w:rPr>
          <w:rFonts w:ascii="Times New Roman" w:hAnsi="Times New Roman" w:cs="Times New Roman" w:eastAsia="Times New Roman" w:hint="default"/>
          <w:spacing w:val="-3"/>
        </w:rPr>
        <w:t>1,116.58</w:t>
      </w:r>
      <w:r>
        <w:rPr>
          <w:spacing w:val="-3"/>
        </w:rPr>
        <w:t>万元，未</w:t>
      </w:r>
    </w:p>
    <w:p>
      <w:pPr>
        <w:pStyle w:val="BodyText"/>
        <w:spacing w:line="214" w:lineRule="exact" w:before="0"/>
        <w:ind w:left="113" w:right="387"/>
        <w:jc w:val="left"/>
      </w:pPr>
      <w:r>
        <w:rPr>
          <w:spacing w:val="-3"/>
        </w:rPr>
        <w:t>完成</w:t>
      </w:r>
      <w:r>
        <w:rPr>
          <w:rFonts w:ascii="Times New Roman" w:hAnsi="Times New Roman" w:cs="Times New Roman" w:eastAsia="Times New Roman" w:hint="default"/>
          <w:spacing w:val="-3"/>
        </w:rPr>
        <w:t>2019</w:t>
      </w:r>
      <w:r>
        <w:rPr>
          <w:spacing w:val="-3"/>
        </w:rPr>
        <w:t>年度业绩承诺</w:t>
      </w:r>
      <w:r>
        <w:rPr>
          <w:rFonts w:ascii="Times New Roman" w:hAnsi="Times New Roman" w:cs="Times New Roman" w:eastAsia="Times New Roman" w:hint="default"/>
          <w:spacing w:val="-3"/>
        </w:rPr>
        <w:t>8800</w:t>
      </w:r>
      <w:r>
        <w:rPr>
          <w:spacing w:val="-3"/>
        </w:rPr>
        <w:t>万元。根据业绩补偿公式测算，业绩承诺方当期应补偿金额为</w:t>
      </w:r>
      <w:r>
        <w:rPr>
          <w:rFonts w:ascii="Times New Roman" w:hAnsi="Times New Roman" w:cs="Times New Roman" w:eastAsia="Times New Roman" w:hint="default"/>
          <w:spacing w:val="-3"/>
        </w:rPr>
        <w:t>1134.28</w:t>
      </w:r>
      <w:r>
        <w:rPr>
          <w:spacing w:val="-3"/>
        </w:rPr>
        <w:t>万元。公司将根据投资协</w:t>
      </w:r>
    </w:p>
    <w:p>
      <w:pPr>
        <w:pStyle w:val="BodyText"/>
        <w:spacing w:line="316" w:lineRule="auto" w:before="63"/>
        <w:ind w:left="113" w:right="387"/>
        <w:jc w:val="left"/>
      </w:pPr>
      <w:r>
        <w:rPr>
          <w:spacing w:val="-4"/>
        </w:rPr>
        <w:t>议的约定，积极与蔚洁科技及其实控人温志华先生进行沟通协商，督促其进行业绩补偿，切实维护上市公司及广大投资者的</w:t>
      </w:r>
      <w:r>
        <w:rPr>
          <w:spacing w:val="43"/>
        </w:rPr>
        <w:t> </w:t>
      </w:r>
      <w:r>
        <w:rPr>
          <w:spacing w:val="43"/>
        </w:rPr>
      </w:r>
      <w:r>
        <w:rPr/>
        <w:t>合法权益。</w:t>
      </w:r>
    </w:p>
    <w:p>
      <w:pPr>
        <w:spacing w:line="240" w:lineRule="auto" w:before="4"/>
        <w:rPr>
          <w:rFonts w:ascii="宋体" w:hAnsi="宋体" w:cs="宋体" w:eastAsia="宋体" w:hint="default"/>
          <w:sz w:val="20"/>
          <w:szCs w:val="20"/>
        </w:rPr>
      </w:pPr>
    </w:p>
    <w:p>
      <w:pPr>
        <w:pStyle w:val="Heading2"/>
        <w:spacing w:line="240" w:lineRule="auto"/>
        <w:ind w:left="113" w:right="387"/>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3"/>
        <w:rPr>
          <w:rFonts w:ascii="宋体" w:hAnsi="宋体" w:cs="宋体" w:eastAsia="宋体" w:hint="default"/>
          <w:b/>
          <w:bCs/>
          <w:sz w:val="27"/>
          <w:szCs w:val="27"/>
        </w:rPr>
      </w:pPr>
    </w:p>
    <w:p>
      <w:pPr>
        <w:pStyle w:val="BodyText"/>
        <w:spacing w:line="343" w:lineRule="auto" w:before="0"/>
        <w:ind w:left="113" w:right="38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left="113" w:right="387"/>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113" w:right="3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left="113" w:right="387"/>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113" w:right="3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1020" w:right="0"/>
        </w:sectPr>
      </w:pPr>
    </w:p>
    <w:p>
      <w:pPr>
        <w:spacing w:line="240" w:lineRule="auto" w:before="2"/>
        <w:rPr>
          <w:rFonts w:ascii="宋体" w:hAnsi="宋体" w:cs="宋体" w:eastAsia="宋体" w:hint="default"/>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tbl>
      <w:tblPr>
        <w:tblW w:w="0" w:type="auto"/>
        <w:jc w:val="left"/>
        <w:tblInd w:w="143" w:type="dxa"/>
        <w:tblLayout w:type="fixed"/>
        <w:tblCellMar>
          <w:top w:w="0" w:type="dxa"/>
          <w:left w:w="0" w:type="dxa"/>
          <w:bottom w:w="0" w:type="dxa"/>
          <w:right w:w="0" w:type="dxa"/>
        </w:tblCellMar>
        <w:tblLook w:val="01E0"/>
      </w:tblPr>
      <w:tblGrid>
        <w:gridCol w:w="5388"/>
        <w:gridCol w:w="2982"/>
        <w:gridCol w:w="1205"/>
      </w:tblGrid>
      <w:tr>
        <w:trPr>
          <w:trHeight w:val="410" w:hRule="exact"/>
        </w:trPr>
        <w:tc>
          <w:tcPr>
            <w:tcW w:w="5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16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2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13"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2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64" w:hRule="exact"/>
        </w:trPr>
        <w:tc>
          <w:tcPr>
            <w:tcW w:w="53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4" w:right="22"/>
              <w:jc w:val="both"/>
              <w:rPr>
                <w:rFonts w:ascii="宋体" w:hAnsi="宋体" w:cs="宋体" w:eastAsia="宋体" w:hint="default"/>
                <w:sz w:val="18"/>
                <w:szCs w:val="18"/>
              </w:rPr>
            </w:pPr>
            <w:r>
              <w:rPr>
                <w:rFonts w:ascii="宋体" w:hAnsi="宋体" w:cs="宋体" w:eastAsia="宋体" w:hint="default"/>
                <w:spacing w:val="-3"/>
                <w:sz w:val="18"/>
                <w:szCs w:val="18"/>
              </w:rPr>
              <w:t>执行财政部于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年发布修订后的《企业会计准则第</w:t>
            </w:r>
            <w:r>
              <w:rPr>
                <w:rFonts w:ascii="Times New Roman" w:hAnsi="Times New Roman" w:cs="Times New Roman" w:eastAsia="Times New Roman" w:hint="default"/>
                <w:spacing w:val="-3"/>
                <w:sz w:val="18"/>
                <w:szCs w:val="18"/>
              </w:rPr>
              <w:t>22</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确认和计量》、《企业会计准则第</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金融资产转移》、《企业会计</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准则第</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套期会计》及《企业会计准则第</w:t>
            </w:r>
            <w:r>
              <w:rPr>
                <w:rFonts w:ascii="Times New Roman" w:hAnsi="Times New Roman" w:cs="Times New Roman" w:eastAsia="Times New Roman" w:hint="default"/>
                <w:spacing w:val="-3"/>
                <w:sz w:val="18"/>
                <w:szCs w:val="18"/>
              </w:rPr>
              <w:t>37</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金融工具列报》准</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则</w:t>
            </w:r>
          </w:p>
        </w:tc>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61"/>
              <w:jc w:val="center"/>
              <w:rPr>
                <w:rFonts w:ascii="宋体" w:hAnsi="宋体" w:cs="宋体" w:eastAsia="宋体" w:hint="default"/>
                <w:sz w:val="18"/>
                <w:szCs w:val="18"/>
              </w:rPr>
            </w:pPr>
            <w:r>
              <w:rPr>
                <w:rFonts w:ascii="宋体" w:hAnsi="宋体" w:cs="宋体" w:eastAsia="宋体" w:hint="default"/>
                <w:spacing w:val="-3"/>
                <w:sz w:val="18"/>
                <w:szCs w:val="18"/>
              </w:rPr>
              <w:t>经第四届董事会第九次会议审议通过</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3"/>
              <w:jc w:val="center"/>
              <w:rPr>
                <w:rFonts w:ascii="宋体" w:hAnsi="宋体" w:cs="宋体" w:eastAsia="宋体" w:hint="default"/>
                <w:sz w:val="18"/>
                <w:szCs w:val="18"/>
              </w:rPr>
            </w:pPr>
            <w:r>
              <w:rPr>
                <w:rFonts w:ascii="宋体" w:hAnsi="宋体" w:cs="宋体" w:eastAsia="宋体" w:hint="default"/>
                <w:spacing w:val="-2"/>
                <w:sz w:val="18"/>
                <w:szCs w:val="18"/>
              </w:rPr>
              <w:t>详见以下说明</w:t>
            </w:r>
          </w:p>
        </w:tc>
      </w:tr>
      <w:tr>
        <w:trPr>
          <w:trHeight w:val="427" w:hRule="exact"/>
        </w:trPr>
        <w:tc>
          <w:tcPr>
            <w:tcW w:w="5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执行《关于修订印发</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年度一般企业财务报表格式的通知》</w:t>
            </w:r>
          </w:p>
        </w:tc>
        <w:tc>
          <w:tcPr>
            <w:tcW w:w="2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61"/>
              <w:jc w:val="center"/>
              <w:rPr>
                <w:rFonts w:ascii="宋体" w:hAnsi="宋体" w:cs="宋体" w:eastAsia="宋体" w:hint="default"/>
                <w:sz w:val="18"/>
                <w:szCs w:val="18"/>
              </w:rPr>
            </w:pPr>
            <w:r>
              <w:rPr>
                <w:rFonts w:ascii="宋体" w:hAnsi="宋体" w:cs="宋体" w:eastAsia="宋体" w:hint="default"/>
                <w:spacing w:val="-3"/>
                <w:sz w:val="18"/>
                <w:szCs w:val="18"/>
              </w:rPr>
              <w:t>经第四届董事会第十次会议审议通过</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3"/>
              <w:jc w:val="center"/>
              <w:rPr>
                <w:rFonts w:ascii="宋体" w:hAnsi="宋体" w:cs="宋体" w:eastAsia="宋体" w:hint="default"/>
                <w:sz w:val="18"/>
                <w:szCs w:val="18"/>
              </w:rPr>
            </w:pPr>
            <w:r>
              <w:rPr>
                <w:rFonts w:ascii="宋体" w:hAnsi="宋体" w:cs="宋体" w:eastAsia="宋体" w:hint="default"/>
                <w:spacing w:val="-2"/>
                <w:sz w:val="18"/>
                <w:szCs w:val="18"/>
              </w:rPr>
              <w:t>详见以下说明</w:t>
            </w:r>
          </w:p>
        </w:tc>
      </w:tr>
    </w:tbl>
    <w:p>
      <w:pPr>
        <w:spacing w:line="240" w:lineRule="auto" w:before="13"/>
        <w:rPr>
          <w:rFonts w:ascii="宋体" w:hAnsi="宋体" w:cs="宋体" w:eastAsia="宋体" w:hint="default"/>
          <w:sz w:val="8"/>
          <w:szCs w:val="8"/>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1</w:t>
      </w:r>
      <w:r>
        <w:rPr>
          <w:spacing w:val="-3"/>
        </w:rPr>
        <w:t>）执行新金融工具准则对本集团影响</w:t>
      </w:r>
    </w:p>
    <w:p>
      <w:pPr>
        <w:spacing w:line="240" w:lineRule="auto" w:before="12"/>
        <w:rPr>
          <w:rFonts w:ascii="宋体" w:hAnsi="宋体" w:cs="宋体" w:eastAsia="宋体" w:hint="default"/>
          <w:sz w:val="16"/>
          <w:szCs w:val="16"/>
        </w:rPr>
      </w:pPr>
    </w:p>
    <w:p>
      <w:pPr>
        <w:pStyle w:val="BodyText"/>
        <w:spacing w:line="307" w:lineRule="auto" w:before="0"/>
        <w:ind w:right="1124" w:firstLine="360"/>
        <w:jc w:val="both"/>
      </w:pPr>
      <w:r>
        <w:rPr>
          <w:spacing w:val="-3"/>
        </w:rPr>
        <w:t>本公司自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日起执行财政部于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月修订发布的《企业会计准则第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金融工具确认和计量》、《企</w:t>
      </w:r>
      <w:r>
        <w:rPr>
          <w:w w:val="101"/>
        </w:rPr>
        <w:t> </w:t>
      </w:r>
      <w:r>
        <w:rPr>
          <w:spacing w:val="-2"/>
        </w:rPr>
        <w:t>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金融工具列报》，以下</w:t>
      </w:r>
      <w:r>
        <w:rPr>
          <w:spacing w:val="61"/>
        </w:rPr>
        <w:t> </w:t>
      </w:r>
      <w:r>
        <w:rPr>
          <w:spacing w:val="61"/>
        </w:rPr>
      </w:r>
      <w:r>
        <w:rPr>
          <w:spacing w:val="-4"/>
        </w:rPr>
        <w:t>简称新金融工具准则，准则规定在准则实施日，企业应当按照规定对金融工具进行分类和计量。本公司原在可供出售金融资</w:t>
      </w:r>
      <w:r>
        <w:rPr>
          <w:spacing w:val="43"/>
        </w:rPr>
        <w:t> </w:t>
      </w:r>
      <w:r>
        <w:rPr>
          <w:spacing w:val="43"/>
        </w:rPr>
      </w:r>
      <w:r>
        <w:rPr>
          <w:spacing w:val="-3"/>
        </w:rPr>
        <w:t>产中核算的项目根据资产性质重分类为其他权益工具投资。 </w:t>
      </w:r>
      <w:r>
        <w:rPr>
          <w:spacing w:val="11"/>
        </w:rPr>
        <w:t> </w:t>
      </w:r>
      <w:r>
        <w:rPr>
          <w:spacing w:val="-3"/>
        </w:rPr>
        <w:t>合并资产负债表调整如下：</w:t>
      </w:r>
    </w:p>
    <w:p>
      <w:pPr>
        <w:spacing w:line="240" w:lineRule="auto" w:before="3"/>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415"/>
        <w:gridCol w:w="2415"/>
        <w:gridCol w:w="2415"/>
        <w:gridCol w:w="2415"/>
      </w:tblGrid>
      <w:tr>
        <w:trPr>
          <w:trHeight w:val="651" w:hRule="exact"/>
        </w:trPr>
        <w:tc>
          <w:tcPr>
            <w:tcW w:w="24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pacing w:val="-3"/>
                <w:sz w:val="18"/>
                <w:szCs w:val="18"/>
              </w:rPr>
              <w:t>资产负债表项目</w:t>
            </w:r>
          </w:p>
        </w:tc>
        <w:tc>
          <w:tcPr>
            <w:tcW w:w="24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4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509" w:hRule="exact"/>
        </w:trPr>
        <w:tc>
          <w:tcPr>
            <w:tcW w:w="24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78,000,000.00</w:t>
            </w:r>
          </w:p>
        </w:tc>
        <w:tc>
          <w:tcPr>
            <w:tcW w:w="24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4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-78,000,000.00</w:t>
            </w:r>
          </w:p>
        </w:tc>
      </w:tr>
      <w:tr>
        <w:trPr>
          <w:trHeight w:val="504" w:hRule="exact"/>
        </w:trPr>
        <w:tc>
          <w:tcPr>
            <w:tcW w:w="24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78,000,000.00</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78,000,000.00</w:t>
            </w:r>
          </w:p>
        </w:tc>
      </w:tr>
      <w:tr>
        <w:trPr>
          <w:trHeight w:val="509" w:hRule="exact"/>
        </w:trPr>
        <w:tc>
          <w:tcPr>
            <w:tcW w:w="24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32,003,317.52</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31,093,490.99</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-909,826.53</w:t>
            </w:r>
          </w:p>
        </w:tc>
      </w:tr>
      <w:tr>
        <w:trPr>
          <w:trHeight w:val="509" w:hRule="exact"/>
        </w:trPr>
        <w:tc>
          <w:tcPr>
            <w:tcW w:w="24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343,829,641.52</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344,646,824.15</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817,182.63</w:t>
            </w:r>
          </w:p>
        </w:tc>
      </w:tr>
      <w:tr>
        <w:trPr>
          <w:trHeight w:val="509" w:hRule="exact"/>
        </w:trPr>
        <w:tc>
          <w:tcPr>
            <w:tcW w:w="24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pacing w:val="-3"/>
                <w:sz w:val="18"/>
                <w:szCs w:val="18"/>
              </w:rPr>
              <w:t>发放贷款与垫款</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8,073,237.03</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8,165,880.93</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92,643.90</w:t>
            </w:r>
          </w:p>
        </w:tc>
      </w:tr>
    </w:tbl>
    <w:p>
      <w:pPr>
        <w:spacing w:line="240" w:lineRule="auto" w:before="0"/>
        <w:rPr>
          <w:rFonts w:ascii="宋体" w:hAnsi="宋体" w:cs="宋体" w:eastAsia="宋体" w:hint="default"/>
          <w:sz w:val="9"/>
          <w:szCs w:val="9"/>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2</w:t>
      </w:r>
      <w:r>
        <w:rPr>
          <w:spacing w:val="-3"/>
        </w:rPr>
        <w:t>）执行《关于修订印发 </w:t>
      </w:r>
      <w:r>
        <w:rPr>
          <w:rFonts w:ascii="Times New Roman" w:hAnsi="Times New Roman" w:cs="Times New Roman" w:eastAsia="Times New Roman" w:hint="default"/>
        </w:rPr>
        <w:t>2019  </w:t>
      </w:r>
      <w:r>
        <w:rPr>
          <w:rFonts w:ascii="Times New Roman" w:hAnsi="Times New Roman" w:cs="Times New Roman" w:eastAsia="Times New Roman" w:hint="default"/>
          <w:spacing w:val="29"/>
        </w:rPr>
        <w:t> </w:t>
      </w:r>
      <w:r>
        <w:rPr>
          <w:spacing w:val="-3"/>
        </w:rPr>
        <w:t>年度一般企业财务报表格式的通知》对本集团影响如下：</w:t>
      </w:r>
    </w:p>
    <w:p>
      <w:pPr>
        <w:spacing w:line="240" w:lineRule="auto" w:before="12"/>
        <w:rPr>
          <w:rFonts w:ascii="宋体" w:hAnsi="宋体" w:cs="宋体" w:eastAsia="宋体" w:hint="default"/>
          <w:sz w:val="16"/>
          <w:szCs w:val="16"/>
        </w:rPr>
      </w:pPr>
    </w:p>
    <w:p>
      <w:pPr>
        <w:pStyle w:val="BodyText"/>
        <w:spacing w:line="240" w:lineRule="auto" w:before="0"/>
        <w:ind w:left="513" w:right="0"/>
        <w:jc w:val="left"/>
      </w:pPr>
      <w:r>
        <w:rPr>
          <w:rFonts w:ascii="Times New Roman" w:hAnsi="Times New Roman" w:cs="Times New Roman" w:eastAsia="Times New Roman" w:hint="default"/>
        </w:rPr>
        <w:t>1</w:t>
      </w:r>
      <w:r>
        <w:rPr/>
        <w:t>）对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日合并资产负债表影响：</w:t>
      </w:r>
    </w:p>
    <w:p>
      <w:pPr>
        <w:spacing w:line="240" w:lineRule="auto" w:before="1"/>
        <w:rPr>
          <w:rFonts w:ascii="宋体" w:hAnsi="宋体" w:cs="宋体" w:eastAsia="宋体" w:hint="default"/>
          <w:sz w:val="16"/>
          <w:szCs w:val="16"/>
        </w:rPr>
      </w:pPr>
    </w:p>
    <w:tbl>
      <w:tblPr>
        <w:tblW w:w="0" w:type="auto"/>
        <w:jc w:val="left"/>
        <w:tblInd w:w="134" w:type="dxa"/>
        <w:tblLayout w:type="fixed"/>
        <w:tblCellMar>
          <w:top w:w="0" w:type="dxa"/>
          <w:left w:w="0" w:type="dxa"/>
          <w:bottom w:w="0" w:type="dxa"/>
          <w:right w:w="0" w:type="dxa"/>
        </w:tblCellMar>
        <w:tblLook w:val="01E0"/>
      </w:tblPr>
      <w:tblGrid>
        <w:gridCol w:w="1426"/>
        <w:gridCol w:w="3947"/>
        <w:gridCol w:w="4288"/>
      </w:tblGrid>
      <w:tr>
        <w:trPr>
          <w:trHeight w:val="658"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9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66"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42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20"/>
              <w:ind w:left="1670" w:right="752" w:hanging="90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影响</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年度金额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548" w:hRule="exact"/>
        </w:trPr>
        <w:tc>
          <w:tcPr>
            <w:tcW w:w="142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4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359" w:right="0"/>
              <w:jc w:val="left"/>
              <w:rPr>
                <w:rFonts w:ascii="Times New Roman" w:hAnsi="Times New Roman" w:cs="Times New Roman" w:eastAsia="Times New Roman" w:hint="default"/>
                <w:sz w:val="18"/>
                <w:szCs w:val="18"/>
              </w:rPr>
            </w:pPr>
            <w:r>
              <w:rPr>
                <w:rFonts w:ascii="Times New Roman"/>
                <w:sz w:val="18"/>
              </w:rPr>
              <w:t>-343,829,641.52</w:t>
            </w:r>
          </w:p>
        </w:tc>
      </w:tr>
      <w:tr>
        <w:trPr>
          <w:trHeight w:val="547" w:hRule="exact"/>
        </w:trPr>
        <w:tc>
          <w:tcPr>
            <w:tcW w:w="1426" w:type="dxa"/>
            <w:vMerge/>
            <w:tcBorders>
              <w:left w:val="single" w:sz="6" w:space="0" w:color="000000"/>
              <w:right w:val="single" w:sz="6" w:space="0" w:color="000000"/>
            </w:tcBorders>
            <w:shd w:val="clear" w:color="auto" w:fill="D9D9D9"/>
          </w:tcPr>
          <w:p>
            <w:pPr/>
          </w:p>
        </w:tc>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4288" w:type="dxa"/>
            <w:tcBorders>
              <w:top w:val="single" w:sz="6" w:space="0" w:color="000000"/>
              <w:left w:val="single" w:sz="6" w:space="0" w:color="000000"/>
              <w:bottom w:val="single" w:sz="6" w:space="0" w:color="000000"/>
              <w:right w:val="single" w:sz="6" w:space="0" w:color="000000"/>
            </w:tcBorders>
          </w:tcPr>
          <w:p>
            <w:pPr/>
          </w:p>
        </w:tc>
      </w:tr>
      <w:tr>
        <w:trPr>
          <w:trHeight w:val="547" w:hRule="exact"/>
        </w:trPr>
        <w:tc>
          <w:tcPr>
            <w:tcW w:w="1426" w:type="dxa"/>
            <w:vMerge/>
            <w:tcBorders>
              <w:left w:val="single" w:sz="6" w:space="0" w:color="000000"/>
              <w:bottom w:val="single" w:sz="6" w:space="0" w:color="000000"/>
              <w:right w:val="single" w:sz="6" w:space="0" w:color="000000"/>
            </w:tcBorders>
            <w:shd w:val="clear" w:color="auto" w:fill="D9D9D9"/>
          </w:tcPr>
          <w:p>
            <w:pPr/>
          </w:p>
        </w:tc>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359" w:right="0"/>
              <w:jc w:val="left"/>
              <w:rPr>
                <w:rFonts w:ascii="Times New Roman" w:hAnsi="Times New Roman" w:cs="Times New Roman" w:eastAsia="Times New Roman" w:hint="default"/>
                <w:sz w:val="18"/>
                <w:szCs w:val="18"/>
              </w:rPr>
            </w:pPr>
            <w:r>
              <w:rPr>
                <w:rFonts w:ascii="Times New Roman"/>
                <w:sz w:val="18"/>
              </w:rPr>
              <w:t>+343,829,641.52</w:t>
            </w:r>
          </w:p>
        </w:tc>
      </w:tr>
      <w:tr>
        <w:trPr>
          <w:trHeight w:val="548" w:hRule="exact"/>
        </w:trPr>
        <w:tc>
          <w:tcPr>
            <w:tcW w:w="142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4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359" w:right="0"/>
              <w:jc w:val="left"/>
              <w:rPr>
                <w:rFonts w:ascii="Times New Roman" w:hAnsi="Times New Roman" w:cs="Times New Roman" w:eastAsia="Times New Roman" w:hint="default"/>
                <w:sz w:val="18"/>
                <w:szCs w:val="18"/>
              </w:rPr>
            </w:pPr>
            <w:r>
              <w:rPr>
                <w:rFonts w:ascii="Times New Roman"/>
                <w:sz w:val="18"/>
              </w:rPr>
              <w:t>-21,461,997.10</w:t>
            </w:r>
          </w:p>
        </w:tc>
      </w:tr>
      <w:tr>
        <w:trPr>
          <w:trHeight w:val="547" w:hRule="exact"/>
        </w:trPr>
        <w:tc>
          <w:tcPr>
            <w:tcW w:w="1426" w:type="dxa"/>
            <w:vMerge/>
            <w:tcBorders>
              <w:left w:val="single" w:sz="6" w:space="0" w:color="000000"/>
              <w:right w:val="single" w:sz="6" w:space="0" w:color="000000"/>
            </w:tcBorders>
            <w:shd w:val="clear" w:color="auto" w:fill="D9D9D9"/>
          </w:tcPr>
          <w:p>
            <w:pPr/>
          </w:p>
        </w:tc>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288" w:type="dxa"/>
            <w:tcBorders>
              <w:top w:val="single" w:sz="6" w:space="0" w:color="000000"/>
              <w:left w:val="single" w:sz="6" w:space="0" w:color="000000"/>
              <w:bottom w:val="single" w:sz="6" w:space="0" w:color="000000"/>
              <w:right w:val="single" w:sz="6" w:space="0" w:color="000000"/>
            </w:tcBorders>
          </w:tcPr>
          <w:p>
            <w:pPr/>
          </w:p>
        </w:tc>
      </w:tr>
      <w:tr>
        <w:trPr>
          <w:trHeight w:val="547" w:hRule="exact"/>
        </w:trPr>
        <w:tc>
          <w:tcPr>
            <w:tcW w:w="1426" w:type="dxa"/>
            <w:vMerge/>
            <w:tcBorders>
              <w:left w:val="single" w:sz="6" w:space="0" w:color="000000"/>
              <w:bottom w:val="single" w:sz="6" w:space="0" w:color="000000"/>
              <w:right w:val="single" w:sz="6" w:space="0" w:color="000000"/>
            </w:tcBorders>
            <w:shd w:val="clear" w:color="auto" w:fill="D9D9D9"/>
          </w:tcPr>
          <w:p>
            <w:pPr/>
          </w:p>
        </w:tc>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359" w:right="0"/>
              <w:jc w:val="left"/>
              <w:rPr>
                <w:rFonts w:ascii="Times New Roman" w:hAnsi="Times New Roman" w:cs="Times New Roman" w:eastAsia="Times New Roman" w:hint="default"/>
                <w:sz w:val="18"/>
                <w:szCs w:val="18"/>
              </w:rPr>
            </w:pPr>
            <w:r>
              <w:rPr>
                <w:rFonts w:ascii="Times New Roman"/>
                <w:sz w:val="18"/>
              </w:rPr>
              <w:t>+21,461,997.10</w:t>
            </w:r>
          </w:p>
        </w:tc>
      </w:tr>
    </w:tbl>
    <w:p>
      <w:pPr>
        <w:spacing w:line="240" w:lineRule="auto" w:before="0"/>
        <w:rPr>
          <w:rFonts w:ascii="宋体" w:hAnsi="宋体" w:cs="宋体" w:eastAsia="宋体" w:hint="default"/>
          <w:sz w:val="9"/>
          <w:szCs w:val="9"/>
        </w:rPr>
      </w:pPr>
    </w:p>
    <w:p>
      <w:pPr>
        <w:pStyle w:val="BodyText"/>
        <w:spacing w:line="240" w:lineRule="auto"/>
        <w:ind w:left="513" w:right="0"/>
        <w:jc w:val="left"/>
      </w:pPr>
      <w:r>
        <w:rPr>
          <w:rFonts w:ascii="Times New Roman" w:hAnsi="Times New Roman" w:cs="Times New Roman" w:eastAsia="Times New Roman" w:hint="default"/>
        </w:rPr>
        <w:t>2</w:t>
      </w:r>
      <w:r>
        <w:rPr/>
        <w:t>）对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日母公司资产负债表影响：</w:t>
      </w:r>
    </w:p>
    <w:p>
      <w:pPr>
        <w:spacing w:line="240" w:lineRule="auto" w:before="1"/>
        <w:rPr>
          <w:rFonts w:ascii="宋体" w:hAnsi="宋体" w:cs="宋体" w:eastAsia="宋体"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1424"/>
        <w:gridCol w:w="3947"/>
        <w:gridCol w:w="4288"/>
      </w:tblGrid>
      <w:tr>
        <w:trPr>
          <w:trHeight w:val="658" w:hRule="exact"/>
        </w:trPr>
        <w:tc>
          <w:tcPr>
            <w:tcW w:w="1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9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66"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42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1641" w:right="733" w:hanging="898"/>
              <w:jc w:val="left"/>
              <w:rPr>
                <w:rFonts w:ascii="宋体" w:hAnsi="宋体" w:cs="宋体" w:eastAsia="宋体" w:hint="default"/>
                <w:sz w:val="18"/>
                <w:szCs w:val="18"/>
              </w:rPr>
            </w:pPr>
            <w:r>
              <w:rPr>
                <w:rFonts w:ascii="宋体" w:hAnsi="宋体" w:cs="宋体" w:eastAsia="宋体" w:hint="default"/>
                <w:spacing w:val="-2"/>
                <w:sz w:val="18"/>
                <w:szCs w:val="18"/>
              </w:rPr>
              <w:t>影响</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w:t>
            </w:r>
            <w:r>
              <w:rPr>
                <w:rFonts w:ascii="宋体" w:hAnsi="宋体" w:cs="宋体" w:eastAsia="宋体" w:hint="default"/>
                <w:spacing w:val="-2"/>
                <w:sz w:val="18"/>
                <w:szCs w:val="18"/>
              </w:rPr>
              <w:t>/2018</w:t>
            </w:r>
            <w:r>
              <w:rPr>
                <w:rFonts w:ascii="宋体" w:hAnsi="宋体" w:cs="宋体" w:eastAsia="宋体" w:hint="default"/>
                <w:spacing w:val="-2"/>
                <w:sz w:val="18"/>
                <w:szCs w:val="18"/>
              </w:rPr>
              <w:t>年度金额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424"/>
        <w:gridCol w:w="3947"/>
        <w:gridCol w:w="4288"/>
      </w:tblGrid>
      <w:tr>
        <w:trPr>
          <w:trHeight w:val="547" w:hRule="exact"/>
        </w:trPr>
        <w:tc>
          <w:tcPr>
            <w:tcW w:w="142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4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-24,450.00</w:t>
            </w:r>
          </w:p>
        </w:tc>
      </w:tr>
      <w:tr>
        <w:trPr>
          <w:trHeight w:val="548" w:hRule="exact"/>
        </w:trPr>
        <w:tc>
          <w:tcPr>
            <w:tcW w:w="1424" w:type="dxa"/>
            <w:vMerge/>
            <w:tcBorders>
              <w:left w:val="single" w:sz="6" w:space="0" w:color="000000"/>
              <w:right w:val="single" w:sz="6" w:space="0" w:color="000000"/>
            </w:tcBorders>
            <w:shd w:val="clear" w:color="auto" w:fill="D9D9D9"/>
          </w:tcPr>
          <w:p>
            <w:pPr/>
          </w:p>
        </w:tc>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288" w:type="dxa"/>
            <w:tcBorders>
              <w:top w:val="single" w:sz="6" w:space="0" w:color="000000"/>
              <w:left w:val="single" w:sz="6" w:space="0" w:color="000000"/>
              <w:bottom w:val="single" w:sz="6" w:space="0" w:color="000000"/>
              <w:right w:val="single" w:sz="6" w:space="0" w:color="000000"/>
            </w:tcBorders>
          </w:tcPr>
          <w:p>
            <w:pPr/>
          </w:p>
        </w:tc>
      </w:tr>
      <w:tr>
        <w:trPr>
          <w:trHeight w:val="547" w:hRule="exact"/>
        </w:trPr>
        <w:tc>
          <w:tcPr>
            <w:tcW w:w="1424" w:type="dxa"/>
            <w:vMerge/>
            <w:tcBorders>
              <w:left w:val="single" w:sz="6" w:space="0" w:color="000000"/>
              <w:bottom w:val="single" w:sz="6" w:space="0" w:color="000000"/>
              <w:right w:val="single" w:sz="6" w:space="0" w:color="000000"/>
            </w:tcBorders>
            <w:shd w:val="clear" w:color="auto" w:fill="D9D9D9"/>
          </w:tcPr>
          <w:p>
            <w:pPr/>
          </w:p>
        </w:tc>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+24,450.00</w:t>
            </w:r>
          </w:p>
        </w:tc>
      </w:tr>
    </w:tbl>
    <w:p>
      <w:pPr>
        <w:pStyle w:val="BodyText"/>
        <w:spacing w:line="240" w:lineRule="auto" w:before="53"/>
        <w:ind w:left="513" w:right="0"/>
        <w:jc w:val="left"/>
      </w:pPr>
      <w:r>
        <w:rPr>
          <w:rFonts w:ascii="Times New Roman" w:hAnsi="Times New Roman" w:cs="Times New Roman" w:eastAsia="Times New Roman" w:hint="default"/>
          <w:spacing w:val="3"/>
        </w:rPr>
        <w:t>3</w:t>
      </w:r>
      <w:r>
        <w:rPr>
          <w:spacing w:val="3"/>
        </w:rPr>
        <w:t>）利润表中</w:t>
      </w:r>
      <w:r>
        <w:rPr>
          <w:rFonts w:ascii="Times New Roman" w:hAnsi="Times New Roman" w:cs="Times New Roman" w:eastAsia="Times New Roman" w:hint="default"/>
          <w:spacing w:val="3"/>
        </w:rPr>
        <w:t>“</w:t>
      </w:r>
      <w:r>
        <w:rPr>
          <w:spacing w:val="3"/>
        </w:rPr>
        <w:t>资产减值损失</w:t>
      </w:r>
      <w:r>
        <w:rPr>
          <w:rFonts w:ascii="Times New Roman" w:hAnsi="Times New Roman" w:cs="Times New Roman" w:eastAsia="Times New Roman" w:hint="default"/>
          <w:spacing w:val="3"/>
        </w:rPr>
        <w:t>”</w:t>
      </w:r>
      <w:r>
        <w:rPr>
          <w:spacing w:val="3"/>
        </w:rPr>
        <w:t>会计科目调整为</w:t>
      </w:r>
      <w:r>
        <w:rPr>
          <w:rFonts w:ascii="Times New Roman" w:hAnsi="Times New Roman" w:cs="Times New Roman" w:eastAsia="Times New Roman" w:hint="default"/>
          <w:spacing w:val="3"/>
        </w:rPr>
        <w:t>“</w:t>
      </w:r>
      <w:r>
        <w:rPr>
          <w:spacing w:val="3"/>
        </w:rPr>
        <w:t>资产减值损失（损失以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号填列）</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2018</w:t>
      </w:r>
      <w:r>
        <w:rPr>
          <w:spacing w:val="3"/>
        </w:rPr>
        <w:t>年年度合并资产减值损失</w:t>
      </w:r>
    </w:p>
    <w:p>
      <w:pPr>
        <w:pStyle w:val="BodyText"/>
        <w:spacing w:line="240" w:lineRule="auto" w:before="63"/>
        <w:ind w:right="0"/>
        <w:jc w:val="left"/>
      </w:pPr>
      <w:r>
        <w:rPr>
          <w:rFonts w:ascii="Times New Roman" w:hAnsi="Times New Roman" w:cs="Times New Roman" w:eastAsia="Times New Roman" w:hint="default"/>
        </w:rPr>
        <w:t>1,248,189.62</w:t>
      </w:r>
      <w:r>
        <w:rPr/>
        <w:t>元，调整为</w:t>
      </w:r>
      <w:r>
        <w:rPr>
          <w:rFonts w:ascii="Times New Roman" w:hAnsi="Times New Roman" w:cs="Times New Roman" w:eastAsia="Times New Roman" w:hint="default"/>
        </w:rPr>
        <w:t>-1,248,189.62</w:t>
      </w:r>
      <w:r>
        <w:rPr/>
        <w:t>元，母公司资产减值损失</w:t>
      </w:r>
      <w:r>
        <w:rPr>
          <w:rFonts w:ascii="Times New Roman" w:hAnsi="Times New Roman" w:cs="Times New Roman" w:eastAsia="Times New Roman" w:hint="default"/>
        </w:rPr>
        <w:t>1,044,342.60</w:t>
      </w:r>
      <w:r>
        <w:rPr/>
        <w:t>元，调整为</w:t>
      </w:r>
      <w:r>
        <w:rPr>
          <w:rFonts w:ascii="Times New Roman" w:hAnsi="Times New Roman" w:cs="Times New Roman" w:eastAsia="Times New Roman" w:hint="default"/>
        </w:rPr>
        <w:t>-1,044,342.60</w:t>
      </w:r>
      <w:r>
        <w:rPr/>
        <w:t>元。</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7"/>
          <w:szCs w:val="27"/>
        </w:rPr>
      </w:pPr>
    </w:p>
    <w:p>
      <w:pPr>
        <w:pStyle w:val="BodyText"/>
        <w:spacing w:line="338" w:lineRule="auto" w:before="0"/>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公司报告期无重大会计差错更正需追溯重述的情况。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8"/>
        <w:rPr>
          <w:rFonts w:ascii="宋体" w:hAnsi="宋体" w:cs="宋体" w:eastAsia="宋体" w:hint="default"/>
          <w:b/>
          <w:bCs/>
          <w:sz w:val="27"/>
          <w:szCs w:val="27"/>
        </w:rPr>
      </w:pPr>
    </w:p>
    <w:p>
      <w:pPr>
        <w:pStyle w:val="BodyText"/>
        <w:spacing w:line="328" w:lineRule="auto" w:before="0"/>
        <w:ind w:right="105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报告期内，公司子公司霍尔果斯民盛创业投资有限公司、仁东金融信息服务有限公司、民盛科技有限公司、民盛供应链管理</w:t>
      </w:r>
      <w:r>
        <w:rPr>
          <w:spacing w:val="41"/>
        </w:rPr>
        <w:t> </w:t>
      </w:r>
      <w:r>
        <w:rPr>
          <w:spacing w:val="41"/>
        </w:rPr>
      </w:r>
      <w:r>
        <w:rPr/>
        <w:t>有限公司已注销。</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t>现聘任的会计师事务所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中兴财光华会计师事务所（特殊普通合伙）</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150</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齐正华、王雅栋</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pStyle w:val="BodyText"/>
        <w:spacing w:line="240" w:lineRule="auto" w:before="53"/>
        <w:ind w:right="0"/>
        <w:jc w:val="left"/>
      </w:pPr>
      <w:r>
        <w:rPr>
          <w:spacing w:val="-3"/>
        </w:rPr>
        <w:t>当期是否改聘会计师事务所</w:t>
      </w:r>
    </w:p>
    <w:p>
      <w:pPr>
        <w:pStyle w:val="BodyText"/>
        <w:spacing w:line="338" w:lineRule="auto" w:before="120"/>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before="0"/>
        <w:ind w:right="69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after="0" w:line="338"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ind w:left="0" w:right="1146"/>
        <w:jc w:val="right"/>
      </w:pPr>
      <w:r>
        <w:rPr/>
        <w:pict>
          <v:shape style="position:absolute;margin-left:56.424pt;margin-top:-390.025269pt;width:479.25pt;height:480.1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1071"/>
                    <w:gridCol w:w="1249"/>
                    <w:gridCol w:w="941"/>
                    <w:gridCol w:w="1373"/>
                    <w:gridCol w:w="1249"/>
                    <w:gridCol w:w="1066"/>
                    <w:gridCol w:w="1061"/>
                  </w:tblGrid>
                  <w:tr>
                    <w:trPr>
                      <w:trHeight w:val="716"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686" w:right="79" w:hanging="600"/>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350" w:right="17" w:hanging="327"/>
                          <w:jc w:val="left"/>
                          <w:rPr>
                            <w:rFonts w:ascii="宋体" w:hAnsi="宋体" w:cs="宋体" w:eastAsia="宋体" w:hint="default"/>
                            <w:sz w:val="18"/>
                            <w:szCs w:val="18"/>
                          </w:rPr>
                        </w:pPr>
                        <w:r>
                          <w:rPr>
                            <w:rFonts w:ascii="宋体" w:hAnsi="宋体" w:cs="宋体" w:eastAsia="宋体" w:hint="default"/>
                            <w:spacing w:val="-13"/>
                            <w:sz w:val="18"/>
                            <w:szCs w:val="18"/>
                          </w:rPr>
                          <w:t>涉案金额（万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是否形成预计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83"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35" w:right="75" w:hanging="154"/>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审理</w:t>
                        </w:r>
                        <w:r>
                          <w:rPr>
                            <w:rFonts w:ascii="宋体" w:hAnsi="宋体" w:cs="宋体" w:eastAsia="宋体" w:hint="default"/>
                            <w:spacing w:val="-71"/>
                            <w:sz w:val="18"/>
                            <w:szCs w:val="18"/>
                          </w:rPr>
                          <w:t> </w:t>
                        </w:r>
                        <w:r>
                          <w:rPr>
                            <w:rFonts w:ascii="宋体" w:hAnsi="宋体" w:cs="宋体" w:eastAsia="宋体" w:hint="default"/>
                            <w:sz w:val="18"/>
                            <w:szCs w:val="18"/>
                          </w:rPr>
                          <w:t>结果及影响</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68" w:right="103" w:hanging="58"/>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w:t>
                        </w:r>
                        <w:r>
                          <w:rPr>
                            <w:rFonts w:ascii="宋体" w:hAnsi="宋体" w:cs="宋体" w:eastAsia="宋体" w:hint="default"/>
                            <w:spacing w:val="-76"/>
                            <w:sz w:val="18"/>
                            <w:szCs w:val="18"/>
                          </w:rPr>
                          <w:t> </w:t>
                        </w:r>
                        <w:r>
                          <w:rPr>
                            <w:rFonts w:ascii="宋体" w:hAnsi="宋体" w:cs="宋体" w:eastAsia="宋体" w:hint="default"/>
                            <w:sz w:val="18"/>
                            <w:szCs w:val="18"/>
                          </w:rPr>
                          <w:t>决执行情况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79"/>
                          <w:jc w:val="both"/>
                          <w:rPr>
                            <w:rFonts w:ascii="宋体" w:hAnsi="宋体" w:cs="宋体" w:eastAsia="宋体" w:hint="default"/>
                            <w:sz w:val="18"/>
                            <w:szCs w:val="18"/>
                          </w:rPr>
                        </w:pPr>
                        <w:r>
                          <w:rPr>
                            <w:rFonts w:ascii="宋体" w:hAnsi="宋体" w:cs="宋体" w:eastAsia="宋体" w:hint="default"/>
                            <w:spacing w:val="-2"/>
                            <w:sz w:val="18"/>
                            <w:szCs w:val="18"/>
                          </w:rPr>
                          <w:t>主要为子公司仁东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小贷与个人客户之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间借款合同纠纷</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70.58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该类诉讼普遍金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额较小，预计诉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讼结果不会对公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司造成重大影响</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主要为子公司仁东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小贷与个人客户之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间借款合同纠纷</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18.96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截止目前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裁决生效，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待执行</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对公司无重大影</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响</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截止目前裁决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生效，待执行</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79"/>
                          <w:jc w:val="both"/>
                          <w:rPr>
                            <w:rFonts w:ascii="宋体" w:hAnsi="宋体" w:cs="宋体" w:eastAsia="宋体" w:hint="default"/>
                            <w:sz w:val="18"/>
                            <w:szCs w:val="18"/>
                          </w:rPr>
                        </w:pPr>
                        <w:r>
                          <w:rPr>
                            <w:rFonts w:ascii="宋体" w:hAnsi="宋体" w:cs="宋体" w:eastAsia="宋体" w:hint="default"/>
                            <w:spacing w:val="-2"/>
                            <w:sz w:val="18"/>
                            <w:szCs w:val="18"/>
                          </w:rPr>
                          <w:t>主要为子公司合利</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宝作为第三方支付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平台，受商户牵连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引发诉讼</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660.04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目前国内尚未有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第三方支付公司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对该类诉讼承担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赔偿责任的判决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案例，因此预计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诉讼结果不会对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公司造成重大影</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响</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主要为子公司合利</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宝作为第三方支付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平台，受商户牵连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引发诉讼</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39.33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 w:right="180"/>
                          <w:jc w:val="left"/>
                          <w:rPr>
                            <w:rFonts w:ascii="宋体" w:hAnsi="宋体" w:cs="宋体" w:eastAsia="宋体" w:hint="default"/>
                            <w:sz w:val="18"/>
                            <w:szCs w:val="18"/>
                          </w:rPr>
                        </w:pPr>
                        <w:r>
                          <w:rPr>
                            <w:rFonts w:ascii="宋体" w:hAnsi="宋体" w:cs="宋体" w:eastAsia="宋体" w:hint="default"/>
                            <w:sz w:val="18"/>
                            <w:szCs w:val="18"/>
                          </w:rPr>
                          <w:t>对方已撤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诉</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 w:right="75"/>
                          <w:jc w:val="left"/>
                          <w:rPr>
                            <w:rFonts w:ascii="宋体" w:hAnsi="宋体" w:cs="宋体" w:eastAsia="宋体" w:hint="default"/>
                            <w:sz w:val="18"/>
                            <w:szCs w:val="18"/>
                          </w:rPr>
                        </w:pPr>
                        <w:r>
                          <w:rPr>
                            <w:rFonts w:ascii="宋体" w:hAnsi="宋体" w:cs="宋体" w:eastAsia="宋体" w:hint="default"/>
                            <w:spacing w:val="-3"/>
                            <w:sz w:val="18"/>
                            <w:szCs w:val="18"/>
                          </w:rPr>
                          <w:t>对公司无重大影</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响</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对方已撤诉</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公司支付现金购买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资产涉及尾款未付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清，债权人申请仲</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裁支付欠款</w:t>
                        </w:r>
                      </w:p>
                      <w:p>
                        <w:pPr>
                          <w:pStyle w:val="TableParagraph"/>
                          <w:spacing w:line="307" w:lineRule="auto" w:before="19"/>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15641.33 </w:t>
                        </w:r>
                        <w:r>
                          <w:rPr>
                            <w:rFonts w:ascii="宋体" w:hAnsi="宋体" w:cs="宋体" w:eastAsia="宋体" w:hint="default"/>
                            <w:sz w:val="18"/>
                            <w:szCs w:val="18"/>
                          </w:rPr>
                          <w:t>万元、逾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期违约金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5441.53</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2"/>
                            <w:sz w:val="18"/>
                            <w:szCs w:val="18"/>
                          </w:rPr>
                          <w:t>万元及其他相关费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用</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15,641.33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尚未审理</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 w:right="75"/>
                          <w:jc w:val="both"/>
                          <w:rPr>
                            <w:rFonts w:ascii="宋体" w:hAnsi="宋体" w:cs="宋体" w:eastAsia="宋体" w:hint="default"/>
                            <w:sz w:val="18"/>
                            <w:szCs w:val="18"/>
                          </w:rPr>
                        </w:pPr>
                        <w:r>
                          <w:rPr>
                            <w:rFonts w:ascii="宋体" w:hAnsi="宋体" w:cs="宋体" w:eastAsia="宋体" w:hint="default"/>
                            <w:spacing w:val="-3"/>
                            <w:sz w:val="18"/>
                            <w:szCs w:val="18"/>
                          </w:rPr>
                          <w:t>公司正与债权人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沟通协商，有序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推进交易尾款支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付，妥善处理此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次仲裁事项。</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尚未审理</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12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公告编号</w:t>
                        </w:r>
                      </w:p>
                      <w:p>
                        <w:pPr>
                          <w:pStyle w:val="TableParagraph"/>
                          <w:spacing w:line="240" w:lineRule="auto" w:before="66"/>
                          <w:ind w:left="24" w:right="0"/>
                          <w:jc w:val="left"/>
                          <w:rPr>
                            <w:rFonts w:ascii="Times New Roman" w:hAnsi="Times New Roman" w:cs="Times New Roman" w:eastAsia="Times New Roman" w:hint="default"/>
                            <w:sz w:val="18"/>
                            <w:szCs w:val="18"/>
                          </w:rPr>
                        </w:pPr>
                        <w:r>
                          <w:rPr>
                            <w:rFonts w:ascii="Times New Roman"/>
                            <w:sz w:val="18"/>
                          </w:rPr>
                          <w:t>2019-099</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26"/>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338" w:lineRule="auto" w:before="0"/>
        <w:ind w:right="69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before="0"/>
        <w:ind w:right="331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公司报告期无股权激励计划、员工持股计划或其他员工激励措施及其实施情况。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公司报告期未发生与日常经营相关的关联交易。</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43" w:lineRule="auto" w:before="0"/>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69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是否存在非经营性关联债权债务往来</w:t>
      </w:r>
    </w:p>
    <w:p>
      <w:pPr>
        <w:pStyle w:val="BodyText"/>
        <w:spacing w:line="338" w:lineRule="auto"/>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公司报告期不存在非经营性关联债权债务往来。</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left="513" w:right="1051"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宋体" w:hAnsi="宋体" w:cs="宋体" w:eastAsia="宋体" w:hint="default"/>
          <w:spacing w:val="-4"/>
        </w:rPr>
        <w:t>1.</w:t>
      </w:r>
      <w:r>
        <w:rPr>
          <w:spacing w:val="-4"/>
        </w:rPr>
        <w:t>向关联方借款暨关联交易事项：经公司第四届董事会第九次会议、</w:t>
      </w:r>
      <w:r>
        <w:rPr>
          <w:rFonts w:ascii="Times New Roman" w:hAnsi="Times New Roman" w:cs="Times New Roman" w:eastAsia="Times New Roman" w:hint="default"/>
          <w:spacing w:val="-4"/>
        </w:rPr>
        <w:t>2018</w:t>
      </w:r>
      <w:r>
        <w:rPr>
          <w:spacing w:val="-4"/>
        </w:rPr>
        <w:t>年度股东大会审议通过，公司拟向仁东信息借</w:t>
      </w:r>
    </w:p>
    <w:p>
      <w:pPr>
        <w:pStyle w:val="BodyText"/>
        <w:spacing w:line="230" w:lineRule="exact" w:before="0"/>
        <w:ind w:right="0"/>
        <w:jc w:val="left"/>
      </w:pPr>
      <w:r>
        <w:rPr>
          <w:spacing w:val="-3"/>
        </w:rPr>
        <w:t>款不超过</w:t>
      </w:r>
      <w:r>
        <w:rPr>
          <w:rFonts w:ascii="Times New Roman" w:hAnsi="Times New Roman" w:cs="Times New Roman" w:eastAsia="Times New Roman" w:hint="default"/>
          <w:spacing w:val="-3"/>
        </w:rPr>
        <w:t>300,000</w:t>
      </w:r>
      <w:r>
        <w:rPr>
          <w:spacing w:val="-3"/>
        </w:rPr>
        <w:t>万人民币，借款年利率不超过</w:t>
      </w:r>
      <w:r>
        <w:rPr>
          <w:rFonts w:ascii="Times New Roman" w:hAnsi="Times New Roman" w:cs="Times New Roman" w:eastAsia="Times New Roman" w:hint="default"/>
          <w:spacing w:val="-3"/>
        </w:rPr>
        <w:t>7.5%</w:t>
      </w:r>
      <w:r>
        <w:rPr>
          <w:spacing w:val="-3"/>
        </w:rPr>
        <w:t>，该借款主要用于公司经营、周转使用，支持公司对外投资项目，推进</w:t>
      </w:r>
    </w:p>
    <w:p>
      <w:pPr>
        <w:pStyle w:val="BodyText"/>
        <w:spacing w:line="319" w:lineRule="auto" w:before="63"/>
        <w:ind w:left="513" w:right="0" w:hanging="360"/>
        <w:jc w:val="left"/>
      </w:pPr>
      <w:r>
        <w:rPr>
          <w:spacing w:val="-3"/>
        </w:rPr>
        <w:t>产业转型升级，提升核心竞争力。</w:t>
      </w:r>
      <w:r>
        <w:rPr>
          <w:spacing w:val="-44"/>
        </w:rPr>
        <w:t> </w:t>
      </w:r>
      <w:r>
        <w:rPr>
          <w:spacing w:val="-44"/>
        </w:rPr>
      </w:r>
      <w:r>
        <w:rPr>
          <w:rFonts w:ascii="宋体" w:hAnsi="宋体" w:cs="宋体" w:eastAsia="宋体" w:hint="default"/>
          <w:spacing w:val="-4"/>
        </w:rPr>
        <w:t>2.</w:t>
      </w:r>
      <w:r>
        <w:rPr>
          <w:spacing w:val="-4"/>
        </w:rPr>
        <w:t>向海科金集团借款暨关联交易的事项：经公司第四届董事会第十三次会议、</w:t>
      </w:r>
      <w:r>
        <w:rPr>
          <w:rFonts w:ascii="Times New Roman" w:hAnsi="Times New Roman" w:cs="Times New Roman" w:eastAsia="Times New Roman" w:hint="default"/>
          <w:spacing w:val="-4"/>
        </w:rPr>
        <w:t>2019</w:t>
      </w:r>
      <w:r>
        <w:rPr>
          <w:spacing w:val="-4"/>
        </w:rPr>
        <w:t>年第二次临时股东大会审议通过，公</w:t>
      </w:r>
    </w:p>
    <w:p>
      <w:pPr>
        <w:pStyle w:val="BodyText"/>
        <w:spacing w:line="300" w:lineRule="auto" w:before="0"/>
        <w:ind w:right="0"/>
        <w:jc w:val="left"/>
      </w:pPr>
      <w:r>
        <w:rPr>
          <w:spacing w:val="-3"/>
        </w:rPr>
        <w:t>司及子公司拟在未来十二个月内，向海科金集团借款不超过</w:t>
      </w:r>
      <w:r>
        <w:rPr>
          <w:rFonts w:ascii="Times New Roman" w:hAnsi="Times New Roman" w:cs="Times New Roman" w:eastAsia="Times New Roman" w:hint="default"/>
          <w:spacing w:val="-3"/>
        </w:rPr>
        <w:t>10</w:t>
      </w:r>
      <w:r>
        <w:rPr>
          <w:spacing w:val="-3"/>
        </w:rPr>
        <w:t>亿元人民币，借款年利率不超过</w:t>
      </w:r>
      <w:r>
        <w:rPr>
          <w:rFonts w:ascii="Times New Roman" w:hAnsi="Times New Roman" w:cs="Times New Roman" w:eastAsia="Times New Roman" w:hint="default"/>
          <w:spacing w:val="-3"/>
        </w:rPr>
        <w:t>7.5%</w:t>
      </w:r>
      <w:r>
        <w:rPr>
          <w:spacing w:val="-3"/>
        </w:rPr>
        <w:t>，该借款主要用于公司</w:t>
      </w:r>
      <w:r>
        <w:rPr>
          <w:spacing w:val="74"/>
        </w:rPr>
        <w:t> </w:t>
      </w:r>
      <w:r>
        <w:rPr>
          <w:spacing w:val="74"/>
        </w:rPr>
      </w:r>
      <w:r>
        <w:rPr>
          <w:spacing w:val="-3"/>
        </w:rPr>
        <w:t>经营、周转使用，支持公司对外投资项目，推进产业转型升级，提升核心竞争力。</w:t>
      </w:r>
    </w:p>
    <w:p>
      <w:pPr>
        <w:pStyle w:val="BodyText"/>
        <w:spacing w:line="240" w:lineRule="auto" w:before="74"/>
        <w:ind w:right="0"/>
        <w:jc w:val="left"/>
      </w:pPr>
      <w:r>
        <w:rPr>
          <w:spacing w:val="-3"/>
        </w:rPr>
        <w:t>重大关联交易临时报告披露网站相关查询</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2650"/>
        <w:gridCol w:w="3457"/>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《关于向控股股东借款暨关联交易的公告》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hyperlink r:id="rId13">
              <w:r>
                <w:rPr>
                  <w:rFonts w:ascii="Times New Roman" w:hAnsi="Times New Roman" w:cs="Times New Roman" w:eastAsia="Times New Roman" w:hint="default"/>
                  <w:spacing w:val="-3"/>
                  <w:sz w:val="18"/>
                  <w:szCs w:val="18"/>
                </w:rPr>
                <w:t>http://www.cninfo.com.cn/</w:t>
              </w:r>
            </w:hyperlink>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《关于向海科金集团借款暨关联交易的公</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hyperlink r:id="rId13">
              <w:r>
                <w:rPr>
                  <w:rFonts w:ascii="Times New Roman" w:hAnsi="Times New Roman" w:cs="Times New Roman" w:eastAsia="Times New Roman" w:hint="default"/>
                  <w:spacing w:val="-3"/>
                  <w:sz w:val="18"/>
                  <w:szCs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2650"/>
        <w:gridCol w:w="3457"/>
      </w:tblGrid>
      <w:tr>
        <w:trPr>
          <w:trHeight w:val="360"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650" w:type="dxa"/>
            <w:tcBorders>
              <w:top w:val="single" w:sz="4" w:space="0" w:color="000000"/>
              <w:left w:val="single" w:sz="4" w:space="0" w:color="000000"/>
              <w:bottom w:val="single" w:sz="4" w:space="0" w:color="000000"/>
              <w:right w:val="single" w:sz="4" w:space="0" w:color="000000"/>
            </w:tcBorders>
          </w:tcPr>
          <w:p>
            <w:pPr/>
          </w:p>
        </w:tc>
        <w:tc>
          <w:tcPr>
            <w:tcW w:w="34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before="0"/>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公司报告期不存在租赁情况。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27"/>
        <w:gridCol w:w="922"/>
        <w:gridCol w:w="1296"/>
        <w:gridCol w:w="1066"/>
        <w:gridCol w:w="1037"/>
        <w:gridCol w:w="1047"/>
        <w:gridCol w:w="792"/>
        <w:gridCol w:w="778"/>
      </w:tblGrid>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0" w:right="89"/>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15" w:right="22"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9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06"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深圳前海民盛天宫供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应链管理有限公司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广东合利金融科技服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务有限公司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深圳前海合利商业保</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理有限公司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18,000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2017.11.8-20</w:t>
            </w:r>
          </w:p>
          <w:p>
            <w:pPr>
              <w:pStyle w:val="TableParagraph"/>
              <w:spacing w:line="240" w:lineRule="auto" w:before="109"/>
              <w:ind w:left="24" w:right="0"/>
              <w:jc w:val="left"/>
              <w:rPr>
                <w:rFonts w:ascii="Times New Roman" w:hAnsi="Times New Roman" w:cs="Times New Roman" w:eastAsia="Times New Roman" w:hint="default"/>
                <w:sz w:val="18"/>
                <w:szCs w:val="18"/>
              </w:rPr>
            </w:pPr>
            <w:r>
              <w:rPr>
                <w:rFonts w:ascii="Times New Roman"/>
                <w:sz w:val="18"/>
              </w:rPr>
              <w:t>21.11.7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15"/>
        <w:gridCol w:w="907"/>
        <w:gridCol w:w="929"/>
        <w:gridCol w:w="1308"/>
        <w:gridCol w:w="1046"/>
        <w:gridCol w:w="1048"/>
        <w:gridCol w:w="1052"/>
        <w:gridCol w:w="786"/>
        <w:gridCol w:w="783"/>
      </w:tblGrid>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7"/>
              <w:jc w:val="left"/>
              <w:rPr>
                <w:rFonts w:ascii="宋体" w:hAnsi="宋体" w:cs="宋体" w:eastAsia="宋体" w:hint="default"/>
                <w:sz w:val="18"/>
                <w:szCs w:val="18"/>
              </w:rPr>
            </w:pPr>
            <w:r>
              <w:rPr>
                <w:rFonts w:ascii="宋体" w:hAnsi="宋体" w:cs="宋体" w:eastAsia="宋体" w:hint="default"/>
                <w:spacing w:val="-3"/>
                <w:sz w:val="18"/>
                <w:szCs w:val="18"/>
              </w:rPr>
              <w:t>广州合利宝支付科技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7" w:right="-1"/>
              <w:jc w:val="left"/>
              <w:rPr>
                <w:rFonts w:ascii="Times New Roman" w:hAnsi="Times New Roman" w:cs="Times New Roman" w:eastAsia="Times New Roman" w:hint="default"/>
                <w:sz w:val="18"/>
                <w:szCs w:val="18"/>
              </w:rPr>
            </w:pPr>
            <w:r>
              <w:rPr>
                <w:rFonts w:ascii="Times New Roman"/>
                <w:sz w:val="18"/>
              </w:rPr>
              <w:t>15,000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9" w:right="94"/>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个月</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7"/>
              <w:jc w:val="left"/>
              <w:rPr>
                <w:rFonts w:ascii="宋体" w:hAnsi="宋体" w:cs="宋体" w:eastAsia="宋体" w:hint="default"/>
                <w:sz w:val="18"/>
                <w:szCs w:val="18"/>
              </w:rPr>
            </w:pPr>
            <w:r>
              <w:rPr>
                <w:rFonts w:ascii="宋体" w:hAnsi="宋体" w:cs="宋体" w:eastAsia="宋体" w:hint="default"/>
                <w:spacing w:val="-3"/>
                <w:sz w:val="18"/>
                <w:szCs w:val="18"/>
              </w:rPr>
              <w:t>广州仁东互联网小额</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贷款有限公司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40,000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民盛租赁有限公司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80,000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7"/>
              <w:jc w:val="left"/>
              <w:rPr>
                <w:rFonts w:ascii="宋体" w:hAnsi="宋体" w:cs="宋体" w:eastAsia="宋体" w:hint="default"/>
                <w:sz w:val="18"/>
                <w:szCs w:val="18"/>
              </w:rPr>
            </w:pPr>
            <w:r>
              <w:rPr>
                <w:rFonts w:ascii="宋体" w:hAnsi="宋体" w:cs="宋体" w:eastAsia="宋体" w:hint="default"/>
                <w:spacing w:val="-3"/>
                <w:sz w:val="18"/>
                <w:szCs w:val="18"/>
              </w:rPr>
              <w:t>北京仁东无双信息科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7"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300,000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75"/>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33,000</w:t>
            </w:r>
          </w:p>
        </w:tc>
      </w:tr>
      <w:tr>
        <w:trPr>
          <w:trHeight w:val="72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7"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300,000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75"/>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18,000</w:t>
            </w:r>
          </w:p>
        </w:tc>
      </w:tr>
      <w:tr>
        <w:trPr>
          <w:trHeight w:val="38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8"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5" w:right="85"/>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27" w:right="64"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8"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00"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3"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6" w:type="dxa"/>
            <w:vMerge/>
            <w:tcBorders>
              <w:left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4"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18"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7"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300,000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3" w:right="75"/>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33,000</w:t>
            </w:r>
          </w:p>
        </w:tc>
      </w:tr>
      <w:tr>
        <w:trPr>
          <w:trHeight w:val="713"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7"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300,000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75"/>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18,000</w:t>
            </w:r>
          </w:p>
        </w:tc>
      </w:tr>
      <w:tr>
        <w:trPr>
          <w:trHeight w:val="408"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1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18.22%</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1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3"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24"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1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3"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1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1"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1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0"/>
        <w:jc w:val="left"/>
      </w:pPr>
      <w:r>
        <w:rPr>
          <w:spacing w:val="-3"/>
        </w:rPr>
        <w:t>采用复合方式担保的具体情况说明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after="0" w:line="338"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公司报告期不存在委托理财。</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spacing w:val="-3"/>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97"/>
        <w:gridCol w:w="1460"/>
        <w:gridCol w:w="4513"/>
      </w:tblGrid>
      <w:tr>
        <w:trPr>
          <w:trHeight w:val="401"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597"/>
        <w:gridCol w:w="1460"/>
        <w:gridCol w:w="4513"/>
      </w:tblGrid>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3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3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三、所获奖项（内容、级别）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53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62" w:lineRule="auto" w:before="0"/>
        <w:ind w:right="5655"/>
        <w:jc w:val="left"/>
      </w:pPr>
      <w:r>
        <w:rPr>
          <w:spacing w:val="-3"/>
        </w:rPr>
        <w:t>上市公司及其子公司是否属于环境保护部门公布的重点排污单位</w:t>
      </w:r>
      <w:r>
        <w:rPr>
          <w:spacing w:val="-9"/>
        </w:rPr>
        <w:t> </w:t>
      </w:r>
      <w:r>
        <w:rPr>
          <w:spacing w:val="-9"/>
        </w:rPr>
      </w:r>
      <w:r>
        <w:rPr/>
        <w:t>否</w:t>
      </w:r>
    </w:p>
    <w:p>
      <w:pPr>
        <w:pStyle w:val="BodyText"/>
        <w:spacing w:line="240" w:lineRule="auto" w:before="18"/>
        <w:ind w:right="0"/>
        <w:jc w:val="left"/>
      </w:pPr>
      <w:r>
        <w:rPr/>
        <w:t>不适用</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513" w:right="0"/>
        <w:jc w:val="left"/>
      </w:pPr>
      <w:r>
        <w:rPr>
          <w:rFonts w:ascii="Times New Roman" w:hAnsi="Times New Roman" w:cs="Times New Roman" w:eastAsia="Times New Roman" w:hint="default"/>
          <w:spacing w:val="-3"/>
        </w:rPr>
        <w:t>1</w:t>
      </w:r>
      <w:r>
        <w:rPr>
          <w:spacing w:val="-3"/>
        </w:rPr>
        <w:t>、根据深圳证券交易所《关于新金融工具、收入准则执行时间的通知》，证监会、财政部要求境内上市公司自</w:t>
      </w:r>
      <w:r>
        <w:rPr>
          <w:rFonts w:ascii="Times New Roman" w:hAnsi="Times New Roman" w:cs="Times New Roman" w:eastAsia="Times New Roman" w:hint="default"/>
          <w:spacing w:val="-3"/>
        </w:rPr>
        <w:t>2019</w:t>
      </w:r>
      <w:r>
        <w:rPr>
          <w:spacing w:val="-3"/>
        </w:rPr>
        <w:t>年</w:t>
      </w:r>
    </w:p>
    <w:p>
      <w:pPr>
        <w:pStyle w:val="BodyText"/>
        <w:spacing w:line="300" w:lineRule="auto" w:before="63"/>
        <w:ind w:right="1122"/>
        <w:jc w:val="left"/>
      </w:pPr>
      <w:r>
        <w:rPr>
          <w:rFonts w:ascii="Times New Roman" w:hAnsi="Times New Roman" w:cs="Times New Roman" w:eastAsia="Times New Roman" w:hint="default"/>
          <w:spacing w:val="-4"/>
        </w:rPr>
        <w:t>01</w:t>
      </w:r>
      <w:r>
        <w:rPr>
          <w:spacing w:val="-4"/>
        </w:rPr>
        <w:t>月</w:t>
      </w:r>
      <w:r>
        <w:rPr>
          <w:rFonts w:ascii="Times New Roman" w:hAnsi="Times New Roman" w:cs="Times New Roman" w:eastAsia="Times New Roman" w:hint="default"/>
          <w:spacing w:val="-4"/>
        </w:rPr>
        <w:t>01</w:t>
      </w:r>
      <w:r>
        <w:rPr>
          <w:spacing w:val="-4"/>
        </w:rPr>
        <w:t>日起施行新金融工具准则。根据新金融工具会计准则的修订要求，公司对会计政策相关内容进行变更，该事项经公司</w:t>
      </w:r>
      <w:r>
        <w:rPr>
          <w:spacing w:val="52"/>
        </w:rPr>
        <w:t> </w:t>
      </w:r>
      <w:r>
        <w:rPr>
          <w:spacing w:val="52"/>
        </w:rPr>
      </w:r>
      <w:r>
        <w:rPr>
          <w:spacing w:val="-3"/>
        </w:rPr>
        <w:t>第四届董事会第九次会议审议通过。具体内容详见巨潮资讯网</w:t>
      </w:r>
      <w:r>
        <w:rPr>
          <w:rFonts w:ascii="Times New Roman" w:hAnsi="Times New Roman" w:cs="Times New Roman" w:eastAsia="Times New Roman" w:hint="default"/>
          <w:spacing w:val="-3"/>
        </w:rPr>
        <w:t>2019-031</w:t>
      </w:r>
      <w:r>
        <w:rPr>
          <w:spacing w:val="-3"/>
        </w:rPr>
        <w:t>号公告。</w:t>
      </w:r>
    </w:p>
    <w:p>
      <w:pPr>
        <w:pStyle w:val="BodyText"/>
        <w:spacing w:line="300" w:lineRule="auto" w:before="13"/>
        <w:ind w:right="1123" w:firstLine="360"/>
        <w:jc w:val="left"/>
      </w:pPr>
      <w:r>
        <w:rPr>
          <w:rFonts w:ascii="Times New Roman" w:hAnsi="Times New Roman" w:cs="Times New Roman" w:eastAsia="Times New Roman" w:hint="default"/>
          <w:spacing w:val="-4"/>
        </w:rPr>
        <w:t>2</w:t>
      </w:r>
      <w:r>
        <w:rPr>
          <w:spacing w:val="-4"/>
        </w:rPr>
        <w:t>、截止</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26</w:t>
      </w:r>
      <w:r>
        <w:rPr>
          <w:spacing w:val="-4"/>
        </w:rPr>
        <w:t>日，公司控股股东仁东信息与景华及其一致行动人表决权委托解除事宜，以及北京仁东协议受让和</w:t>
      </w:r>
      <w:r>
        <w:rPr>
          <w:w w:val="101"/>
        </w:rPr>
        <w:t> </w:t>
      </w:r>
      <w:r>
        <w:rPr>
          <w:spacing w:val="-3"/>
        </w:rPr>
        <w:t>柚技术所持有的本公司股份事宜实施完毕。具体内容详见巨潮资讯网</w:t>
      </w:r>
      <w:r>
        <w:rPr>
          <w:rFonts w:ascii="Times New Roman" w:hAnsi="Times New Roman" w:cs="Times New Roman" w:eastAsia="Times New Roman" w:hint="default"/>
          <w:spacing w:val="-3"/>
        </w:rPr>
        <w:t>2019-032</w:t>
      </w:r>
      <w:r>
        <w:rPr>
          <w:spacing w:val="-3"/>
        </w:rPr>
        <w:t>号公告。</w:t>
      </w:r>
    </w:p>
    <w:p>
      <w:pPr>
        <w:pStyle w:val="BodyText"/>
        <w:spacing w:line="300" w:lineRule="auto" w:before="13"/>
        <w:ind w:right="1133" w:firstLine="36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9</w:t>
      </w:r>
      <w:r>
        <w:rPr>
          <w:spacing w:val="-3"/>
        </w:rPr>
        <w:t>日，公司子公司合利宝续展《支付业务许可证》事宜，获得中国人民银行核准，具体内容详见巨潮资讯</w:t>
      </w:r>
      <w:r>
        <w:rPr>
          <w:w w:val="101"/>
        </w:rPr>
        <w:t> </w:t>
      </w:r>
      <w:r>
        <w:rPr/>
        <w:t>网</w:t>
      </w:r>
      <w:r>
        <w:rPr>
          <w:rFonts w:ascii="Times New Roman" w:hAnsi="Times New Roman" w:cs="Times New Roman" w:eastAsia="Times New Roman" w:hint="default"/>
        </w:rPr>
        <w:t>2019-046</w:t>
      </w:r>
      <w:r>
        <w:rPr/>
        <w:t>号公告。</w:t>
      </w:r>
    </w:p>
    <w:p>
      <w:pPr>
        <w:pStyle w:val="BodyText"/>
        <w:spacing w:line="240" w:lineRule="auto" w:before="13"/>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6"/>
        </w:rPr>
        <w:t>4</w:t>
      </w:r>
      <w:r>
        <w:rPr>
          <w:spacing w:val="-6"/>
        </w:rPr>
        <w:t>、</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31</w:t>
      </w:r>
      <w:r>
        <w:rPr>
          <w:spacing w:val="-6"/>
        </w:rPr>
        <w:t>日，公司发布《关于公司权益变动暨实际控制人变更的提示性公告》，具体内容详见巨潮资讯网</w:t>
      </w:r>
      <w:r>
        <w:rPr>
          <w:rFonts w:ascii="Times New Roman" w:hAnsi="Times New Roman" w:cs="Times New Roman" w:eastAsia="Times New Roman" w:hint="default"/>
          <w:spacing w:val="-6"/>
        </w:rPr>
        <w:t>2019-051</w:t>
      </w:r>
    </w:p>
    <w:p>
      <w:pPr>
        <w:pStyle w:val="BodyText"/>
        <w:spacing w:line="240" w:lineRule="auto" w:before="63"/>
        <w:ind w:right="0"/>
        <w:jc w:val="left"/>
      </w:pPr>
      <w:r>
        <w:rPr/>
        <w:t>号公告。</w:t>
      </w:r>
    </w:p>
    <w:p>
      <w:pPr>
        <w:pStyle w:val="BodyText"/>
        <w:spacing w:line="300" w:lineRule="auto" w:before="77"/>
        <w:ind w:right="0" w:firstLine="360"/>
        <w:jc w:val="left"/>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13</w:t>
      </w:r>
      <w:r>
        <w:rPr>
          <w:spacing w:val="-4"/>
        </w:rPr>
        <w:t>日，公司收到海科金集团发来的北京市海淀区人民政府国有资产监督管理委员会《关于同意海科金托管</w:t>
      </w:r>
      <w:r>
        <w:rPr>
          <w:w w:val="101"/>
        </w:rPr>
        <w:t> </w:t>
      </w:r>
      <w:r>
        <w:rPr>
          <w:spacing w:val="-2"/>
        </w:rPr>
        <w:t>上市公司股权方案的批复》（海国资发</w:t>
      </w:r>
      <w:r>
        <w:rPr>
          <w:rFonts w:ascii="Times New Roman" w:hAnsi="Times New Roman" w:cs="Times New Roman" w:eastAsia="Times New Roman" w:hint="default"/>
          <w:spacing w:val="-2"/>
        </w:rPr>
        <w:t>[2019]90</w:t>
      </w:r>
      <w:r>
        <w:rPr>
          <w:rFonts w:ascii="Times New Roman" w:hAnsi="Times New Roman" w:cs="Times New Roman" w:eastAsia="Times New Roman" w:hint="default"/>
        </w:rPr>
        <w:t>  </w:t>
      </w:r>
      <w:r>
        <w:rPr>
          <w:rFonts w:ascii="Times New Roman" w:hAnsi="Times New Roman" w:cs="Times New Roman" w:eastAsia="Times New Roman" w:hint="default"/>
          <w:spacing w:val="38"/>
        </w:rPr>
        <w:t> </w:t>
      </w:r>
      <w:r>
        <w:rPr>
          <w:spacing w:val="-2"/>
        </w:rPr>
        <w:t>号），具体内容详见巨潮资讯网</w:t>
      </w:r>
      <w:r>
        <w:rPr>
          <w:rFonts w:ascii="Times New Roman" w:hAnsi="Times New Roman" w:cs="Times New Roman" w:eastAsia="Times New Roman" w:hint="default"/>
          <w:spacing w:val="-2"/>
        </w:rPr>
        <w:t>2019-056</w:t>
      </w:r>
      <w:r>
        <w:rPr>
          <w:spacing w:val="-2"/>
        </w:rPr>
        <w:t>号公告。</w:t>
      </w:r>
    </w:p>
    <w:p>
      <w:pPr>
        <w:pStyle w:val="BodyText"/>
        <w:spacing w:line="300" w:lineRule="auto" w:before="13"/>
        <w:ind w:right="1127" w:firstLine="360"/>
        <w:jc w:val="both"/>
      </w:pP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14</w:t>
      </w:r>
      <w:r>
        <w:rPr>
          <w:spacing w:val="-3"/>
        </w:rPr>
        <w:t>日，公司收到国家市场监督管理总局出具的《经营者集中反垄断审查不实施进一步审查决定书》（反</w:t>
      </w:r>
      <w:r>
        <w:rPr>
          <w:w w:val="101"/>
        </w:rPr>
        <w:t> </w:t>
      </w:r>
      <w:r>
        <w:rPr>
          <w:spacing w:val="-3"/>
        </w:rPr>
        <w:t>垄断审查决定【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446 </w:t>
      </w:r>
      <w:r>
        <w:rPr>
          <w:spacing w:val="-4"/>
        </w:rPr>
        <w:t>号），自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15</w:t>
      </w:r>
      <w:r>
        <w:rPr>
          <w:spacing w:val="-4"/>
        </w:rPr>
        <w:t>日起，公司控股股东变更为海科金集团，实际控制人变更为北京市海淀区</w:t>
      </w:r>
      <w:r>
        <w:rPr>
          <w:spacing w:val="-72"/>
        </w:rPr>
        <w:t> </w:t>
      </w:r>
      <w:r>
        <w:rPr>
          <w:spacing w:val="-72"/>
        </w:rPr>
      </w:r>
      <w:r>
        <w:rPr>
          <w:spacing w:val="-3"/>
        </w:rPr>
        <w:t>国资委。具体内容详见巨潮资讯网</w:t>
      </w:r>
      <w:r>
        <w:rPr>
          <w:rFonts w:ascii="Times New Roman" w:hAnsi="Times New Roman" w:cs="Times New Roman" w:eastAsia="Times New Roman" w:hint="default"/>
          <w:spacing w:val="-3"/>
        </w:rPr>
        <w:t>2019-086</w:t>
      </w:r>
      <w:r>
        <w:rPr>
          <w:spacing w:val="-3"/>
        </w:rPr>
        <w:t>号公告。</w:t>
      </w:r>
    </w:p>
    <w:p>
      <w:pPr>
        <w:pStyle w:val="BodyText"/>
        <w:spacing w:line="240" w:lineRule="auto" w:before="13"/>
        <w:ind w:left="513"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7</w:t>
      </w:r>
      <w:r>
        <w:rPr>
          <w:spacing w:val="-87"/>
          <w:w w:val="101"/>
        </w:rPr>
        <w:t>、</w:t>
      </w:r>
      <w:r>
        <w:rPr>
          <w:w w:val="101"/>
        </w:rPr>
        <w:t>公</w:t>
      </w:r>
      <w:r>
        <w:rPr>
          <w:spacing w:val="-5"/>
          <w:w w:val="101"/>
        </w:rPr>
        <w:t>司</w:t>
      </w:r>
      <w:r>
        <w:rPr>
          <w:w w:val="101"/>
        </w:rPr>
        <w:t>收</w:t>
      </w:r>
      <w:r>
        <w:rPr>
          <w:spacing w:val="-5"/>
          <w:w w:val="101"/>
        </w:rPr>
        <w:t>到</w:t>
      </w:r>
      <w:r>
        <w:rPr>
          <w:w w:val="101"/>
        </w:rPr>
        <w:t>中</w:t>
      </w:r>
      <w:r>
        <w:rPr>
          <w:spacing w:val="-5"/>
          <w:w w:val="101"/>
        </w:rPr>
        <w:t>国</w:t>
      </w:r>
      <w:r>
        <w:rPr>
          <w:w w:val="101"/>
        </w:rPr>
        <w:t>国</w:t>
      </w:r>
      <w:r>
        <w:rPr>
          <w:spacing w:val="-5"/>
          <w:w w:val="101"/>
        </w:rPr>
        <w:t>际</w:t>
      </w:r>
      <w:r>
        <w:rPr>
          <w:w w:val="101"/>
        </w:rPr>
        <w:t>经</w:t>
      </w:r>
      <w:r>
        <w:rPr>
          <w:spacing w:val="-5"/>
          <w:w w:val="101"/>
        </w:rPr>
        <w:t>济</w:t>
      </w:r>
      <w:r>
        <w:rPr>
          <w:w w:val="101"/>
        </w:rPr>
        <w:t>贸</w:t>
      </w:r>
      <w:r>
        <w:rPr>
          <w:spacing w:val="-5"/>
          <w:w w:val="101"/>
        </w:rPr>
        <w:t>易</w:t>
      </w:r>
      <w:r>
        <w:rPr>
          <w:w w:val="101"/>
        </w:rPr>
        <w:t>仲</w:t>
      </w:r>
      <w:r>
        <w:rPr>
          <w:spacing w:val="-5"/>
          <w:w w:val="101"/>
        </w:rPr>
        <w:t>裁</w:t>
      </w:r>
      <w:r>
        <w:rPr>
          <w:w w:val="101"/>
        </w:rPr>
        <w:t>委</w:t>
      </w:r>
      <w:r>
        <w:rPr>
          <w:spacing w:val="-5"/>
          <w:w w:val="101"/>
        </w:rPr>
        <w:t>员</w:t>
      </w:r>
      <w:r>
        <w:rPr>
          <w:w w:val="101"/>
        </w:rPr>
        <w:t>会</w:t>
      </w:r>
      <w:r>
        <w:rPr>
          <w:spacing w:val="-5"/>
          <w:w w:val="101"/>
        </w:rPr>
        <w:t>送</w:t>
      </w:r>
      <w:r>
        <w:rPr>
          <w:w w:val="101"/>
        </w:rPr>
        <w:t>达</w:t>
      </w:r>
      <w:r>
        <w:rPr>
          <w:spacing w:val="-87"/>
          <w:w w:val="101"/>
        </w:rPr>
        <w:t>的</w:t>
      </w:r>
      <w:r>
        <w:rPr>
          <w:spacing w:val="-5"/>
          <w:w w:val="101"/>
        </w:rPr>
        <w:t>《</w:t>
      </w:r>
      <w:r>
        <w:rPr>
          <w:w w:val="101"/>
        </w:rPr>
        <w:t>仲</w:t>
      </w:r>
      <w:r>
        <w:rPr>
          <w:spacing w:val="-5"/>
          <w:w w:val="101"/>
        </w:rPr>
        <w:t>裁</w:t>
      </w:r>
      <w:r>
        <w:rPr>
          <w:w w:val="101"/>
        </w:rPr>
        <w:t>通</w:t>
      </w:r>
      <w:r>
        <w:rPr>
          <w:spacing w:val="-5"/>
          <w:w w:val="101"/>
        </w:rPr>
        <w:t>知</w:t>
      </w:r>
      <w:r>
        <w:rPr>
          <w:spacing w:val="-87"/>
          <w:w w:val="101"/>
        </w:rPr>
        <w:t>》及</w:t>
      </w:r>
      <w:r>
        <w:rPr>
          <w:w w:val="101"/>
        </w:rPr>
        <w:t>《</w:t>
      </w:r>
      <w:r>
        <w:rPr>
          <w:spacing w:val="-5"/>
          <w:w w:val="101"/>
        </w:rPr>
        <w:t>仲</w:t>
      </w:r>
      <w:r>
        <w:rPr>
          <w:w w:val="101"/>
        </w:rPr>
        <w:t>裁</w:t>
      </w:r>
      <w:r>
        <w:rPr>
          <w:spacing w:val="-5"/>
          <w:w w:val="101"/>
        </w:rPr>
        <w:t>申</w:t>
      </w:r>
      <w:r>
        <w:rPr>
          <w:w w:val="101"/>
        </w:rPr>
        <w:t>请</w:t>
      </w:r>
      <w:r>
        <w:rPr>
          <w:spacing w:val="-5"/>
          <w:w w:val="101"/>
        </w:rPr>
        <w:t>书</w:t>
      </w:r>
      <w:r>
        <w:rPr>
          <w:spacing w:val="-87"/>
          <w:w w:val="101"/>
        </w:rPr>
        <w:t>》</w:t>
      </w:r>
      <w:r>
        <w:rPr>
          <w:w w:val="101"/>
        </w:rPr>
        <w:t>等</w:t>
      </w:r>
      <w:r>
        <w:rPr>
          <w:spacing w:val="-5"/>
          <w:w w:val="101"/>
        </w:rPr>
        <w:t>文件</w:t>
      </w:r>
      <w:r>
        <w:rPr>
          <w:spacing w:val="-82"/>
          <w:w w:val="101"/>
        </w:rPr>
        <w:t>，</w:t>
      </w:r>
      <w:r>
        <w:rPr>
          <w:spacing w:val="-5"/>
          <w:w w:val="101"/>
        </w:rPr>
        <w:t>具</w:t>
      </w:r>
      <w:r>
        <w:rPr>
          <w:w w:val="101"/>
        </w:rPr>
        <w:t>体</w:t>
      </w:r>
      <w:r>
        <w:rPr>
          <w:spacing w:val="-5"/>
          <w:w w:val="101"/>
        </w:rPr>
        <w:t>内</w:t>
      </w:r>
      <w:r>
        <w:rPr>
          <w:w w:val="101"/>
        </w:rPr>
        <w:t>容</w:t>
      </w:r>
      <w:r>
        <w:rPr>
          <w:spacing w:val="-5"/>
          <w:w w:val="101"/>
        </w:rPr>
        <w:t>详</w:t>
      </w:r>
      <w:r>
        <w:rPr>
          <w:w w:val="101"/>
        </w:rPr>
        <w:t>见</w:t>
      </w:r>
      <w:r>
        <w:rPr>
          <w:spacing w:val="-5"/>
          <w:w w:val="101"/>
        </w:rPr>
        <w:t>巨</w:t>
      </w:r>
      <w:r>
        <w:rPr>
          <w:w w:val="101"/>
        </w:rPr>
        <w:t>潮</w:t>
      </w:r>
      <w:r>
        <w:rPr>
          <w:spacing w:val="-5"/>
          <w:w w:val="101"/>
        </w:rPr>
        <w:t>资</w:t>
      </w:r>
      <w:r>
        <w:rPr>
          <w:w w:val="101"/>
        </w:rPr>
        <w:t>讯</w:t>
      </w:r>
      <w:r>
        <w:rPr>
          <w:spacing w:val="-3"/>
          <w:w w:val="101"/>
        </w:rPr>
        <w:t>网</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w w:val="101"/>
        </w:rPr>
        <w:t>9</w:t>
      </w:r>
      <w:r>
        <w:rPr>
          <w:rFonts w:ascii="Times New Roman" w:hAnsi="Times New Roman" w:cs="Times New Roman" w:eastAsia="Times New Roman" w:hint="default"/>
        </w:rPr>
      </w:r>
    </w:p>
    <w:p>
      <w:pPr>
        <w:pStyle w:val="BodyText"/>
        <w:spacing w:line="240" w:lineRule="auto" w:before="63"/>
        <w:ind w:right="0"/>
        <w:jc w:val="left"/>
      </w:pPr>
      <w:r>
        <w:rPr/>
        <w:t>号公告。</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97"/>
        <w:ind w:left="513" w:right="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9</w:t>
      </w:r>
      <w:r>
        <w:rPr>
          <w:spacing w:val="-3"/>
        </w:rPr>
        <w:t>日，公司子公司合利宝续展《支付业务许可证》事宜，获得中国人民银行核准，具体内容详见巨潮资讯网</w:t>
      </w:r>
    </w:p>
    <w:p>
      <w:pPr>
        <w:pStyle w:val="BodyText"/>
        <w:spacing w:line="240" w:lineRule="auto" w:before="63"/>
        <w:ind w:right="0"/>
        <w:jc w:val="left"/>
      </w:pPr>
      <w:r>
        <w:rPr>
          <w:rFonts w:ascii="Times New Roman" w:hAnsi="Times New Roman" w:cs="Times New Roman" w:eastAsia="Times New Roman" w:hint="default"/>
        </w:rPr>
        <w:t>2019-046</w:t>
      </w:r>
      <w:r>
        <w:rPr/>
        <w:t>号公告。</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right="0"/>
        <w:jc w:val="left"/>
        <w:rPr>
          <w:b w:val="0"/>
          <w:bCs w:val="0"/>
        </w:rPr>
      </w:pPr>
      <w:bookmarkStart w:name="第六节股份变动及股东情况" w:id="106"/>
      <w:bookmarkEnd w:id="106"/>
      <w:r>
        <w:rPr>
          <w:b w:val="0"/>
          <w:bCs w:val="0"/>
        </w:rPr>
      </w:r>
      <w:bookmarkStart w:name="_bookmark5" w:id="107"/>
      <w:bookmarkEnd w:id="107"/>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28"/>
        <w:gridCol w:w="821"/>
        <w:gridCol w:w="826"/>
        <w:gridCol w:w="821"/>
        <w:gridCol w:w="826"/>
        <w:gridCol w:w="821"/>
        <w:gridCol w:w="821"/>
        <w:gridCol w:w="821"/>
        <w:gridCol w:w="797"/>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28" w:type="dxa"/>
            <w:vMerge w:val="restart"/>
            <w:tcBorders>
              <w:top w:val="nil" w:sz="6" w:space="0" w:color="auto"/>
              <w:left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7" w:right="36" w:hanging="270"/>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28" w:type="dxa"/>
            <w:vMerge/>
            <w:tcBorders>
              <w:left w:val="single" w:sz="4" w:space="0" w:color="000000"/>
              <w:bottom w:val="nil" w:sz="6" w:space="0" w:color="auto"/>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28" w:type="dxa"/>
            <w:vMerge w:val="restart"/>
            <w:tcBorders>
              <w:top w:val="nil" w:sz="6" w:space="0" w:color="auto"/>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559,936,6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50</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559,936,6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559,936,6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50</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559,936,6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r>
      <w:tr>
        <w:trPr>
          <w:trHeight w:val="389"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559,936,6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50</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559,936,6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r>
      <w:tr>
        <w:trPr>
          <w:trHeight w:val="389"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4"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股份变动的原因</w:t>
      </w:r>
    </w:p>
    <w:p>
      <w:pPr>
        <w:pStyle w:val="BodyText"/>
        <w:spacing w:line="343" w:lineRule="auto" w:before="115"/>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股份变动的批准情况</w:t>
      </w:r>
    </w:p>
    <w:p>
      <w:pPr>
        <w:pStyle w:val="BodyText"/>
        <w:spacing w:line="338" w:lineRule="auto" w:before="37"/>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股份变动的过户情况</w:t>
      </w:r>
    </w:p>
    <w:p>
      <w:pPr>
        <w:pStyle w:val="BodyText"/>
        <w:spacing w:line="338"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股份回购的实施进展情况</w:t>
      </w:r>
    </w:p>
    <w:p>
      <w:pPr>
        <w:pStyle w:val="BodyText"/>
        <w:spacing w:line="343" w:lineRule="auto" w:before="41"/>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38" w:lineRule="auto" w:before="38"/>
        <w:ind w:right="105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公司认为必要或证券监管机构要求披露的其他内容</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743"/>
        <w:gridCol w:w="832"/>
        <w:gridCol w:w="341"/>
        <w:gridCol w:w="451"/>
        <w:gridCol w:w="753"/>
        <w:gridCol w:w="870"/>
        <w:gridCol w:w="320"/>
        <w:gridCol w:w="1034"/>
        <w:gridCol w:w="140"/>
        <w:gridCol w:w="1205"/>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9,647</w:t>
            </w:r>
          </w:p>
        </w:tc>
        <w:tc>
          <w:tcPr>
            <w:tcW w:w="1221" w:type="dxa"/>
            <w:gridSpan w:val="2"/>
            <w:vMerge w:val="restart"/>
            <w:tcBorders>
              <w:top w:val="single" w:sz="4" w:space="0" w:color="000000"/>
              <w:left w:val="single" w:sz="4" w:space="0" w:color="000000"/>
              <w:right w:val="single" w:sz="4" w:space="0" w:color="000000"/>
            </w:tcBorders>
            <w:shd w:val="clear" w:color="auto" w:fill="D2D2D2"/>
          </w:tcPr>
          <w:p>
            <w:pPr/>
          </w:p>
        </w:tc>
        <w:tc>
          <w:tcPr>
            <w:tcW w:w="1173"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8" w:right="0"/>
              <w:jc w:val="left"/>
              <w:rPr>
                <w:rFonts w:ascii="Times New Roman" w:hAnsi="Times New Roman" w:cs="Times New Roman" w:eastAsia="Times New Roman" w:hint="default"/>
                <w:sz w:val="18"/>
                <w:szCs w:val="18"/>
              </w:rPr>
            </w:pPr>
            <w:r>
              <w:rPr>
                <w:rFonts w:ascii="Times New Roman"/>
                <w:sz w:val="18"/>
              </w:rPr>
              <w:t>5,622</w:t>
            </w:r>
          </w:p>
        </w:tc>
        <w:tc>
          <w:tcPr>
            <w:tcW w:w="12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9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9"/>
              <w:ind w:left="12" w:right="7"/>
              <w:jc w:val="both"/>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日前上一月末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表决权恢复的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数（如有）（参</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5"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59"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10" w:space="0" w:color="D2D2D2"/>
            </w:tcBorders>
          </w:tcPr>
          <w:p>
            <w:pPr/>
          </w:p>
        </w:tc>
        <w:tc>
          <w:tcPr>
            <w:tcW w:w="1221" w:type="dxa"/>
            <w:gridSpan w:val="2"/>
            <w:vMerge/>
            <w:tcBorders>
              <w:left w:val="single" w:sz="4" w:space="0" w:color="000000"/>
              <w:bottom w:val="nil" w:sz="6" w:space="0" w:color="auto"/>
              <w:right w:val="single" w:sz="4" w:space="0" w:color="000000"/>
            </w:tcBorders>
            <w:shd w:val="clear" w:color="auto" w:fill="D2D2D2"/>
          </w:tcPr>
          <w:p>
            <w:pPr/>
          </w:p>
        </w:tc>
        <w:tc>
          <w:tcPr>
            <w:tcW w:w="1173" w:type="dxa"/>
            <w:gridSpan w:val="2"/>
            <w:vMerge/>
            <w:tcBorders>
              <w:left w:val="single" w:sz="10" w:space="0" w:color="D2D2D2"/>
              <w:right w:val="single" w:sz="10" w:space="0" w:color="D2D2D2"/>
            </w:tcBorders>
          </w:tcPr>
          <w:p>
            <w:pPr/>
          </w:p>
        </w:tc>
        <w:tc>
          <w:tcPr>
            <w:tcW w:w="12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4" w:right="93"/>
              <w:jc w:val="both"/>
              <w:rPr>
                <w:rFonts w:ascii="宋体" w:hAnsi="宋体" w:cs="宋体" w:eastAsia="宋体" w:hint="default"/>
                <w:sz w:val="18"/>
                <w:szCs w:val="18"/>
              </w:rPr>
            </w:pPr>
            <w:r>
              <w:rPr>
                <w:rFonts w:ascii="宋体" w:hAnsi="宋体" w:cs="宋体" w:eastAsia="宋体" w:hint="default"/>
                <w:spacing w:val="-2"/>
                <w:sz w:val="18"/>
                <w:szCs w:val="18"/>
              </w:rPr>
              <w:t>报告期末表决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权恢复的优先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p>
            <w:pPr>
              <w:pStyle w:val="TableParagraph"/>
              <w:spacing w:line="321" w:lineRule="auto" w:before="20"/>
              <w:ind w:left="14" w:right="35"/>
              <w:jc w:val="both"/>
              <w:rPr>
                <w:rFonts w:ascii="宋体" w:hAnsi="宋体" w:cs="宋体" w:eastAsia="宋体" w:hint="default"/>
                <w:sz w:val="18"/>
                <w:szCs w:val="18"/>
              </w:rPr>
            </w:pPr>
            <w:r>
              <w:rPr>
                <w:rFonts w:ascii="宋体" w:hAnsi="宋体" w:cs="宋体" w:eastAsia="宋体" w:hint="default"/>
                <w:spacing w:val="-20"/>
                <w:w w:val="101"/>
                <w:sz w:val="18"/>
                <w:szCs w:val="18"/>
              </w:rPr>
              <w:t>（如有）（参见</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10" w:space="0" w:color="D2D2D2"/>
            </w:tcBorders>
          </w:tcPr>
          <w:p>
            <w:pPr/>
          </w:p>
        </w:tc>
        <w:tc>
          <w:tcPr>
            <w:tcW w:w="12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1" w:right="112"/>
              <w:jc w:val="both"/>
              <w:rPr>
                <w:rFonts w:ascii="宋体" w:hAnsi="宋体" w:cs="宋体" w:eastAsia="宋体" w:hint="default"/>
                <w:sz w:val="18"/>
                <w:szCs w:val="18"/>
              </w:rPr>
            </w:pPr>
            <w:r>
              <w:rPr>
                <w:rFonts w:ascii="宋体" w:hAnsi="宋体" w:cs="宋体" w:eastAsia="宋体" w:hint="default"/>
                <w:spacing w:val="-2"/>
                <w:sz w:val="18"/>
                <w:szCs w:val="18"/>
              </w:rPr>
              <w:t>年度报告披露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日前上一月末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73" w:type="dxa"/>
            <w:gridSpan w:val="2"/>
            <w:vMerge/>
            <w:tcBorders>
              <w:left w:val="single" w:sz="10" w:space="0" w:color="D2D2D2"/>
              <w:right w:val="single" w:sz="10"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701"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08" w:type="dxa"/>
            <w:gridSpan w:val="2"/>
            <w:vMerge/>
            <w:tcBorders>
              <w:left w:val="single" w:sz="10" w:space="0" w:color="D2D2D2"/>
              <w:right w:val="single" w:sz="10" w:space="0" w:color="D2D2D2"/>
            </w:tcBorders>
          </w:tcPr>
          <w:p>
            <w:pPr/>
          </w:p>
        </w:tc>
        <w:tc>
          <w:tcPr>
            <w:tcW w:w="1221" w:type="dxa"/>
            <w:gridSpan w:val="2"/>
            <w:vMerge/>
            <w:tcBorders>
              <w:left w:val="single" w:sz="4" w:space="0" w:color="000000"/>
              <w:right w:val="single" w:sz="4" w:space="0" w:color="000000"/>
            </w:tcBorders>
            <w:shd w:val="clear" w:color="auto" w:fill="D2D2D2"/>
          </w:tcPr>
          <w:p>
            <w:pPr/>
          </w:p>
        </w:tc>
        <w:tc>
          <w:tcPr>
            <w:tcW w:w="1173" w:type="dxa"/>
            <w:gridSpan w:val="2"/>
            <w:vMerge/>
            <w:tcBorders>
              <w:left w:val="single" w:sz="10" w:space="0" w:color="D2D2D2"/>
              <w:right w:val="single" w:sz="10"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10" w:space="0" w:color="D2D2D2"/>
            </w:tcBorders>
          </w:tcPr>
          <w:p>
            <w:pPr/>
          </w:p>
        </w:tc>
        <w:tc>
          <w:tcPr>
            <w:tcW w:w="1221" w:type="dxa"/>
            <w:gridSpan w:val="2"/>
            <w:vMerge/>
            <w:tcBorders>
              <w:left w:val="single" w:sz="4" w:space="0" w:color="000000"/>
              <w:bottom w:val="nil" w:sz="6" w:space="0" w:color="auto"/>
              <w:right w:val="single" w:sz="4" w:space="0" w:color="000000"/>
            </w:tcBorders>
            <w:shd w:val="clear" w:color="auto" w:fill="D2D2D2"/>
          </w:tcPr>
          <w:p>
            <w:pPr/>
          </w:p>
        </w:tc>
        <w:tc>
          <w:tcPr>
            <w:tcW w:w="1173" w:type="dxa"/>
            <w:gridSpan w:val="2"/>
            <w:vMerge/>
            <w:tcBorders>
              <w:left w:val="single" w:sz="10" w:space="0" w:color="D2D2D2"/>
              <w:right w:val="single" w:sz="10"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10" w:space="0" w:color="D2D2D2"/>
            </w:tcBorders>
          </w:tcPr>
          <w:p>
            <w:pPr/>
          </w:p>
        </w:tc>
        <w:tc>
          <w:tcPr>
            <w:tcW w:w="1221" w:type="dxa"/>
            <w:gridSpan w:val="2"/>
            <w:vMerge w:val="restart"/>
            <w:tcBorders>
              <w:top w:val="nil" w:sz="6" w:space="0" w:color="auto"/>
              <w:left w:val="single" w:sz="4" w:space="0" w:color="000000"/>
              <w:right w:val="single" w:sz="4" w:space="0" w:color="000000"/>
            </w:tcBorders>
            <w:shd w:val="clear" w:color="auto" w:fill="D2D2D2"/>
          </w:tcPr>
          <w:p>
            <w:pPr/>
          </w:p>
        </w:tc>
        <w:tc>
          <w:tcPr>
            <w:tcW w:w="1173" w:type="dxa"/>
            <w:gridSpan w:val="2"/>
            <w:vMerge/>
            <w:tcBorders>
              <w:left w:val="single" w:sz="10" w:space="0" w:color="D2D2D2"/>
              <w:right w:val="single" w:sz="10" w:space="0" w:color="D2D2D2"/>
            </w:tcBorders>
          </w:tcPr>
          <w:p>
            <w:pPr/>
          </w:p>
        </w:tc>
        <w:tc>
          <w:tcPr>
            <w:tcW w:w="1204" w:type="dxa"/>
            <w:gridSpan w:val="2"/>
            <w:vMerge/>
            <w:tcBorders>
              <w:left w:val="single" w:sz="4" w:space="0" w:color="000000"/>
              <w:bottom w:val="nil" w:sz="6" w:space="0" w:color="auto"/>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16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10" w:space="0" w:color="D2D2D2"/>
            </w:tcBorders>
          </w:tcPr>
          <w:p>
            <w:pPr/>
          </w:p>
        </w:tc>
        <w:tc>
          <w:tcPr>
            <w:tcW w:w="1221" w:type="dxa"/>
            <w:gridSpan w:val="2"/>
            <w:vMerge/>
            <w:tcBorders>
              <w:left w:val="single" w:sz="4" w:space="0" w:color="000000"/>
              <w:bottom w:val="single" w:sz="4" w:space="0" w:color="000000"/>
              <w:right w:val="single" w:sz="4" w:space="0" w:color="000000"/>
            </w:tcBorders>
            <w:shd w:val="clear" w:color="auto" w:fill="D2D2D2"/>
          </w:tcPr>
          <w:p>
            <w:pPr/>
          </w:p>
        </w:tc>
        <w:tc>
          <w:tcPr>
            <w:tcW w:w="1173" w:type="dxa"/>
            <w:gridSpan w:val="2"/>
            <w:vMerge/>
            <w:tcBorders>
              <w:left w:val="single" w:sz="10" w:space="0" w:color="D2D2D2"/>
              <w:bottom w:val="single" w:sz="4" w:space="0" w:color="000000"/>
              <w:right w:val="single" w:sz="10" w:space="0" w:color="D2D2D2"/>
            </w:tcBorders>
          </w:tcPr>
          <w:p>
            <w:pPr/>
          </w:p>
        </w:tc>
        <w:tc>
          <w:tcPr>
            <w:tcW w:w="12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90" w:type="dxa"/>
            <w:gridSpan w:val="2"/>
            <w:vMerge/>
            <w:tcBorders>
              <w:left w:val="single" w:sz="10" w:space="0" w:color="D2D2D2"/>
              <w:bottom w:val="single" w:sz="4" w:space="0" w:color="000000"/>
              <w:right w:val="single" w:sz="13"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12" w:space="0" w:color="D2D2D2"/>
              <w:bottom w:val="single" w:sz="4" w:space="0" w:color="000000"/>
              <w:right w:val="single" w:sz="4" w:space="0" w:color="000000"/>
            </w:tcBorders>
          </w:tcPr>
          <w:p>
            <w:pPr/>
          </w:p>
        </w:tc>
      </w:tr>
      <w:tr>
        <w:trPr>
          <w:trHeight w:val="394"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8"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3" w:type="dxa"/>
            <w:vMerge w:val="restart"/>
            <w:tcBorders>
              <w:top w:val="single" w:sz="4" w:space="0" w:color="000000"/>
              <w:left w:val="single" w:sz="4" w:space="0" w:color="000000"/>
              <w:right w:val="single" w:sz="4" w:space="0" w:color="000000"/>
            </w:tcBorders>
            <w:shd w:val="clear" w:color="auto" w:fill="D2D2D2"/>
          </w:tcPr>
          <w:p>
            <w:pPr/>
          </w:p>
        </w:tc>
        <w:tc>
          <w:tcPr>
            <w:tcW w:w="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8" w:right="27"/>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c>
          <w:tcPr>
            <w:tcW w:w="7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8" w:right="-11"/>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87" w:right="45"/>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69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720"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4"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3" w:type="dxa"/>
            <w:vMerge/>
            <w:tcBorders>
              <w:left w:val="single" w:sz="4" w:space="0" w:color="000000"/>
              <w:bottom w:val="nil" w:sz="6" w:space="0" w:color="auto"/>
              <w:right w:val="single" w:sz="4" w:space="0" w:color="000000"/>
            </w:tcBorders>
            <w:shd w:val="clear" w:color="auto" w:fill="D2D2D2"/>
          </w:tcPr>
          <w:p>
            <w:pPr/>
          </w:p>
        </w:tc>
        <w:tc>
          <w:tcPr>
            <w:tcW w:w="8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73" w:right="21"/>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792" w:type="dxa"/>
            <w:gridSpan w:val="2"/>
            <w:vMerge/>
            <w:tcBorders>
              <w:left w:val="single" w:sz="4" w:space="0" w:color="000000"/>
              <w:right w:val="single" w:sz="4" w:space="0" w:color="000000"/>
            </w:tcBorders>
            <w:shd w:val="clear" w:color="auto" w:fill="D2D2D2"/>
          </w:tcPr>
          <w:p>
            <w:pPr/>
          </w:p>
        </w:tc>
        <w:tc>
          <w:tcPr>
            <w:tcW w:w="753"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2699"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2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2" w:type="dxa"/>
            <w:vMerge/>
            <w:tcBorders>
              <w:left w:val="single" w:sz="4" w:space="0" w:color="000000"/>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53"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2699"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3" w:type="dxa"/>
            <w:vMerge/>
            <w:tcBorders>
              <w:left w:val="single" w:sz="4" w:space="0" w:color="000000"/>
              <w:bottom w:val="nil" w:sz="6" w:space="0" w:color="auto"/>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53"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13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1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4"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3" w:type="dxa"/>
            <w:vMerge w:val="restart"/>
            <w:tcBorders>
              <w:top w:val="nil" w:sz="6" w:space="0" w:color="auto"/>
              <w:left w:val="single" w:sz="4" w:space="0" w:color="000000"/>
              <w:right w:val="single" w:sz="4" w:space="0" w:color="000000"/>
            </w:tcBorders>
            <w:shd w:val="clear" w:color="auto" w:fill="D2D2D2"/>
          </w:tcPr>
          <w:p>
            <w:pPr/>
          </w:p>
        </w:tc>
        <w:tc>
          <w:tcPr>
            <w:tcW w:w="832" w:type="dxa"/>
            <w:vMerge/>
            <w:tcBorders>
              <w:left w:val="single" w:sz="4" w:space="0" w:color="000000"/>
              <w:bottom w:val="nil" w:sz="6" w:space="0" w:color="auto"/>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53"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1354" w:type="dxa"/>
            <w:gridSpan w:val="2"/>
            <w:vMerge/>
            <w:tcBorders>
              <w:left w:val="single" w:sz="4" w:space="0" w:color="000000"/>
              <w:right w:val="single" w:sz="4" w:space="0" w:color="000000"/>
            </w:tcBorders>
            <w:shd w:val="clear" w:color="auto" w:fill="D2D2D2"/>
          </w:tcPr>
          <w:p>
            <w:pPr/>
          </w:p>
        </w:tc>
        <w:tc>
          <w:tcPr>
            <w:tcW w:w="1344" w:type="dxa"/>
            <w:gridSpan w:val="2"/>
            <w:vMerge/>
            <w:tcBorders>
              <w:left w:val="single" w:sz="4" w:space="0" w:color="000000"/>
              <w:right w:val="single" w:sz="4" w:space="0" w:color="000000"/>
            </w:tcBorders>
            <w:shd w:val="clear" w:color="auto" w:fill="D2D2D2"/>
          </w:tcPr>
          <w:p>
            <w:pPr/>
          </w:p>
        </w:tc>
      </w:tr>
      <w:tr>
        <w:trPr>
          <w:trHeight w:val="163"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3" w:type="dxa"/>
            <w:vMerge/>
            <w:tcBorders>
              <w:left w:val="single" w:sz="4" w:space="0" w:color="000000"/>
              <w:bottom w:val="single" w:sz="4" w:space="0" w:color="000000"/>
              <w:right w:val="single" w:sz="4" w:space="0" w:color="000000"/>
            </w:tcBorders>
            <w:shd w:val="clear" w:color="auto" w:fill="D2D2D2"/>
          </w:tcPr>
          <w:p>
            <w:pPr/>
          </w:p>
        </w:tc>
        <w:tc>
          <w:tcPr>
            <w:tcW w:w="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gridSpan w:val="2"/>
            <w:vMerge/>
            <w:tcBorders>
              <w:left w:val="single" w:sz="4" w:space="0" w:color="000000"/>
              <w:bottom w:val="single" w:sz="4" w:space="0" w:color="000000"/>
              <w:right w:val="single" w:sz="4" w:space="0" w:color="000000"/>
            </w:tcBorders>
            <w:shd w:val="clear" w:color="auto" w:fill="D2D2D2"/>
          </w:tcPr>
          <w:p>
            <w:pPr/>
          </w:p>
        </w:tc>
        <w:tc>
          <w:tcPr>
            <w:tcW w:w="753"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1354" w:type="dxa"/>
            <w:gridSpan w:val="2"/>
            <w:vMerge/>
            <w:tcBorders>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1"/>
              <w:jc w:val="left"/>
              <w:rPr>
                <w:rFonts w:ascii="宋体" w:hAnsi="宋体" w:cs="宋体" w:eastAsia="宋体" w:hint="default"/>
                <w:sz w:val="18"/>
                <w:szCs w:val="18"/>
              </w:rPr>
            </w:pPr>
            <w:r>
              <w:rPr>
                <w:rFonts w:ascii="宋体" w:hAnsi="宋体" w:cs="宋体" w:eastAsia="宋体" w:hint="default"/>
                <w:spacing w:val="-3"/>
                <w:sz w:val="18"/>
                <w:szCs w:val="18"/>
              </w:rPr>
              <w:t>北京仁东信息技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24.66%</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138,091,4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+71,216,1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38</w:t>
            </w:r>
          </w:p>
        </w:tc>
        <w:tc>
          <w:tcPr>
            <w:tcW w:w="75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138,091,4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91</w:t>
            </w:r>
          </w:p>
        </w:tc>
        <w:tc>
          <w:tcPr>
            <w:tcW w:w="1354"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102,448,330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1"/>
              <w:jc w:val="left"/>
              <w:rPr>
                <w:rFonts w:ascii="宋体" w:hAnsi="宋体" w:cs="宋体" w:eastAsia="宋体" w:hint="default"/>
                <w:sz w:val="18"/>
                <w:szCs w:val="18"/>
              </w:rPr>
            </w:pPr>
            <w:r>
              <w:rPr>
                <w:rFonts w:ascii="宋体" w:hAnsi="宋体" w:cs="宋体" w:eastAsia="宋体" w:hint="default"/>
                <w:spacing w:val="-3"/>
                <w:sz w:val="18"/>
                <w:szCs w:val="18"/>
              </w:rPr>
              <w:t>天津和柚技术有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12.37%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69,292,07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-89,441,7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77</w:t>
            </w:r>
          </w:p>
        </w:tc>
        <w:tc>
          <w:tcPr>
            <w:tcW w:w="75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69,292,07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67,882,012</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陈家荣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7.26%</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40,637,75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-2,822,48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5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40,637,75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32,818,824</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6"/>
                <w:sz w:val="18"/>
                <w:szCs w:val="18"/>
              </w:rPr>
              <w:t>仁东（天津）科技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5.27%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29,480,95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29,480,95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29,480,958</w:t>
            </w:r>
          </w:p>
        </w:tc>
      </w:tr>
      <w:tr>
        <w:trPr>
          <w:trHeight w:val="71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5.16%</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28,877,62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28,877,62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8,750,000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71"/>
              <w:jc w:val="both"/>
              <w:rPr>
                <w:rFonts w:ascii="宋体" w:hAnsi="宋体" w:cs="宋体" w:eastAsia="宋体" w:hint="default"/>
                <w:sz w:val="18"/>
                <w:szCs w:val="18"/>
              </w:rPr>
            </w:pPr>
            <w:r>
              <w:rPr>
                <w:rFonts w:ascii="宋体" w:hAnsi="宋体" w:cs="宋体" w:eastAsia="宋体" w:hint="default"/>
                <w:spacing w:val="-3"/>
                <w:sz w:val="18"/>
                <w:szCs w:val="18"/>
              </w:rPr>
              <w:t>阿拉山口市民众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创新股权投资有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限合伙企业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5.04%</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28,197,75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28,197,75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28,197,750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8"/>
        <w:gridCol w:w="787"/>
        <w:gridCol w:w="792"/>
        <w:gridCol w:w="783"/>
        <w:gridCol w:w="840"/>
        <w:gridCol w:w="1354"/>
        <w:gridCol w:w="1344"/>
      </w:tblGrid>
      <w:tr>
        <w:trPr>
          <w:trHeight w:val="134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重庆信三威投资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6"/>
                <w:sz w:val="18"/>
                <w:szCs w:val="18"/>
              </w:rPr>
              <w:t>咨询中心（有限合</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7"/>
                <w:sz w:val="18"/>
                <w:szCs w:val="18"/>
              </w:rPr>
              <w:t>伙）－润泽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号私</w:t>
            </w:r>
            <w:r>
              <w:rPr>
                <w:rFonts w:ascii="宋体" w:hAnsi="宋体" w:cs="宋体" w:eastAsia="宋体" w:hint="default"/>
                <w:spacing w:val="-87"/>
                <w:sz w:val="18"/>
                <w:szCs w:val="18"/>
              </w:rPr>
              <w:t> </w:t>
            </w:r>
            <w:r>
              <w:rPr>
                <w:rFonts w:ascii="宋体" w:hAnsi="宋体" w:cs="宋体" w:eastAsia="宋体" w:hint="default"/>
                <w:sz w:val="18"/>
                <w:szCs w:val="18"/>
              </w:rPr>
              <w:t>募基金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3.38%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18,934,55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-1,167,00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18,934,55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崇左中烁企业管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理咨询合伙企业</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15,280,26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+15,280,2</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62</w:t>
            </w:r>
          </w:p>
        </w:tc>
        <w:tc>
          <w:tcPr>
            <w:tcW w:w="783"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15,280,26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14,710,000</w:t>
            </w: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7,219,500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+2,021,10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7,219,500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阎金娥</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5,842,984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+5,842,98</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5,842,984</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w w:val="101"/>
                <w:sz w:val="18"/>
                <w:szCs w:val="18"/>
              </w:rPr>
              <w:t>成为前</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15"/>
                <w:w w:val="101"/>
                <w:sz w:val="18"/>
                <w:szCs w:val="18"/>
              </w:rPr>
              <w:t>名股东的情况（如有）（参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9"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58"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9" w:type="dxa"/>
            <w:gridSpan w:val="7"/>
            <w:vMerge w:val="restart"/>
            <w:tcBorders>
              <w:top w:val="single" w:sz="4" w:space="0" w:color="000000"/>
              <w:left w:val="single" w:sz="8" w:space="0" w:color="D2D2D2"/>
              <w:right w:val="single" w:sz="4" w:space="0" w:color="000000"/>
            </w:tcBorders>
          </w:tcPr>
          <w:p>
            <w:pPr>
              <w:pStyle w:val="TableParagraph"/>
              <w:spacing w:line="309" w:lineRule="auto" w:before="53"/>
              <w:ind w:left="19" w:right="18"/>
              <w:jc w:val="both"/>
              <w:rPr>
                <w:rFonts w:ascii="宋体" w:hAnsi="宋体" w:cs="宋体" w:eastAsia="宋体" w:hint="default"/>
                <w:sz w:val="18"/>
                <w:szCs w:val="18"/>
              </w:rPr>
            </w:pPr>
            <w:r>
              <w:rPr>
                <w:rFonts w:ascii="宋体" w:hAnsi="宋体" w:cs="宋体" w:eastAsia="宋体" w:hint="default"/>
                <w:spacing w:val="-4"/>
                <w:sz w:val="18"/>
                <w:szCs w:val="18"/>
              </w:rPr>
              <w:t>北京仁东信息技术有限公司与仁东（天津）科技有限公司系一致行动人。景华先生系</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重庆信三威投资咨询中心（有限合伙）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润泽 </w:t>
            </w: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号私募基金项下份额最终享有人。除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此之外，公司未知其他股东是否存在关联关系或一致行动关系。</w:t>
            </w:r>
          </w:p>
        </w:tc>
      </w:tr>
      <w:tr>
        <w:trPr>
          <w:trHeight w:val="70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24" w:right="142"/>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明</w:t>
            </w:r>
          </w:p>
        </w:tc>
        <w:tc>
          <w:tcPr>
            <w:tcW w:w="6689" w:type="dxa"/>
            <w:gridSpan w:val="7"/>
            <w:vMerge/>
            <w:tcBorders>
              <w:left w:val="single" w:sz="8" w:space="0" w:color="D2D2D2"/>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9" w:type="dxa"/>
            <w:gridSpan w:val="7"/>
            <w:vMerge/>
            <w:tcBorders>
              <w:left w:val="single" w:sz="8" w:space="0" w:color="D2D2D2"/>
              <w:bottom w:val="single" w:sz="4" w:space="0" w:color="000000"/>
              <w:right w:val="single" w:sz="4" w:space="0" w:color="000000"/>
            </w:tcBorders>
          </w:tcPr>
          <w:p>
            <w:pPr/>
          </w:p>
        </w:tc>
      </w:tr>
      <w:tr>
        <w:trPr>
          <w:trHeight w:val="396"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1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54" w:type="dxa"/>
            <w:vMerge/>
            <w:tcBorders>
              <w:left w:val="single" w:sz="4" w:space="0" w:color="000000"/>
              <w:bottom w:val="single" w:sz="4" w:space="0" w:color="000000"/>
              <w:right w:val="single" w:sz="4" w:space="0" w:color="000000"/>
            </w:tcBorders>
            <w:shd w:val="clear" w:color="auto" w:fill="D2D2D2"/>
          </w:tcPr>
          <w:p>
            <w:pPr/>
          </w:p>
        </w:tc>
        <w:tc>
          <w:tcPr>
            <w:tcW w:w="134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北京仁东信息技术有限公司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138,091,491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138,091,491</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天津和柚技术有限公司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69,292,070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69,292,070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陈家荣</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40,637,755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40,637,755</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仁东（天津）科技有限公司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29,480,958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29,480,958</w:t>
            </w:r>
          </w:p>
        </w:tc>
      </w:tr>
      <w:tr>
        <w:trPr>
          <w:trHeight w:val="398"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景华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28,877,624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28,877,624</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42"/>
              <w:jc w:val="left"/>
              <w:rPr>
                <w:rFonts w:ascii="宋体" w:hAnsi="宋体" w:cs="宋体" w:eastAsia="宋体" w:hint="default"/>
                <w:sz w:val="18"/>
                <w:szCs w:val="18"/>
              </w:rPr>
            </w:pPr>
            <w:r>
              <w:rPr>
                <w:rFonts w:ascii="宋体" w:hAnsi="宋体" w:cs="宋体" w:eastAsia="宋体" w:hint="default"/>
                <w:spacing w:val="-3"/>
                <w:sz w:val="18"/>
                <w:szCs w:val="18"/>
              </w:rPr>
              <w:t>阿拉山口市民众创新股权投资有限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合伙企业</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28,197,750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28,197,750</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2"/>
              <w:jc w:val="left"/>
              <w:rPr>
                <w:rFonts w:ascii="宋体" w:hAnsi="宋体" w:cs="宋体" w:eastAsia="宋体" w:hint="default"/>
                <w:sz w:val="18"/>
                <w:szCs w:val="18"/>
              </w:rPr>
            </w:pPr>
            <w:r>
              <w:rPr>
                <w:rFonts w:ascii="宋体" w:hAnsi="宋体" w:cs="宋体" w:eastAsia="宋体" w:hint="default"/>
                <w:spacing w:val="-3"/>
                <w:sz w:val="18"/>
                <w:szCs w:val="18"/>
              </w:rPr>
              <w:t>重庆信三威投资咨询中心（有限合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伙）－润泽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号私募基金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18,934,555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18,934,555</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6"/>
                <w:sz w:val="18"/>
                <w:szCs w:val="18"/>
              </w:rPr>
              <w:t>崇左中烁企业管理咨询合伙企业（有</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限合伙）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15,280,262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15,280,262</w:t>
            </w:r>
          </w:p>
        </w:tc>
      </w:tr>
      <w:tr>
        <w:trPr>
          <w:trHeight w:val="398"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7,219,500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7,219,500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阎金娥</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5,842,984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5,842,984</w:t>
            </w:r>
          </w:p>
        </w:tc>
      </w:tr>
      <w:tr>
        <w:trPr>
          <w:trHeight w:val="1340"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名无限售流通股股东之间，以</w:t>
            </w:r>
          </w:p>
          <w:p>
            <w:pPr>
              <w:pStyle w:val="TableParagraph"/>
              <w:spacing w:line="312"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名无限售流通股股东和前</w:t>
            </w:r>
            <w:r>
              <w:rPr>
                <w:rFonts w:ascii="宋体" w:hAnsi="宋体" w:cs="宋体" w:eastAsia="宋体" w:hint="default"/>
                <w:spacing w:val="-33"/>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名股东之间关联关系或一致行动的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说明</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9" w:lineRule="auto"/>
              <w:ind w:left="24" w:right="18"/>
              <w:jc w:val="both"/>
              <w:rPr>
                <w:rFonts w:ascii="宋体" w:hAnsi="宋体" w:cs="宋体" w:eastAsia="宋体" w:hint="default"/>
                <w:sz w:val="18"/>
                <w:szCs w:val="18"/>
              </w:rPr>
            </w:pPr>
            <w:r>
              <w:rPr>
                <w:rFonts w:ascii="宋体" w:hAnsi="宋体" w:cs="宋体" w:eastAsia="宋体" w:hint="default"/>
                <w:spacing w:val="-4"/>
                <w:sz w:val="18"/>
                <w:szCs w:val="18"/>
              </w:rPr>
              <w:t>北京仁东信息技术有限公司与仁东（天津）科技有限公司系一致行动人。景华先生系</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重庆信三威投资咨询中心（有限合伙）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润泽 </w:t>
            </w: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号私募基金项下份额最终享有人。除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此之外，公司未知其他股东是否存在关联关系或一致行动关系。</w:t>
            </w:r>
          </w:p>
        </w:tc>
      </w:tr>
      <w:tr>
        <w:trPr>
          <w:trHeight w:val="360"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名普通股股东参与融资融券业</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景华通过普通证券账户持有  </w:t>
            </w:r>
            <w:r>
              <w:rPr>
                <w:rFonts w:ascii="Times New Roman" w:hAnsi="Times New Roman" w:cs="Times New Roman" w:eastAsia="Times New Roman" w:hint="default"/>
                <w:sz w:val="18"/>
                <w:szCs w:val="18"/>
              </w:rPr>
              <w:t>8,750,000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股，通过国泰君安证券股份有限公司客户信用</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6689"/>
      </w:tblGrid>
      <w:tr>
        <w:trPr>
          <w:trHeight w:val="1921"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务</w:t>
            </w:r>
            <w:r>
              <w:rPr>
                <w:rFonts w:ascii="宋体" w:hAnsi="宋体" w:cs="宋体" w:eastAsia="宋体" w:hint="default"/>
                <w:spacing w:val="-5"/>
                <w:w w:val="101"/>
                <w:sz w:val="18"/>
                <w:szCs w:val="18"/>
              </w:rPr>
              <w:t>情</w:t>
            </w:r>
            <w:r>
              <w:rPr>
                <w:rFonts w:ascii="宋体" w:hAnsi="宋体" w:cs="宋体" w:eastAsia="宋体" w:hint="default"/>
                <w:w w:val="101"/>
                <w:sz w:val="18"/>
                <w:szCs w:val="18"/>
              </w:rPr>
              <w:t>况</w:t>
            </w:r>
            <w:r>
              <w:rPr>
                <w:rFonts w:ascii="宋体" w:hAnsi="宋体" w:cs="宋体" w:eastAsia="宋体" w:hint="default"/>
                <w:spacing w:val="-5"/>
                <w:w w:val="101"/>
                <w:sz w:val="18"/>
                <w:szCs w:val="18"/>
              </w:rPr>
              <w:t>说</w:t>
            </w:r>
            <w:r>
              <w:rPr>
                <w:rFonts w:ascii="宋体" w:hAnsi="宋体" w:cs="宋体" w:eastAsia="宋体" w:hint="default"/>
                <w:w w:val="101"/>
                <w:sz w:val="18"/>
                <w:szCs w:val="18"/>
              </w:rPr>
              <w:t>明</w:t>
            </w:r>
            <w:r>
              <w:rPr>
                <w:rFonts w:ascii="宋体" w:hAnsi="宋体" w:cs="宋体" w:eastAsia="宋体" w:hint="default"/>
                <w:spacing w:val="-5"/>
                <w:w w:val="101"/>
                <w:sz w:val="18"/>
                <w:szCs w:val="18"/>
              </w:rPr>
              <w:t>（</w:t>
            </w:r>
            <w:r>
              <w:rPr>
                <w:rFonts w:ascii="宋体" w:hAnsi="宋体" w:cs="宋体" w:eastAsia="宋体" w:hint="default"/>
                <w:w w:val="101"/>
                <w:sz w:val="18"/>
                <w:szCs w:val="18"/>
              </w:rPr>
              <w:t>如有</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参</w:t>
            </w:r>
            <w:r>
              <w:rPr>
                <w:rFonts w:ascii="宋体" w:hAnsi="宋体" w:cs="宋体" w:eastAsia="宋体" w:hint="default"/>
                <w:w w:val="101"/>
                <w:sz w:val="18"/>
                <w:szCs w:val="18"/>
              </w:rPr>
              <w:t>见注</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6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both"/>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20,127,624</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股，合计持股数量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28,877,624</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股，占公司总股本的</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5.16%</w:t>
            </w:r>
            <w:r>
              <w:rPr>
                <w:rFonts w:ascii="宋体" w:hAnsi="宋体" w:cs="宋体" w:eastAsia="宋体" w:hint="default"/>
                <w:spacing w:val="-5"/>
                <w:sz w:val="18"/>
                <w:szCs w:val="18"/>
              </w:rPr>
              <w:t>；王逑通过普通证券账户持有  </w:t>
            </w:r>
            <w:r>
              <w:rPr>
                <w:rFonts w:ascii="Times New Roman" w:hAnsi="Times New Roman" w:cs="Times New Roman" w:eastAsia="Times New Roman" w:hint="default"/>
                <w:sz w:val="18"/>
                <w:szCs w:val="18"/>
              </w:rPr>
              <w:t>1,612,700</w:t>
            </w:r>
            <w:r>
              <w:rPr>
                <w:rFonts w:ascii="Times New Roman" w:hAnsi="Times New Roman" w:cs="Times New Roman" w:eastAsia="Times New Roman" w:hint="default"/>
                <w:spacing w:val="19"/>
                <w:sz w:val="18"/>
                <w:szCs w:val="18"/>
              </w:rPr>
              <w:t> </w:t>
            </w:r>
            <w:r>
              <w:rPr>
                <w:rFonts w:ascii="宋体" w:hAnsi="宋体" w:cs="宋体" w:eastAsia="宋体" w:hint="default"/>
                <w:spacing w:val="-6"/>
                <w:sz w:val="18"/>
                <w:szCs w:val="18"/>
              </w:rPr>
              <w:t>股，通过申万宏源西部证券有限公司客</w:t>
            </w:r>
          </w:p>
          <w:p>
            <w:pPr>
              <w:pStyle w:val="TableParagraph"/>
              <w:spacing w:line="302" w:lineRule="auto" w:before="63"/>
              <w:ind w:left="24" w:right="17"/>
              <w:jc w:val="both"/>
              <w:rPr>
                <w:rFonts w:ascii="宋体" w:hAnsi="宋体" w:cs="宋体" w:eastAsia="宋体" w:hint="default"/>
                <w:sz w:val="18"/>
                <w:szCs w:val="18"/>
              </w:rPr>
            </w:pPr>
            <w:r>
              <w:rPr>
                <w:rFonts w:ascii="宋体" w:hAnsi="宋体" w:cs="宋体" w:eastAsia="宋体" w:hint="default"/>
                <w:sz w:val="18"/>
                <w:szCs w:val="18"/>
              </w:rPr>
              <w:t>户信用交易担保证券账户持有</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5,606,800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股，合计持股数量</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7,219,500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股，占公司总股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本的</w:t>
            </w:r>
            <w:r>
              <w:rPr>
                <w:rFonts w:ascii="宋体" w:hAnsi="宋体" w:cs="宋体" w:eastAsia="宋体" w:hint="default"/>
                <w:spacing w:val="-25"/>
                <w:sz w:val="18"/>
                <w:szCs w:val="18"/>
              </w:rPr>
              <w:t> </w:t>
            </w:r>
            <w:r>
              <w:rPr>
                <w:rFonts w:ascii="Times New Roman" w:hAnsi="Times New Roman" w:cs="Times New Roman" w:eastAsia="Times New Roman" w:hint="default"/>
                <w:spacing w:val="-5"/>
                <w:sz w:val="18"/>
                <w:szCs w:val="18"/>
              </w:rPr>
              <w:t>1.29%</w:t>
            </w:r>
            <w:r>
              <w:rPr>
                <w:rFonts w:ascii="宋体" w:hAnsi="宋体" w:cs="宋体" w:eastAsia="宋体" w:hint="default"/>
                <w:spacing w:val="-5"/>
                <w:sz w:val="18"/>
                <w:szCs w:val="18"/>
              </w:rPr>
              <w:t>；阎金娥通过普通证券账户持有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21,700</w:t>
            </w:r>
            <w:r>
              <w:rPr>
                <w:rFonts w:ascii="Times New Roman" w:hAnsi="Times New Roman" w:cs="Times New Roman" w:eastAsia="Times New Roman" w:hint="default"/>
                <w:spacing w:val="20"/>
                <w:sz w:val="18"/>
                <w:szCs w:val="18"/>
              </w:rPr>
              <w:t> </w:t>
            </w:r>
            <w:r>
              <w:rPr>
                <w:rFonts w:ascii="宋体" w:hAnsi="宋体" w:cs="宋体" w:eastAsia="宋体" w:hint="default"/>
                <w:spacing w:val="-6"/>
                <w:sz w:val="18"/>
                <w:szCs w:val="18"/>
              </w:rPr>
              <w:t>股，通过招商证券股份有限公司客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户信用交易担保证券账户持有</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5,821,284</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股，合计持股数量</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5,842,984</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股，占公司总股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1.04%</w:t>
            </w:r>
            <w:r>
              <w:rPr>
                <w:rFonts w:ascii="宋体" w:hAnsi="宋体" w:cs="宋体" w:eastAsia="宋体" w:hint="default"/>
                <w:sz w:val="18"/>
                <w:szCs w:val="18"/>
              </w:rPr>
              <w:t>。</w:t>
            </w:r>
          </w:p>
        </w:tc>
      </w:tr>
    </w:tbl>
    <w:p>
      <w:pPr>
        <w:pStyle w:val="BodyText"/>
        <w:spacing w:line="240" w:lineRule="auto" w:before="53"/>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before="0"/>
        <w:ind w:right="7919"/>
        <w:jc w:val="left"/>
      </w:pPr>
      <w:r>
        <w:rPr>
          <w:spacing w:val="-3"/>
        </w:rPr>
        <w:t>控股股东性质：地方国有控股</w:t>
      </w:r>
      <w:r>
        <w:rPr>
          <w:spacing w:val="-50"/>
        </w:rPr>
        <w:t> </w:t>
      </w:r>
      <w:r>
        <w:rPr>
          <w:spacing w:val="-50"/>
        </w:rPr>
      </w:r>
      <w:r>
        <w:rPr>
          <w:spacing w:val="-3"/>
        </w:rPr>
        <w:t>控股股东类型：法人</w:t>
      </w:r>
    </w:p>
    <w:tbl>
      <w:tblPr>
        <w:tblW w:w="0" w:type="auto"/>
        <w:jc w:val="left"/>
        <w:tblInd w:w="148" w:type="dxa"/>
        <w:tblLayout w:type="fixed"/>
        <w:tblCellMar>
          <w:top w:w="0" w:type="dxa"/>
          <w:left w:w="0" w:type="dxa"/>
          <w:bottom w:w="0" w:type="dxa"/>
          <w:right w:w="0" w:type="dxa"/>
        </w:tblCellMar>
        <w:tblLook w:val="01E0"/>
      </w:tblPr>
      <w:tblGrid>
        <w:gridCol w:w="1997"/>
        <w:gridCol w:w="1830"/>
        <w:gridCol w:w="1892"/>
        <w:gridCol w:w="1940"/>
        <w:gridCol w:w="1911"/>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821" w:right="70" w:hanging="749"/>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北京海淀科技金融资本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控股集团股份有限公司</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沈鹏</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911101085657827165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21"/>
              <w:jc w:val="left"/>
              <w:rPr>
                <w:rFonts w:ascii="宋体" w:hAnsi="宋体" w:cs="宋体" w:eastAsia="宋体" w:hint="default"/>
                <w:sz w:val="18"/>
                <w:szCs w:val="18"/>
              </w:rPr>
            </w:pPr>
            <w:r>
              <w:rPr>
                <w:rFonts w:ascii="宋体" w:hAnsi="宋体" w:cs="宋体" w:eastAsia="宋体" w:hint="default"/>
                <w:spacing w:val="-3"/>
                <w:sz w:val="18"/>
                <w:szCs w:val="18"/>
              </w:rPr>
              <w:t>投资与资产管理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理</w:t>
            </w:r>
            <w:r>
              <w:rPr>
                <w:rFonts w:ascii="Times New Roman" w:hAnsi="Times New Roman" w:cs="Times New Roman" w:eastAsia="Times New Roman" w:hint="default"/>
                <w:sz w:val="18"/>
                <w:szCs w:val="18"/>
              </w:rPr>
              <w:t>;</w:t>
            </w:r>
            <w:r>
              <w:rPr>
                <w:rFonts w:ascii="宋体" w:hAnsi="宋体" w:cs="宋体" w:eastAsia="宋体" w:hint="default"/>
                <w:sz w:val="18"/>
                <w:szCs w:val="18"/>
              </w:rPr>
              <w:t>经济信息咨询。</w:t>
            </w:r>
          </w:p>
        </w:tc>
      </w:tr>
      <w:tr>
        <w:trPr>
          <w:trHeight w:val="1028"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56"/>
              <w:jc w:val="both"/>
              <w:rPr>
                <w:rFonts w:ascii="宋体" w:hAnsi="宋体" w:cs="宋体" w:eastAsia="宋体" w:hint="default"/>
                <w:sz w:val="18"/>
                <w:szCs w:val="18"/>
              </w:rPr>
            </w:pPr>
            <w:r>
              <w:rPr>
                <w:rFonts w:ascii="宋体" w:hAnsi="宋体" w:cs="宋体" w:eastAsia="宋体" w:hint="default"/>
                <w:spacing w:val="-2"/>
                <w:sz w:val="18"/>
                <w:szCs w:val="18"/>
              </w:rPr>
              <w:t>控股股东报告期内控股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和参股的其他境内外上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市公司的股权情况</w:t>
            </w:r>
          </w:p>
        </w:tc>
        <w:tc>
          <w:tcPr>
            <w:tcW w:w="7572"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2" w:right="60"/>
              <w:jc w:val="left"/>
              <w:rPr>
                <w:rFonts w:ascii="宋体" w:hAnsi="宋体" w:cs="宋体" w:eastAsia="宋体" w:hint="default"/>
                <w:sz w:val="18"/>
                <w:szCs w:val="18"/>
              </w:rPr>
            </w:pPr>
            <w:r>
              <w:rPr>
                <w:rFonts w:ascii="宋体" w:hAnsi="宋体" w:cs="宋体" w:eastAsia="宋体" w:hint="default"/>
                <w:spacing w:val="-3"/>
                <w:sz w:val="18"/>
                <w:szCs w:val="18"/>
              </w:rPr>
              <w:t>通过上海碧空龙翔投资管理有限公司持有金一文化（</w:t>
            </w:r>
            <w:r>
              <w:rPr>
                <w:rFonts w:ascii="Times New Roman" w:hAnsi="Times New Roman" w:cs="Times New Roman" w:eastAsia="Times New Roman" w:hint="default"/>
                <w:spacing w:val="-3"/>
                <w:sz w:val="18"/>
                <w:szCs w:val="18"/>
              </w:rPr>
              <w:t>002721.SZ</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13.10%</w:t>
            </w:r>
            <w:r>
              <w:rPr>
                <w:rFonts w:ascii="宋体" w:hAnsi="宋体" w:cs="宋体" w:eastAsia="宋体" w:hint="default"/>
                <w:spacing w:val="-3"/>
                <w:sz w:val="18"/>
                <w:szCs w:val="18"/>
              </w:rPr>
              <w:t>的股份，通过北京海鑫</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资产管理有限公司持有金一文化（</w:t>
            </w:r>
            <w:r>
              <w:rPr>
                <w:rFonts w:ascii="Times New Roman" w:hAnsi="Times New Roman" w:cs="Times New Roman" w:eastAsia="Times New Roman" w:hint="default"/>
                <w:sz w:val="18"/>
                <w:szCs w:val="18"/>
              </w:rPr>
              <w:t>002721.SZ</w:t>
            </w:r>
            <w:r>
              <w:rPr>
                <w:rFonts w:ascii="宋体" w:hAnsi="宋体" w:cs="宋体" w:eastAsia="宋体" w:hint="default"/>
                <w:sz w:val="18"/>
                <w:szCs w:val="18"/>
              </w:rPr>
              <w:t>）</w:t>
            </w:r>
            <w:r>
              <w:rPr>
                <w:rFonts w:ascii="Times New Roman" w:hAnsi="Times New Roman" w:cs="Times New Roman" w:eastAsia="Times New Roman" w:hint="default"/>
                <w:sz w:val="18"/>
                <w:szCs w:val="18"/>
              </w:rPr>
              <w:t>6.37%</w:t>
            </w:r>
            <w:r>
              <w:rPr>
                <w:rFonts w:ascii="宋体" w:hAnsi="宋体" w:cs="宋体" w:eastAsia="宋体" w:hint="default"/>
                <w:sz w:val="18"/>
                <w:szCs w:val="18"/>
              </w:rPr>
              <w:t>的股份</w:t>
            </w:r>
          </w:p>
        </w:tc>
      </w:tr>
    </w:tbl>
    <w:p>
      <w:pPr>
        <w:pStyle w:val="BodyText"/>
        <w:spacing w:line="240" w:lineRule="auto" w:before="67"/>
        <w:ind w:right="0"/>
        <w:jc w:val="left"/>
      </w:pPr>
      <w:r>
        <w:rPr/>
        <w:t>控股股东报告期内变更</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新控股股东名称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北京海淀科技金融资本控股集团股份有限公司</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《关于收到国家市场监督管理总局</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经营者集中反垄断审查</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5"/>
                <w:sz w:val="18"/>
                <w:szCs w:val="18"/>
              </w:rPr>
              <w:t>不实施进一步审查决定书</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暨公司控股股东、实际控制人发生</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10"/>
                <w:w w:val="101"/>
                <w:sz w:val="18"/>
                <w:szCs w:val="18"/>
              </w:rPr>
              <w:t>变更的公告》（巨潮资讯网</w:t>
            </w:r>
            <w:r>
              <w:rPr>
                <w:rFonts w:ascii="宋体" w:hAnsi="宋体" w:cs="宋体" w:eastAsia="宋体" w:hint="default"/>
                <w:spacing w:val="5"/>
                <w:w w:val="101"/>
                <w:sz w:val="18"/>
                <w:szCs w:val="18"/>
              </w:rPr>
              <w:t> </w:t>
            </w:r>
            <w:r>
              <w:rPr>
                <w:rFonts w:ascii="宋体" w:hAnsi="宋体" w:cs="宋体" w:eastAsia="宋体" w:hint="default"/>
                <w:spacing w:val="-2"/>
                <w:w w:val="101"/>
                <w:sz w:val="18"/>
                <w:szCs w:val="18"/>
              </w:rPr>
              <w:t>公告编号：</w:t>
            </w:r>
            <w:r>
              <w:rPr>
                <w:rFonts w:ascii="Times New Roman" w:hAnsi="Times New Roman" w:cs="Times New Roman" w:eastAsia="Times New Roman" w:hint="default"/>
                <w:spacing w:val="-2"/>
                <w:w w:val="101"/>
                <w:sz w:val="18"/>
                <w:szCs w:val="18"/>
              </w:rPr>
              <w:t>2019-086</w:t>
            </w:r>
            <w:r>
              <w:rPr>
                <w:rFonts w:ascii="宋体" w:hAnsi="宋体" w:cs="宋体" w:eastAsia="宋体" w:hint="default"/>
                <w:spacing w:val="-2"/>
                <w:w w:val="101"/>
                <w:sz w:val="18"/>
                <w:szCs w:val="18"/>
              </w:rPr>
              <w:t>）</w:t>
            </w:r>
            <w:r>
              <w:rPr>
                <w:rFonts w:ascii="宋体" w:hAnsi="宋体" w:cs="宋体" w:eastAsia="宋体" w:hint="default"/>
                <w:spacing w:val="-2"/>
                <w:sz w:val="18"/>
                <w:szCs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287"/>
        <w:jc w:val="left"/>
      </w:pPr>
      <w:r>
        <w:rPr>
          <w:spacing w:val="-3"/>
        </w:rPr>
        <w:t>实际控制人性质：地方国资管理机构</w:t>
      </w:r>
      <w:r>
        <w:rPr>
          <w:spacing w:val="-39"/>
        </w:rPr>
        <w:t> </w:t>
      </w:r>
      <w:r>
        <w:rPr>
          <w:spacing w:val="-39"/>
        </w:rPr>
      </w:r>
      <w:r>
        <w:rPr/>
        <w:t>实际控制人类型：法人</w:t>
      </w:r>
    </w:p>
    <w:tbl>
      <w:tblPr>
        <w:tblW w:w="0" w:type="auto"/>
        <w:jc w:val="left"/>
        <w:tblInd w:w="148" w:type="dxa"/>
        <w:tblLayout w:type="fixed"/>
        <w:tblCellMar>
          <w:top w:w="0" w:type="dxa"/>
          <w:left w:w="0" w:type="dxa"/>
          <w:bottom w:w="0" w:type="dxa"/>
          <w:right w:w="0" w:type="dxa"/>
        </w:tblCellMar>
        <w:tblLook w:val="01E0"/>
      </w:tblPr>
      <w:tblGrid>
        <w:gridCol w:w="1997"/>
        <w:gridCol w:w="1835"/>
        <w:gridCol w:w="1892"/>
        <w:gridCol w:w="1935"/>
        <w:gridCol w:w="1911"/>
      </w:tblGrid>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pacing w:val="-3"/>
                <w:sz w:val="18"/>
                <w:szCs w:val="18"/>
              </w:rPr>
              <w:t>实际控制人名称</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821" w:right="70" w:hanging="74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北京市海淀区人民政府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国有资产监督管理委员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会</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魏开锋</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6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实际控制人报告期内控</w:t>
            </w:r>
          </w:p>
        </w:tc>
        <w:tc>
          <w:tcPr>
            <w:tcW w:w="7572"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pacing w:val="-3"/>
                <w:sz w:val="18"/>
                <w:szCs w:val="18"/>
              </w:rPr>
              <w:t>海淀区国资委通过北京翠微集团持有翠微股份（</w:t>
            </w:r>
            <w:r>
              <w:rPr>
                <w:rFonts w:ascii="Times New Roman" w:hAnsi="Times New Roman" w:cs="Times New Roman" w:eastAsia="Times New Roman" w:hint="default"/>
                <w:spacing w:val="-3"/>
                <w:sz w:val="18"/>
                <w:szCs w:val="18"/>
              </w:rPr>
              <w:t>603123.SH</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32.83%</w:t>
            </w:r>
            <w:r>
              <w:rPr>
                <w:rFonts w:ascii="宋体" w:hAnsi="宋体" w:cs="宋体" w:eastAsia="宋体" w:hint="default"/>
                <w:spacing w:val="-3"/>
                <w:sz w:val="18"/>
                <w:szCs w:val="18"/>
              </w:rPr>
              <w:t>的股份，通过北京市海淀区</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0" w:right="1131"/>
        <w:jc w:val="right"/>
      </w:pPr>
      <w:r>
        <w:rPr/>
        <w:pict>
          <v:shape style="position:absolute;margin-left:56.424pt;margin-top:-29.908289pt;width:479.25pt;height:112.1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7572"/>
                  </w:tblGrid>
                  <w:tr>
                    <w:trPr>
                      <w:trHeight w:val="223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56"/>
                          <w:jc w:val="left"/>
                          <w:rPr>
                            <w:rFonts w:ascii="宋体" w:hAnsi="宋体" w:cs="宋体" w:eastAsia="宋体" w:hint="default"/>
                            <w:sz w:val="18"/>
                            <w:szCs w:val="18"/>
                          </w:rPr>
                        </w:pPr>
                        <w:r>
                          <w:rPr>
                            <w:rFonts w:ascii="宋体" w:hAnsi="宋体" w:cs="宋体" w:eastAsia="宋体" w:hint="default"/>
                            <w:spacing w:val="-2"/>
                            <w:sz w:val="18"/>
                            <w:szCs w:val="18"/>
                          </w:rPr>
                          <w:t>制的其他境内外上市公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司的股权情况</w:t>
                        </w:r>
                      </w:p>
                    </w:tc>
                    <w:tc>
                      <w:tcPr>
                        <w:tcW w:w="75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 w:right="41"/>
                          <w:jc w:val="both"/>
                          <w:rPr>
                            <w:rFonts w:ascii="宋体" w:hAnsi="宋体" w:cs="宋体" w:eastAsia="宋体" w:hint="default"/>
                            <w:sz w:val="18"/>
                            <w:szCs w:val="18"/>
                          </w:rPr>
                        </w:pPr>
                        <w:r>
                          <w:rPr>
                            <w:rFonts w:ascii="宋体" w:hAnsi="宋体" w:cs="宋体" w:eastAsia="宋体" w:hint="default"/>
                            <w:spacing w:val="-3"/>
                            <w:sz w:val="18"/>
                            <w:szCs w:val="18"/>
                          </w:rPr>
                          <w:t>国有资本经营管理中心持有翠微股份（</w:t>
                        </w:r>
                        <w:r>
                          <w:rPr>
                            <w:rFonts w:ascii="Times New Roman" w:hAnsi="Times New Roman" w:cs="Times New Roman" w:eastAsia="Times New Roman" w:hint="default"/>
                            <w:spacing w:val="-3"/>
                            <w:sz w:val="18"/>
                            <w:szCs w:val="18"/>
                          </w:rPr>
                          <w:t>603123.SH</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29.71%</w:t>
                        </w:r>
                        <w:r>
                          <w:rPr>
                            <w:rFonts w:ascii="宋体" w:hAnsi="宋体" w:cs="宋体" w:eastAsia="宋体" w:hint="default"/>
                            <w:spacing w:val="-3"/>
                            <w:sz w:val="18"/>
                            <w:szCs w:val="18"/>
                          </w:rPr>
                          <w:t>的股份；通过北京海淀科技发展有限</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公司持有三聚环保（</w:t>
                        </w:r>
                        <w:r>
                          <w:rPr>
                            <w:rFonts w:ascii="Times New Roman" w:hAnsi="Times New Roman" w:cs="Times New Roman" w:eastAsia="Times New Roman" w:hint="default"/>
                            <w:spacing w:val="-3"/>
                            <w:sz w:val="18"/>
                            <w:szCs w:val="18"/>
                          </w:rPr>
                          <w:t>300072.SZ</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29.48%</w:t>
                        </w:r>
                        <w:r>
                          <w:rPr>
                            <w:rFonts w:ascii="宋体" w:hAnsi="宋体" w:cs="宋体" w:eastAsia="宋体" w:hint="default"/>
                            <w:spacing w:val="-3"/>
                            <w:sz w:val="18"/>
                            <w:szCs w:val="18"/>
                          </w:rPr>
                          <w:t>的股份，通过北京市海淀区国有资产投资经营有限公司</w:t>
                        </w:r>
                      </w:p>
                      <w:p>
                        <w:pPr>
                          <w:pStyle w:val="TableParagraph"/>
                          <w:spacing w:line="300" w:lineRule="auto" w:before="13"/>
                          <w:ind w:left="24" w:right="47"/>
                          <w:jc w:val="both"/>
                          <w:rPr>
                            <w:rFonts w:ascii="宋体" w:hAnsi="宋体" w:cs="宋体" w:eastAsia="宋体" w:hint="default"/>
                            <w:sz w:val="18"/>
                            <w:szCs w:val="18"/>
                          </w:rPr>
                        </w:pPr>
                        <w:r>
                          <w:rPr>
                            <w:rFonts w:ascii="宋体" w:hAnsi="宋体" w:cs="宋体" w:eastAsia="宋体" w:hint="default"/>
                            <w:spacing w:val="-7"/>
                            <w:w w:val="101"/>
                            <w:sz w:val="18"/>
                            <w:szCs w:val="18"/>
                          </w:rPr>
                          <w:t>（备注：该公司为海淀区国资中心全资子公司海国鑫泰的全资子公司）持有三聚环保（</w:t>
                        </w:r>
                        <w:r>
                          <w:rPr>
                            <w:rFonts w:ascii="Times New Roman" w:hAnsi="Times New Roman" w:cs="Times New Roman" w:eastAsia="Times New Roman" w:hint="default"/>
                            <w:spacing w:val="-7"/>
                            <w:w w:val="101"/>
                            <w:sz w:val="18"/>
                            <w:szCs w:val="18"/>
                          </w:rPr>
                          <w:t>300072.SZ</w:t>
                        </w:r>
                        <w:r>
                          <w:rPr>
                            <w:rFonts w:ascii="Times New Roman" w:hAnsi="Times New Roman" w:cs="Times New Roman" w:eastAsia="Times New Roman" w:hint="default"/>
                            <w:spacing w:val="-29"/>
                            <w:w w:val="101"/>
                            <w:sz w:val="18"/>
                            <w:szCs w:val="18"/>
                          </w:rPr>
                          <w:t> </w:t>
                        </w:r>
                        <w:r>
                          <w:rPr>
                            <w:rFonts w:ascii="Times New Roman" w:hAnsi="Times New Roman" w:cs="Times New Roman" w:eastAsia="Times New Roman" w:hint="default"/>
                            <w:spacing w:val="-29"/>
                            <w:w w:val="101"/>
                            <w:sz w:val="18"/>
                            <w:szCs w:val="18"/>
                          </w:rPr>
                        </w:r>
                        <w:r>
                          <w:rPr>
                            <w:rFonts w:ascii="Times New Roman" w:hAnsi="Times New Roman" w:cs="Times New Roman" w:eastAsia="Times New Roman" w:hint="default"/>
                            <w:spacing w:val="-3"/>
                            <w:sz w:val="18"/>
                            <w:szCs w:val="18"/>
                          </w:rPr>
                          <w:t>5.74%</w:t>
                        </w:r>
                        <w:r>
                          <w:rPr>
                            <w:rFonts w:ascii="宋体" w:hAnsi="宋体" w:cs="宋体" w:eastAsia="宋体" w:hint="default"/>
                            <w:spacing w:val="-3"/>
                            <w:sz w:val="18"/>
                            <w:szCs w:val="18"/>
                          </w:rPr>
                          <w:t>的股份；通过三聚环保（香港）有限公司（备注：该公司为三聚环保全资子公司）持有巨</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涛海洋石油服务（</w:t>
                        </w:r>
                        <w:r>
                          <w:rPr>
                            <w:rFonts w:ascii="Times New Roman" w:hAnsi="Times New Roman" w:cs="Times New Roman" w:eastAsia="Times New Roman" w:hint="default"/>
                            <w:spacing w:val="-3"/>
                            <w:sz w:val="18"/>
                            <w:szCs w:val="18"/>
                          </w:rPr>
                          <w:t>03303.HK</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39.26%</w:t>
                        </w:r>
                        <w:r>
                          <w:rPr>
                            <w:rFonts w:ascii="宋体" w:hAnsi="宋体" w:cs="宋体" w:eastAsia="宋体" w:hint="default"/>
                            <w:spacing w:val="-3"/>
                            <w:sz w:val="18"/>
                            <w:szCs w:val="18"/>
                          </w:rPr>
                          <w:t>的股份；通过八大处控股集团有限公司持有凯文教育</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002659.SZ</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32.6%</w:t>
                        </w:r>
                        <w:r>
                          <w:rPr>
                            <w:rFonts w:ascii="宋体" w:hAnsi="宋体" w:cs="宋体" w:eastAsia="宋体" w:hint="default"/>
                            <w:spacing w:val="-2"/>
                            <w:sz w:val="18"/>
                            <w:szCs w:val="18"/>
                          </w:rPr>
                          <w:t>的股份；通过上海碧空龙翔投资管理有限公司持有金一文化（</w:t>
                        </w:r>
                        <w:r>
                          <w:rPr>
                            <w:rFonts w:ascii="Times New Roman" w:hAnsi="Times New Roman" w:cs="Times New Roman" w:eastAsia="Times New Roman" w:hint="default"/>
                            <w:spacing w:val="-2"/>
                            <w:sz w:val="18"/>
                            <w:szCs w:val="18"/>
                          </w:rPr>
                          <w:t>002721.SZ</w:t>
                        </w:r>
                        <w:r>
                          <w:rPr>
                            <w:rFonts w:ascii="宋体" w:hAnsi="宋体" w:cs="宋体" w:eastAsia="宋体" w:hint="default"/>
                            <w:spacing w:val="-2"/>
                            <w:sz w:val="18"/>
                            <w:szCs w:val="18"/>
                          </w:rPr>
                          <w:t>）</w:t>
                        </w:r>
                      </w:p>
                      <w:p>
                        <w:pPr>
                          <w:pStyle w:val="TableParagraph"/>
                          <w:spacing w:line="240" w:lineRule="auto" w:before="67"/>
                          <w:ind w:left="2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13.10%</w:t>
                        </w:r>
                        <w:r>
                          <w:rPr>
                            <w:rFonts w:ascii="宋体" w:hAnsi="宋体" w:cs="宋体" w:eastAsia="宋体" w:hint="default"/>
                            <w:spacing w:val="-3"/>
                            <w:sz w:val="18"/>
                            <w:szCs w:val="18"/>
                          </w:rPr>
                          <w:t>的股份，通过北京海鑫资产管理有限公司持有金一文化（</w:t>
                        </w:r>
                        <w:r>
                          <w:rPr>
                            <w:rFonts w:ascii="Times New Roman" w:hAnsi="Times New Roman" w:cs="Times New Roman" w:eastAsia="Times New Roman" w:hint="default"/>
                            <w:spacing w:val="-3"/>
                            <w:sz w:val="18"/>
                            <w:szCs w:val="18"/>
                          </w:rPr>
                          <w:t>002721.SZ</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6.37%</w:t>
                        </w:r>
                        <w:r>
                          <w:rPr>
                            <w:rFonts w:ascii="宋体" w:hAnsi="宋体" w:cs="宋体" w:eastAsia="宋体" w:hint="default"/>
                            <w:spacing w:val="-3"/>
                            <w:sz w:val="18"/>
                            <w:szCs w:val="18"/>
                          </w:rPr>
                          <w:t>的股份。</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ind w:right="0"/>
        <w:jc w:val="left"/>
      </w:pPr>
      <w:r>
        <w:rPr>
          <w:spacing w:val="-3"/>
        </w:rPr>
        <w:t>实际控制人报告期内变更</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北京市海淀区人民政府国有资产监督管理委员会</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《关于收到国家市场监督管理总局</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经营者集中反垄断审查</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5"/>
                <w:sz w:val="18"/>
                <w:szCs w:val="18"/>
              </w:rPr>
              <w:t>不实施进一步审查决定书</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暨公司控股股东、实际控制人发生</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10"/>
                <w:w w:val="101"/>
                <w:sz w:val="18"/>
                <w:szCs w:val="18"/>
              </w:rPr>
              <w:t>变更的公告》（巨潮资讯网</w:t>
            </w:r>
            <w:r>
              <w:rPr>
                <w:rFonts w:ascii="宋体" w:hAnsi="宋体" w:cs="宋体" w:eastAsia="宋体" w:hint="default"/>
                <w:spacing w:val="5"/>
                <w:w w:val="101"/>
                <w:sz w:val="18"/>
                <w:szCs w:val="18"/>
              </w:rPr>
              <w:t> </w:t>
            </w:r>
            <w:r>
              <w:rPr>
                <w:rFonts w:ascii="宋体" w:hAnsi="宋体" w:cs="宋体" w:eastAsia="宋体" w:hint="default"/>
                <w:spacing w:val="-2"/>
                <w:w w:val="101"/>
                <w:sz w:val="18"/>
                <w:szCs w:val="18"/>
              </w:rPr>
              <w:t>公告编号：</w:t>
            </w:r>
            <w:r>
              <w:rPr>
                <w:rFonts w:ascii="Times New Roman" w:hAnsi="Times New Roman" w:cs="Times New Roman" w:eastAsia="Times New Roman" w:hint="default"/>
                <w:spacing w:val="-2"/>
                <w:w w:val="101"/>
                <w:sz w:val="18"/>
                <w:szCs w:val="18"/>
              </w:rPr>
              <w:t>2019-086</w:t>
            </w:r>
            <w:r>
              <w:rPr>
                <w:rFonts w:ascii="宋体" w:hAnsi="宋体" w:cs="宋体" w:eastAsia="宋体" w:hint="default"/>
                <w:spacing w:val="-2"/>
                <w:w w:val="101"/>
                <w:sz w:val="18"/>
                <w:szCs w:val="18"/>
              </w:rPr>
              <w:t>）</w:t>
            </w:r>
            <w:r>
              <w:rPr>
                <w:rFonts w:ascii="宋体" w:hAnsi="宋体" w:cs="宋体" w:eastAsia="宋体" w:hint="default"/>
                <w:spacing w:val="-2"/>
                <w:sz w:val="18"/>
                <w:szCs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3"/>
        <w:ind w:right="0"/>
        <w:jc w:val="left"/>
      </w:pPr>
      <w:r>
        <w:rPr>
          <w:spacing w:val="-3"/>
        </w:rPr>
        <w:t>公司与实际控制人之间的产权及控制关系的方框图</w:t>
      </w:r>
    </w:p>
    <w:p>
      <w:pPr>
        <w:spacing w:line="240" w:lineRule="auto" w:before="9"/>
        <w:rPr>
          <w:rFonts w:ascii="宋体" w:hAnsi="宋体" w:cs="宋体" w:eastAsia="宋体" w:hint="default"/>
          <w:sz w:val="28"/>
          <w:szCs w:val="28"/>
        </w:rPr>
      </w:pPr>
    </w:p>
    <w:p>
      <w:pPr>
        <w:spacing w:line="6930" w:lineRule="exact"/>
        <w:ind w:left="1358" w:right="0" w:firstLine="0"/>
        <w:rPr>
          <w:rFonts w:ascii="宋体" w:hAnsi="宋体" w:cs="宋体" w:eastAsia="宋体" w:hint="default"/>
          <w:sz w:val="20"/>
          <w:szCs w:val="20"/>
        </w:rPr>
      </w:pPr>
      <w:r>
        <w:rPr>
          <w:rFonts w:ascii="宋体" w:hAnsi="宋体" w:cs="宋体" w:eastAsia="宋体" w:hint="default"/>
          <w:position w:val="-138"/>
          <w:sz w:val="20"/>
          <w:szCs w:val="20"/>
        </w:rPr>
        <w:drawing>
          <wp:inline distT="0" distB="0" distL="0" distR="0">
            <wp:extent cx="4589117" cy="44005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589117" cy="4400550"/>
                    </a:xfrm>
                    <a:prstGeom prst="rect">
                      <a:avLst/>
                    </a:prstGeom>
                  </pic:spPr>
                </pic:pic>
              </a:graphicData>
            </a:graphic>
          </wp:inline>
        </w:drawing>
      </w:r>
      <w:r>
        <w:rPr>
          <w:rFonts w:ascii="宋体" w:hAnsi="宋体" w:cs="宋体" w:eastAsia="宋体" w:hint="default"/>
          <w:position w:val="-138"/>
          <w:sz w:val="20"/>
          <w:szCs w:val="20"/>
        </w:rPr>
      </w:r>
    </w:p>
    <w:p>
      <w:pPr>
        <w:spacing w:line="240" w:lineRule="auto" w:before="3"/>
        <w:rPr>
          <w:rFonts w:ascii="宋体" w:hAnsi="宋体" w:cs="宋体" w:eastAsia="宋体" w:hint="default"/>
          <w:sz w:val="26"/>
          <w:szCs w:val="26"/>
        </w:rPr>
      </w:pPr>
    </w:p>
    <w:p>
      <w:pPr>
        <w:pStyle w:val="BodyText"/>
        <w:spacing w:line="240" w:lineRule="auto" w:before="0"/>
        <w:ind w:right="0"/>
        <w:jc w:val="left"/>
      </w:pPr>
      <w:r>
        <w:rPr>
          <w:spacing w:val="-3"/>
        </w:rPr>
        <w:t>实际控制人通过信托或其他资产管理方式控制公司</w:t>
      </w:r>
    </w:p>
    <w:p>
      <w:pPr>
        <w:spacing w:line="240" w:lineRule="auto" w:before="8"/>
        <w:rPr>
          <w:rFonts w:ascii="宋体" w:hAnsi="宋体" w:cs="宋体" w:eastAsia="宋体" w:hint="default"/>
          <w:sz w:val="21"/>
          <w:szCs w:val="21"/>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79"/>
        <w:gridCol w:w="1820"/>
        <w:gridCol w:w="1412"/>
        <w:gridCol w:w="1637"/>
        <w:gridCol w:w="2122"/>
      </w:tblGrid>
      <w:tr>
        <w:trPr>
          <w:trHeight w:val="716"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38"/>
              <w:jc w:val="right"/>
              <w:rPr>
                <w:rFonts w:ascii="宋体" w:hAnsi="宋体" w:cs="宋体" w:eastAsia="宋体" w:hint="default"/>
                <w:sz w:val="18"/>
                <w:szCs w:val="18"/>
              </w:rPr>
            </w:pPr>
            <w:r>
              <w:rPr>
                <w:rFonts w:ascii="宋体" w:hAnsi="宋体" w:cs="宋体" w:eastAsia="宋体" w:hint="default"/>
                <w:spacing w:val="-2"/>
                <w:sz w:val="18"/>
                <w:szCs w:val="18"/>
              </w:rPr>
              <w:t>法人股东名称</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816" w:right="65" w:hanging="750"/>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pacing w:val="-3"/>
                <w:sz w:val="18"/>
                <w:szCs w:val="18"/>
              </w:rPr>
              <w:t>主要经营业务或管理活动</w:t>
            </w:r>
          </w:p>
        </w:tc>
      </w:tr>
      <w:tr>
        <w:trPr>
          <w:trHeight w:val="2588"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737"/>
              <w:jc w:val="right"/>
              <w:rPr>
                <w:rFonts w:ascii="宋体" w:hAnsi="宋体" w:cs="宋体" w:eastAsia="宋体" w:hint="default"/>
                <w:sz w:val="18"/>
                <w:szCs w:val="18"/>
              </w:rPr>
            </w:pPr>
            <w:r>
              <w:rPr>
                <w:rFonts w:ascii="宋体" w:hAnsi="宋体" w:cs="宋体" w:eastAsia="宋体" w:hint="default"/>
                <w:spacing w:val="-2"/>
                <w:sz w:val="18"/>
                <w:szCs w:val="18"/>
              </w:rPr>
              <w:t>天津和柚技术有限公司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万元人民币</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技术推广服务业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自营和代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理货物及技术的进出口</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计</w:t>
            </w:r>
            <w:r>
              <w:rPr>
                <w:rFonts w:ascii="宋体" w:hAnsi="宋体" w:cs="宋体" w:eastAsia="宋体" w:hint="default"/>
                <w:spacing w:val="-62"/>
                <w:sz w:val="18"/>
                <w:szCs w:val="18"/>
              </w:rPr>
              <w:t> </w:t>
            </w:r>
            <w:r>
              <w:rPr>
                <w:rFonts w:ascii="宋体" w:hAnsi="宋体" w:cs="宋体" w:eastAsia="宋体" w:hint="default"/>
                <w:spacing w:val="-3"/>
                <w:sz w:val="18"/>
                <w:szCs w:val="18"/>
              </w:rPr>
              <w:t>算机科技及软件、电子产</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品的销售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人工智能技术、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自动化技术的研发、应用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及服务</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企业管理咨询</w:t>
            </w:r>
            <w:r>
              <w:rPr>
                <w:rFonts w:ascii="Times New Roman" w:hAnsi="Times New Roman" w:cs="Times New Roman" w:eastAsia="Times New Roman" w:hint="default"/>
                <w:sz w:val="18"/>
                <w:szCs w:val="18"/>
              </w:rPr>
              <w:t>;</w:t>
            </w:r>
            <w:r>
              <w:rPr>
                <w:rFonts w:ascii="宋体" w:hAnsi="宋体" w:cs="宋体" w:eastAsia="宋体" w:hint="default"/>
                <w:sz w:val="18"/>
                <w:szCs w:val="18"/>
              </w:rPr>
              <w:t>经</w:t>
            </w:r>
            <w:r>
              <w:rPr>
                <w:rFonts w:ascii="宋体" w:hAnsi="宋体" w:cs="宋体" w:eastAsia="宋体" w:hint="default"/>
                <w:spacing w:val="-87"/>
                <w:sz w:val="18"/>
                <w:szCs w:val="18"/>
              </w:rPr>
              <w:t> </w:t>
            </w:r>
            <w:r>
              <w:rPr>
                <w:rFonts w:ascii="宋体" w:hAnsi="宋体" w:cs="宋体" w:eastAsia="宋体" w:hint="default"/>
                <w:spacing w:val="-3"/>
                <w:sz w:val="18"/>
                <w:szCs w:val="18"/>
              </w:rPr>
              <w:t>济贸易咨询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市场调研服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通讯工程</w:t>
            </w:r>
            <w:r>
              <w:rPr>
                <w:rFonts w:ascii="Times New Roman" w:hAnsi="Times New Roman" w:cs="Times New Roman" w:eastAsia="Times New Roman" w:hint="default"/>
                <w:sz w:val="18"/>
                <w:szCs w:val="18"/>
              </w:rPr>
              <w:t>;</w:t>
            </w:r>
            <w:r>
              <w:rPr>
                <w:rFonts w:ascii="宋体" w:hAnsi="宋体" w:cs="宋体" w:eastAsia="宋体" w:hint="default"/>
                <w:sz w:val="18"/>
                <w:szCs w:val="18"/>
              </w:rPr>
              <w:t>资产管理。</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0"/>
        <w:jc w:val="left"/>
        <w:rPr>
          <w:b w:val="0"/>
          <w:bCs w:val="0"/>
        </w:rPr>
      </w:pPr>
      <w:bookmarkStart w:name="第七节优先股相关情况" w:id="121"/>
      <w:bookmarkEnd w:id="121"/>
      <w:r>
        <w:rPr>
          <w:b w:val="0"/>
          <w:bCs w:val="0"/>
        </w:rPr>
      </w:r>
      <w:bookmarkStart w:name="_bookmark6" w:id="122"/>
      <w:bookmarkEnd w:id="122"/>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0"/>
        <w:jc w:val="left"/>
        <w:rPr>
          <w:b w:val="0"/>
          <w:bCs w:val="0"/>
        </w:rPr>
      </w:pPr>
      <w:bookmarkStart w:name="第八节可转换公司债券相关情况" w:id="123"/>
      <w:bookmarkEnd w:id="123"/>
      <w:r>
        <w:rPr>
          <w:b w:val="0"/>
          <w:bCs w:val="0"/>
        </w:rPr>
      </w:r>
      <w:bookmarkStart w:name="_bookmark7" w:id="124"/>
      <w:bookmarkEnd w:id="124"/>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38" w:lineRule="auto" w:before="0"/>
        <w:ind w:right="699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57" w:right="0"/>
        <w:jc w:val="left"/>
        <w:rPr>
          <w:b w:val="0"/>
          <w:bCs w:val="0"/>
        </w:rPr>
      </w:pPr>
      <w:bookmarkStart w:name="第九节董事、监事、高级管理人员和员工情况" w:id="125"/>
      <w:bookmarkEnd w:id="125"/>
      <w:r>
        <w:rPr>
          <w:b w:val="0"/>
          <w:bCs w:val="0"/>
        </w:rPr>
      </w:r>
      <w:bookmarkStart w:name="_bookmark8" w:id="126"/>
      <w:bookmarkEnd w:id="126"/>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22"/>
                <w:w w:val="101"/>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赵佳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王石山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副董事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刘长勇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章凯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柴晓丽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杜辉强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崔朕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刘春阳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黄浩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吴波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常务副总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公司第四届董事会第八次会议，决议聘任黄浩先生担</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任公司副总经理。</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由于个人原因，吴波先生申请辞去公司常务副总经理</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职务</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29"/>
      <w:bookmarkEnd w:id="129"/>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pStyle w:val="BodyText"/>
        <w:spacing w:line="352" w:lineRule="auto" w:before="0"/>
        <w:ind w:left="513" w:right="0" w:hanging="360"/>
        <w:jc w:val="left"/>
      </w:pPr>
      <w:r>
        <w:rPr>
          <w:spacing w:val="-3"/>
        </w:rPr>
        <w:t>公司现任董事、监事、高级管理人员专业背景、主要工作经历以及目前在公司的主要职责</w:t>
      </w:r>
      <w:r>
        <w:rPr>
          <w:spacing w:val="25"/>
        </w:rPr>
        <w:t> </w:t>
      </w:r>
      <w:r>
        <w:rPr>
          <w:spacing w:val="25"/>
        </w:rPr>
      </w:r>
      <w:r>
        <w:rPr>
          <w:spacing w:val="-4"/>
        </w:rPr>
        <w:t>霍东，硕士学位，新加坡国立大学</w:t>
      </w:r>
      <w:r>
        <w:rPr>
          <w:rFonts w:ascii="Times New Roman" w:hAnsi="Times New Roman" w:cs="Times New Roman" w:eastAsia="Times New Roman" w:hint="default"/>
          <w:spacing w:val="-4"/>
        </w:rPr>
        <w:t>EMBA</w:t>
      </w:r>
      <w:r>
        <w:rPr>
          <w:spacing w:val="-4"/>
        </w:rPr>
        <w:t>。曾就职于中国庆华能源集团有限公司，历任青海庆华矿冶煤化集团、新疆庆</w:t>
      </w:r>
    </w:p>
    <w:p>
      <w:pPr>
        <w:pStyle w:val="BodyText"/>
        <w:spacing w:line="205" w:lineRule="exact" w:before="0"/>
        <w:ind w:right="0"/>
        <w:jc w:val="both"/>
      </w:pPr>
      <w:r>
        <w:rPr>
          <w:spacing w:val="-6"/>
        </w:rPr>
        <w:t>华能源集团、中国庆华能源集团有限公司等公司高级管理人员，之后创办仁东集团，担任董事长兼总经理。现任公司董事长。</w:t>
      </w:r>
    </w:p>
    <w:p>
      <w:pPr>
        <w:pStyle w:val="BodyText"/>
        <w:spacing w:line="316" w:lineRule="auto" w:before="77"/>
        <w:ind w:left="513" w:right="0"/>
        <w:jc w:val="left"/>
      </w:pPr>
      <w:r>
        <w:rPr>
          <w:spacing w:val="-3"/>
        </w:rPr>
        <w:t>赵佳，本科学历。历任中金玉盈（北京）资产管理有限公司副总经理等。现任公司董事。</w:t>
      </w:r>
      <w:r>
        <w:rPr>
          <w:spacing w:val="25"/>
        </w:rPr>
        <w:t> </w:t>
      </w:r>
      <w:r>
        <w:rPr>
          <w:spacing w:val="25"/>
        </w:rPr>
      </w:r>
      <w:r>
        <w:rPr>
          <w:spacing w:val="-5"/>
        </w:rPr>
        <w:t>王石山，硕士学历，教授级高级经济师。历任南车投资租赁有限公司总经理、南车投资租赁有限公司执行董事、天津南</w:t>
      </w:r>
    </w:p>
    <w:p>
      <w:pPr>
        <w:pStyle w:val="BodyText"/>
        <w:spacing w:line="316" w:lineRule="auto" w:before="19"/>
        <w:ind w:right="1122"/>
        <w:jc w:val="both"/>
      </w:pPr>
      <w:r>
        <w:rPr>
          <w:spacing w:val="-4"/>
        </w:rPr>
        <w:t>车投资租赁有限公司执行董事、南车天津融资租赁有限公司执行董事、上海中车融资租赁有限公司执行董事、中车投资租赁</w:t>
      </w:r>
      <w:r>
        <w:rPr>
          <w:spacing w:val="43"/>
        </w:rPr>
        <w:t> </w:t>
      </w:r>
      <w:r>
        <w:rPr>
          <w:spacing w:val="43"/>
        </w:rPr>
      </w:r>
      <w:r>
        <w:rPr>
          <w:spacing w:val="-4"/>
        </w:rPr>
        <w:t>有限公司董事长、中车金融租赁有限公司董事长（筹备）等。现任公司副董事长、总经理、财务总监，民盛租赁有限公司董</w:t>
      </w:r>
      <w:r>
        <w:rPr>
          <w:spacing w:val="42"/>
        </w:rPr>
        <w:t> </w:t>
      </w:r>
      <w:r>
        <w:rPr>
          <w:spacing w:val="42"/>
        </w:rPr>
      </w:r>
      <w:r>
        <w:rPr>
          <w:spacing w:val="-3"/>
        </w:rPr>
        <w:t>事长、总经理。</w:t>
      </w:r>
    </w:p>
    <w:p>
      <w:pPr>
        <w:pStyle w:val="BodyText"/>
        <w:spacing w:line="316" w:lineRule="auto" w:before="19"/>
        <w:ind w:right="1124" w:firstLine="360"/>
        <w:jc w:val="both"/>
      </w:pPr>
      <w:r>
        <w:rPr>
          <w:spacing w:val="-5"/>
        </w:rPr>
        <w:t>刘长勇，对外经济贸易大学国际法专业，硕士学历。历任北京市中伦律师事务所律师、正东致远（天津）实业有限公司</w:t>
      </w:r>
      <w:r>
        <w:rPr>
          <w:w w:val="101"/>
        </w:rPr>
        <w:t> </w:t>
      </w:r>
      <w:r>
        <w:rPr>
          <w:spacing w:val="-3"/>
        </w:rPr>
        <w:t>副总经理等。现任公司董事、副总经理。</w:t>
      </w:r>
    </w:p>
    <w:p>
      <w:pPr>
        <w:pStyle w:val="BodyText"/>
        <w:spacing w:line="316" w:lineRule="auto" w:before="19"/>
        <w:ind w:right="1124" w:firstLine="360"/>
        <w:jc w:val="both"/>
      </w:pPr>
      <w:r>
        <w:rPr>
          <w:spacing w:val="-4"/>
        </w:rPr>
        <w:t>章凯，毕业于中国青年政治学院网络技术与软件工程专业和清华大学经管学院工商管理专业，硕士学历。曾任职北京沐</w:t>
      </w:r>
      <w:r>
        <w:rPr>
          <w:w w:val="101"/>
        </w:rPr>
        <w:t> </w:t>
      </w:r>
      <w:r>
        <w:rPr>
          <w:spacing w:val="-4"/>
        </w:rPr>
        <w:t>泽电脑科技发展公司技术经理，上海新娱动数码科技有限公司商务经理、易宝支付有限公司副总裁。现任公司董事、副总经</w:t>
      </w:r>
      <w:r>
        <w:rPr>
          <w:spacing w:val="40"/>
        </w:rPr>
        <w:t> </w:t>
      </w:r>
      <w:r>
        <w:rPr>
          <w:spacing w:val="40"/>
        </w:rPr>
      </w:r>
      <w:r>
        <w:rPr/>
        <w:t>理。</w:t>
      </w:r>
    </w:p>
    <w:p>
      <w:pPr>
        <w:pStyle w:val="BodyText"/>
        <w:spacing w:line="319" w:lineRule="auto" w:before="19"/>
        <w:ind w:left="513" w:right="0"/>
        <w:jc w:val="left"/>
      </w:pPr>
      <w:r>
        <w:rPr>
          <w:spacing w:val="-3"/>
        </w:rPr>
        <w:t>孟湫云，吉林农业大学财务管理专业，本科。历任于中金玉盈（北京）资产管理有限公司财务部等，现任公司董事。</w:t>
      </w:r>
      <w:r>
        <w:rPr>
          <w:spacing w:val="60"/>
        </w:rPr>
        <w:t> </w:t>
      </w:r>
      <w:r>
        <w:rPr>
          <w:spacing w:val="60"/>
        </w:rPr>
      </w:r>
      <w:r>
        <w:rPr>
          <w:spacing w:val="-5"/>
        </w:rPr>
        <w:t>狄瑞鹏，北京大学国际经济学硕士，美国新奥尔良大学金融经济学博士（财务管理方向）。历任清华大学金融系助理教</w:t>
      </w:r>
    </w:p>
    <w:p>
      <w:pPr>
        <w:pStyle w:val="BodyText"/>
        <w:spacing w:line="300" w:lineRule="auto" w:before="17"/>
        <w:ind w:right="1190"/>
        <w:jc w:val="both"/>
      </w:pPr>
      <w:r>
        <w:rPr/>
        <w:t>授、清华大学</w:t>
      </w:r>
      <w:r>
        <w:rPr>
          <w:rFonts w:ascii="Times New Roman" w:hAnsi="Times New Roman" w:cs="Times New Roman" w:eastAsia="Times New Roman" w:hint="default"/>
        </w:rPr>
        <w:t>EMBA </w:t>
      </w:r>
      <w:r>
        <w:rPr>
          <w:spacing w:val="-3"/>
        </w:rPr>
        <w:t>项目副主任、清华大学经管学院助理院长，</w:t>
      </w:r>
      <w:r>
        <w:rPr>
          <w:rFonts w:ascii="Times New Roman" w:hAnsi="Times New Roman" w:cs="Times New Roman" w:eastAsia="Times New Roman" w:hint="default"/>
          <w:spacing w:val="-3"/>
        </w:rPr>
        <w:t>2016 </w:t>
      </w:r>
      <w:r>
        <w:rPr>
          <w:spacing w:val="-3"/>
        </w:rPr>
        <w:t>年</w:t>
      </w:r>
      <w:r>
        <w:rPr>
          <w:rFonts w:ascii="Times New Roman" w:hAnsi="Times New Roman" w:cs="Times New Roman" w:eastAsia="Times New Roman" w:hint="default"/>
          <w:spacing w:val="-3"/>
        </w:rPr>
        <w:t>1</w:t>
      </w:r>
      <w:r>
        <w:rPr>
          <w:spacing w:val="-3"/>
        </w:rPr>
        <w:t>月至今任清华大学经济管理学院全球高管课程项</w:t>
      </w:r>
      <w:r>
        <w:rPr>
          <w:spacing w:val="-75"/>
        </w:rPr>
        <w:t> </w:t>
      </w:r>
      <w:r>
        <w:rPr>
          <w:spacing w:val="-75"/>
        </w:rPr>
      </w:r>
      <w:r>
        <w:rPr>
          <w:spacing w:val="-3"/>
        </w:rPr>
        <w:t>目主任。现任公司独立董事。</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ind w:right="0" w:firstLine="360"/>
        <w:jc w:val="left"/>
      </w:pPr>
      <w:r>
        <w:rPr>
          <w:spacing w:val="-5"/>
        </w:rPr>
        <w:t>康晓岳，北京大学法律专业，本科学历，持有律师资格证书。曾先后任职于江西省司法厅科员、深圳法制报社记者等职</w:t>
      </w:r>
      <w:r>
        <w:rPr>
          <w:w w:val="101"/>
        </w:rPr>
        <w:t> </w:t>
      </w:r>
      <w:r>
        <w:rPr>
          <w:spacing w:val="-3"/>
        </w:rPr>
        <w:t>务，现任公司独立董事。</w:t>
      </w:r>
    </w:p>
    <w:p>
      <w:pPr>
        <w:pStyle w:val="BodyText"/>
        <w:spacing w:line="319" w:lineRule="auto" w:before="19"/>
        <w:ind w:right="0" w:firstLine="360"/>
        <w:jc w:val="left"/>
      </w:pPr>
      <w:r>
        <w:rPr>
          <w:spacing w:val="-3"/>
        </w:rPr>
        <w:t>柴晓丽，西安科技大学企业管理专业，硕士学历，中级会计师、注册税务师，持有证券从业资格、基金从业资格证书。</w:t>
      </w:r>
      <w:r>
        <w:rPr>
          <w:w w:val="101"/>
        </w:rPr>
        <w:t> </w:t>
      </w:r>
      <w:r>
        <w:rPr>
          <w:spacing w:val="-3"/>
        </w:rPr>
        <w:t>曾任职于瑞华会计师事务所、中睿资本管理有限公司、中融国际信托有限公司、丰汇租赁有限公司，现任公司独立董事。</w:t>
      </w:r>
    </w:p>
    <w:p>
      <w:pPr>
        <w:pStyle w:val="BodyText"/>
        <w:spacing w:line="316" w:lineRule="auto" w:before="17"/>
        <w:ind w:left="513" w:right="0"/>
        <w:jc w:val="left"/>
      </w:pPr>
      <w:r>
        <w:rPr>
          <w:spacing w:val="-3"/>
        </w:rPr>
        <w:t>杜辉强，内蒙古财经学院人力资源管理专业，本科学历。曾任职于易宝支付股份有限公司，现任公司监事会主席。</w:t>
      </w:r>
      <w:r>
        <w:rPr>
          <w:spacing w:val="54"/>
        </w:rPr>
        <w:t> </w:t>
      </w:r>
      <w:r>
        <w:rPr>
          <w:spacing w:val="54"/>
        </w:rPr>
      </w:r>
      <w:r>
        <w:rPr>
          <w:spacing w:val="-6"/>
        </w:rPr>
        <w:t>刘春阳，武汉大学财务管理及理财学专业，本科学历。历任紫光集团有限公司财务经理、财务高级经理、财务副总经理。</w:t>
      </w:r>
    </w:p>
    <w:p>
      <w:pPr>
        <w:pStyle w:val="BodyText"/>
        <w:spacing w:line="316" w:lineRule="auto" w:before="19"/>
        <w:ind w:left="513" w:right="1051" w:hanging="360"/>
        <w:jc w:val="left"/>
      </w:pPr>
      <w:r>
        <w:rPr>
          <w:spacing w:val="-3"/>
        </w:rPr>
        <w:t>现任公司监事。</w:t>
      </w:r>
      <w:r>
        <w:rPr>
          <w:spacing w:val="-68"/>
        </w:rPr>
        <w:t> </w:t>
      </w:r>
      <w:r>
        <w:rPr>
          <w:spacing w:val="-68"/>
        </w:rPr>
      </w:r>
      <w:r>
        <w:rPr>
          <w:spacing w:val="-5"/>
        </w:rPr>
        <w:t>崔朕，中国矿业大学工商管理专业，本科学历。历任职于中国建设银行北京分行和总行、星展银行企业银行部、渣打银</w:t>
      </w:r>
    </w:p>
    <w:p>
      <w:pPr>
        <w:pStyle w:val="BodyText"/>
        <w:spacing w:line="319" w:lineRule="auto" w:before="19"/>
        <w:ind w:left="513" w:right="0" w:hanging="360"/>
        <w:jc w:val="left"/>
      </w:pPr>
      <w:r>
        <w:rPr>
          <w:spacing w:val="-3"/>
        </w:rPr>
        <w:t>行商业客户部、开滦国际融资租赁有限公司。现任公司融资部总经理、公司监事。</w:t>
      </w:r>
      <w:r>
        <w:rPr>
          <w:spacing w:val="14"/>
        </w:rPr>
        <w:t> </w:t>
      </w:r>
      <w:r>
        <w:rPr>
          <w:spacing w:val="14"/>
        </w:rPr>
      </w:r>
      <w:r>
        <w:rPr>
          <w:spacing w:val="-3"/>
        </w:rPr>
        <w:t>黄浩，硕士学历。曾就职于交通银行、中信银行、民生银行、华夏银行等多家金融机构。现任公司副总经理。</w:t>
      </w:r>
    </w:p>
    <w:p>
      <w:pPr>
        <w:pStyle w:val="BodyText"/>
        <w:spacing w:line="240" w:lineRule="auto" w:before="60"/>
        <w:ind w:right="0"/>
        <w:jc w:val="left"/>
      </w:pPr>
      <w:r>
        <w:rPr>
          <w:spacing w:val="-3"/>
        </w:rPr>
        <w:t>在股东单位任职情况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20"/>
        <w:gridCol w:w="3227"/>
        <w:gridCol w:w="1080"/>
        <w:gridCol w:w="1210"/>
        <w:gridCol w:w="1349"/>
        <w:gridCol w:w="1484"/>
      </w:tblGrid>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74"/>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6" w:right="99"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0"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仁东集团有限公司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12"/>
                <w:sz w:val="18"/>
                <w:szCs w:val="18"/>
              </w:rPr>
              <w:t>董事长、经理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仁东（天津）科技发展集团有限公司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12"/>
                <w:sz w:val="18"/>
                <w:szCs w:val="18"/>
              </w:rPr>
              <w:t>董事长、经理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北京仁东信息技术有限公司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8" w:right="12"/>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仁东（天津）科技有限公司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pacing w:val="-6"/>
                <w:sz w:val="18"/>
                <w:szCs w:val="18"/>
              </w:rPr>
              <w:t>仁东（天津）科技发展集团有限公司北京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分公司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赵佳</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仁东集团有限公司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赵佳</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仁东（天津）科技发展集团有限公司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12"/>
              <w:jc w:val="left"/>
              <w:rPr>
                <w:rFonts w:ascii="宋体" w:hAnsi="宋体" w:cs="宋体" w:eastAsia="宋体" w:hint="default"/>
                <w:sz w:val="18"/>
                <w:szCs w:val="18"/>
              </w:rPr>
            </w:pPr>
            <w:r>
              <w:rPr>
                <w:rFonts w:ascii="宋体" w:hAnsi="宋体" w:cs="宋体" w:eastAsia="宋体" w:hint="default"/>
                <w:spacing w:val="-12"/>
                <w:sz w:val="18"/>
                <w:szCs w:val="18"/>
              </w:rPr>
              <w:t>副董事长、常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务副总经理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仁东集团有限公司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仁东（天津）科技发展集团有限公司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仁东区块链有限公司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8" w:right="12"/>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上海骆印贸易有限公司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宁波财东贸易有限公司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2"/>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京晋日盛（北京）科技发展有限公司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2"/>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22"/>
        <w:gridCol w:w="3227"/>
        <w:gridCol w:w="1080"/>
        <w:gridCol w:w="1210"/>
        <w:gridCol w:w="1349"/>
        <w:gridCol w:w="1484"/>
      </w:tblGrid>
      <w:tr>
        <w:trPr>
          <w:trHeight w:val="715"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北京仁东实业有限公司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2"/>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84"/>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9" w:right="46"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赵佳</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东佳置业（北京）有限公司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执行董事、经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赵佳</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东佳文化（北京）有限公司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执行董事、经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清华大学经济管理学院</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全球高管课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程项目主任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青海华鼎实业股份有限公司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江南模塑科技股份有限公司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广州海鸥住宅工业股份有限公司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柴晓丽</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北京万维汇通科技有限公司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刘春阳</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呈东致远（北京）资产管理有限公司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北京市炜衡（深圳）律师事务所</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BodyText"/>
        <w:spacing w:line="240" w:lineRule="auto" w:before="53"/>
        <w:ind w:right="0"/>
        <w:jc w:val="left"/>
      </w:pPr>
      <w:r>
        <w:rPr>
          <w:spacing w:val="-3"/>
        </w:rPr>
        <w:t>公司现任及报告期内离任董事、监事和高级管理人员近三年证券监管机构处罚的情况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spacing w:val="-3"/>
        </w:rPr>
        <w:t>董事、监事、高级管理人员报酬的决策程序、确定依据、实际支付情况</w:t>
      </w:r>
    </w:p>
    <w:p>
      <w:pPr>
        <w:pStyle w:val="BodyText"/>
        <w:spacing w:line="309" w:lineRule="auto" w:before="115"/>
        <w:ind w:right="0"/>
        <w:jc w:val="left"/>
      </w:pPr>
      <w:r>
        <w:rPr>
          <w:rFonts w:ascii="Times New Roman" w:hAnsi="Times New Roman" w:cs="Times New Roman" w:eastAsia="Times New Roman" w:hint="default"/>
          <w:spacing w:val="-3"/>
        </w:rPr>
        <w:t>1</w:t>
      </w:r>
      <w:r>
        <w:rPr>
          <w:spacing w:val="-3"/>
        </w:rPr>
        <w:t>、董事、监事、高级管理人员报酬的决策程序：董事、监事的薪酬与津贴由公司董事会薪酬与考核委员会制订方案，董事</w:t>
      </w:r>
      <w:r>
        <w:rPr>
          <w:spacing w:val="70"/>
        </w:rPr>
        <w:t> </w:t>
      </w:r>
      <w:r>
        <w:rPr>
          <w:spacing w:val="70"/>
        </w:rPr>
      </w:r>
      <w:r>
        <w:rPr>
          <w:spacing w:val="-6"/>
          <w:w w:val="101"/>
        </w:rPr>
        <w:t>会审议通过并报股东大会批准后执行。高级管理人员报酬由公司董事会薪酬与考核委员会制订方案，董事会审议通过后执行。</w:t>
      </w:r>
      <w:r>
        <w:rPr>
          <w:spacing w:val="-70"/>
          <w:w w:val="101"/>
        </w:rPr>
        <w:t> </w:t>
      </w:r>
      <w:r>
        <w:rPr>
          <w:spacing w:val="-70"/>
          <w:w w:val="101"/>
        </w:rPr>
      </w:r>
      <w:r>
        <w:rPr>
          <w:spacing w:val="-3"/>
        </w:rPr>
        <w:t>其中独立董事根据公司《独立董事津贴制度》领取相应津贴。</w:t>
      </w:r>
      <w:r>
        <w:rPr>
          <w:spacing w:val="-10"/>
        </w:rPr>
        <w:t> </w:t>
      </w:r>
      <w:r>
        <w:rPr>
          <w:spacing w:val="-10"/>
        </w:rPr>
      </w:r>
      <w:r>
        <w:rPr>
          <w:rFonts w:ascii="Times New Roman" w:hAnsi="Times New Roman" w:cs="Times New Roman" w:eastAsia="Times New Roman" w:hint="default"/>
          <w:spacing w:val="-3"/>
        </w:rPr>
        <w:t>2</w:t>
      </w:r>
      <w:r>
        <w:rPr>
          <w:spacing w:val="-3"/>
        </w:rPr>
        <w:t>、董事、监事、高级管理人员报酬确定依据：公司制定的《薪酬与考核委员会工作细则》、《董事、监事及高级管理人员</w:t>
      </w:r>
      <w:r>
        <w:rPr>
          <w:spacing w:val="70"/>
        </w:rPr>
        <w:t> </w:t>
      </w:r>
      <w:r>
        <w:rPr>
          <w:spacing w:val="70"/>
        </w:rPr>
      </w:r>
      <w:r>
        <w:rPr>
          <w:spacing w:val="-3"/>
        </w:rPr>
        <w:t>薪酬管理办法》等内部规定。</w:t>
      </w:r>
      <w:r>
        <w:rPr>
          <w:spacing w:val="-50"/>
        </w:rPr>
        <w:t> </w:t>
      </w:r>
      <w:r>
        <w:rPr>
          <w:spacing w:val="-50"/>
        </w:rPr>
      </w:r>
      <w:r>
        <w:rPr>
          <w:rFonts w:ascii="Times New Roman" w:hAnsi="Times New Roman" w:cs="Times New Roman" w:eastAsia="Times New Roman" w:hint="default"/>
          <w:spacing w:val="-3"/>
        </w:rPr>
        <w:t>3</w:t>
      </w:r>
      <w:r>
        <w:rPr>
          <w:spacing w:val="-3"/>
        </w:rPr>
        <w:t>、董事、监事和高级管理人员报酬的实际支付情况：董事、高级管理人员按董事会核定的标准按月发放基本薪酬；独立董</w:t>
      </w:r>
      <w:r>
        <w:rPr>
          <w:spacing w:val="70"/>
        </w:rPr>
        <w:t> </w:t>
      </w:r>
      <w:r>
        <w:rPr>
          <w:spacing w:val="70"/>
        </w:rPr>
      </w:r>
      <w:r>
        <w:rPr>
          <w:spacing w:val="-3"/>
        </w:rPr>
        <w:t>事津贴按月发放津贴；公司监事报酬根据公司内部考核制度发放。</w:t>
      </w:r>
    </w:p>
    <w:p>
      <w:pPr>
        <w:pStyle w:val="BodyText"/>
        <w:spacing w:line="240" w:lineRule="auto" w:before="68"/>
        <w:ind w:right="0"/>
        <w:jc w:val="left"/>
      </w:pPr>
      <w:r>
        <w:rPr>
          <w:spacing w:val="-3"/>
        </w:rPr>
        <w:t>公司报告期内董事、监事和高级管理人员报酬情况</w:t>
      </w:r>
    </w:p>
    <w:p>
      <w:pPr>
        <w:pStyle w:val="BodyText"/>
        <w:spacing w:line="240" w:lineRule="auto" w:before="115"/>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8" w:right="0"/>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7" w:right="0"/>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1" w:right="0"/>
              <w:jc w:val="left"/>
              <w:rPr>
                <w:rFonts w:ascii="宋体" w:hAnsi="宋体" w:cs="宋体" w:eastAsia="宋体" w:hint="default"/>
                <w:sz w:val="18"/>
                <w:szCs w:val="18"/>
              </w:rPr>
            </w:pP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0" w:right="0"/>
              <w:jc w:val="left"/>
              <w:rPr>
                <w:rFonts w:ascii="宋体" w:hAnsi="宋体" w:cs="宋体" w:eastAsia="宋体" w:hint="default"/>
                <w:sz w:val="18"/>
                <w:szCs w:val="18"/>
              </w:rPr>
            </w:pP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王石山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副董事长、总经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刘长勇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章凯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柴晓丽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杜辉强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崔朕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刘春阳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吴波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549.34</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31"/>
      <w:bookmarkEnd w:id="131"/>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员工数量、专业构成及教育程度" w:id="132"/>
      <w:bookmarkEnd w:id="13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53</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306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359</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359</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91"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z w:val="18"/>
              </w:rPr>
              <w:t>90</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153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2"/>
        <w:gridCol w:w="4788"/>
      </w:tblGrid>
      <w:tr>
        <w:trPr>
          <w:trHeight w:val="408"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359</w:t>
            </w:r>
          </w:p>
        </w:tc>
      </w:tr>
      <w:tr>
        <w:trPr>
          <w:trHeight w:val="389"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9"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硕究生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224</w:t>
            </w:r>
          </w:p>
        </w:tc>
      </w:tr>
      <w:tr>
        <w:trPr>
          <w:trHeight w:val="39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95</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359</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薪酬政策" w:id="133"/>
      <w:bookmarkEnd w:id="13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right="0" w:firstLine="360"/>
        <w:jc w:val="left"/>
      </w:pPr>
      <w:r>
        <w:rPr>
          <w:spacing w:val="-5"/>
        </w:rPr>
        <w:t>公司根据《中华人民共和国劳动合同法》和国家及地方其他有关劳动法律、法规的规定，结合公司自身的实际情况，采</w:t>
      </w:r>
      <w:r>
        <w:rPr>
          <w:w w:val="101"/>
        </w:rPr>
        <w:t> </w:t>
      </w:r>
      <w:r>
        <w:rPr>
          <w:spacing w:val="-3"/>
        </w:rPr>
        <w:t>取按劳分配为主，效率优先兼顾公平，员工工资增长与公司经营发展和效益提高相适应的薪酬制度。公司实行劳动合同制，</w:t>
      </w:r>
      <w:r>
        <w:rPr>
          <w:spacing w:val="67"/>
        </w:rPr>
        <w:t> </w:t>
      </w:r>
      <w:r>
        <w:rPr>
          <w:spacing w:val="67"/>
        </w:rPr>
      </w:r>
      <w:r>
        <w:rPr>
          <w:spacing w:val="-6"/>
        </w:rPr>
        <w:t>与所有员工签订劳动合同，并按照国家规定为员工缴纳医疗保险、养老保险、失业保险、工伤保险、生育保险及住房公积金。</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培训计划" w:id="134"/>
      <w:bookmarkEnd w:id="13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0" w:firstLine="360"/>
        <w:jc w:val="left"/>
      </w:pPr>
      <w:r>
        <w:rPr>
          <w:spacing w:val="-5"/>
        </w:rPr>
        <w:t>公司根据企业管理和日常经营业务的实际需要，制定员工培训计划，通过内部培训、参加外部培训、联合培养等多种方</w:t>
      </w:r>
      <w:r>
        <w:rPr>
          <w:w w:val="101"/>
        </w:rPr>
        <w:t> </w:t>
      </w:r>
      <w:r>
        <w:rPr>
          <w:spacing w:val="-6"/>
        </w:rPr>
        <w:t>式开展后续职业培训，加强员工对公司规范运作的合规意识，改善员工的知识结构、专业结构，提升员工的业务素质和技能。</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5"/>
      <w:bookmarkEnd w:id="13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367" w:right="3336"/>
        <w:jc w:val="center"/>
        <w:rPr>
          <w:b w:val="0"/>
          <w:bCs w:val="0"/>
        </w:rPr>
      </w:pPr>
      <w:bookmarkStart w:name="第十节公司治理" w:id="136"/>
      <w:bookmarkEnd w:id="136"/>
      <w:r>
        <w:rPr>
          <w:b w:val="0"/>
          <w:bCs w:val="0"/>
        </w:rPr>
      </w:r>
      <w:bookmarkStart w:name="_bookmark9" w:id="137"/>
      <w:bookmarkEnd w:id="137"/>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before="0"/>
        <w:ind w:left="513" w:right="0"/>
        <w:jc w:val="left"/>
      </w:pPr>
      <w:r>
        <w:rPr>
          <w:spacing w:val="-3"/>
        </w:rPr>
        <w:t>报告期内，公司按照现代企业制度要求，进一步优化公司治理结构，规范三会运作。</w:t>
      </w:r>
      <w:r>
        <w:rPr>
          <w:spacing w:val="19"/>
        </w:rPr>
        <w:t> </w:t>
      </w:r>
      <w:r>
        <w:rPr>
          <w:spacing w:val="19"/>
        </w:rPr>
      </w:r>
      <w:r>
        <w:rPr>
          <w:spacing w:val="-4"/>
        </w:rPr>
        <w:t>报告期内，公司董事会不断完善公司法人治理结构，健全内部控制体系，在公司控股股东及实际控制人发生变更时调整</w:t>
      </w:r>
    </w:p>
    <w:p>
      <w:pPr>
        <w:pStyle w:val="BodyText"/>
        <w:spacing w:line="316" w:lineRule="auto" w:before="19"/>
        <w:ind w:right="0"/>
        <w:jc w:val="left"/>
      </w:pPr>
      <w:r>
        <w:rPr>
          <w:spacing w:val="-4"/>
        </w:rPr>
        <w:t>了董事会、监事会的成员组成，充分发挥独立董事的职能和监事会的监督作用，约束实际控制人的决策和经营行为。公司经</w:t>
      </w:r>
      <w:r>
        <w:rPr>
          <w:spacing w:val="40"/>
        </w:rPr>
        <w:t> </w:t>
      </w:r>
      <w:r>
        <w:rPr>
          <w:spacing w:val="40"/>
        </w:rPr>
      </w:r>
      <w:r>
        <w:rPr>
          <w:spacing w:val="-3"/>
        </w:rPr>
        <w:t>营层、相关部门进一步完善了资金管理制度、重大合同管理制度、采购等内控制度，规范资金及合同审核流程及审批权限；</w:t>
      </w:r>
      <w:r>
        <w:rPr>
          <w:spacing w:val="66"/>
        </w:rPr>
        <w:t> </w:t>
      </w:r>
      <w:r>
        <w:rPr>
          <w:spacing w:val="66"/>
        </w:rPr>
      </w:r>
      <w:r>
        <w:rPr>
          <w:spacing w:val="-4"/>
        </w:rPr>
        <w:t>落实防范控股股东及关联方资金占用管理制度、关联交易管理制度、信息披露管理制度、重大信息内部报告制度、大股东定</w:t>
      </w:r>
      <w:r>
        <w:rPr>
          <w:spacing w:val="41"/>
        </w:rPr>
        <w:t> </w:t>
      </w:r>
      <w:r>
        <w:rPr>
          <w:spacing w:val="41"/>
        </w:rPr>
      </w:r>
      <w:r>
        <w:rPr>
          <w:spacing w:val="-4"/>
        </w:rPr>
        <w:t>期沟通机制等相关制度的执行力度；切实保护投资者利益，自觉履行信息披露义务，做好投资者关系管理，提升企业规范运</w:t>
      </w:r>
      <w:r>
        <w:rPr>
          <w:spacing w:val="40"/>
        </w:rPr>
        <w:t> </w:t>
      </w:r>
      <w:r>
        <w:rPr>
          <w:spacing w:val="40"/>
        </w:rPr>
      </w:r>
      <w:r>
        <w:rPr>
          <w:spacing w:val="-4"/>
        </w:rPr>
        <w:t>作水平。加强对内部审计部门的建设，对内部控制管理制度进行整理，强化资金管理力度，完善资金使用管理制度，规范审</w:t>
      </w:r>
      <w:r>
        <w:rPr>
          <w:spacing w:val="40"/>
        </w:rPr>
        <w:t> </w:t>
      </w:r>
      <w:r>
        <w:rPr>
          <w:spacing w:val="40"/>
        </w:rPr>
      </w:r>
      <w:r>
        <w:rPr>
          <w:spacing w:val="-4"/>
        </w:rPr>
        <w:t>批流程。同时，公司董事会办公室组织新任董事、监事、高级管理人员学习相关证券法律法规及公司内控制度，提高对上市</w:t>
      </w:r>
      <w:r>
        <w:rPr>
          <w:spacing w:val="40"/>
        </w:rPr>
        <w:t> </w:t>
      </w:r>
      <w:r>
        <w:rPr>
          <w:spacing w:val="40"/>
        </w:rPr>
      </w:r>
      <w:r>
        <w:rPr>
          <w:spacing w:val="-4"/>
        </w:rPr>
        <w:t>公司独立性、关联交易、资金占用、对外担保、对外投资等重要事项的认识，提升遵章守法的意识，建立和完善重大信息内</w:t>
      </w:r>
      <w:r>
        <w:rPr>
          <w:spacing w:val="40"/>
        </w:rPr>
        <w:t> </w:t>
      </w:r>
      <w:r>
        <w:rPr>
          <w:spacing w:val="40"/>
        </w:rPr>
      </w:r>
      <w:r>
        <w:rPr>
          <w:spacing w:val="-3"/>
        </w:rPr>
        <w:t>部报告制度，确保公司经营管理规范运作。</w:t>
      </w:r>
    </w:p>
    <w:p>
      <w:pPr>
        <w:pStyle w:val="BodyText"/>
        <w:spacing w:line="316" w:lineRule="auto" w:before="19"/>
        <w:ind w:left="513" w:right="0"/>
        <w:jc w:val="left"/>
      </w:pPr>
      <w:r>
        <w:rPr>
          <w:spacing w:val="-3"/>
        </w:rPr>
        <w:t>（一）关于股东和股东大会</w:t>
      </w:r>
      <w:r>
        <w:rPr>
          <w:spacing w:val="-51"/>
        </w:rPr>
        <w:t> </w:t>
      </w:r>
      <w:r>
        <w:rPr>
          <w:spacing w:val="-51"/>
        </w:rPr>
      </w:r>
      <w:r>
        <w:rPr>
          <w:spacing w:val="-5"/>
        </w:rPr>
        <w:t>报告期内，公司严格遵守法律法规，规范地召集、召开股东大会。历次股东大会的召集、召开程序、出席股东大会的人</w:t>
      </w:r>
    </w:p>
    <w:p>
      <w:pPr>
        <w:pStyle w:val="BodyText"/>
        <w:spacing w:line="319" w:lineRule="auto" w:before="19"/>
        <w:ind w:right="1124"/>
        <w:jc w:val="both"/>
      </w:pPr>
      <w:r>
        <w:rPr>
          <w:spacing w:val="-4"/>
        </w:rPr>
        <w:t>员资格及股东大会的表决程序均符合《公司法》、《证券法》、《深圳证券交易所股票上市规则》、《深圳证券交易所中小</w:t>
      </w:r>
      <w:r>
        <w:rPr>
          <w:spacing w:val="40"/>
        </w:rPr>
        <w:t> </w:t>
      </w:r>
      <w:r>
        <w:rPr>
          <w:spacing w:val="40"/>
        </w:rPr>
      </w:r>
      <w:r>
        <w:rPr>
          <w:spacing w:val="-4"/>
        </w:rPr>
        <w:t>企业板上市公司规范运作指引》、《公司章程》、《股东大会议事规则》及其他法律法规的规定，能够确保全体股东尤其是</w:t>
      </w:r>
      <w:r>
        <w:rPr>
          <w:spacing w:val="40"/>
        </w:rPr>
        <w:t> </w:t>
      </w:r>
      <w:r>
        <w:rPr>
          <w:spacing w:val="40"/>
        </w:rPr>
      </w:r>
      <w:r>
        <w:rPr>
          <w:spacing w:val="-4"/>
        </w:rPr>
        <w:t>中小股东享有平等地位，充分行使自己的权利。报告期内召开的股东大会均由董事会召集召开，并邀请见证律师进行现场见</w:t>
      </w:r>
      <w:r>
        <w:rPr>
          <w:spacing w:val="43"/>
        </w:rPr>
        <w:t> </w:t>
      </w:r>
      <w:r>
        <w:rPr>
          <w:spacing w:val="43"/>
        </w:rPr>
      </w:r>
      <w:r>
        <w:rPr/>
        <w:t>证。</w:t>
      </w:r>
    </w:p>
    <w:p>
      <w:pPr>
        <w:pStyle w:val="BodyText"/>
        <w:spacing w:line="316" w:lineRule="auto" w:before="17"/>
        <w:ind w:left="513" w:right="0"/>
        <w:jc w:val="left"/>
      </w:pPr>
      <w:r>
        <w:rPr>
          <w:spacing w:val="-3"/>
        </w:rPr>
        <w:t>（二）关于上市公司与实际控制人的关系</w:t>
      </w:r>
      <w:r>
        <w:rPr>
          <w:spacing w:val="-33"/>
        </w:rPr>
        <w:t> </w:t>
      </w:r>
      <w:r>
        <w:rPr>
          <w:spacing w:val="-33"/>
        </w:rPr>
      </w:r>
      <w:r>
        <w:rPr>
          <w:spacing w:val="-4"/>
        </w:rPr>
        <w:t>报告期内，公司实际控制人为自然人，公司实际控制人能够严格按照《深圳证券交易所中小企业板上市公司规范运作指</w:t>
      </w:r>
    </w:p>
    <w:p>
      <w:pPr>
        <w:pStyle w:val="BodyText"/>
        <w:spacing w:line="240" w:lineRule="auto" w:before="19"/>
        <w:ind w:right="0"/>
        <w:jc w:val="left"/>
      </w:pPr>
      <w:r>
        <w:rPr>
          <w:spacing w:val="-3"/>
        </w:rPr>
        <w:t>引》的规定和要求，规范行为，履行义务。没有超越公司股东大会直接或间接干预公司的决策和经营活动的行为。</w:t>
      </w:r>
    </w:p>
    <w:p>
      <w:pPr>
        <w:pStyle w:val="BodyText"/>
        <w:spacing w:line="316" w:lineRule="auto" w:before="76"/>
        <w:ind w:left="513" w:right="0"/>
        <w:jc w:val="left"/>
      </w:pPr>
      <w:r>
        <w:rPr>
          <w:spacing w:val="-3"/>
        </w:rPr>
        <w:t>（三）关于董事与董事会</w:t>
      </w:r>
      <w:r>
        <w:rPr>
          <w:spacing w:val="-56"/>
        </w:rPr>
        <w:t> </w:t>
      </w:r>
      <w:r>
        <w:rPr>
          <w:spacing w:val="-56"/>
        </w:rPr>
      </w:r>
      <w:r>
        <w:rPr>
          <w:spacing w:val="-4"/>
        </w:rPr>
        <w:t>公司所有董事能按照公司和股东利益最大化的要求诚信、勤勉地履行职责。公司独立董事严格遵守《关于在上市公司建</w:t>
      </w:r>
    </w:p>
    <w:p>
      <w:pPr>
        <w:pStyle w:val="BodyText"/>
        <w:spacing w:line="316" w:lineRule="auto" w:before="19"/>
        <w:ind w:right="0"/>
        <w:jc w:val="left"/>
      </w:pPr>
      <w:r>
        <w:rPr>
          <w:spacing w:val="-3"/>
        </w:rPr>
        <w:t>立独立董事制度的指导意见》及公司《独立董事工作制度》等规定，积极参与公司决策，对诸多重大事项发表了独立意见，</w:t>
      </w:r>
      <w:r>
        <w:rPr>
          <w:spacing w:val="66"/>
        </w:rPr>
        <w:t> </w:t>
      </w:r>
      <w:r>
        <w:rPr>
          <w:spacing w:val="66"/>
        </w:rPr>
      </w:r>
      <w:r>
        <w:rPr>
          <w:spacing w:val="-4"/>
        </w:rPr>
        <w:t>充分发挥了独立董事特有的职能。董事会下设战略委员会、审计委员会、提名委员会、薪酬与考核委员会，各专门委员会严</w:t>
      </w:r>
      <w:r>
        <w:rPr>
          <w:spacing w:val="41"/>
        </w:rPr>
        <w:t> </w:t>
      </w:r>
      <w:r>
        <w:rPr>
          <w:spacing w:val="41"/>
        </w:rPr>
      </w:r>
      <w:r>
        <w:rPr>
          <w:spacing w:val="-3"/>
        </w:rPr>
        <w:t>格遵守相关制度规定，各行其责，有力加强了公司董事会工作的规范运作。</w:t>
      </w:r>
    </w:p>
    <w:p>
      <w:pPr>
        <w:pStyle w:val="BodyText"/>
        <w:spacing w:line="316" w:lineRule="auto" w:before="19"/>
        <w:ind w:left="513" w:right="0"/>
        <w:jc w:val="left"/>
      </w:pPr>
      <w:r>
        <w:rPr>
          <w:spacing w:val="-3"/>
        </w:rPr>
        <w:t>（四）关于监事和监事会</w:t>
      </w:r>
      <w:r>
        <w:rPr>
          <w:spacing w:val="-56"/>
        </w:rPr>
        <w:t> </w:t>
      </w:r>
      <w:r>
        <w:rPr>
          <w:spacing w:val="-56"/>
        </w:rPr>
      </w:r>
      <w:r>
        <w:rPr>
          <w:spacing w:val="-3"/>
        </w:rPr>
        <w:t>报告期内，公司现任监事共三名，包括二名股东代表和一名职工代表，监事会人数和人员构成符合法律、法规的要求。</w:t>
      </w:r>
    </w:p>
    <w:p>
      <w:pPr>
        <w:pStyle w:val="BodyText"/>
        <w:spacing w:line="316" w:lineRule="auto" w:before="19"/>
        <w:ind w:right="1123"/>
        <w:jc w:val="both"/>
      </w:pPr>
      <w:r>
        <w:rPr>
          <w:spacing w:val="-4"/>
        </w:rPr>
        <w:t>公司监事根据法律、法规及公司章程授予的职权认真履行职责，本着对股东负责的态度，对公司财务以及公司董事、总经理</w:t>
      </w:r>
      <w:r>
        <w:rPr>
          <w:spacing w:val="40"/>
        </w:rPr>
        <w:t> </w:t>
      </w:r>
      <w:r>
        <w:rPr>
          <w:spacing w:val="40"/>
        </w:rPr>
      </w:r>
      <w:r>
        <w:rPr>
          <w:spacing w:val="-4"/>
        </w:rPr>
        <w:t>和其他高级管理人员履行职责的合法、合规性进行有效监督；对公司重大事项、财务状况、董事和经理的履职情况等进行有</w:t>
      </w:r>
      <w:r>
        <w:rPr>
          <w:spacing w:val="40"/>
        </w:rPr>
        <w:t> </w:t>
      </w:r>
      <w:r>
        <w:rPr>
          <w:spacing w:val="40"/>
        </w:rPr>
      </w:r>
      <w:r>
        <w:rPr>
          <w:spacing w:val="-3"/>
        </w:rPr>
        <w:t>效监督并发表意见，维护公司和全体股东的利益。</w:t>
      </w:r>
    </w:p>
    <w:p>
      <w:pPr>
        <w:pStyle w:val="BodyText"/>
        <w:spacing w:line="316" w:lineRule="auto" w:before="19"/>
        <w:ind w:left="513" w:right="0"/>
        <w:jc w:val="left"/>
      </w:pPr>
      <w:r>
        <w:rPr>
          <w:spacing w:val="-3"/>
        </w:rPr>
        <w:t>（五）关于绩效评价与激励约束机制</w:t>
      </w:r>
      <w:r>
        <w:rPr>
          <w:spacing w:val="-39"/>
        </w:rPr>
        <w:t> </w:t>
      </w:r>
      <w:r>
        <w:rPr>
          <w:spacing w:val="-39"/>
        </w:rPr>
      </w:r>
      <w:r>
        <w:rPr>
          <w:spacing w:val="-6"/>
        </w:rPr>
        <w:t>公司建立了公正、透明、有效的董事、监事和高管人员的绩效评价标准和激励约束机制，公司高级管理人员的聘任公开、</w:t>
      </w:r>
    </w:p>
    <w:p>
      <w:pPr>
        <w:pStyle w:val="BodyText"/>
        <w:spacing w:line="316" w:lineRule="auto" w:before="19"/>
        <w:ind w:right="0"/>
        <w:jc w:val="left"/>
      </w:pPr>
      <w:r>
        <w:rPr>
          <w:spacing w:val="-4"/>
        </w:rPr>
        <w:t>透明，严格按照有关法律法规的规定进行。公司未来还将探索更多形式的激励方式，形成多层次的综合激励机制，完善绩效</w:t>
      </w:r>
      <w:r>
        <w:rPr>
          <w:spacing w:val="40"/>
        </w:rPr>
        <w:t> </w:t>
      </w:r>
      <w:r>
        <w:rPr>
          <w:spacing w:val="40"/>
        </w:rPr>
      </w:r>
      <w:r>
        <w:rPr>
          <w:spacing w:val="-3"/>
        </w:rPr>
        <w:t>评价标准，更好地调动管理人员的工作积极性，吸引和稳定优秀管理人才和技术、业务骨干。</w:t>
      </w:r>
    </w:p>
    <w:p>
      <w:pPr>
        <w:pStyle w:val="BodyText"/>
        <w:spacing w:line="316" w:lineRule="auto" w:before="19"/>
        <w:ind w:left="513" w:right="0"/>
        <w:jc w:val="left"/>
      </w:pPr>
      <w:r>
        <w:rPr>
          <w:spacing w:val="-3"/>
        </w:rPr>
        <w:t>（六）关于投资者关系管理工作</w:t>
      </w:r>
      <w:r>
        <w:rPr>
          <w:spacing w:val="-45"/>
        </w:rPr>
        <w:t> </w:t>
      </w:r>
      <w:r>
        <w:rPr>
          <w:spacing w:val="-45"/>
        </w:rPr>
      </w:r>
      <w:r>
        <w:rPr>
          <w:spacing w:val="-3"/>
        </w:rPr>
        <w:t>报告期内，公司严格按照有关法律法规及《深圳证券交易所股票上市规则》中关于公司信息披露的规定，真实、准确、</w:t>
      </w:r>
    </w:p>
    <w:p>
      <w:pPr>
        <w:pStyle w:val="BodyText"/>
        <w:spacing w:line="316" w:lineRule="auto" w:before="19"/>
        <w:ind w:right="1051"/>
        <w:jc w:val="left"/>
      </w:pPr>
      <w:r>
        <w:rPr>
          <w:spacing w:val="-3"/>
        </w:rPr>
        <w:t>完整、及时地履行信息披露义务，并确保所有股东以平等的机会获得信息。公司明确董事会秘书为投资者关系管理负责人，</w:t>
      </w:r>
      <w:r>
        <w:rPr>
          <w:spacing w:val="67"/>
        </w:rPr>
        <w:t> </w:t>
      </w:r>
      <w:r>
        <w:rPr>
          <w:spacing w:val="67"/>
        </w:rPr>
      </w:r>
      <w:r>
        <w:rPr>
          <w:spacing w:val="-4"/>
        </w:rPr>
        <w:t>组织实施投资者关系的日常管理工作，指定证券部为专门的投资者关系管理机构，加强与投资者的沟通，充分保证广大投资</w:t>
      </w:r>
      <w:r>
        <w:rPr>
          <w:spacing w:val="43"/>
        </w:rPr>
        <w:t> </w:t>
      </w:r>
      <w:r>
        <w:rPr>
          <w:spacing w:val="43"/>
        </w:rPr>
      </w:r>
      <w:r>
        <w:rPr/>
        <w:t>者的知情权。</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ind w:left="513" w:right="0"/>
        <w:jc w:val="left"/>
      </w:pPr>
      <w:r>
        <w:rPr>
          <w:spacing w:val="-3"/>
        </w:rPr>
        <w:t>（七）关于信息披露</w:t>
      </w:r>
      <w:r>
        <w:rPr>
          <w:spacing w:val="-62"/>
        </w:rPr>
        <w:t> </w:t>
      </w:r>
      <w:r>
        <w:rPr>
          <w:spacing w:val="-62"/>
        </w:rPr>
      </w:r>
      <w:r>
        <w:rPr>
          <w:spacing w:val="-5"/>
        </w:rPr>
        <w:t>公司按照《深圳证券交易所股票上市规则》、《公司章程》、《信息披露事务管理制度》、《投资者关系管理制度》等</w:t>
      </w:r>
    </w:p>
    <w:p>
      <w:pPr>
        <w:pStyle w:val="BodyText"/>
        <w:spacing w:line="319" w:lineRule="auto" w:before="19"/>
        <w:ind w:right="0"/>
        <w:jc w:val="left"/>
      </w:pPr>
      <w:r>
        <w:rPr>
          <w:spacing w:val="-3"/>
        </w:rPr>
        <w:t>的规定，依法真实、准确、及时、公平、完整地披露有关信息。报告期内，除了按照监管要求披露信息外，公司通过电话、</w:t>
      </w:r>
      <w:r>
        <w:rPr>
          <w:spacing w:val="66"/>
        </w:rPr>
        <w:t> </w:t>
      </w:r>
      <w:r>
        <w:rPr>
          <w:spacing w:val="66"/>
        </w:rPr>
      </w:r>
      <w:r>
        <w:rPr>
          <w:spacing w:val="-4"/>
        </w:rPr>
        <w:t>传真、电子邮件等形式加强与投资者的沟通，力求提高信息披露的透明度。同时，公司进一步加强了与监管机构的经常性联</w:t>
      </w:r>
      <w:r>
        <w:rPr>
          <w:spacing w:val="40"/>
        </w:rPr>
        <w:t> </w:t>
      </w:r>
      <w:r>
        <w:rPr>
          <w:spacing w:val="40"/>
        </w:rPr>
      </w:r>
      <w:r>
        <w:rPr>
          <w:spacing w:val="-3"/>
        </w:rPr>
        <w:t>系和主动沟通，积极向监管机构报告公司相关事项，确保公司信息披露更加规范。</w:t>
      </w:r>
    </w:p>
    <w:p>
      <w:pPr>
        <w:pStyle w:val="BodyText"/>
        <w:spacing w:line="316" w:lineRule="auto" w:before="17"/>
        <w:ind w:left="513" w:right="0"/>
        <w:jc w:val="left"/>
      </w:pPr>
      <w:r>
        <w:rPr/>
        <w:t>（八）关于利益相关者</w:t>
      </w:r>
      <w:r>
        <w:rPr>
          <w:spacing w:val="-86"/>
        </w:rPr>
        <w:t> </w:t>
      </w:r>
      <w:r>
        <w:rPr>
          <w:spacing w:val="-86"/>
        </w:rPr>
      </w:r>
      <w:r>
        <w:rPr>
          <w:spacing w:val="-5"/>
        </w:rPr>
        <w:t>公司在保持稳健发展、实现股东利益最大化的同时，积极关注所在地区环境保护、公益事业等问题，重视社会责任，充</w:t>
      </w:r>
    </w:p>
    <w:p>
      <w:pPr>
        <w:pStyle w:val="BodyText"/>
        <w:spacing w:line="319" w:lineRule="auto" w:before="19"/>
        <w:ind w:right="1123"/>
        <w:jc w:val="both"/>
      </w:pPr>
      <w:r>
        <w:rPr>
          <w:spacing w:val="-4"/>
        </w:rPr>
        <w:t>分尊重和维护相关利益者的合法权利，加强与各方的沟通和合作，努力实现股东、社会、员工等各方利益的均衡，共同推动</w:t>
      </w:r>
      <w:r>
        <w:rPr>
          <w:spacing w:val="40"/>
        </w:rPr>
        <w:t> </w:t>
      </w:r>
      <w:r>
        <w:rPr>
          <w:spacing w:val="40"/>
        </w:rPr>
      </w:r>
      <w:r>
        <w:rPr>
          <w:spacing w:val="-4"/>
        </w:rPr>
        <w:t>公司持续、健康地发展。公司治理的实际情况与中国证监会有关上市公司治理的规范性文件要求基本符合，并能严格按照相</w:t>
      </w:r>
      <w:r>
        <w:rPr>
          <w:spacing w:val="43"/>
        </w:rPr>
        <w:t> </w:t>
      </w:r>
      <w:r>
        <w:rPr>
          <w:spacing w:val="43"/>
        </w:rPr>
      </w:r>
      <w:r>
        <w:rPr/>
        <w:t>关规定履行义务。</w:t>
      </w:r>
    </w:p>
    <w:p>
      <w:pPr>
        <w:pStyle w:val="BodyText"/>
        <w:spacing w:line="240" w:lineRule="auto" w:before="60"/>
        <w:ind w:right="0"/>
        <w:jc w:val="both"/>
      </w:pPr>
      <w:r>
        <w:rPr>
          <w:spacing w:val="-3"/>
        </w:rPr>
        <w:t>公司治理的实际状况与中国证监会发布的有关上市公司治理的规范性文件是否存在重大差异</w:t>
      </w:r>
    </w:p>
    <w:p>
      <w:pPr>
        <w:pStyle w:val="BodyText"/>
        <w:spacing w:line="338" w:lineRule="auto" w:before="119"/>
        <w:ind w:right="331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公司治理的实际状况与中国证监会发布的有关上市公司治理的规范性文件不存在重大差异。</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before="0"/>
        <w:ind w:right="0" w:firstLine="360"/>
        <w:jc w:val="left"/>
      </w:pPr>
      <w:r>
        <w:rPr>
          <w:spacing w:val="-3"/>
        </w:rPr>
        <w:t>公司一直按照《公司法》、《证券法》等法律法规和《公司章程》的要求规范运作，建立、健全了公司法人治理结构。</w:t>
      </w:r>
      <w:r>
        <w:rPr>
          <w:w w:val="101"/>
        </w:rPr>
        <w:t> </w:t>
      </w:r>
      <w:r>
        <w:rPr>
          <w:spacing w:val="-5"/>
        </w:rPr>
        <w:t>公司与控股股东、实际控制人在业务、人员、资产、机构、财务等方面完全分开，具有独立完整的业务及自主经营能力。公</w:t>
      </w:r>
      <w:r>
        <w:rPr>
          <w:spacing w:val="4"/>
        </w:rPr>
        <w:t> </w:t>
      </w:r>
      <w:r>
        <w:rPr>
          <w:spacing w:val="4"/>
        </w:rPr>
      </w:r>
      <w:r>
        <w:rPr>
          <w:spacing w:val="-4"/>
        </w:rPr>
        <w:t>司所有的生产经营或重大事项均根据《公司章程》及相关制度的规定由经理层、董事会、股东大会讨论确定，不存在受控于</w:t>
      </w:r>
      <w:r>
        <w:rPr>
          <w:spacing w:val="40"/>
        </w:rPr>
        <w:t> </w:t>
      </w:r>
      <w:r>
        <w:rPr>
          <w:spacing w:val="40"/>
        </w:rPr>
      </w:r>
      <w:r>
        <w:rPr>
          <w:spacing w:val="-3"/>
        </w:rPr>
        <w:t>控股股东、实际控制人的情形。</w:t>
      </w:r>
    </w:p>
    <w:p>
      <w:pPr>
        <w:pStyle w:val="BodyText"/>
        <w:spacing w:line="316" w:lineRule="auto" w:before="17"/>
        <w:ind w:left="513" w:right="0"/>
        <w:jc w:val="left"/>
      </w:pPr>
      <w:r>
        <w:rPr>
          <w:spacing w:val="-3"/>
        </w:rPr>
        <w:t>（一）业务独立情况</w:t>
      </w:r>
      <w:r>
        <w:rPr>
          <w:spacing w:val="-62"/>
        </w:rPr>
        <w:t> </w:t>
      </w:r>
      <w:r>
        <w:rPr>
          <w:spacing w:val="-62"/>
        </w:rPr>
      </w:r>
      <w:r>
        <w:rPr>
          <w:spacing w:val="-5"/>
        </w:rPr>
        <w:t>报告期内，公司主要从事第三方支付、供应链管理、商业保理相关的业务，拥有独立完整的运营系统，拥有具体系统的</w:t>
      </w:r>
    </w:p>
    <w:p>
      <w:pPr>
        <w:pStyle w:val="BodyText"/>
        <w:spacing w:line="316" w:lineRule="auto" w:before="19"/>
        <w:ind w:right="0"/>
        <w:jc w:val="left"/>
      </w:pPr>
      <w:r>
        <w:rPr>
          <w:spacing w:val="-4"/>
        </w:rPr>
        <w:t>经营计划、财务核算、合规风控、法律、劳动人事等业务体系，具备独立的面向市场自主经营能力，均由公司自主决策、自</w:t>
      </w:r>
      <w:r>
        <w:rPr>
          <w:spacing w:val="40"/>
        </w:rPr>
        <w:t> </w:t>
      </w:r>
      <w:r>
        <w:rPr>
          <w:spacing w:val="40"/>
        </w:rPr>
      </w:r>
      <w:r>
        <w:rPr>
          <w:spacing w:val="-3"/>
        </w:rPr>
        <w:t>负盈亏，不存在对股东及其他机构依赖的情况。</w:t>
      </w:r>
    </w:p>
    <w:p>
      <w:pPr>
        <w:pStyle w:val="BodyText"/>
        <w:spacing w:line="319" w:lineRule="auto" w:before="19"/>
        <w:ind w:left="513" w:right="0"/>
        <w:jc w:val="left"/>
      </w:pPr>
      <w:r>
        <w:rPr>
          <w:spacing w:val="-3"/>
        </w:rPr>
        <w:t>（二）人员独立情况</w:t>
      </w:r>
      <w:r>
        <w:rPr>
          <w:spacing w:val="-62"/>
        </w:rPr>
        <w:t> </w:t>
      </w:r>
      <w:r>
        <w:rPr>
          <w:spacing w:val="-62"/>
        </w:rPr>
      </w:r>
      <w:r>
        <w:rPr>
          <w:spacing w:val="-5"/>
        </w:rPr>
        <w:t>公司的董事、监事、高级管理人员的任职，均按照《公司法》及其他法律、法规、规范性文件、《公司章程》规定的程</w:t>
      </w:r>
    </w:p>
    <w:p>
      <w:pPr>
        <w:pStyle w:val="BodyText"/>
        <w:spacing w:line="316" w:lineRule="auto" w:before="17"/>
        <w:ind w:right="1123"/>
        <w:jc w:val="both"/>
      </w:pPr>
      <w:r>
        <w:rPr>
          <w:spacing w:val="-4"/>
        </w:rPr>
        <w:t>序进行。公司总经理、副总经理、财务总监和董事会秘书等高级管理人员均在公司工作并领取薪酬，没有在控股股东、实际</w:t>
      </w:r>
      <w:r>
        <w:rPr>
          <w:spacing w:val="40"/>
        </w:rPr>
        <w:t> </w:t>
      </w:r>
      <w:r>
        <w:rPr>
          <w:spacing w:val="40"/>
        </w:rPr>
      </w:r>
      <w:r>
        <w:rPr>
          <w:spacing w:val="-4"/>
        </w:rPr>
        <w:t>控制人及其控制的其他企业中担任除董事、监事以外的任何职务及领取薪酬。公司的财务人员也不存在在控股股东、实际控</w:t>
      </w:r>
      <w:r>
        <w:rPr>
          <w:spacing w:val="43"/>
        </w:rPr>
        <w:t> </w:t>
      </w:r>
      <w:r>
        <w:rPr>
          <w:spacing w:val="43"/>
        </w:rPr>
      </w:r>
      <w:r>
        <w:rPr>
          <w:spacing w:val="-4"/>
        </w:rPr>
        <w:t>制人或其控制的其他企业中兼职的情况。公司建立独立的人事管理系统，与员工签订了劳动合同，建立独立的工资管理、福</w:t>
      </w:r>
      <w:r>
        <w:rPr>
          <w:spacing w:val="40"/>
        </w:rPr>
        <w:t> </w:t>
      </w:r>
      <w:r>
        <w:rPr>
          <w:spacing w:val="40"/>
        </w:rPr>
      </w:r>
      <w:r>
        <w:rPr>
          <w:spacing w:val="-3"/>
        </w:rPr>
        <w:t>利与社会保障体系。</w:t>
      </w:r>
    </w:p>
    <w:p>
      <w:pPr>
        <w:pStyle w:val="BodyText"/>
        <w:spacing w:line="316" w:lineRule="auto" w:before="19"/>
        <w:ind w:left="513" w:right="0"/>
        <w:jc w:val="left"/>
      </w:pPr>
      <w:r>
        <w:rPr>
          <w:spacing w:val="-3"/>
        </w:rPr>
        <w:t>（三）资产独立情况</w:t>
      </w:r>
      <w:r>
        <w:rPr>
          <w:spacing w:val="-62"/>
        </w:rPr>
        <w:t> </w:t>
      </w:r>
      <w:r>
        <w:rPr>
          <w:spacing w:val="-62"/>
        </w:rPr>
      </w:r>
      <w:r>
        <w:rPr>
          <w:spacing w:val="-3"/>
        </w:rPr>
        <w:t>公司合法拥有与主营业务相关的商标、专利、非专利技术的所有权或者使用权。公司与股东之间的资产产权界定清晰，</w:t>
      </w:r>
    </w:p>
    <w:p>
      <w:pPr>
        <w:pStyle w:val="BodyText"/>
        <w:spacing w:line="316" w:lineRule="auto" w:before="19"/>
        <w:ind w:right="0"/>
        <w:jc w:val="left"/>
      </w:pPr>
      <w:r>
        <w:rPr>
          <w:spacing w:val="-4"/>
        </w:rPr>
        <w:t>生产经营场所独立，不存在依靠股东的生产经营场所进行生产经营的情况。公司不存在以资产、权益或信誉为股东的债务提</w:t>
      </w:r>
      <w:r>
        <w:rPr>
          <w:spacing w:val="43"/>
        </w:rPr>
        <w:t> </w:t>
      </w:r>
      <w:r>
        <w:rPr>
          <w:spacing w:val="43"/>
        </w:rPr>
      </w:r>
      <w:r>
        <w:rPr>
          <w:spacing w:val="-3"/>
        </w:rPr>
        <w:t>供担保的情况，公司对所有资产拥有完全的控制支配权，不存在资产、资金被股东占用而损害公司利益的情况。</w:t>
      </w:r>
    </w:p>
    <w:p>
      <w:pPr>
        <w:pStyle w:val="BodyText"/>
        <w:spacing w:line="319" w:lineRule="auto" w:before="19"/>
        <w:ind w:left="513" w:right="0"/>
        <w:jc w:val="left"/>
      </w:pPr>
      <w:r>
        <w:rPr>
          <w:spacing w:val="-3"/>
        </w:rPr>
        <w:t>（四）机构独立情况</w:t>
      </w:r>
      <w:r>
        <w:rPr>
          <w:spacing w:val="-62"/>
        </w:rPr>
        <w:t> </w:t>
      </w:r>
      <w:r>
        <w:rPr>
          <w:spacing w:val="-62"/>
        </w:rPr>
      </w:r>
      <w:r>
        <w:rPr>
          <w:spacing w:val="-5"/>
        </w:rPr>
        <w:t>公司设立健全的组织体系，股东大会、董事会、监事会及各职能部门均独立运作，依法独立行使各自职权。公司经营和</w:t>
      </w:r>
    </w:p>
    <w:p>
      <w:pPr>
        <w:pStyle w:val="BodyText"/>
        <w:spacing w:line="316" w:lineRule="auto" w:before="17"/>
        <w:ind w:right="0"/>
        <w:jc w:val="left"/>
      </w:pPr>
      <w:r>
        <w:rPr>
          <w:spacing w:val="-4"/>
        </w:rPr>
        <w:t>办公机构完全独立，不存在与股东混合经营的情形。公司的机构设置均独立于控股股东，未发生控股股东及其关联企业干预</w:t>
      </w:r>
      <w:r>
        <w:rPr>
          <w:spacing w:val="43"/>
        </w:rPr>
        <w:t> </w:t>
      </w:r>
      <w:r>
        <w:rPr>
          <w:spacing w:val="43"/>
        </w:rPr>
      </w:r>
      <w:r>
        <w:rPr>
          <w:spacing w:val="-3"/>
        </w:rPr>
        <w:t>公司机构设置和生产经营活动的情况。</w:t>
      </w:r>
    </w:p>
    <w:p>
      <w:pPr>
        <w:pStyle w:val="BodyText"/>
        <w:spacing w:line="316" w:lineRule="auto" w:before="19"/>
        <w:ind w:left="513" w:right="0"/>
        <w:jc w:val="left"/>
      </w:pPr>
      <w:r>
        <w:rPr>
          <w:spacing w:val="-3"/>
        </w:rPr>
        <w:t>（五）财务独立情况</w:t>
      </w:r>
      <w:r>
        <w:rPr>
          <w:spacing w:val="-62"/>
        </w:rPr>
        <w:t> </w:t>
      </w:r>
      <w:r>
        <w:rPr>
          <w:spacing w:val="-62"/>
        </w:rPr>
      </w:r>
      <w:r>
        <w:rPr>
          <w:spacing w:val="-4"/>
        </w:rPr>
        <w:t>公司设有独立的财务会计部门和内部审计部门，并配备专职财务管理人员及内部审计人员。公司制定了独立于控股股东</w:t>
      </w:r>
    </w:p>
    <w:p>
      <w:pPr>
        <w:pStyle w:val="BodyText"/>
        <w:spacing w:line="240" w:lineRule="auto" w:before="19"/>
        <w:ind w:right="0"/>
        <w:jc w:val="both"/>
      </w:pPr>
      <w:r>
        <w:rPr>
          <w:spacing w:val="-3"/>
        </w:rPr>
        <w:t>的财务管理制度和内部审计管理制度，并建立了独立的会计核算体系。公司具有独立的银行账户并依法独立纳税。</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三、同业竞争情况" w:id="140"/>
      <w:bookmarkEnd w:id="140"/>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本报告期股东大会情况" w:id="142"/>
      <w:bookmarkEnd w:id="14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巨潮资讯网（公告编</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2019-004</w:t>
            </w:r>
            <w:r>
              <w:rPr>
                <w:rFonts w:ascii="宋体" w:hAnsi="宋体" w:cs="宋体" w:eastAsia="宋体" w:hint="default"/>
                <w:sz w:val="18"/>
                <w:szCs w:val="18"/>
              </w:rPr>
              <w:t>）</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巨潮资讯网（公告编</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2019-037</w:t>
            </w:r>
            <w:r>
              <w:rPr>
                <w:rFonts w:ascii="宋体" w:hAnsi="宋体" w:cs="宋体" w:eastAsia="宋体" w:hint="default"/>
                <w:sz w:val="18"/>
                <w:szCs w:val="18"/>
              </w:rPr>
              <w:t>）</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巨潮资讯网（公告编</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2019-088</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表决权恢复的优先股股东请求召开临时股东大会" w:id="143"/>
      <w:bookmarkEnd w:id="14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独立董事出席董事会及股东大会的情况" w:id="145"/>
      <w:bookmarkEnd w:id="14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4"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399"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柴晓丽</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pStyle w:val="BodyText"/>
        <w:spacing w:line="240" w:lineRule="auto" w:before="53"/>
        <w:ind w:right="0"/>
        <w:jc w:val="left"/>
      </w:pPr>
      <w:r>
        <w:rPr>
          <w:spacing w:val="-3"/>
        </w:rPr>
        <w:t>连续两次未亲自出席董事会的说明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6"/>
      <w:bookmarkEnd w:id="14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spacing w:val="-3"/>
        </w:rPr>
        <w:t>独立董事对公司有关事项是否提出异议</w:t>
      </w:r>
    </w:p>
    <w:p>
      <w:pPr>
        <w:pStyle w:val="BodyText"/>
        <w:spacing w:line="338" w:lineRule="auto" w:before="115"/>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7"/>
      <w:bookmarkEnd w:id="14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spacing w:val="-3"/>
        </w:rPr>
        <w:t>独立董事对公司有关建议是否被采纳</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38" w:lineRule="auto"/>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319" w:lineRule="auto" w:before="41"/>
        <w:ind w:right="1037" w:firstLine="360"/>
        <w:jc w:val="both"/>
      </w:pPr>
      <w:r>
        <w:rPr>
          <w:spacing w:val="-4"/>
        </w:rPr>
        <w:t>报告期内，公司独立董事积极出席公司召开的董事会和股东大会，定期听取公司经营情况汇报，了解公司的经营情况和</w:t>
      </w:r>
      <w:r>
        <w:rPr>
          <w:w w:val="101"/>
        </w:rPr>
        <w:t> </w:t>
      </w:r>
      <w:r>
        <w:rPr>
          <w:spacing w:val="-4"/>
        </w:rPr>
        <w:t>财务状况，对公司转型为金融科技相关业务的合规性提出建议，并对公司的关联交易、内部控制及审计、聘任高管等事项发</w:t>
      </w:r>
      <w:r>
        <w:rPr>
          <w:spacing w:val="40"/>
        </w:rPr>
        <w:t> </w:t>
      </w:r>
      <w:r>
        <w:rPr>
          <w:spacing w:val="40"/>
        </w:rPr>
      </w:r>
      <w:r>
        <w:rPr>
          <w:spacing w:val="-4"/>
        </w:rPr>
        <w:t>表独立意见；并通过电话和邮件，独立董事积极与公司其他董事、高管人员及相关工作人员保持密切联系，时刻关注国内外</w:t>
      </w:r>
      <w:r>
        <w:rPr>
          <w:spacing w:val="40"/>
        </w:rPr>
        <w:t> </w:t>
      </w:r>
      <w:r>
        <w:rPr>
          <w:spacing w:val="40"/>
        </w:rPr>
      </w:r>
      <w:r>
        <w:rPr>
          <w:spacing w:val="-4"/>
        </w:rPr>
        <w:t>经济形势和行业发展态势对公司经营状况的影响，关注传媒、网络有关公司的相关报道，及时获悉公司各重大事项的进展情</w:t>
      </w:r>
      <w:r>
        <w:rPr>
          <w:spacing w:val="43"/>
        </w:rPr>
        <w:t> </w:t>
      </w:r>
      <w:r>
        <w:rPr>
          <w:spacing w:val="43"/>
        </w:rPr>
      </w:r>
      <w:r>
        <w:rPr>
          <w:spacing w:val="-4"/>
        </w:rPr>
        <w:t>况，定期审阅公司提供的信息报告，及时了解掌握公司经营与发展情况，深入探讨公司经营发展中的机遇与挑战，及时提示</w:t>
      </w:r>
      <w:r>
        <w:rPr>
          <w:spacing w:val="40"/>
        </w:rPr>
        <w:t> </w:t>
      </w:r>
      <w:r>
        <w:rPr>
          <w:spacing w:val="40"/>
        </w:rPr>
      </w:r>
      <w:r>
        <w:rPr>
          <w:spacing w:val="-4"/>
        </w:rPr>
        <w:t>风险。本年度重点关注主营业务转型状况、重大对外投资、关联交易等重大经营活动，掌握公司的运行动态，在充分掌握实</w:t>
      </w:r>
      <w:r>
        <w:rPr>
          <w:spacing w:val="41"/>
        </w:rPr>
        <w:t> </w:t>
      </w:r>
      <w:r>
        <w:rPr>
          <w:spacing w:val="41"/>
        </w:rPr>
      </w:r>
      <w:r>
        <w:rPr>
          <w:spacing w:val="-6"/>
          <w:w w:val="101"/>
        </w:rPr>
        <w:t>际情况的基础上提出相关意见与建议，独立董事对董事会各项议案的审议表决、对重大事项发表独立意见提供了有力的支持。</w:t>
      </w:r>
      <w:r>
        <w:rPr>
          <w:spacing w:val="-6"/>
        </w:rPr>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before="0"/>
        <w:ind w:right="1124" w:firstLine="360"/>
        <w:jc w:val="both"/>
      </w:pPr>
      <w:r>
        <w:rPr>
          <w:spacing w:val="-5"/>
        </w:rPr>
        <w:t>公司董事会下设四个专门委员会，分别为战略委员会、审计委员会、提名委员会、薪酬与考核委员会。本年度各专门委</w:t>
      </w:r>
      <w:r>
        <w:rPr>
          <w:w w:val="101"/>
        </w:rPr>
        <w:t> </w:t>
      </w:r>
      <w:r>
        <w:rPr>
          <w:spacing w:val="-4"/>
        </w:rPr>
        <w:t>员会本着勤勉尽责的原则，根据《公司法》、《上市公司治理准则》等有关法律法规及《公司章程》、《公司董事会各专门</w:t>
      </w:r>
      <w:r>
        <w:rPr>
          <w:spacing w:val="40"/>
        </w:rPr>
        <w:t> </w:t>
      </w:r>
      <w:r>
        <w:rPr>
          <w:spacing w:val="40"/>
        </w:rPr>
      </w:r>
      <w:r>
        <w:rPr>
          <w:spacing w:val="-3"/>
        </w:rPr>
        <w:t>委员会工作细则》的有关规定开展相关工作，报告期内，各专门委员会履职情况如下：</w:t>
      </w:r>
    </w:p>
    <w:p>
      <w:pPr>
        <w:pStyle w:val="BodyText"/>
        <w:spacing w:line="300" w:lineRule="auto" w:before="17"/>
        <w:ind w:left="513" w:right="1051"/>
        <w:jc w:val="left"/>
      </w:pPr>
      <w:r>
        <w:rPr>
          <w:rFonts w:ascii="Times New Roman" w:hAnsi="Times New Roman" w:cs="Times New Roman" w:eastAsia="Times New Roman" w:hint="default"/>
        </w:rPr>
        <w:t>1</w:t>
      </w:r>
      <w:r>
        <w:rPr/>
        <w:t>、战略委员会</w:t>
      </w:r>
      <w:r>
        <w:rPr>
          <w:spacing w:val="-85"/>
        </w:rPr>
        <w:t> </w:t>
      </w:r>
      <w:r>
        <w:rPr>
          <w:spacing w:val="-85"/>
        </w:rPr>
      </w:r>
      <w:r>
        <w:rPr>
          <w:spacing w:val="-6"/>
        </w:rPr>
        <w:t>报告期内，战略委员会根据有关规定积极开展工作，认真履行职责。报告期内，战略委员会对公司对外投资、新设公司、</w:t>
      </w:r>
    </w:p>
    <w:p>
      <w:pPr>
        <w:pStyle w:val="BodyText"/>
        <w:spacing w:line="240" w:lineRule="auto" w:before="31"/>
        <w:ind w:right="0"/>
        <w:jc w:val="left"/>
      </w:pPr>
      <w:r>
        <w:rPr>
          <w:spacing w:val="-3"/>
        </w:rPr>
        <w:t>关联交易等重大事项进行了深入分析探讨，对公司发展战略的实施提出了合理建议。</w:t>
      </w:r>
    </w:p>
    <w:p>
      <w:pPr>
        <w:pStyle w:val="BodyText"/>
        <w:spacing w:line="300" w:lineRule="auto" w:before="76"/>
        <w:ind w:left="513" w:right="1051"/>
        <w:jc w:val="left"/>
      </w:pPr>
      <w:r>
        <w:rPr>
          <w:rFonts w:ascii="Times New Roman" w:hAnsi="Times New Roman" w:cs="Times New Roman" w:eastAsia="Times New Roman" w:hint="default"/>
        </w:rPr>
        <w:t>2</w:t>
      </w:r>
      <w:r>
        <w:rPr/>
        <w:t>、审计委员会</w:t>
      </w:r>
      <w:r>
        <w:rPr>
          <w:spacing w:val="-85"/>
        </w:rPr>
        <w:t> </w:t>
      </w:r>
      <w:r>
        <w:rPr>
          <w:spacing w:val="-85"/>
        </w:rPr>
      </w:r>
      <w:r>
        <w:rPr>
          <w:spacing w:val="-5"/>
        </w:rPr>
        <w:t>报告期内，审计委员会根据有关规定，积极履行职责。报告期内，审计委员会审议了公司审计部提交的各项包括定期及</w:t>
      </w:r>
    </w:p>
    <w:p>
      <w:pPr>
        <w:pStyle w:val="BodyText"/>
        <w:spacing w:line="316" w:lineRule="auto" w:before="31"/>
        <w:ind w:right="0"/>
        <w:jc w:val="left"/>
      </w:pPr>
      <w:r>
        <w:rPr>
          <w:spacing w:val="-4"/>
        </w:rPr>
        <w:t>不定期的内部审计报告，听取了审计部年度工作总结和工作计划安排，对审计部的工作开展给予了一定的指导。对公司年度</w:t>
      </w:r>
      <w:r>
        <w:rPr>
          <w:spacing w:val="43"/>
        </w:rPr>
        <w:t> </w:t>
      </w:r>
      <w:r>
        <w:rPr>
          <w:spacing w:val="43"/>
        </w:rPr>
      </w:r>
      <w:r>
        <w:rPr>
          <w:spacing w:val="-3"/>
        </w:rPr>
        <w:t>审计、外部审计机构的聘任等事项给予合理的建议，对财务报告、内部控制建设等情况进行审核。</w:t>
      </w:r>
    </w:p>
    <w:p>
      <w:pPr>
        <w:pStyle w:val="BodyText"/>
        <w:spacing w:line="300" w:lineRule="auto" w:before="19"/>
        <w:ind w:left="513" w:right="1051"/>
        <w:jc w:val="left"/>
      </w:pPr>
      <w:r>
        <w:rPr>
          <w:rFonts w:ascii="Times New Roman" w:hAnsi="Times New Roman" w:cs="Times New Roman" w:eastAsia="Times New Roman" w:hint="default"/>
        </w:rPr>
        <w:t>3</w:t>
      </w:r>
      <w:r>
        <w:rPr/>
        <w:t>、提名委员会</w:t>
      </w:r>
      <w:r>
        <w:rPr>
          <w:spacing w:val="-85"/>
        </w:rPr>
        <w:t> </w:t>
      </w:r>
      <w:r>
        <w:rPr>
          <w:spacing w:val="-85"/>
        </w:rPr>
      </w:r>
      <w:r>
        <w:rPr>
          <w:spacing w:val="-5"/>
        </w:rPr>
        <w:t>报告期内，提名委员会按照《董事会提名委员会工作细则》履行职责，对公司选举部分高管进行提名，对其任职资格进</w:t>
      </w:r>
    </w:p>
    <w:p>
      <w:pPr>
        <w:pStyle w:val="BodyText"/>
        <w:spacing w:line="240" w:lineRule="auto" w:before="31"/>
        <w:ind w:right="0"/>
        <w:jc w:val="left"/>
      </w:pPr>
      <w:r>
        <w:rPr>
          <w:spacing w:val="-3"/>
        </w:rPr>
        <w:t>行了审查，并发表审查意见和建议。</w:t>
      </w:r>
    </w:p>
    <w:p>
      <w:pPr>
        <w:pStyle w:val="BodyText"/>
        <w:spacing w:line="300" w:lineRule="auto" w:before="77"/>
        <w:ind w:left="513" w:right="0"/>
        <w:jc w:val="left"/>
      </w:pPr>
      <w:r>
        <w:rPr>
          <w:rFonts w:ascii="Times New Roman" w:hAnsi="Times New Roman" w:cs="Times New Roman" w:eastAsia="Times New Roman" w:hint="default"/>
        </w:rPr>
        <w:t>4</w:t>
      </w:r>
      <w:r>
        <w:rPr/>
        <w:t>、薪酬与考核委员会</w:t>
      </w:r>
      <w:r>
        <w:rPr>
          <w:spacing w:val="-88"/>
        </w:rPr>
        <w:t> </w:t>
      </w:r>
      <w:r>
        <w:rPr>
          <w:spacing w:val="-88"/>
        </w:rPr>
      </w:r>
      <w:r>
        <w:rPr>
          <w:spacing w:val="-5"/>
        </w:rPr>
        <w:t>报告期内，薪酬与考核委员会根据有关规定，积极履行职责。薪酬与考核委员会对公司董事、监事和高级管理人员的薪</w:t>
      </w:r>
    </w:p>
    <w:p>
      <w:pPr>
        <w:pStyle w:val="BodyText"/>
        <w:spacing w:line="316" w:lineRule="auto" w:before="31"/>
        <w:ind w:right="0"/>
        <w:jc w:val="left"/>
      </w:pPr>
      <w:r>
        <w:rPr>
          <w:spacing w:val="-4"/>
        </w:rPr>
        <w:t>酬审核后认为，公司逐步建立公正、公平、公开、有效的高级管理人员绩效评价标准和激励约束机制，公司高级管理人员实</w:t>
      </w:r>
      <w:r>
        <w:rPr>
          <w:spacing w:val="40"/>
        </w:rPr>
        <w:t> </w:t>
      </w:r>
      <w:r>
        <w:rPr>
          <w:spacing w:val="40"/>
        </w:rPr>
      </w:r>
      <w:r>
        <w:rPr>
          <w:spacing w:val="-6"/>
        </w:rPr>
        <w:t>行基本年薪与年终绩效考核相结合的薪酬制度。公司董事、监事和高级管理人员报告期内薪酬真实，符合公司绩效考核指标。</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9"/>
      <w:bookmarkEnd w:id="149"/>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spacing w:val="-3"/>
        </w:rPr>
        <w:t>监事会在报告期内的监督活动中发现公司是否存在风险</w:t>
      </w:r>
    </w:p>
    <w:p>
      <w:pPr>
        <w:pStyle w:val="BodyText"/>
        <w:spacing w:line="338" w:lineRule="auto" w:before="119"/>
        <w:ind w:right="699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09" w:lineRule="auto" w:before="0"/>
        <w:ind w:right="1122" w:firstLine="360"/>
        <w:jc w:val="both"/>
      </w:pPr>
      <w:r>
        <w:rPr>
          <w:spacing w:val="-5"/>
        </w:rPr>
        <w:t>高级管理人员实行年薪制，依据行业薪酬水平，经营效益、岗位职级等因素确定。年终对高级管理人员的履行职责情况</w:t>
      </w:r>
      <w:r>
        <w:rPr>
          <w:w w:val="101"/>
        </w:rPr>
        <w:t> </w:t>
      </w:r>
      <w:r>
        <w:rPr>
          <w:spacing w:val="-4"/>
        </w:rPr>
        <w:t>和年度实际业绩进行绩效考核，并根据考核情况核发年度绩效薪酬。</w:t>
      </w:r>
      <w:r>
        <w:rPr>
          <w:rFonts w:ascii="Times New Roman" w:hAnsi="Times New Roman" w:cs="Times New Roman" w:eastAsia="Times New Roman" w:hint="default"/>
          <w:spacing w:val="-4"/>
        </w:rPr>
        <w:t>2019</w:t>
      </w:r>
      <w:r>
        <w:rPr>
          <w:spacing w:val="-4"/>
        </w:rPr>
        <w:t>年度高级管理人员的考核均为合格。</w:t>
      </w:r>
      <w:r>
        <w:rPr>
          <w:rFonts w:ascii="Times New Roman" w:hAnsi="Times New Roman" w:cs="Times New Roman" w:eastAsia="Times New Roman" w:hint="default"/>
          <w:spacing w:val="-4"/>
        </w:rPr>
        <w:t>2019</w:t>
      </w:r>
      <w:r>
        <w:rPr>
          <w:spacing w:val="-4"/>
        </w:rPr>
        <w:t>年度公司</w:t>
      </w:r>
      <w:r>
        <w:rPr>
          <w:spacing w:val="61"/>
        </w:rPr>
        <w:t> </w:t>
      </w:r>
      <w:r>
        <w:rPr>
          <w:spacing w:val="61"/>
        </w:rPr>
      </w:r>
      <w:r>
        <w:rPr>
          <w:spacing w:val="-3"/>
        </w:rPr>
        <w:t>未实行股权激励的事项。</w:t>
      </w:r>
    </w:p>
    <w:p>
      <w:pPr>
        <w:spacing w:after="0" w:line="309"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九、内部控制评价报告" w:id="151"/>
      <w:bookmarkEnd w:id="151"/>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2"/>
      <w:bookmarkEnd w:id="15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3"/>
      <w:bookmarkEnd w:id="15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spacing w:line="312" w:lineRule="exact"/>
        <w:ind w:left="670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5pt;height:15.6pt;mso-position-horizontal-relative:char;mso-position-vertical-relative:line" coordorigin="0,0" coordsize="2997,312">
            <v:group style="position:absolute;left:0;top:0;width:2997;height:312" coordorigin="0,0" coordsize="2997,312">
              <v:shape style="position:absolute;left:0;top:0;width:2997;height:312" coordorigin="0,0" coordsize="2997,312" path="m0,312l2996,312,2996,0,0,0,0,312xe" filled="true" fillcolor="#ffffff" stroked="false">
                <v:path arrowok="t"/>
                <v:fill type="solid"/>
              </v:shape>
            </v:group>
          </v:group>
        </w:pict>
      </w:r>
      <w:r>
        <w:rPr>
          <w:rFonts w:ascii="宋体" w:hAnsi="宋体" w:cs="宋体" w:eastAsia="宋体" w:hint="default"/>
          <w:position w:val="-5"/>
          <w:sz w:val="20"/>
          <w:szCs w:val="20"/>
        </w:rPr>
      </w:r>
    </w:p>
    <w:p>
      <w:pPr>
        <w:pStyle w:val="BodyText"/>
        <w:spacing w:line="240" w:lineRule="auto" w:before="10"/>
        <w:ind w:left="0" w:right="1151"/>
        <w:jc w:val="right"/>
      </w:pPr>
      <w:r>
        <w:rPr/>
        <w:pict>
          <v:shape style="position:absolute;margin-left:56.424pt;margin-top:-502.00827pt;width:479.25pt;height:565.1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33"/>
                    <w:gridCol w:w="3049"/>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3">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814"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4" w:space="0" w:color="000000"/>
                        </w:tcBorders>
                      </w:tcPr>
                      <w:p>
                        <w:pPr>
                          <w:pStyle w:val="TableParagraph"/>
                          <w:spacing w:line="312" w:lineRule="auto" w:before="53"/>
                          <w:ind w:left="21" w:right="45"/>
                          <w:jc w:val="left"/>
                          <w:rPr>
                            <w:rFonts w:ascii="宋体" w:hAnsi="宋体" w:cs="宋体" w:eastAsia="宋体" w:hint="default"/>
                            <w:sz w:val="18"/>
                            <w:szCs w:val="18"/>
                          </w:rPr>
                        </w:pPr>
                        <w:r>
                          <w:rPr>
                            <w:rFonts w:ascii="宋体" w:hAnsi="宋体" w:cs="宋体" w:eastAsia="宋体" w:hint="default"/>
                            <w:spacing w:val="-3"/>
                            <w:sz w:val="18"/>
                            <w:szCs w:val="18"/>
                          </w:rPr>
                          <w:t>重大缺陷：单独缺陷或连同其他缺陷导致</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不能及时防止或发现并纠正财务报告中的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重大错报。出现下列情形的，认定为重大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缺陷：（</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）公司董事、监事和高级管理人</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员舞弊并给企业造成重大损失和不利影</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w w:val="101"/>
                            <w:sz w:val="18"/>
                            <w:szCs w:val="18"/>
                          </w:rPr>
                          <w:t>响；（</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）外部审计发现当期财务报告存在</w:t>
                        </w:r>
                        <w:r>
                          <w:rPr>
                            <w:rFonts w:ascii="宋体" w:hAnsi="宋体" w:cs="宋体" w:eastAsia="宋体" w:hint="default"/>
                            <w:w w:val="101"/>
                            <w:sz w:val="18"/>
                            <w:szCs w:val="18"/>
                          </w:rPr>
                          <w:t> </w:t>
                        </w:r>
                        <w:r>
                          <w:rPr>
                            <w:rFonts w:ascii="宋体" w:hAnsi="宋体" w:cs="宋体" w:eastAsia="宋体" w:hint="default"/>
                            <w:spacing w:val="-7"/>
                            <w:w w:val="101"/>
                            <w:sz w:val="18"/>
                            <w:szCs w:val="18"/>
                          </w:rPr>
                          <w:t>重大错报，公司未能首先发现；（</w:t>
                        </w:r>
                        <w:r>
                          <w:rPr>
                            <w:rFonts w:ascii="Times New Roman" w:hAnsi="Times New Roman" w:cs="Times New Roman" w:eastAsia="Times New Roman" w:hint="default"/>
                            <w:spacing w:val="-7"/>
                            <w:w w:val="101"/>
                            <w:sz w:val="18"/>
                            <w:szCs w:val="18"/>
                          </w:rPr>
                          <w:t>3</w:t>
                        </w:r>
                        <w:r>
                          <w:rPr>
                            <w:rFonts w:ascii="宋体" w:hAnsi="宋体" w:cs="宋体" w:eastAsia="宋体" w:hint="default"/>
                            <w:spacing w:val="-7"/>
                            <w:w w:val="101"/>
                            <w:sz w:val="18"/>
                            <w:szCs w:val="18"/>
                          </w:rPr>
                          <w:t>）已经</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发现并报告给管理层的重大缺陷在合理的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时间内未加以改正；（</w:t>
                        </w:r>
                        <w:r>
                          <w:rPr>
                            <w:rFonts w:ascii="Times New Roman" w:hAnsi="Times New Roman" w:cs="Times New Roman" w:eastAsia="Times New Roman" w:hint="default"/>
                            <w:spacing w:val="-7"/>
                            <w:w w:val="101"/>
                            <w:sz w:val="18"/>
                            <w:szCs w:val="18"/>
                          </w:rPr>
                          <w:t>4</w:t>
                        </w:r>
                        <w:r>
                          <w:rPr>
                            <w:rFonts w:ascii="宋体" w:hAnsi="宋体" w:cs="宋体" w:eastAsia="宋体" w:hint="default"/>
                            <w:spacing w:val="-7"/>
                            <w:w w:val="101"/>
                            <w:sz w:val="18"/>
                            <w:szCs w:val="18"/>
                          </w:rPr>
                          <w:t>）公司审计委员会</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和公司内部审计部门对内部控制的监督无</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效。重要缺陷：公司财务报告内部控制重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要缺陷的定性标准：（</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）未按公认会计准</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7"/>
                            <w:w w:val="101"/>
                            <w:sz w:val="18"/>
                            <w:szCs w:val="18"/>
                          </w:rPr>
                          <w:t>则选择和应用会计政策；（</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）未建立反舞</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7"/>
                            <w:w w:val="101"/>
                            <w:sz w:val="18"/>
                            <w:szCs w:val="18"/>
                          </w:rPr>
                          <w:t>弊和重要的制衡制度和控制措施；（</w:t>
                        </w:r>
                        <w:r>
                          <w:rPr>
                            <w:rFonts w:ascii="Times New Roman" w:hAnsi="Times New Roman" w:cs="Times New Roman" w:eastAsia="Times New Roman" w:hint="default"/>
                            <w:spacing w:val="-7"/>
                            <w:w w:val="101"/>
                            <w:sz w:val="18"/>
                            <w:szCs w:val="18"/>
                          </w:rPr>
                          <w:t>3</w:t>
                        </w:r>
                        <w:r>
                          <w:rPr>
                            <w:rFonts w:ascii="宋体" w:hAnsi="宋体" w:cs="宋体" w:eastAsia="宋体" w:hint="default"/>
                            <w:spacing w:val="-7"/>
                            <w:w w:val="101"/>
                            <w:sz w:val="18"/>
                            <w:szCs w:val="18"/>
                          </w:rPr>
                          <w:t>）财</w:t>
                        </w:r>
                        <w:r>
                          <w:rPr>
                            <w:rFonts w:ascii="宋体" w:hAnsi="宋体" w:cs="宋体" w:eastAsia="宋体" w:hint="default"/>
                            <w:spacing w:val="-89"/>
                            <w:w w:val="101"/>
                            <w:sz w:val="18"/>
                            <w:szCs w:val="18"/>
                          </w:rPr>
                          <w:t> </w:t>
                        </w:r>
                        <w:r>
                          <w:rPr>
                            <w:rFonts w:ascii="宋体" w:hAnsi="宋体" w:cs="宋体" w:eastAsia="宋体" w:hint="default"/>
                            <w:spacing w:val="-3"/>
                            <w:sz w:val="18"/>
                            <w:szCs w:val="18"/>
                          </w:rPr>
                          <w:t>务报告过程中出现单独或多项缺陷，虽然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未达到重大缺陷认定标准，但影响到财务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报告的真实、准确目标。一般缺陷：未构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成重大缺陷、重要缺陷标准的其他内部控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制缺陷。</w:t>
                        </w:r>
                      </w:p>
                    </w:tc>
                    <w:tc>
                      <w:tcPr>
                        <w:tcW w:w="30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
                          <w:jc w:val="left"/>
                          <w:rPr>
                            <w:rFonts w:ascii="宋体" w:hAnsi="宋体" w:cs="宋体" w:eastAsia="宋体" w:hint="default"/>
                            <w:sz w:val="18"/>
                            <w:szCs w:val="18"/>
                          </w:rPr>
                        </w:pPr>
                        <w:r>
                          <w:rPr>
                            <w:rFonts w:ascii="宋体" w:hAnsi="宋体" w:cs="宋体" w:eastAsia="宋体" w:hint="default"/>
                            <w:spacing w:val="-3"/>
                            <w:sz w:val="18"/>
                            <w:szCs w:val="18"/>
                          </w:rPr>
                          <w:t>非财务报告缺陷认定主要以缺陷对业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务流程有效性的影响程度、发生的可能</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性作判定。如果缺陷发生的可能性较</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小，会降低工作效率或效果、或加大效</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果的不确定性、或使之偏离预期目标为</w:t>
                        </w:r>
                        <w:r>
                          <w:rPr>
                            <w:rFonts w:ascii="宋体" w:hAnsi="宋体" w:cs="宋体" w:eastAsia="宋体" w:hint="default"/>
                            <w:w w:val="101"/>
                            <w:sz w:val="18"/>
                            <w:szCs w:val="18"/>
                          </w:rPr>
                          <w:t> </w:t>
                        </w:r>
                        <w:r>
                          <w:rPr>
                            <w:rFonts w:ascii="宋体" w:hAnsi="宋体" w:cs="宋体" w:eastAsia="宋体" w:hint="default"/>
                            <w:spacing w:val="-3"/>
                            <w:sz w:val="18"/>
                            <w:szCs w:val="18"/>
                          </w:rPr>
                          <w:t>一般缺陷；如果缺陷发生的可能性较</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高，会显著降低工作效率或效果、或显</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著加大效果的不确定性、或使之显著偏</w:t>
                        </w:r>
                        <w:r>
                          <w:rPr>
                            <w:rFonts w:ascii="宋体" w:hAnsi="宋体" w:cs="宋体" w:eastAsia="宋体" w:hint="default"/>
                            <w:w w:val="101"/>
                            <w:sz w:val="18"/>
                            <w:szCs w:val="18"/>
                          </w:rPr>
                          <w:t> </w:t>
                        </w:r>
                        <w:r>
                          <w:rPr>
                            <w:rFonts w:ascii="宋体" w:hAnsi="宋体" w:cs="宋体" w:eastAsia="宋体" w:hint="default"/>
                            <w:spacing w:val="-6"/>
                            <w:w w:val="101"/>
                            <w:sz w:val="18"/>
                            <w:szCs w:val="18"/>
                          </w:rPr>
                          <w:t>离预期目标为重要缺陷；如果缺陷发生</w:t>
                        </w:r>
                        <w:r>
                          <w:rPr>
                            <w:rFonts w:ascii="宋体" w:hAnsi="宋体" w:cs="宋体" w:eastAsia="宋体" w:hint="default"/>
                            <w:w w:val="101"/>
                            <w:sz w:val="18"/>
                            <w:szCs w:val="18"/>
                          </w:rPr>
                          <w:t> </w:t>
                        </w:r>
                        <w:r>
                          <w:rPr>
                            <w:rFonts w:ascii="宋体" w:hAnsi="宋体" w:cs="宋体" w:eastAsia="宋体" w:hint="default"/>
                            <w:spacing w:val="-7"/>
                            <w:sz w:val="18"/>
                            <w:szCs w:val="18"/>
                          </w:rPr>
                          <w:t>的可能性高，会严重降低工作效率或效</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果、或严重加大效果的不确定性、或使</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之严重偏离预期目标为重大缺陷。以上</w:t>
                        </w:r>
                        <w:r>
                          <w:rPr>
                            <w:rFonts w:ascii="宋体" w:hAnsi="宋体" w:cs="宋体" w:eastAsia="宋体" w:hint="default"/>
                            <w:w w:val="101"/>
                            <w:sz w:val="18"/>
                            <w:szCs w:val="18"/>
                          </w:rPr>
                          <w:t> </w:t>
                        </w:r>
                        <w:r>
                          <w:rPr>
                            <w:rFonts w:ascii="宋体" w:hAnsi="宋体" w:cs="宋体" w:eastAsia="宋体" w:hint="default"/>
                            <w:spacing w:val="-3"/>
                            <w:sz w:val="18"/>
                            <w:szCs w:val="18"/>
                          </w:rPr>
                          <w:t>定量标准将随着公司经营规模的扩大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而作适当调整。</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vMerge/>
                        <w:tcBorders>
                          <w:left w:val="single" w:sz="10" w:space="0" w:color="D2D2D2"/>
                          <w:right w:val="single" w:sz="4" w:space="0" w:color="000000"/>
                        </w:tcBorders>
                      </w:tcPr>
                      <w:p>
                        <w:pPr/>
                      </w:p>
                    </w:tc>
                    <w:tc>
                      <w:tcPr>
                        <w:tcW w:w="3049" w:type="dxa"/>
                        <w:vMerge/>
                        <w:tcBorders>
                          <w:left w:val="single" w:sz="4" w:space="0" w:color="000000"/>
                          <w:right w:val="single" w:sz="4" w:space="0" w:color="000000"/>
                        </w:tcBorders>
                      </w:tcPr>
                      <w:p>
                        <w:pPr/>
                      </w:p>
                    </w:tc>
                  </w:tr>
                  <w:tr>
                    <w:trPr>
                      <w:trHeight w:val="2814"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r>
                    <w:trPr>
                      <w:trHeight w:val="922"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10" w:space="0" w:color="FFFFFF"/>
                        </w:tcBorders>
                      </w:tcPr>
                      <w:p>
                        <w:pPr>
                          <w:pStyle w:val="TableParagraph"/>
                          <w:spacing w:line="314" w:lineRule="auto" w:before="53"/>
                          <w:ind w:left="21" w:right="-41"/>
                          <w:jc w:val="left"/>
                          <w:rPr>
                            <w:rFonts w:ascii="宋体" w:hAnsi="宋体" w:cs="宋体" w:eastAsia="宋体" w:hint="default"/>
                            <w:sz w:val="18"/>
                            <w:szCs w:val="18"/>
                          </w:rPr>
                        </w:pPr>
                        <w:r>
                          <w:rPr>
                            <w:rFonts w:ascii="宋体" w:hAnsi="宋体" w:cs="宋体" w:eastAsia="宋体" w:hint="default"/>
                            <w:spacing w:val="-3"/>
                            <w:sz w:val="18"/>
                            <w:szCs w:val="18"/>
                          </w:rPr>
                          <w:t>定量标准以营业收入、资产总额作为衡量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指标。内部控制缺陷可能导致或导致的损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8"/>
                            <w:sz w:val="18"/>
                            <w:szCs w:val="18"/>
                          </w:rPr>
                          <w:t>失与利润表相关的，以营业收入指标衡量。</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如果该缺陷单独或连同其他缺陷可能导致</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的财务报告错报金额不超过营业收入的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，则认定为一般缺陷；如果超过营业收</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但不超过</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，则为重要缺陷；如</w:t>
                        </w:r>
                      </w:p>
                    </w:tc>
                    <w:tc>
                      <w:tcPr>
                        <w:tcW w:w="3049" w:type="dxa"/>
                        <w:vMerge w:val="restart"/>
                        <w:tcBorders>
                          <w:top w:val="single" w:sz="4" w:space="0" w:color="000000"/>
                          <w:left w:val="single" w:sz="10" w:space="0" w:color="FFFFFF"/>
                          <w:right w:val="single" w:sz="4" w:space="0" w:color="000000"/>
                        </w:tcBorders>
                      </w:tcPr>
                      <w:p>
                        <w:pPr>
                          <w:pStyle w:val="TableParagraph"/>
                          <w:spacing w:line="316" w:lineRule="auto" w:before="53"/>
                          <w:ind w:left="16" w:right="12"/>
                          <w:jc w:val="left"/>
                          <w:rPr>
                            <w:rFonts w:ascii="宋体" w:hAnsi="宋体" w:cs="宋体" w:eastAsia="宋体" w:hint="default"/>
                            <w:sz w:val="18"/>
                            <w:szCs w:val="18"/>
                          </w:rPr>
                        </w:pPr>
                        <w:r>
                          <w:rPr>
                            <w:rFonts w:ascii="宋体" w:hAnsi="宋体" w:cs="宋体" w:eastAsia="宋体" w:hint="default"/>
                            <w:spacing w:val="-3"/>
                            <w:sz w:val="18"/>
                            <w:szCs w:val="18"/>
                          </w:rPr>
                          <w:t>参照财务报告内部控制缺陷的定量标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准，确定上市公司非财务报告内部控制</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缺陷重要程度的定量标准为：定量标准</w:t>
                        </w:r>
                        <w:r>
                          <w:rPr>
                            <w:rFonts w:ascii="宋体" w:hAnsi="宋体" w:cs="宋体" w:eastAsia="宋体" w:hint="default"/>
                            <w:w w:val="101"/>
                            <w:sz w:val="18"/>
                            <w:szCs w:val="18"/>
                          </w:rPr>
                          <w:t> </w:t>
                        </w:r>
                        <w:r>
                          <w:rPr>
                            <w:rFonts w:ascii="宋体" w:hAnsi="宋体" w:cs="宋体" w:eastAsia="宋体" w:hint="default"/>
                            <w:spacing w:val="-3"/>
                            <w:sz w:val="18"/>
                            <w:szCs w:val="18"/>
                          </w:rPr>
                          <w:t>以营业收入、资产总额作为衡量指标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内部控制缺陷可能导致或导致的损失</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w w:val="101"/>
                            <w:sz w:val="18"/>
                            <w:szCs w:val="18"/>
                          </w:rPr>
                          <w:t>与利润报表相关的，以营业收入指标衡</w:t>
                        </w:r>
                        <w:r>
                          <w:rPr>
                            <w:rFonts w:ascii="宋体" w:hAnsi="宋体" w:cs="宋体" w:eastAsia="宋体" w:hint="default"/>
                            <w:w w:val="101"/>
                            <w:sz w:val="18"/>
                            <w:szCs w:val="18"/>
                          </w:rPr>
                          <w:t> </w:t>
                        </w:r>
                        <w:r>
                          <w:rPr>
                            <w:rFonts w:ascii="宋体" w:hAnsi="宋体" w:cs="宋体" w:eastAsia="宋体" w:hint="default"/>
                            <w:spacing w:val="-7"/>
                            <w:sz w:val="18"/>
                            <w:szCs w:val="18"/>
                          </w:rPr>
                          <w:t>量。如果该缺陷单独或连同其他缺陷可</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vMerge/>
                        <w:tcBorders>
                          <w:left w:val="single" w:sz="10" w:space="0" w:color="D2D2D2"/>
                          <w:right w:val="single" w:sz="10" w:space="0" w:color="FFFFFF"/>
                        </w:tcBorders>
                      </w:tcPr>
                      <w:p>
                        <w:pPr/>
                      </w:p>
                    </w:tc>
                    <w:tc>
                      <w:tcPr>
                        <w:tcW w:w="3049" w:type="dxa"/>
                        <w:vMerge/>
                        <w:tcBorders>
                          <w:left w:val="single" w:sz="10" w:space="0" w:color="FFFFFF"/>
                          <w:right w:val="single" w:sz="4" w:space="0" w:color="000000"/>
                        </w:tcBorders>
                      </w:tcPr>
                      <w:p>
                        <w:pPr/>
                      </w:p>
                    </w:tc>
                  </w:tr>
                  <w:tr>
                    <w:trPr>
                      <w:trHeight w:val="922"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10" w:space="0" w:color="FFFFFF"/>
                        </w:tcBorders>
                      </w:tcPr>
                      <w:p>
                        <w:pPr/>
                      </w:p>
                    </w:tc>
                    <w:tc>
                      <w:tcPr>
                        <w:tcW w:w="3049" w:type="dxa"/>
                        <w:vMerge/>
                        <w:tcBorders>
                          <w:left w:val="single" w:sz="10" w:space="0" w:color="FFFFFF"/>
                          <w:bottom w:val="single" w:sz="4" w:space="0" w:color="000000"/>
                          <w:right w:val="single" w:sz="4" w:space="0" w:color="000000"/>
                        </w:tcBorders>
                      </w:tcPr>
                      <w:p>
                        <w:pP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312" w:lineRule="exact"/>
        <w:ind w:left="670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5pt;height:15.6pt;mso-position-horizontal-relative:char;mso-position-vertical-relative:line" coordorigin="0,0" coordsize="2997,312">
            <v:group style="position:absolute;left:0;top:0;width:2997;height:312" coordorigin="0,0" coordsize="2997,312">
              <v:shape style="position:absolute;left:0;top:0;width:2997;height:312" coordorigin="0,0" coordsize="2997,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ind w:left="0" w:right="1127"/>
        <w:jc w:val="right"/>
      </w:pPr>
      <w:r>
        <w:rPr/>
        <w:pict>
          <v:shape style="position:absolute;margin-left:56.424pt;margin-top:-170.358307pt;width:479.25pt;height:286.2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340"/>
                    <w:gridCol w:w="3037"/>
                  </w:tblGrid>
                  <w:tr>
                    <w:trPr>
                      <w:trHeight w:val="410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0" w:type="dxa"/>
                        <w:tcBorders>
                          <w:top w:val="single" w:sz="4" w:space="0" w:color="000000"/>
                          <w:left w:val="single" w:sz="4" w:space="0" w:color="000000"/>
                          <w:bottom w:val="single" w:sz="4" w:space="0" w:color="000000"/>
                          <w:right w:val="single" w:sz="10" w:space="0" w:color="FFFFFF"/>
                        </w:tcBorders>
                      </w:tcPr>
                      <w:p>
                        <w:pPr>
                          <w:pStyle w:val="TableParagraph"/>
                          <w:spacing w:line="309"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果超过营业收入的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，则认定为重大缺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陷。内部控制缺陷可能导致或导致的损失</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8"/>
                            <w:sz w:val="18"/>
                            <w:szCs w:val="18"/>
                          </w:rPr>
                          <w:t>与资产管理相关的，以资产总额指标衡量。</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如果该缺陷单独或连同其他缺陷可能导致</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的财务报告错报金额不超过资产总额的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，则认定为一般缺陷；如果超过资产</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但不超过</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认定为重要缺</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4"/>
                            <w:sz w:val="18"/>
                            <w:szCs w:val="18"/>
                          </w:rPr>
                          <w:t>陷；如果超过资产总额</w:t>
                        </w:r>
                        <w:r>
                          <w:rPr>
                            <w:rFonts w:ascii="宋体" w:hAnsi="宋体" w:cs="宋体" w:eastAsia="宋体" w:hint="default"/>
                            <w:spacing w:val="-29"/>
                            <w:sz w:val="18"/>
                            <w:szCs w:val="18"/>
                          </w:rPr>
                          <w:t> </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，则认定为重</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大缺陷。</w:t>
                        </w:r>
                      </w:p>
                    </w:tc>
                    <w:tc>
                      <w:tcPr>
                        <w:tcW w:w="3037" w:type="dxa"/>
                        <w:tcBorders>
                          <w:top w:val="single" w:sz="4" w:space="0" w:color="000000"/>
                          <w:left w:val="single" w:sz="10" w:space="0" w:color="FFFFFF"/>
                          <w:bottom w:val="single" w:sz="4" w:space="0" w:color="000000"/>
                          <w:right w:val="single" w:sz="4" w:space="0" w:color="000000"/>
                        </w:tcBorders>
                      </w:tcPr>
                      <w:p>
                        <w:pPr>
                          <w:pStyle w:val="TableParagraph"/>
                          <w:spacing w:line="309" w:lineRule="auto" w:before="10"/>
                          <w:ind w:left="4" w:right="12"/>
                          <w:jc w:val="left"/>
                          <w:rPr>
                            <w:rFonts w:ascii="宋体" w:hAnsi="宋体" w:cs="宋体" w:eastAsia="宋体" w:hint="default"/>
                            <w:sz w:val="18"/>
                            <w:szCs w:val="18"/>
                          </w:rPr>
                        </w:pPr>
                        <w:r>
                          <w:rPr>
                            <w:rFonts w:ascii="宋体" w:hAnsi="宋体" w:cs="宋体" w:eastAsia="宋体" w:hint="default"/>
                            <w:spacing w:val="-3"/>
                            <w:sz w:val="18"/>
                            <w:szCs w:val="18"/>
                          </w:rPr>
                          <w:t>能导致的财务报告错报金额不超过营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业收入的</w:t>
                        </w:r>
                        <w:r>
                          <w:rPr>
                            <w:rFonts w:ascii="宋体" w:hAnsi="宋体" w:cs="宋体" w:eastAsia="宋体" w:hint="default"/>
                            <w:spacing w:val="-2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，则认定为一般缺陷；如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但不超过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认</w:t>
                        </w:r>
                        <w:r>
                          <w:rPr>
                            <w:rFonts w:ascii="宋体" w:hAnsi="宋体" w:cs="宋体" w:eastAsia="宋体" w:hint="default"/>
                            <w:spacing w:val="-85"/>
                            <w:sz w:val="18"/>
                            <w:szCs w:val="18"/>
                          </w:rPr>
                          <w:t> </w:t>
                        </w:r>
                        <w:r>
                          <w:rPr>
                            <w:rFonts w:ascii="宋体" w:hAnsi="宋体" w:cs="宋体" w:eastAsia="宋体" w:hint="default"/>
                            <w:spacing w:val="-3"/>
                            <w:sz w:val="18"/>
                            <w:szCs w:val="18"/>
                          </w:rPr>
                          <w:t>定为重要缺陷；如果超过营业收入的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，则认定为重大缺陷。内部控制缺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陷可能导致或导致的损失与资产管理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相关的，以资产总额指标衡量。如果该</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缺陷单独或连同其他缺陷可能导致的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财务报告错报金额不超过资产总额的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，则认定为一般缺陷；如果超过资</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产总额</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但不超过</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的，则认定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为重要缺陷；如果超过资产总额</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1.5%</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10"/>
                            <w:sz w:val="18"/>
                            <w:szCs w:val="18"/>
                          </w:rPr>
                        </w:r>
                        <w:r>
                          <w:rPr>
                            <w:rFonts w:ascii="宋体" w:hAnsi="宋体" w:cs="宋体" w:eastAsia="宋体" w:hint="default"/>
                            <w:spacing w:val="-3"/>
                            <w:sz w:val="18"/>
                            <w:szCs w:val="18"/>
                          </w:rPr>
                          <w:t>则认定为重大缺陷。</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8"/>
        <w:ind w:right="0"/>
        <w:jc w:val="left"/>
        <w:rPr>
          <w:b w:val="0"/>
          <w:bCs w:val="0"/>
        </w:rPr>
      </w:pPr>
      <w:bookmarkStart w:name="十、内部控制审计报告或鉴证报告" w:id="154"/>
      <w:bookmarkEnd w:id="154"/>
      <w:r>
        <w:rPr>
          <w:b w:val="0"/>
          <w:bCs w:val="0"/>
        </w:rPr>
      </w:r>
      <w:r>
        <w:rPr/>
        <w:t>十、内部控制审计报告或鉴证报告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0"/>
        <w:jc w:val="left"/>
        <w:rPr>
          <w:b w:val="0"/>
          <w:bCs w:val="0"/>
        </w:rPr>
      </w:pPr>
      <w:bookmarkStart w:name="第十一节公司债券相关情况" w:id="155"/>
      <w:bookmarkEnd w:id="155"/>
      <w:r>
        <w:rPr>
          <w:b w:val="0"/>
          <w:bCs w:val="0"/>
        </w:rPr>
      </w:r>
      <w:bookmarkStart w:name="_bookmark10" w:id="156"/>
      <w:bookmarkEnd w:id="156"/>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before="0"/>
        <w:ind w:right="2115"/>
        <w:jc w:val="left"/>
      </w:pPr>
      <w:r>
        <w:rPr>
          <w:spacing w:val="-3"/>
        </w:rPr>
        <w:t>公司是否存在公开发行并在证券交易所上市，且在年度报告批准报出日未到期或到期未能全额兑付的公司债券</w:t>
      </w:r>
      <w:r>
        <w:rPr>
          <w:spacing w:val="50"/>
        </w:rPr>
        <w:t> </w:t>
      </w:r>
      <w:r>
        <w:rPr>
          <w:spacing w:val="50"/>
        </w:rPr>
      </w:r>
      <w:r>
        <w:rPr/>
        <w:t>否</w:t>
      </w:r>
    </w:p>
    <w:p>
      <w:pPr>
        <w:spacing w:after="0" w:line="357"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606" w:right="0"/>
        <w:jc w:val="left"/>
        <w:rPr>
          <w:b w:val="0"/>
          <w:bCs w:val="0"/>
        </w:rPr>
      </w:pPr>
      <w:bookmarkStart w:name="第十二节 财务报告" w:id="157"/>
      <w:bookmarkEnd w:id="157"/>
      <w:r>
        <w:rPr>
          <w:b w:val="0"/>
          <w:bCs w:val="0"/>
        </w:rPr>
      </w:r>
      <w:bookmarkStart w:name="_bookmark11" w:id="158"/>
      <w:bookmarkEnd w:id="158"/>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9"/>
      <w:bookmarkEnd w:id="159"/>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中兴财光华会计师事务所（特殊普通合伙）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 </w:t>
            </w:r>
            <w:r>
              <w:rPr>
                <w:rFonts w:ascii="Times New Roman" w:hAnsi="Times New Roman" w:cs="Times New Roman" w:eastAsia="Times New Roman" w:hint="default"/>
                <w:sz w:val="18"/>
                <w:szCs w:val="18"/>
              </w:rPr>
              <w:t>105008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齐正华、王雅栋</w:t>
            </w:r>
          </w:p>
        </w:tc>
      </w:tr>
    </w:tbl>
    <w:p>
      <w:pPr>
        <w:pStyle w:val="BodyText"/>
        <w:spacing w:line="240" w:lineRule="auto" w:before="53"/>
        <w:ind w:left="2363" w:right="3336"/>
        <w:jc w:val="center"/>
      </w:pPr>
      <w:r>
        <w:rPr/>
        <w:t>审计报告正文</w:t>
      </w:r>
    </w:p>
    <w:p>
      <w:pPr>
        <w:pStyle w:val="BodyText"/>
        <w:spacing w:line="240" w:lineRule="auto" w:before="115"/>
        <w:ind w:left="6976" w:right="0"/>
        <w:jc w:val="left"/>
      </w:pPr>
      <w:r>
        <w:rPr/>
        <w:t>中兴财光华审会字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105008</w:t>
      </w:r>
      <w:r>
        <w:rPr/>
        <w:t>号</w:t>
      </w:r>
    </w:p>
    <w:p>
      <w:pPr>
        <w:spacing w:line="240" w:lineRule="auto" w:before="1"/>
        <w:rPr>
          <w:rFonts w:ascii="宋体" w:hAnsi="宋体" w:cs="宋体" w:eastAsia="宋体" w:hint="default"/>
          <w:sz w:val="25"/>
          <w:szCs w:val="25"/>
        </w:rPr>
      </w:pPr>
    </w:p>
    <w:p>
      <w:pPr>
        <w:pStyle w:val="BodyText"/>
        <w:spacing w:line="240" w:lineRule="auto"/>
        <w:ind w:right="0"/>
        <w:jc w:val="left"/>
      </w:pPr>
      <w:r>
        <w:rPr>
          <w:spacing w:val="-3"/>
        </w:rPr>
        <w:t>仁东控股股份有限公司全体股东：</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t>一、审计意见</w:t>
      </w:r>
      <w:r>
        <w:rPr>
          <w:b w:val="0"/>
          <w:bCs w:val="0"/>
        </w:rPr>
      </w:r>
    </w:p>
    <w:p>
      <w:pPr>
        <w:spacing w:line="240" w:lineRule="auto" w:before="13"/>
        <w:rPr>
          <w:rFonts w:ascii="宋体" w:hAnsi="宋体" w:cs="宋体" w:eastAsia="宋体" w:hint="default"/>
          <w:b/>
          <w:bCs/>
          <w:sz w:val="17"/>
          <w:szCs w:val="17"/>
        </w:rPr>
      </w:pPr>
    </w:p>
    <w:p>
      <w:pPr>
        <w:pStyle w:val="BodyText"/>
        <w:spacing w:line="300" w:lineRule="auto" w:before="0"/>
        <w:ind w:right="1122" w:firstLine="427"/>
        <w:jc w:val="both"/>
      </w:pPr>
      <w:r>
        <w:rPr>
          <w:spacing w:val="-4"/>
        </w:rPr>
        <w:t>我们审计了仁东控股股份有限公司（以下简称仁东控股公司）财务报表，包括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3"/>
        </w:rPr>
        <w:t>日的合并及公司资产</w:t>
      </w:r>
      <w:r>
        <w:rPr>
          <w:w w:val="101"/>
        </w:rPr>
        <w:t> </w:t>
      </w:r>
      <w:r>
        <w:rPr/>
        <w:t>负债表，</w:t>
      </w:r>
      <w:r>
        <w:rPr>
          <w:rFonts w:ascii="Times New Roman" w:hAnsi="Times New Roman" w:cs="Times New Roman" w:eastAsia="Times New Roman" w:hint="default"/>
        </w:rPr>
        <w:t>2019   </w:t>
      </w:r>
      <w:r>
        <w:rPr>
          <w:rFonts w:ascii="Times New Roman" w:hAnsi="Times New Roman" w:cs="Times New Roman" w:eastAsia="Times New Roman" w:hint="default"/>
          <w:spacing w:val="23"/>
        </w:rPr>
        <w:t> </w:t>
      </w:r>
      <w:r>
        <w:rPr>
          <w:spacing w:val="-3"/>
        </w:rPr>
        <w:t>年度的合并及公司利润表、合并及公司现金流量表、合并及公司股东权益变动表以及财务报表附注。</w:t>
      </w:r>
    </w:p>
    <w:p>
      <w:pPr>
        <w:pStyle w:val="BodyText"/>
        <w:spacing w:line="240" w:lineRule="auto" w:before="13"/>
        <w:ind w:left="580" w:right="0"/>
        <w:jc w:val="left"/>
        <w:rPr>
          <w:rFonts w:ascii="Times New Roman" w:hAnsi="Times New Roman" w:cs="Times New Roman" w:eastAsia="Times New Roman" w:hint="default"/>
        </w:rPr>
      </w:pPr>
      <w:r>
        <w:rPr>
          <w:w w:val="101"/>
        </w:rPr>
        <w:t>我</w:t>
      </w:r>
      <w:r>
        <w:rPr>
          <w:spacing w:val="-5"/>
          <w:w w:val="101"/>
        </w:rPr>
        <w:t>们</w:t>
      </w:r>
      <w:r>
        <w:rPr>
          <w:w w:val="101"/>
        </w:rPr>
        <w:t>认</w:t>
      </w:r>
      <w:r>
        <w:rPr>
          <w:spacing w:val="-5"/>
          <w:w w:val="101"/>
        </w:rPr>
        <w:t>为</w:t>
      </w:r>
      <w:r>
        <w:rPr>
          <w:spacing w:val="-73"/>
          <w:w w:val="101"/>
        </w:rPr>
        <w:t>，</w:t>
      </w:r>
      <w:r>
        <w:rPr>
          <w:spacing w:val="-5"/>
          <w:w w:val="101"/>
        </w:rPr>
        <w:t>后</w:t>
      </w:r>
      <w:r>
        <w:rPr>
          <w:w w:val="101"/>
        </w:rPr>
        <w:t>附</w:t>
      </w:r>
      <w:r>
        <w:rPr>
          <w:spacing w:val="-5"/>
          <w:w w:val="101"/>
        </w:rPr>
        <w:t>的</w:t>
      </w:r>
      <w:r>
        <w:rPr>
          <w:w w:val="101"/>
        </w:rPr>
        <w:t>财</w:t>
      </w:r>
      <w:r>
        <w:rPr>
          <w:spacing w:val="-5"/>
          <w:w w:val="101"/>
        </w:rPr>
        <w:t>务</w:t>
      </w:r>
      <w:r>
        <w:rPr>
          <w:w w:val="101"/>
        </w:rPr>
        <w:t>报</w:t>
      </w:r>
      <w:r>
        <w:rPr>
          <w:spacing w:val="-5"/>
          <w:w w:val="101"/>
        </w:rPr>
        <w:t>表</w:t>
      </w:r>
      <w:r>
        <w:rPr>
          <w:w w:val="101"/>
        </w:rPr>
        <w:t>在</w:t>
      </w:r>
      <w:r>
        <w:rPr>
          <w:spacing w:val="-5"/>
          <w:w w:val="101"/>
        </w:rPr>
        <w:t>所</w:t>
      </w:r>
      <w:r>
        <w:rPr>
          <w:w w:val="101"/>
        </w:rPr>
        <w:t>有</w:t>
      </w:r>
      <w:r>
        <w:rPr>
          <w:spacing w:val="-5"/>
          <w:w w:val="101"/>
        </w:rPr>
        <w:t>重</w:t>
      </w:r>
      <w:r>
        <w:rPr>
          <w:w w:val="101"/>
        </w:rPr>
        <w:t>大</w:t>
      </w:r>
      <w:r>
        <w:rPr>
          <w:spacing w:val="-5"/>
          <w:w w:val="101"/>
        </w:rPr>
        <w:t>方面</w:t>
      </w:r>
      <w:r>
        <w:rPr>
          <w:w w:val="101"/>
        </w:rPr>
        <w:t>按</w:t>
      </w:r>
      <w:r>
        <w:rPr>
          <w:spacing w:val="-5"/>
          <w:w w:val="101"/>
        </w:rPr>
        <w:t>照</w:t>
      </w:r>
      <w:r>
        <w:rPr>
          <w:w w:val="101"/>
        </w:rPr>
        <w:t>企</w:t>
      </w:r>
      <w:r>
        <w:rPr>
          <w:spacing w:val="-5"/>
          <w:w w:val="101"/>
        </w:rPr>
        <w:t>业</w:t>
      </w:r>
      <w:r>
        <w:rPr>
          <w:w w:val="101"/>
        </w:rPr>
        <w:t>会</w:t>
      </w:r>
      <w:r>
        <w:rPr>
          <w:spacing w:val="-5"/>
          <w:w w:val="101"/>
        </w:rPr>
        <w:t>计</w:t>
      </w:r>
      <w:r>
        <w:rPr>
          <w:w w:val="101"/>
        </w:rPr>
        <w:t>准</w:t>
      </w:r>
      <w:r>
        <w:rPr>
          <w:spacing w:val="-5"/>
          <w:w w:val="101"/>
        </w:rPr>
        <w:t>则</w:t>
      </w:r>
      <w:r>
        <w:rPr>
          <w:w w:val="101"/>
        </w:rPr>
        <w:t>的</w:t>
      </w:r>
      <w:r>
        <w:rPr>
          <w:spacing w:val="-5"/>
          <w:w w:val="101"/>
        </w:rPr>
        <w:t>规</w:t>
      </w:r>
      <w:r>
        <w:rPr>
          <w:w w:val="101"/>
        </w:rPr>
        <w:t>定</w:t>
      </w:r>
      <w:r>
        <w:rPr>
          <w:spacing w:val="-5"/>
          <w:w w:val="101"/>
        </w:rPr>
        <w:t>编</w:t>
      </w:r>
      <w:r>
        <w:rPr>
          <w:w w:val="101"/>
        </w:rPr>
        <w:t>制</w:t>
      </w:r>
      <w:r>
        <w:rPr>
          <w:spacing w:val="-77"/>
          <w:w w:val="101"/>
        </w:rPr>
        <w:t>，</w:t>
      </w:r>
      <w:r>
        <w:rPr>
          <w:w w:val="101"/>
        </w:rPr>
        <w:t>公</w:t>
      </w:r>
      <w:r>
        <w:rPr>
          <w:spacing w:val="-5"/>
          <w:w w:val="101"/>
        </w:rPr>
        <w:t>允</w:t>
      </w:r>
      <w:r>
        <w:rPr>
          <w:w w:val="101"/>
        </w:rPr>
        <w:t>反</w:t>
      </w:r>
      <w:r>
        <w:rPr>
          <w:spacing w:val="-5"/>
          <w:w w:val="101"/>
        </w:rPr>
        <w:t>映</w:t>
      </w:r>
      <w:r>
        <w:rPr>
          <w:w w:val="101"/>
        </w:rPr>
        <w:t>了</w:t>
      </w:r>
      <w:r>
        <w:rPr>
          <w:spacing w:val="-5"/>
          <w:w w:val="101"/>
        </w:rPr>
        <w:t>仁</w:t>
      </w:r>
      <w:r>
        <w:rPr>
          <w:w w:val="101"/>
        </w:rPr>
        <w:t>东</w:t>
      </w:r>
      <w:r>
        <w:rPr>
          <w:spacing w:val="-5"/>
          <w:w w:val="101"/>
        </w:rPr>
        <w:t>控</w:t>
      </w:r>
      <w:r>
        <w:rPr>
          <w:w w:val="101"/>
        </w:rPr>
        <w:t>股</w:t>
      </w:r>
      <w:r>
        <w:rPr>
          <w:spacing w:val="-5"/>
          <w:w w:val="101"/>
        </w:rPr>
        <w:t>公</w:t>
      </w:r>
      <w:r>
        <w:rPr>
          <w:w w:val="101"/>
        </w:rPr>
        <w:t>司</w:t>
      </w:r>
      <w:r>
        <w:rPr>
          <w:spacing w:val="-1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w w:val="101"/>
        </w:rPr>
        <w:t>年</w:t>
      </w:r>
      <w:r>
        <w:rPr>
          <w:spacing w:val="-23"/>
        </w:rPr>
        <w:t> </w:t>
      </w:r>
      <w:r>
        <w:rPr>
          <w:rFonts w:ascii="Times New Roman" w:hAnsi="Times New Roman" w:cs="Times New Roman" w:eastAsia="Times New Roman" w:hint="default"/>
          <w:w w:val="101"/>
        </w:rPr>
        <w:t>12</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w w:val="101"/>
        </w:rPr>
        <w:t>月</w:t>
      </w:r>
      <w:r>
        <w:rPr>
          <w:spacing w:val="-23"/>
        </w:rPr>
        <w:t> </w:t>
      </w:r>
      <w:r>
        <w:rPr>
          <w:rFonts w:ascii="Times New Roman" w:hAnsi="Times New Roman" w:cs="Times New Roman" w:eastAsia="Times New Roman" w:hint="default"/>
          <w:w w:val="101"/>
        </w:rPr>
        <w:t>31</w:t>
      </w:r>
      <w:r>
        <w:rPr>
          <w:rFonts w:ascii="Times New Roman" w:hAnsi="Times New Roman" w:cs="Times New Roman" w:eastAsia="Times New Roman" w:hint="default"/>
        </w:rPr>
      </w:r>
    </w:p>
    <w:p>
      <w:pPr>
        <w:spacing w:line="448" w:lineRule="auto" w:before="63"/>
        <w:ind w:left="580" w:right="3317" w:hanging="428"/>
        <w:jc w:val="left"/>
        <w:rPr>
          <w:rFonts w:ascii="宋体" w:hAnsi="宋体" w:cs="宋体" w:eastAsia="宋体" w:hint="default"/>
          <w:sz w:val="18"/>
          <w:szCs w:val="18"/>
        </w:rPr>
      </w:pPr>
      <w:r>
        <w:rPr>
          <w:rFonts w:ascii="宋体" w:hAnsi="宋体" w:cs="宋体" w:eastAsia="宋体" w:hint="default"/>
          <w:spacing w:val="-3"/>
          <w:sz w:val="18"/>
          <w:szCs w:val="18"/>
        </w:rPr>
        <w:t>日的合并及公司财务状况以及</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年度的合并及公司经营成果和现金流量。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09" w:lineRule="auto" w:before="78"/>
        <w:ind w:right="1124" w:firstLine="427"/>
        <w:jc w:val="both"/>
      </w:pPr>
      <w:r>
        <w:rPr>
          <w:spacing w:val="-3"/>
        </w:rPr>
        <w:t>我们按照中国注册会计师审计准则的规定执行了审计工作。审计报告的</w:t>
      </w:r>
      <w:r>
        <w:rPr>
          <w:rFonts w:ascii="Times New Roman" w:hAnsi="Times New Roman" w:cs="Times New Roman" w:eastAsia="Times New Roman" w:hint="default"/>
          <w:spacing w:val="-3"/>
        </w:rPr>
        <w:t>“</w:t>
      </w:r>
      <w:r>
        <w:rPr>
          <w:spacing w:val="-3"/>
        </w:rPr>
        <w:t>注册会计师对财务报表审计的责任</w:t>
      </w:r>
      <w:r>
        <w:rPr>
          <w:rFonts w:ascii="Times New Roman" w:hAnsi="Times New Roman" w:cs="Times New Roman" w:eastAsia="Times New Roman" w:hint="default"/>
          <w:spacing w:val="-3"/>
        </w:rPr>
        <w:t>”</w:t>
      </w:r>
      <w:r>
        <w:rPr>
          <w:spacing w:val="-3"/>
        </w:rPr>
        <w:t>部分进一</w:t>
      </w:r>
      <w:r>
        <w:rPr>
          <w:w w:val="101"/>
        </w:rPr>
        <w:t> </w:t>
      </w:r>
      <w:r>
        <w:rPr>
          <w:spacing w:val="-4"/>
        </w:rPr>
        <w:t>步阐述了我们在这些准则下的责任。按照中国注册会计师职业道德守则，我们独立于仁东控股公司，并履行了职业道德方面</w:t>
      </w:r>
      <w:r>
        <w:rPr>
          <w:spacing w:val="43"/>
        </w:rPr>
        <w:t> </w:t>
      </w:r>
      <w:r>
        <w:rPr>
          <w:spacing w:val="43"/>
        </w:rPr>
      </w:r>
      <w:r>
        <w:rPr>
          <w:spacing w:val="-3"/>
        </w:rPr>
        <w:t>的其他责任。我们相信，我们获取的审计证据是充分、适当的，为发表审计意见提供了基础。</w:t>
      </w:r>
    </w:p>
    <w:p>
      <w:pPr>
        <w:pStyle w:val="BodyText"/>
        <w:spacing w:line="470" w:lineRule="exact" w:before="12"/>
        <w:ind w:left="580" w:right="0"/>
        <w:jc w:val="left"/>
      </w:pPr>
      <w:r>
        <w:rPr>
          <w:rFonts w:ascii="宋体" w:hAnsi="宋体" w:cs="宋体" w:eastAsia="宋体" w:hint="default"/>
          <w:b/>
          <w:bCs/>
        </w:rPr>
        <w:t>三、关键审计事项</w:t>
      </w:r>
      <w:r>
        <w:rPr>
          <w:rFonts w:ascii="宋体" w:hAnsi="宋体" w:cs="宋体" w:eastAsia="宋体" w:hint="default"/>
          <w:b/>
          <w:bCs/>
          <w:spacing w:val="-88"/>
        </w:rPr>
        <w:t> </w:t>
      </w:r>
      <w:r>
        <w:rPr>
          <w:rFonts w:ascii="宋体" w:hAnsi="宋体" w:cs="宋体" w:eastAsia="宋体" w:hint="default"/>
          <w:b/>
          <w:bCs/>
          <w:spacing w:val="-88"/>
        </w:rPr>
      </w:r>
      <w:r>
        <w:rPr>
          <w:spacing w:val="-3"/>
        </w:rPr>
        <w:t>关键审计事项是我们根据职业判断，认为对本期财务报表审计最为重要的事项。这些事项的应对以对财务报表整体进</w:t>
      </w:r>
    </w:p>
    <w:p>
      <w:pPr>
        <w:pStyle w:val="BodyText"/>
        <w:spacing w:line="316" w:lineRule="auto" w:before="7"/>
        <w:ind w:right="1051"/>
        <w:jc w:val="left"/>
      </w:pPr>
      <w:r>
        <w:rPr>
          <w:spacing w:val="-4"/>
        </w:rPr>
        <w:t>行审计并形成审计意见为背景，我们不对这些事项单独发表意见。我们确定下列事项是需要在审计报告中沟通的关键审计事</w:t>
      </w:r>
      <w:r>
        <w:rPr>
          <w:spacing w:val="42"/>
        </w:rPr>
        <w:t> </w:t>
      </w:r>
      <w:r>
        <w:rPr>
          <w:spacing w:val="42"/>
        </w:rPr>
      </w:r>
      <w:r>
        <w:rPr/>
        <w:t>项。</w:t>
      </w:r>
    </w:p>
    <w:p>
      <w:pPr>
        <w:pStyle w:val="BodyText"/>
        <w:spacing w:line="300" w:lineRule="auto" w:before="19"/>
        <w:ind w:left="633" w:right="8854"/>
        <w:jc w:val="left"/>
      </w:pPr>
      <w:r>
        <w:rPr>
          <w:rFonts w:ascii="Times New Roman" w:hAnsi="Times New Roman" w:cs="Times New Roman" w:eastAsia="Times New Roman" w:hint="default"/>
          <w:spacing w:val="-2"/>
        </w:rPr>
        <w:t>(</w:t>
      </w:r>
      <w:r>
        <w:rPr>
          <w:spacing w:val="-2"/>
        </w:rPr>
        <w:t>一</w:t>
      </w:r>
      <w:r>
        <w:rPr>
          <w:rFonts w:ascii="Times New Roman" w:hAnsi="Times New Roman" w:cs="Times New Roman" w:eastAsia="Times New Roman" w:hint="default"/>
          <w:spacing w:val="-2"/>
        </w:rPr>
        <w:t>)</w:t>
      </w:r>
      <w:r>
        <w:rPr>
          <w:spacing w:val="-2"/>
        </w:rPr>
        <w:t>收入的确认</w:t>
      </w:r>
      <w:r>
        <w:rPr>
          <w:spacing w:val="-71"/>
        </w:rPr>
        <w:t> </w:t>
      </w:r>
      <w:r>
        <w:rPr>
          <w:spacing w:val="-71"/>
        </w:rPr>
      </w:r>
      <w:r>
        <w:rPr>
          <w:rFonts w:ascii="Times New Roman" w:hAnsi="Times New Roman" w:cs="Times New Roman" w:eastAsia="Times New Roman" w:hint="default"/>
        </w:rPr>
        <w:t>1.</w:t>
      </w:r>
      <w:r>
        <w:rPr/>
        <w:t>事项描述</w:t>
      </w:r>
    </w:p>
    <w:p>
      <w:pPr>
        <w:pStyle w:val="BodyText"/>
        <w:spacing w:line="300" w:lineRule="auto" w:before="13"/>
        <w:ind w:left="633" w:right="0"/>
        <w:jc w:val="left"/>
      </w:pPr>
      <w:r>
        <w:rPr>
          <w:spacing w:val="-4"/>
        </w:rPr>
        <w:t>关于收入详见财务报表附注</w:t>
      </w:r>
      <w:r>
        <w:rPr>
          <w:rFonts w:ascii="Times New Roman" w:hAnsi="Times New Roman" w:cs="Times New Roman" w:eastAsia="Times New Roman" w:hint="default"/>
          <w:spacing w:val="-4"/>
        </w:rPr>
        <w:t>“</w:t>
      </w:r>
      <w:r>
        <w:rPr>
          <w:spacing w:val="-4"/>
        </w:rPr>
        <w:t>三、公司重要会计政策和会计估计</w:t>
      </w:r>
      <w:r>
        <w:rPr>
          <w:rFonts w:ascii="Times New Roman" w:hAnsi="Times New Roman" w:cs="Times New Roman" w:eastAsia="Times New Roman" w:hint="default"/>
          <w:spacing w:val="-4"/>
        </w:rPr>
        <w:t>”22</w:t>
      </w:r>
      <w:r>
        <w:rPr>
          <w:spacing w:val="-4"/>
        </w:rPr>
        <w:t>所述的会计政策及</w:t>
      </w:r>
      <w:r>
        <w:rPr>
          <w:rFonts w:ascii="Times New Roman" w:hAnsi="Times New Roman" w:cs="Times New Roman" w:eastAsia="Times New Roman" w:hint="default"/>
          <w:spacing w:val="-4"/>
        </w:rPr>
        <w:t>“</w:t>
      </w:r>
      <w:r>
        <w:rPr>
          <w:spacing w:val="-4"/>
        </w:rPr>
        <w:t>五、合并财务报表项目注释</w:t>
      </w:r>
      <w:r>
        <w:rPr>
          <w:rFonts w:ascii="Times New Roman" w:hAnsi="Times New Roman" w:cs="Times New Roman" w:eastAsia="Times New Roman" w:hint="default"/>
          <w:spacing w:val="-4"/>
        </w:rPr>
        <w:t>”35</w:t>
      </w:r>
      <w:r>
        <w:rPr>
          <w:spacing w:val="-4"/>
        </w:rPr>
        <w:t>。</w:t>
      </w:r>
      <w:r>
        <w:rPr>
          <w:spacing w:val="60"/>
        </w:rPr>
        <w:t> </w:t>
      </w:r>
      <w:r>
        <w:rPr>
          <w:spacing w:val="-3"/>
        </w:rPr>
        <w:t>仁东控股公司及其子公司主要从事供应链、保理、第三方支付、小贷、租赁业务。</w:t>
      </w:r>
      <w:r>
        <w:rPr>
          <w:rFonts w:ascii="Times New Roman" w:hAnsi="Times New Roman" w:cs="Times New Roman" w:eastAsia="Times New Roman" w:hint="default"/>
          <w:spacing w:val="-3"/>
        </w:rPr>
        <w:t>2019</w:t>
      </w:r>
      <w:r>
        <w:rPr>
          <w:spacing w:val="-3"/>
        </w:rPr>
        <w:t>年度，仁东控股公司营业收入</w:t>
      </w:r>
    </w:p>
    <w:p>
      <w:pPr>
        <w:pStyle w:val="BodyText"/>
        <w:spacing w:line="300" w:lineRule="auto" w:before="13"/>
        <w:ind w:left="633" w:right="0" w:hanging="480"/>
        <w:jc w:val="left"/>
      </w:pPr>
      <w:r>
        <w:rPr>
          <w:spacing w:val="-3"/>
        </w:rPr>
        <w:t>为人民币</w:t>
      </w:r>
      <w:r>
        <w:rPr>
          <w:rFonts w:ascii="Times New Roman" w:hAnsi="Times New Roman" w:cs="Times New Roman" w:eastAsia="Times New Roman" w:hint="default"/>
          <w:spacing w:val="-3"/>
        </w:rPr>
        <w:t>183,082</w:t>
      </w:r>
      <w:r>
        <w:rPr>
          <w:spacing w:val="-3"/>
        </w:rPr>
        <w:t>万元，较上年增长</w:t>
      </w:r>
      <w:r>
        <w:rPr>
          <w:rFonts w:ascii="Times New Roman" w:hAnsi="Times New Roman" w:cs="Times New Roman" w:eastAsia="Times New Roman" w:hint="default"/>
          <w:spacing w:val="-3"/>
        </w:rPr>
        <w:t>23.21%</w:t>
      </w:r>
      <w:r>
        <w:rPr>
          <w:spacing w:val="-3"/>
        </w:rPr>
        <w:t>，主要为国内销售产生的收入。</w:t>
      </w:r>
      <w:r>
        <w:rPr>
          <w:spacing w:val="24"/>
        </w:rPr>
        <w:t> </w:t>
      </w:r>
      <w:r>
        <w:rPr>
          <w:spacing w:val="24"/>
        </w:rPr>
      </w:r>
      <w:r>
        <w:rPr>
          <w:spacing w:val="-3"/>
        </w:rPr>
        <w:t>由于收入是仁东控股公司的关键业绩指标之一，从而存在管理层为了达到特定目标或期望而操纵收入确认时点的固有</w:t>
      </w:r>
    </w:p>
    <w:p>
      <w:pPr>
        <w:pStyle w:val="BodyText"/>
        <w:spacing w:line="240" w:lineRule="auto" w:before="31"/>
        <w:ind w:right="0"/>
        <w:jc w:val="left"/>
      </w:pPr>
      <w:r>
        <w:rPr>
          <w:spacing w:val="-3"/>
        </w:rPr>
        <w:t>风险，我们将仁东控股公司收入确认识别为关键审计事项。</w:t>
      </w:r>
    </w:p>
    <w:p>
      <w:pPr>
        <w:pStyle w:val="BodyText"/>
        <w:spacing w:line="316" w:lineRule="auto" w:before="77"/>
        <w:ind w:left="633" w:right="6287"/>
        <w:jc w:val="left"/>
      </w:pPr>
      <w:r>
        <w:rPr>
          <w:spacing w:val="-3"/>
        </w:rPr>
        <w:t>（二）审计应对</w:t>
      </w:r>
      <w:r>
        <w:rPr>
          <w:spacing w:val="-68"/>
        </w:rPr>
        <w:t> </w:t>
      </w:r>
      <w:r>
        <w:rPr>
          <w:spacing w:val="-68"/>
        </w:rPr>
      </w:r>
      <w:r>
        <w:rPr>
          <w:spacing w:val="-3"/>
        </w:rPr>
        <w:t>我们执行的与收入确认相关的审计程序主要包括：</w:t>
      </w:r>
    </w:p>
    <w:p>
      <w:pPr>
        <w:pStyle w:val="BodyText"/>
        <w:spacing w:line="240" w:lineRule="auto" w:before="18"/>
        <w:ind w:left="633" w:right="0"/>
        <w:jc w:val="left"/>
      </w:pPr>
      <w:r>
        <w:rPr>
          <w:spacing w:val="-3"/>
        </w:rPr>
        <w:t>（</w:t>
      </w:r>
      <w:r>
        <w:rPr>
          <w:rFonts w:ascii="Times New Roman" w:hAnsi="Times New Roman" w:cs="Times New Roman" w:eastAsia="Times New Roman" w:hint="default"/>
          <w:spacing w:val="-3"/>
        </w:rPr>
        <w:t>1</w:t>
      </w:r>
      <w:r>
        <w:rPr>
          <w:spacing w:val="-3"/>
        </w:rPr>
        <w:t>）了解和评价管理层与收入确认相关的关键内部控制的设计和运行有效性；</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ind w:right="0" w:firstLine="480"/>
        <w:jc w:val="left"/>
      </w:pPr>
      <w:r>
        <w:rPr>
          <w:spacing w:val="-3"/>
        </w:rPr>
        <w:t>（</w:t>
      </w:r>
      <w:r>
        <w:rPr>
          <w:rFonts w:ascii="Times New Roman" w:hAnsi="Times New Roman" w:cs="Times New Roman" w:eastAsia="Times New Roman" w:hint="default"/>
          <w:spacing w:val="-3"/>
        </w:rPr>
        <w:t>2</w:t>
      </w:r>
      <w:r>
        <w:rPr>
          <w:spacing w:val="-3"/>
        </w:rPr>
        <w:t>）选取样本检查销售合同，识别与商品所有权上的风险和报酬转移相关的合同条款与条件，评价仁东控股公司的</w:t>
      </w:r>
      <w:r>
        <w:rPr>
          <w:w w:val="101"/>
        </w:rPr>
        <w:t> </w:t>
      </w:r>
      <w:r>
        <w:rPr>
          <w:spacing w:val="-3"/>
        </w:rPr>
        <w:t>收入确认时点是否符合企业会计准则的要求；</w:t>
      </w:r>
    </w:p>
    <w:p>
      <w:pPr>
        <w:pStyle w:val="BodyText"/>
        <w:spacing w:line="300" w:lineRule="auto" w:before="31"/>
        <w:ind w:right="0" w:firstLine="480"/>
        <w:jc w:val="left"/>
      </w:pPr>
      <w:r>
        <w:rPr>
          <w:spacing w:val="-3"/>
        </w:rPr>
        <w:t>（</w:t>
      </w:r>
      <w:r>
        <w:rPr>
          <w:rFonts w:ascii="Times New Roman" w:hAnsi="Times New Roman" w:cs="Times New Roman" w:eastAsia="Times New Roman" w:hint="default"/>
          <w:spacing w:val="-3"/>
        </w:rPr>
        <w:t>3</w:t>
      </w:r>
      <w:r>
        <w:rPr>
          <w:spacing w:val="-3"/>
        </w:rPr>
        <w:t>）对本年记录的收入交易选取样本，核对发票、业务合同及客户验收回单和银行回单等资料，评价相关收入确认</w:t>
      </w:r>
      <w:r>
        <w:rPr>
          <w:w w:val="101"/>
        </w:rPr>
        <w:t> </w:t>
      </w:r>
      <w:r>
        <w:rPr>
          <w:spacing w:val="-3"/>
        </w:rPr>
        <w:t>是否符合仁东控股公司收入确认的会计政策；</w:t>
      </w:r>
    </w:p>
    <w:p>
      <w:pPr>
        <w:pStyle w:val="BodyText"/>
        <w:spacing w:line="300" w:lineRule="auto" w:before="31"/>
        <w:ind w:right="0" w:firstLine="480"/>
        <w:jc w:val="left"/>
      </w:pPr>
      <w:r>
        <w:rPr>
          <w:spacing w:val="-3"/>
        </w:rPr>
        <w:t>（</w:t>
      </w:r>
      <w:r>
        <w:rPr>
          <w:rFonts w:ascii="Times New Roman" w:hAnsi="Times New Roman" w:cs="Times New Roman" w:eastAsia="Times New Roman" w:hint="default"/>
          <w:spacing w:val="-3"/>
        </w:rPr>
        <w:t>4</w:t>
      </w:r>
      <w:r>
        <w:rPr>
          <w:spacing w:val="-3"/>
        </w:rPr>
        <w:t>）向重要客户实施函证程序，询证本期收入及往来款项余额，确认收入的真实性、完整性；执行分析性复核程序，</w:t>
      </w:r>
      <w:r>
        <w:rPr>
          <w:w w:val="101"/>
        </w:rPr>
        <w:t> </w:t>
      </w:r>
      <w:r>
        <w:rPr>
          <w:spacing w:val="-3"/>
        </w:rPr>
        <w:t>分析本期营业收入规模增长及毛利率变动的合理性；</w:t>
      </w:r>
    </w:p>
    <w:p>
      <w:pPr>
        <w:pStyle w:val="BodyText"/>
        <w:spacing w:line="300" w:lineRule="auto" w:before="31"/>
        <w:ind w:right="0" w:firstLine="480"/>
        <w:jc w:val="left"/>
      </w:pPr>
      <w:r>
        <w:rPr>
          <w:spacing w:val="-3"/>
        </w:rPr>
        <w:t>（</w:t>
      </w:r>
      <w:r>
        <w:rPr>
          <w:rFonts w:ascii="Times New Roman" w:hAnsi="Times New Roman" w:cs="Times New Roman" w:eastAsia="Times New Roman" w:hint="default"/>
          <w:spacing w:val="-3"/>
        </w:rPr>
        <w:t>5</w:t>
      </w:r>
      <w:r>
        <w:rPr>
          <w:spacing w:val="-3"/>
        </w:rPr>
        <w:t>）对于第三方支付业务，我们对信息系统进行了审计，以审核其是否有效，抽取交易样本，取得交易明细，按照</w:t>
      </w:r>
      <w:r>
        <w:rPr>
          <w:w w:val="101"/>
        </w:rPr>
        <w:t> </w:t>
      </w:r>
      <w:r>
        <w:rPr>
          <w:spacing w:val="-3"/>
        </w:rPr>
        <w:t>合同费率测算与系统得出的结果是否一致。</w:t>
      </w:r>
    </w:p>
    <w:p>
      <w:pPr>
        <w:pStyle w:val="BodyText"/>
        <w:spacing w:line="300" w:lineRule="auto" w:before="31"/>
        <w:ind w:right="1051" w:firstLine="480"/>
        <w:jc w:val="left"/>
      </w:pPr>
      <w:r>
        <w:rPr>
          <w:spacing w:val="-3"/>
        </w:rPr>
        <w:t>（</w:t>
      </w:r>
      <w:r>
        <w:rPr>
          <w:rFonts w:ascii="Times New Roman" w:hAnsi="Times New Roman" w:cs="Times New Roman" w:eastAsia="Times New Roman" w:hint="default"/>
          <w:spacing w:val="-3"/>
        </w:rPr>
        <w:t>6</w:t>
      </w:r>
      <w:r>
        <w:rPr>
          <w:spacing w:val="-3"/>
        </w:rPr>
        <w:t>）就资产负债表日前后记录的收入交易，选取样本，核对订单及其他支持性文件，以评价收入是否被记录于恰当</w:t>
      </w:r>
      <w:r>
        <w:rPr>
          <w:w w:val="101"/>
        </w:rPr>
        <w:t> </w:t>
      </w:r>
      <w:r>
        <w:rPr/>
        <w:t>的会计期间；</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t>四、其他信息</w:t>
      </w:r>
      <w:r>
        <w:rPr>
          <w:b w:val="0"/>
          <w:bCs w:val="0"/>
        </w:rPr>
      </w:r>
    </w:p>
    <w:p>
      <w:pPr>
        <w:spacing w:line="240" w:lineRule="auto" w:before="12"/>
        <w:rPr>
          <w:rFonts w:ascii="宋体" w:hAnsi="宋体" w:cs="宋体" w:eastAsia="宋体" w:hint="default"/>
          <w:b/>
          <w:bCs/>
          <w:sz w:val="17"/>
          <w:szCs w:val="17"/>
        </w:rPr>
      </w:pPr>
    </w:p>
    <w:p>
      <w:pPr>
        <w:pStyle w:val="BodyText"/>
        <w:spacing w:line="300" w:lineRule="auto" w:before="0"/>
        <w:ind w:right="0" w:firstLine="451"/>
        <w:jc w:val="left"/>
      </w:pPr>
      <w:r>
        <w:rPr>
          <w:spacing w:val="-3"/>
        </w:rPr>
        <w:t>仁东控股公司管理层</w:t>
      </w:r>
      <w:r>
        <w:rPr>
          <w:rFonts w:ascii="Times New Roman" w:hAnsi="Times New Roman" w:cs="Times New Roman" w:eastAsia="Times New Roman" w:hint="default"/>
          <w:spacing w:val="-3"/>
        </w:rPr>
        <w:t>(</w:t>
      </w:r>
      <w:r>
        <w:rPr>
          <w:spacing w:val="-3"/>
        </w:rPr>
        <w:t>以下简称管理层</w:t>
      </w:r>
      <w:r>
        <w:rPr>
          <w:rFonts w:ascii="Times New Roman" w:hAnsi="Times New Roman" w:cs="Times New Roman" w:eastAsia="Times New Roman" w:hint="default"/>
          <w:spacing w:val="-3"/>
        </w:rPr>
        <w:t>)</w:t>
      </w:r>
      <w:r>
        <w:rPr>
          <w:spacing w:val="-3"/>
        </w:rPr>
        <w:t>对其他信息负责。其他信息包括仁东控股公司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spacing w:val="-3"/>
        </w:rPr>
        <w:t>年年度报告中涵盖的信息，</w:t>
      </w:r>
      <w:r>
        <w:rPr>
          <w:w w:val="101"/>
        </w:rPr>
        <w:t> </w:t>
      </w:r>
      <w:r>
        <w:rPr>
          <w:spacing w:val="-3"/>
        </w:rPr>
        <w:t>但不包括财务报表和我们的审计报告。</w:t>
      </w:r>
    </w:p>
    <w:p>
      <w:pPr>
        <w:pStyle w:val="BodyText"/>
        <w:spacing w:line="316" w:lineRule="auto" w:before="32"/>
        <w:ind w:left="604" w:right="1111"/>
        <w:jc w:val="left"/>
      </w:pPr>
      <w:r>
        <w:rPr>
          <w:spacing w:val="-3"/>
        </w:rPr>
        <w:t>我们对财务报表发表的审计意见不涵盖其他信息，我们也不对其他信息发表任何形 式的鉴证结论。</w:t>
      </w:r>
      <w:r>
        <w:rPr>
          <w:spacing w:val="23"/>
        </w:rPr>
        <w:t> </w:t>
      </w:r>
      <w:r>
        <w:rPr>
          <w:spacing w:val="23"/>
        </w:rPr>
      </w:r>
      <w:r>
        <w:rPr>
          <w:spacing w:val="-5"/>
        </w:rPr>
        <w:t>结合我们对财务报表的审计，我们的责任是阅读其他信息，在此过程中，考虑其他 </w:t>
      </w:r>
      <w:r>
        <w:rPr>
          <w:spacing w:val="59"/>
        </w:rPr>
        <w:t> </w:t>
      </w:r>
      <w:r>
        <w:rPr>
          <w:spacing w:val="-3"/>
        </w:rPr>
        <w:t>信息是否与财务报表或我们在审计</w:t>
      </w:r>
    </w:p>
    <w:p>
      <w:pPr>
        <w:pStyle w:val="BodyText"/>
        <w:spacing w:line="316" w:lineRule="auto" w:before="19"/>
        <w:ind w:left="604" w:right="1115" w:hanging="452"/>
        <w:jc w:val="left"/>
      </w:pPr>
      <w:r>
        <w:rPr>
          <w:spacing w:val="-3"/>
        </w:rPr>
        <w:t>过程中了解到的情况存在重大不一致或者似乎存在重大错报。</w:t>
      </w:r>
      <w:r>
        <w:rPr>
          <w:spacing w:val="-10"/>
        </w:rPr>
        <w:t> </w:t>
      </w:r>
      <w:r>
        <w:rPr>
          <w:spacing w:val="-10"/>
        </w:rPr>
      </w:r>
      <w:r>
        <w:rPr>
          <w:spacing w:val="-4"/>
        </w:rPr>
        <w:t>基于我们已执行的工作，如果我们确定其他信息存在重大错报，我们应当报告该事 </w:t>
      </w:r>
      <w:r>
        <w:rPr>
          <w:spacing w:val="48"/>
        </w:rPr>
        <w:t> </w:t>
      </w:r>
      <w:r>
        <w:rPr>
          <w:spacing w:val="-5"/>
        </w:rPr>
        <w:t>实。在这方面，我们无任何事项需</w:t>
      </w:r>
    </w:p>
    <w:p>
      <w:pPr>
        <w:pStyle w:val="BodyText"/>
        <w:spacing w:line="240" w:lineRule="auto" w:before="19"/>
        <w:ind w:right="0"/>
        <w:jc w:val="left"/>
      </w:pPr>
      <w:r>
        <w:rPr/>
        <w:t>要报告。</w:t>
      </w:r>
    </w:p>
    <w:p>
      <w:pPr>
        <w:spacing w:line="470" w:lineRule="exact" w:before="64"/>
        <w:ind w:left="580"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3"/>
          <w:sz w:val="18"/>
          <w:szCs w:val="18"/>
        </w:rPr>
        <w:t>管理层负责按照企业会计准则的规定编制财务报表，使其实现公允反映，并设计、执行和维护必要的内部控制，以使</w:t>
      </w:r>
    </w:p>
    <w:p>
      <w:pPr>
        <w:pStyle w:val="BodyText"/>
        <w:spacing w:line="316" w:lineRule="auto" w:before="7"/>
        <w:ind w:left="580" w:right="0" w:hanging="428"/>
        <w:jc w:val="left"/>
      </w:pPr>
      <w:r>
        <w:rPr>
          <w:spacing w:val="-3"/>
        </w:rPr>
        <w:t>财务报表不存在由于舞弊或错误导致的重大错报。</w:t>
      </w:r>
      <w:r>
        <w:rPr>
          <w:spacing w:val="-22"/>
        </w:rPr>
        <w:t> </w:t>
      </w:r>
      <w:r>
        <w:rPr>
          <w:spacing w:val="-22"/>
        </w:rPr>
      </w:r>
      <w:r>
        <w:rPr>
          <w:spacing w:val="-3"/>
        </w:rPr>
        <w:t>在编制财务报表时，管理层负责评估仁东控股公司的持续经营能力，披露与持续经营相关的事项（如适用），并运用</w:t>
      </w:r>
    </w:p>
    <w:p>
      <w:pPr>
        <w:pStyle w:val="BodyText"/>
        <w:spacing w:line="319" w:lineRule="auto" w:before="19"/>
        <w:ind w:left="580" w:right="2115" w:hanging="428"/>
        <w:jc w:val="left"/>
      </w:pPr>
      <w:r>
        <w:rPr>
          <w:spacing w:val="-3"/>
        </w:rPr>
        <w:t>持续经营假设，除非管理层计划清算仁东控股公司、终止运营或别无其他现实的选择。</w:t>
      </w:r>
      <w:r>
        <w:rPr>
          <w:spacing w:val="20"/>
        </w:rPr>
        <w:t> </w:t>
      </w:r>
      <w:r>
        <w:rPr>
          <w:spacing w:val="20"/>
        </w:rPr>
      </w:r>
      <w:r>
        <w:rPr>
          <w:spacing w:val="-3"/>
        </w:rPr>
        <w:t>治理层负责监督仁东控股公司的财务报告过程。</w:t>
      </w:r>
    </w:p>
    <w:p>
      <w:pPr>
        <w:spacing w:line="470" w:lineRule="exact" w:before="5"/>
        <w:ind w:left="580" w:right="0" w:firstLine="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3"/>
          <w:sz w:val="18"/>
          <w:szCs w:val="18"/>
        </w:rPr>
        <w:t>我们的目标是对财务报表整体是否不存在由于舞弊或错误导致的重大错报获取合理保证，并出具包含审计意见的审计</w:t>
      </w:r>
    </w:p>
    <w:p>
      <w:pPr>
        <w:pStyle w:val="BodyText"/>
        <w:spacing w:line="319" w:lineRule="auto" w:before="7"/>
        <w:ind w:right="1124"/>
        <w:jc w:val="both"/>
      </w:pPr>
      <w:r>
        <w:rPr>
          <w:spacing w:val="-4"/>
        </w:rPr>
        <w:t>报告。合理保证是高水平的保证，但并不能保证按照审计准则执行的审计在某一重大错报存在时总能发现。错报可能由于舞</w:t>
      </w:r>
      <w:r>
        <w:rPr>
          <w:spacing w:val="43"/>
        </w:rPr>
        <w:t> </w:t>
      </w:r>
      <w:r>
        <w:rPr>
          <w:spacing w:val="43"/>
        </w:rPr>
      </w:r>
      <w:r>
        <w:rPr>
          <w:spacing w:val="-4"/>
        </w:rPr>
        <w:t>弊或错误导致，如果合理预期错报单独或汇总起来可能影响财务报表使用者依据财务报表作出的经济决策，则通常认为错报</w:t>
      </w:r>
      <w:r>
        <w:rPr>
          <w:spacing w:val="43"/>
        </w:rPr>
        <w:t> </w:t>
      </w:r>
      <w:r>
        <w:rPr>
          <w:spacing w:val="43"/>
        </w:rPr>
      </w:r>
      <w:r>
        <w:rPr/>
        <w:t>是重大的。</w:t>
      </w:r>
    </w:p>
    <w:p>
      <w:pPr>
        <w:pStyle w:val="BodyText"/>
        <w:spacing w:line="240" w:lineRule="auto" w:before="17"/>
        <w:ind w:left="580" w:right="0"/>
        <w:jc w:val="left"/>
      </w:pPr>
      <w:r>
        <w:rPr>
          <w:spacing w:val="-3"/>
        </w:rPr>
        <w:t>在按照审计准则执行审计工作的过程中，我们运用职业判断，并保持职业怀疑。 </w:t>
      </w:r>
      <w:r>
        <w:rPr>
          <w:spacing w:val="35"/>
        </w:rPr>
        <w:t> </w:t>
      </w:r>
      <w:r>
        <w:rPr>
          <w:spacing w:val="-3"/>
        </w:rPr>
        <w:t>同时，我们也执行以下工作：</w:t>
      </w:r>
    </w:p>
    <w:p>
      <w:pPr>
        <w:pStyle w:val="BodyText"/>
        <w:spacing w:line="309" w:lineRule="auto" w:before="76"/>
        <w:ind w:right="1047" w:firstLine="427"/>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66"/>
        </w:rPr>
        <w:t> </w:t>
      </w:r>
      <w:r>
        <w:rPr>
          <w:spacing w:val="66"/>
        </w:rPr>
      </w:r>
      <w:r>
        <w:rPr>
          <w:spacing w:val="-3"/>
        </w:rPr>
        <w:t>未能发现由于舞弊导致的重大错报的风险高于未能发现由于错误导致的重大错报的风险。</w:t>
      </w:r>
    </w:p>
    <w:p>
      <w:pPr>
        <w:pStyle w:val="BodyText"/>
        <w:spacing w:line="240" w:lineRule="auto" w:before="24"/>
        <w:ind w:left="580" w:right="0"/>
        <w:jc w:val="left"/>
      </w:pPr>
      <w:r>
        <w:rPr>
          <w:spacing w:val="-3"/>
        </w:rPr>
        <w:t>（</w:t>
      </w:r>
      <w:r>
        <w:rPr>
          <w:rFonts w:ascii="Times New Roman" w:hAnsi="Times New Roman" w:cs="Times New Roman" w:eastAsia="Times New Roman" w:hint="default"/>
          <w:spacing w:val="-3"/>
        </w:rPr>
        <w:t>2</w:t>
      </w:r>
      <w:r>
        <w:rPr>
          <w:spacing w:val="-3"/>
        </w:rPr>
        <w:t>）了解与审计相关的内部控制，以设计恰当的审计程序。但目的并非对内部控制的有效性发表意见。</w:t>
      </w:r>
    </w:p>
    <w:p>
      <w:pPr>
        <w:pStyle w:val="BodyText"/>
        <w:spacing w:line="240" w:lineRule="auto" w:before="63"/>
        <w:ind w:left="580" w:right="0"/>
        <w:jc w:val="left"/>
      </w:pPr>
      <w:r>
        <w:rPr>
          <w:spacing w:val="-3"/>
        </w:rPr>
        <w:t>（</w:t>
      </w:r>
      <w:r>
        <w:rPr>
          <w:rFonts w:ascii="Times New Roman" w:hAnsi="Times New Roman" w:cs="Times New Roman" w:eastAsia="Times New Roman" w:hint="default"/>
          <w:spacing w:val="-3"/>
        </w:rPr>
        <w:t>3</w:t>
      </w:r>
      <w:r>
        <w:rPr>
          <w:spacing w:val="-3"/>
        </w:rPr>
        <w:t>）评价管理层选用会计政策的恰当性和作出会计估计及相关披露的合理性。</w:t>
      </w:r>
    </w:p>
    <w:p>
      <w:pPr>
        <w:pStyle w:val="BodyText"/>
        <w:spacing w:line="312" w:lineRule="auto" w:before="63"/>
        <w:ind w:right="1124" w:firstLine="427"/>
        <w:jc w:val="both"/>
      </w:pPr>
      <w:r>
        <w:rPr>
          <w:spacing w:val="-4"/>
        </w:rPr>
        <w:t>（</w:t>
      </w:r>
      <w:r>
        <w:rPr>
          <w:rFonts w:ascii="Times New Roman" w:hAnsi="Times New Roman" w:cs="Times New Roman" w:eastAsia="Times New Roman" w:hint="default"/>
          <w:spacing w:val="-4"/>
        </w:rPr>
        <w:t>4</w:t>
      </w:r>
      <w:r>
        <w:rPr>
          <w:spacing w:val="-4"/>
        </w:rPr>
        <w:t>）对管理层使用持续经营假设的恰当性得出结论。同时，根据获取的审计证据，就可能导致对仁东控股公司持续经</w:t>
      </w:r>
      <w:r>
        <w:rPr>
          <w:w w:val="101"/>
        </w:rPr>
        <w:t> </w:t>
      </w:r>
      <w:r>
        <w:rPr>
          <w:spacing w:val="-4"/>
        </w:rPr>
        <w:t>营能力产生重大疑虑的事项或情况是否存在重大不确定性得出结论。如果我们得出结论认为存在重大不确定性，审计准则要</w:t>
      </w:r>
      <w:r>
        <w:rPr>
          <w:spacing w:val="39"/>
        </w:rPr>
        <w:t> </w:t>
      </w:r>
      <w:r>
        <w:rPr>
          <w:spacing w:val="39"/>
        </w:rPr>
      </w:r>
      <w:r>
        <w:rPr>
          <w:spacing w:val="-4"/>
        </w:rPr>
        <w:t>求我们在审计报告中提请报表使用者注意财务报表中的相关披露；如果披露不充分，我们应当发表非无保留意见。我们的结</w:t>
      </w:r>
      <w:r>
        <w:rPr>
          <w:spacing w:val="38"/>
        </w:rPr>
        <w:t> </w:t>
      </w:r>
      <w:r>
        <w:rPr>
          <w:spacing w:val="38"/>
        </w:rPr>
      </w:r>
      <w:r>
        <w:rPr>
          <w:spacing w:val="-3"/>
        </w:rPr>
        <w:t>论基于截至审计报告日可获得的信息。然而，未来的事项或情况可能导致仁东控股公司不能持续经营。</w:t>
      </w:r>
    </w:p>
    <w:p>
      <w:pPr>
        <w:pStyle w:val="BodyText"/>
        <w:spacing w:line="240" w:lineRule="auto" w:before="22"/>
        <w:ind w:left="580" w:right="0"/>
        <w:jc w:val="left"/>
      </w:pPr>
      <w:r>
        <w:rPr>
          <w:spacing w:val="-3"/>
        </w:rPr>
        <w:t>（</w:t>
      </w:r>
      <w:r>
        <w:rPr>
          <w:rFonts w:ascii="Times New Roman" w:hAnsi="Times New Roman" w:cs="Times New Roman" w:eastAsia="Times New Roman" w:hint="default"/>
          <w:spacing w:val="-3"/>
        </w:rPr>
        <w:t>5</w:t>
      </w:r>
      <w:r>
        <w:rPr>
          <w:spacing w:val="-3"/>
        </w:rPr>
        <w:t>）评价财务报表的总体列报、结构和内容，并评价财务报表是否公允反映相关交易和事项。</w:t>
      </w:r>
    </w:p>
    <w:p>
      <w:pPr>
        <w:pStyle w:val="BodyText"/>
        <w:spacing w:line="240" w:lineRule="auto" w:before="62"/>
        <w:ind w:left="580" w:right="0"/>
        <w:jc w:val="left"/>
      </w:pPr>
      <w:r>
        <w:rPr>
          <w:spacing w:val="-3"/>
        </w:rPr>
        <w:t>（</w:t>
      </w:r>
      <w:r>
        <w:rPr>
          <w:rFonts w:ascii="Times New Roman" w:hAnsi="Times New Roman" w:cs="Times New Roman" w:eastAsia="Times New Roman" w:hint="default"/>
          <w:spacing w:val="-3"/>
        </w:rPr>
        <w:t>6</w:t>
      </w:r>
      <w:r>
        <w:rPr>
          <w:spacing w:val="-3"/>
        </w:rPr>
        <w:t>）就仁东控股公司中实体或业务活动的财务信息获取充分、适当的审计证据，以对财 </w:t>
      </w:r>
      <w:r>
        <w:rPr>
          <w:spacing w:val="51"/>
        </w:rPr>
        <w:t> </w:t>
      </w:r>
      <w:r>
        <w:rPr>
          <w:spacing w:val="-3"/>
        </w:rPr>
        <w:t>务报表发表审计意见。我们</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ind w:left="580" w:right="0" w:hanging="428"/>
        <w:jc w:val="left"/>
      </w:pPr>
      <w:r>
        <w:rPr>
          <w:spacing w:val="-3"/>
        </w:rPr>
        <w:t>负责指导、监督和执行集团审计，并对审计意见承担全部责任。</w:t>
      </w:r>
      <w:r>
        <w:rPr>
          <w:spacing w:val="-9"/>
        </w:rPr>
        <w:t> </w:t>
      </w:r>
      <w:r>
        <w:rPr>
          <w:spacing w:val="-9"/>
        </w:rPr>
      </w:r>
      <w:r>
        <w:rPr>
          <w:spacing w:val="-3"/>
        </w:rPr>
        <w:t>我们与治理层就计划的审计范围、时间安排和重大审计发现等事项进行沟通，包括沟通我们在审计中识别出的值得关</w:t>
      </w:r>
    </w:p>
    <w:p>
      <w:pPr>
        <w:pStyle w:val="BodyText"/>
        <w:spacing w:line="319" w:lineRule="auto" w:before="19"/>
        <w:ind w:left="580" w:right="1051" w:hanging="428"/>
        <w:jc w:val="left"/>
      </w:pPr>
      <w:r>
        <w:rPr>
          <w:spacing w:val="-3"/>
        </w:rPr>
        <w:t>注的内部控制缺陷。</w:t>
      </w:r>
      <w:r>
        <w:rPr>
          <w:spacing w:val="-62"/>
        </w:rPr>
        <w:t> </w:t>
      </w:r>
      <w:r>
        <w:rPr>
          <w:spacing w:val="-62"/>
        </w:rPr>
      </w:r>
      <w:r>
        <w:rPr>
          <w:spacing w:val="-3"/>
        </w:rPr>
        <w:t>我们还就遵守与独立性相关的职业道德要求向治理层提供声明，并与治理层沟通可能被合理认为影响我们独立性的所</w:t>
      </w:r>
    </w:p>
    <w:p>
      <w:pPr>
        <w:pStyle w:val="BodyText"/>
        <w:spacing w:line="316" w:lineRule="auto" w:before="17"/>
        <w:ind w:left="580" w:right="0" w:hanging="428"/>
        <w:jc w:val="left"/>
      </w:pPr>
      <w:r>
        <w:rPr>
          <w:spacing w:val="-3"/>
        </w:rPr>
        <w:t>有关系和其他事项，以及相关的防范措施（如适用）。</w:t>
      </w:r>
      <w:r>
        <w:rPr>
          <w:spacing w:val="-16"/>
        </w:rPr>
        <w:t> </w:t>
      </w:r>
      <w:r>
        <w:rPr>
          <w:spacing w:val="-16"/>
        </w:rPr>
      </w:r>
      <w:r>
        <w:rPr>
          <w:spacing w:val="-3"/>
        </w:rPr>
        <w:t>从与治理层沟通过的事项中，我们确定哪些事项对本期财务报表审计最为重要，因而构成关键审计事项。我们在审计</w:t>
      </w:r>
    </w:p>
    <w:p>
      <w:pPr>
        <w:pStyle w:val="BodyText"/>
        <w:spacing w:line="316" w:lineRule="auto" w:before="19"/>
        <w:ind w:right="0"/>
        <w:jc w:val="left"/>
      </w:pPr>
      <w:r>
        <w:rPr>
          <w:spacing w:val="-4"/>
        </w:rPr>
        <w:t>报告中描述这些事项，除非法律法规禁止公开披露这些事项，或在极少数情形下，如果合理预期在审计报告中沟通某事项造</w:t>
      </w:r>
      <w:r>
        <w:rPr>
          <w:spacing w:val="43"/>
        </w:rPr>
        <w:t> </w:t>
      </w:r>
      <w:r>
        <w:rPr>
          <w:spacing w:val="43"/>
        </w:rPr>
      </w:r>
      <w:r>
        <w:rPr>
          <w:spacing w:val="-3"/>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tabs>
          <w:tab w:pos="4983" w:val="left" w:leader="none"/>
        </w:tabs>
        <w:spacing w:line="240" w:lineRule="auto" w:before="0"/>
        <w:ind w:left="580" w:right="0"/>
        <w:jc w:val="left"/>
      </w:pPr>
      <w:r>
        <w:rPr>
          <w:spacing w:val="-3"/>
        </w:rPr>
        <w:t>中兴财光华会计师事务所</w:t>
        <w:tab/>
        <w:t>中国注册会计师：齐正华</w:t>
      </w:r>
    </w:p>
    <w:p>
      <w:pPr>
        <w:pStyle w:val="BodyText"/>
        <w:tabs>
          <w:tab w:pos="5992" w:val="left" w:leader="none"/>
        </w:tabs>
        <w:spacing w:line="240" w:lineRule="auto" w:before="76"/>
        <w:ind w:left="580" w:right="0"/>
        <w:jc w:val="left"/>
      </w:pPr>
      <w:r>
        <w:rPr>
          <w:spacing w:val="-2"/>
        </w:rPr>
        <w:t>（特殊普通合伙）</w:t>
        <w:tab/>
      </w:r>
      <w:r>
        <w:rPr>
          <w:spacing w:val="-3"/>
        </w:rPr>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before="0"/>
        <w:ind w:left="3144" w:right="2012"/>
        <w:jc w:val="center"/>
      </w:pPr>
      <w:r>
        <w:rPr>
          <w:spacing w:val="-3"/>
        </w:rPr>
        <w:t>中国注册会计师：王雅栋</w:t>
      </w:r>
    </w:p>
    <w:p>
      <w:pPr>
        <w:spacing w:line="240" w:lineRule="auto" w:before="0"/>
        <w:rPr>
          <w:rFonts w:ascii="宋体" w:hAnsi="宋体" w:cs="宋体" w:eastAsia="宋体" w:hint="default"/>
          <w:sz w:val="18"/>
          <w:szCs w:val="18"/>
        </w:rPr>
      </w:pPr>
    </w:p>
    <w:p>
      <w:pPr>
        <w:pStyle w:val="BodyText"/>
        <w:tabs>
          <w:tab w:pos="4907" w:val="left" w:leader="none"/>
        </w:tabs>
        <w:spacing w:line="240" w:lineRule="auto" w:before="153"/>
        <w:ind w:left="0" w:right="3336"/>
        <w:jc w:val="center"/>
      </w:pPr>
      <w:r>
        <w:rPr>
          <w:spacing w:val="-2"/>
        </w:rPr>
        <w:t>中国</w:t>
      </w:r>
      <w:r>
        <w:rPr>
          <w:rFonts w:ascii="Times New Roman" w:hAnsi="Times New Roman" w:cs="Times New Roman" w:eastAsia="Times New Roman" w:hint="default"/>
          <w:spacing w:val="-2"/>
        </w:rPr>
        <w:t>•</w:t>
      </w:r>
      <w:r>
        <w:rPr>
          <w:spacing w:val="-2"/>
        </w:rPr>
        <w:t>北京</w:t>
        <w:tab/>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pStyle w:val="Heading2"/>
        <w:spacing w:line="240" w:lineRule="auto"/>
        <w:ind w:right="0"/>
        <w:jc w:val="left"/>
        <w:rPr>
          <w:b w:val="0"/>
          <w:bCs w:val="0"/>
        </w:rPr>
      </w:pPr>
      <w:bookmarkStart w:name="二、财务报表" w:id="160"/>
      <w:bookmarkEnd w:id="160"/>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spacing w:val="-3"/>
        </w:rPr>
        <w:t>财务附注中报表的单位为：元</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1"/>
      <w:bookmarkEnd w:id="16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ind w:right="0"/>
        <w:jc w:val="left"/>
      </w:pPr>
      <w:r>
        <w:rPr>
          <w:spacing w:val="-3"/>
        </w:rPr>
        <w:t>编制单位：仁东控股股份有限公司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3" w:equalWidth="0">
            <w:col w:w="2857" w:space="1220"/>
            <w:col w:w="1642" w:space="3203"/>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1,430,315,992.53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631,564,027.25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99"/>
              <w:jc w:val="righ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399,513,632.32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343,829,641.52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23,841,507.01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3,577,720.23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15,286,464.24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32,003,317.52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909,826.53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68,534.68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16,185.15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130,891,664.03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63,394,685.76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23,850,840.34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2,537,379,692.82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2,023,768,635.15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3,611,765,270.25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48,277,280.22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8,073,237.03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78,000,000.00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3,567,349.53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32,449,065.47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462,085,000.00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4,718,403.41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5,923,984.80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31,576,151.81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38,331,855.25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998,642,311.55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998,642,311.55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3,761,814.08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2,403,907.07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1,859,548.42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154,191.08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905,332.08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239,990,332.08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1,555,393,191.10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1,403,968,884.33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3,579,161,826.25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5,015,734,154.58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440,765,723.60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76,389,232.71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21,461,997.10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264,229.14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778,764.34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15,225,509.68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11,384,393.96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14,815,231.29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18,229,973.00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182,431,015.69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564,420,930.02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24,166.67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1,867,454.94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180,397,719.29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279,650,000.00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1,223,955,031.96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2,601,585,025.87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2,134,243,693.36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3,587,511,084.29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415,887,638.89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4,086,851.66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5,029,561.66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419,974,490.55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425,029,561.66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2,554,218,183.91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4,012,540,645.95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559,936,650.00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559,936,650.00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191,142,018.58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191,142,018.58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-5,834.74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-9,132.84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43,544,814.66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43,544,814.66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3,573,773.16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3,773.16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189,550,879.17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174,119,931.13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987,742,300.83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968,738,054.69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37,201,341.51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34,455,453.94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1,024,943,642.34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1,003,193,508.63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3,579,161,826.25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5,015,734,154.58</w:t>
            </w:r>
          </w:p>
        </w:tc>
      </w:tr>
    </w:tbl>
    <w:p>
      <w:pPr>
        <w:spacing w:line="240" w:lineRule="auto" w:before="2"/>
        <w:rPr>
          <w:rFonts w:ascii="Times New Roman" w:hAnsi="Times New Roman" w:cs="Times New Roman" w:eastAsia="Times New Roman" w:hint="default"/>
          <w:sz w:val="23"/>
          <w:szCs w:val="23"/>
        </w:rPr>
      </w:pPr>
    </w:p>
    <w:p>
      <w:pPr>
        <w:pStyle w:val="BodyText"/>
        <w:tabs>
          <w:tab w:pos="3515" w:val="left" w:leader="none"/>
          <w:tab w:pos="7745" w:val="left" w:leader="none"/>
        </w:tabs>
        <w:spacing w:line="240" w:lineRule="auto"/>
        <w:ind w:left="0" w:right="1218"/>
        <w:jc w:val="right"/>
      </w:pPr>
      <w:r>
        <w:rPr>
          <w:spacing w:val="-3"/>
        </w:rPr>
        <w:t>法定代表人：王石山</w:t>
        <w:tab/>
        <w:t>主管会计工作负责人：王石山</w:t>
        <w:tab/>
      </w:r>
      <w:r>
        <w:rPr>
          <w:spacing w:val="-2"/>
        </w:rPr>
        <w:t>会计机构负责人：高硕</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2"/>
      <w:bookmarkEnd w:id="16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1"/>
        <w:gridCol w:w="3318"/>
        <w:gridCol w:w="3299"/>
      </w:tblGrid>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2,981,291.82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8,084,534.08</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2"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1,305,815.39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1,835,967.48</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426,983,912.64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943,780,892.53</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1,201,893.31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329,660.92</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432,472,913.16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954,031,055.01</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5,051,677,591.00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5,051,695,990.00</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239,350.62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253,826.72</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323,514.02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512,955.26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2,726,190.73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5,204,966,646.37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5,052,462,771.98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5,637,439,559.53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6,006,493,826.99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440,765,723.60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24,450.00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24,450.00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2,028,402.42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390,118.41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75,761.96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97,438.19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3,897,478,016.56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4,436,328,437.05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24,166.67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1,421,343.83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79,650,000.00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4,340,372,354.54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4,606,490,443.65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415,887,638.89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415,887,638.89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420,000,000.00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4,756,259,993.43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5,026,490,443.65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559,936,650.00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559,936,650.00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309,684,562.96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309,684,562.96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43,544,814.66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43,544,814.66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-31,986,461.52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66,837,355.72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881,179,566.10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980,003,383.34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5,637,439,559.53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6,006,493,826.99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3"/>
      <w:bookmarkEnd w:id="16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054"/>
        <w:gridCol w:w="3220"/>
        <w:gridCol w:w="3279"/>
      </w:tblGrid>
      <w:tr>
        <w:trPr>
          <w:trHeight w:val="399"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1,830,818,307.68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1,485,929,981.01</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7"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1,830,818,307.68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1,485,929,981.01</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0"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0"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1,782,718,129.14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1,407,792,055.66</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7"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1,539,348,844.59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1,206,895,191.59</w:t>
            </w:r>
          </w:p>
        </w:tc>
      </w:tr>
      <w:tr>
        <w:trPr>
          <w:trHeight w:val="399"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0"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435.839996pt;width:158.950pt;height:20.9pt;mso-position-horizontal-relative:page;mso-position-vertical-relative:page;z-index:-983248" coordorigin="4221,8717" coordsize="3179,418">
            <v:group style="position:absolute;left:4233;top:8729;width:2;height:394" coordorigin="4233,8729" coordsize="2,394">
              <v:shape style="position:absolute;left:4233;top:8729;width:2;height:394" coordorigin="4233,8729" coordsize="0,394" path="m4233,8729l4233,9122e" filled="false" stroked="true" strokeweight="1.2pt" strokecolor="#ffffff">
                <v:path arrowok="t"/>
              </v:shape>
            </v:group>
            <v:group style="position:absolute;left:4245;top:8729;width:3155;height:394" coordorigin="4245,8729" coordsize="3155,394">
              <v:shape style="position:absolute;left:4245;top:8729;width:3155;height:394" coordorigin="4245,8729" coordsize="3155,394" path="m4245,9122l7400,9122,7400,8729,4245,8729,4245,9122xe" filled="true" fillcolor="#ffffff" stroked="false">
                <v:path arrowok="t"/>
                <v:fill type="solid"/>
              </v:shape>
            </v:group>
            <w10:wrap type="none"/>
          </v:group>
        </w:pict>
      </w:r>
      <w:r>
        <w:rPr/>
        <w:pict>
          <v:group style="position:absolute;margin-left:211.029999pt;margin-top:694.869995pt;width:158.950pt;height:20.9pt;mso-position-horizontal-relative:page;mso-position-vertical-relative:page;z-index:-983224" coordorigin="4221,13897" coordsize="3179,418">
            <v:group style="position:absolute;left:4233;top:13909;width:2;height:394" coordorigin="4233,13909" coordsize="2,394">
              <v:shape style="position:absolute;left:4233;top:13909;width:2;height:394" coordorigin="4233,13909" coordsize="0,394" path="m4233,13909l4233,14303e" filled="false" stroked="true" strokeweight="1.2pt" strokecolor="#ffffff">
                <v:path arrowok="t"/>
              </v:shape>
            </v:group>
            <v:group style="position:absolute;left:4245;top:13909;width:3155;height:394" coordorigin="4245,13909" coordsize="3155,394">
              <v:shape style="position:absolute;left:4245;top:13909;width:3155;height:394" coordorigin="4245,13909" coordsize="3155,394" path="m4245,14303l7400,14303,7400,13909,4245,13909,4245,14303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1107"/>
        <w:gridCol w:w="2101"/>
        <w:gridCol w:w="3279"/>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2,451,068.44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3,256,808.86</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37,806,671.44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28,700,153.98</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55" w:right="0"/>
              <w:jc w:val="left"/>
              <w:rPr>
                <w:rFonts w:ascii="Times New Roman" w:hAnsi="Times New Roman" w:cs="Times New Roman" w:eastAsia="Times New Roman" w:hint="default"/>
                <w:sz w:val="18"/>
                <w:szCs w:val="18"/>
              </w:rPr>
            </w:pPr>
            <w:r>
              <w:rPr>
                <w:rFonts w:ascii="Times New Roman"/>
                <w:sz w:val="18"/>
              </w:rPr>
              <w:t>104,324,301.34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77,513,627.06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47,385,239.55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34,970,559.10</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51,402,003.78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56,455,715.07</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54,637,319.11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56,592,764.69</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4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3,473,661.33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1,218,577.59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4,456,635.19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2,913,019.08</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11,385,000.00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7,532,617.13</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1"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7"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-15,389,254.64</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-1,248,189.62</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-21,225.61</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48,531,333.48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87,335,371.94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6,901,800.36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300,625.66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1,143,674.62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503,506.63</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39" w:right="0"/>
              <w:jc w:val="left"/>
              <w:rPr>
                <w:rFonts w:ascii="Times New Roman" w:hAnsi="Times New Roman" w:cs="Times New Roman" w:eastAsia="Times New Roman" w:hint="default"/>
                <w:sz w:val="18"/>
                <w:szCs w:val="18"/>
              </w:rPr>
            </w:pPr>
            <w:r>
              <w:rPr>
                <w:rFonts w:ascii="Times New Roman"/>
                <w:sz w:val="18"/>
              </w:rPr>
              <w:t>54,289,459.22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87,132,490.97</w:t>
            </w: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21,643,890.61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28,392,931.11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32,645,568.61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58,739,559.86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32,645,568.61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58,739,559.86</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29,899,681.04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52,986,949.73</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2,745,887.57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5,752,610.13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3,298.10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-4,352.58</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3,298.10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-4,352.58</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3,298.10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-4,352.58</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3,298.10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-4,352.58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32,648,866.71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58,735,207.28</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29,902,979.14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52,982,597.15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2,745,887.57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5,752,610.13</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0.09</w:t>
            </w:r>
          </w:p>
        </w:tc>
      </w:tr>
    </w:tbl>
    <w:p>
      <w:pPr>
        <w:pStyle w:val="BodyText"/>
        <w:tabs>
          <w:tab w:pos="3668" w:val="left" w:leader="none"/>
          <w:tab w:pos="7898" w:val="left" w:leader="none"/>
        </w:tabs>
        <w:spacing w:line="590" w:lineRule="auto" w:before="53"/>
        <w:ind w:right="1218"/>
        <w:jc w:val="both"/>
        <w:rPr>
          <w:rFonts w:ascii="宋体" w:hAnsi="宋体" w:cs="宋体" w:eastAsia="宋体" w:hint="default"/>
          <w:sz w:val="21"/>
          <w:szCs w:val="21"/>
        </w:rPr>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2"/>
        </w:rPr>
        <w:t> </w:t>
      </w:r>
      <w:r>
        <w:rPr>
          <w:spacing w:val="-3"/>
        </w:rPr>
        <w:t>法定代表人：王石山</w:t>
        <w:tab/>
        <w:t>主管会计工作负责人：王石山</w:t>
        <w:tab/>
      </w:r>
      <w:r>
        <w:rPr>
          <w:spacing w:val="-2"/>
        </w:rPr>
        <w:t>会计机构负责人：高硕</w:t>
      </w:r>
      <w:r>
        <w:rPr>
          <w:spacing w:val="-66"/>
        </w:rPr>
        <w:t> </w:t>
      </w:r>
      <w:r>
        <w:rPr>
          <w:spacing w:val="-66"/>
        </w:rPr>
      </w:r>
      <w:bookmarkStart w:name="4、母公司利润表" w:id="164"/>
      <w:bookmarkEnd w:id="164"/>
      <w:r>
        <w:rPr>
          <w:spacing w:val="-66"/>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14"/>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535,848,200.63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247,682,832.57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533,711,043.37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246,284,537.59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142,107.80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130,469.80</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59,511.55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337,700.95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27,571,949.49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17,472,954.28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56,740,187.45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49,130,970.31</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756"/>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57,557,523.51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49,194,933.70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6"/>
              <w:jc w:val="right"/>
              <w:rPr>
                <w:rFonts w:ascii="宋体" w:hAnsi="宋体" w:cs="宋体" w:eastAsia="宋体" w:hint="default"/>
                <w:sz w:val="18"/>
                <w:szCs w:val="18"/>
              </w:rPr>
            </w:pPr>
            <w:r>
              <w:rPr>
                <w:rFonts w:ascii="宋体" w:hAnsi="宋体" w:cs="宋体" w:eastAsia="宋体" w:hint="default"/>
                <w:spacing w:val="-2"/>
                <w:sz w:val="18"/>
                <w:szCs w:val="18"/>
              </w:rPr>
              <w:t>利息收入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846,158.26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97,655.50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20,540.89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52,159.05</w:t>
            </w: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-15,120.83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3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-5,253,905.39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-1,044,342.60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-87,625,084.36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-66,665,983.91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457,062.63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-87,625,084.24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-67,123,046.30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-87,625,084.24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-67,123,046.30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-87,625,084.24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-67,123,046.30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6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180" w:right="0"/>
              <w:jc w:val="left"/>
              <w:rPr>
                <w:rFonts w:ascii="Times New Roman" w:hAnsi="Times New Roman" w:cs="Times New Roman" w:eastAsia="Times New Roman" w:hint="default"/>
                <w:sz w:val="18"/>
                <w:szCs w:val="18"/>
              </w:rPr>
            </w:pPr>
            <w:r>
              <w:rPr>
                <w:rFonts w:ascii="Times New Roman"/>
                <w:sz w:val="18"/>
              </w:rPr>
              <w:t>-87,625,084.24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75" w:right="0"/>
              <w:jc w:val="left"/>
              <w:rPr>
                <w:rFonts w:ascii="Times New Roman" w:hAnsi="Times New Roman" w:cs="Times New Roman" w:eastAsia="Times New Roman" w:hint="default"/>
                <w:sz w:val="18"/>
                <w:szCs w:val="18"/>
              </w:rPr>
            </w:pPr>
            <w:r>
              <w:rPr>
                <w:rFonts w:ascii="Times New Roman"/>
                <w:sz w:val="18"/>
              </w:rPr>
              <w:t>-67,123,046.30</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65"/>
      <w:bookmarkEnd w:id="16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1,916,333,941.92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1,654,913,498.26</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543,763,232.96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717,565,584.12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2,460,097,174.88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2,372,479,082.38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1,625,190,782.08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1,219,454,772.69</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42,682,125.72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8,058,647.05</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94,869,026.03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76,110,323.05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57,363,651.49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53,531,745.53</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706,799,061.60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779,946,604.77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2,526,904,646.92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2,137,102,093.09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-66,807,472.04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235,376,989.29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11,385,000.00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4,642,167.97</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5,401,800.00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22,189,200.00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4,642,167.97</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5,338,776.26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3,138,496.95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47,872,416.78</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12,550.00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140,338,776.26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71,023,463.73</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-118,149,576.26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-66,381,295.76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589,900,000.00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345,200,000.00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1,275,388,400.00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935,100,000.00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1,464,388,400.00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344,650,000.00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732,150,000.00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64,820,154.80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57,163,484.32</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728,787,144.62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1,154,470,154.80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1,518,100,628.94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-219,370,154.80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-53,712,228.94</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2,848.28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-464.01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-404,324,354.82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115,283,000.58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493,430,500.43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378,147,499.85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89,106,145.61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493,430,500.43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66"/>
      <w:bookmarkEnd w:id="16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605,393,525.30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318,488,765.93</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2,986,515.92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399,658.18</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608,380,041.22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318,888,424.11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603,060,402.68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285,733,771.58</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7,912,819.85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6,309,164.35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144,136.40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128,022.80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19,674,459.67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21,546,969.09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630,791,818.60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313,717,927.82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-22,411,777.38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5,170,496.29</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3,279.17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896,822,637.75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760,997,033.33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896,825,916.92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760,997,033.33</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2,801,567.00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10,974.00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215,000,000.00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47,872,416.78</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325,522,500.00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793,841,983.73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463,324,067.00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1,056,725,374.51</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433,501,849.92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-295,728,341.18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439,900,000.00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788,400,000.00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1,790,877,668.08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1,228,300,000.00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1,960,877,668.08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174,650,000.00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533,100,000.00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56,745,154.80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49,418,559.62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1,413,098,160.00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1,083,174,746.64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1,644,493,314.80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1,665,693,306.26</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-416,193,314.80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295,184,361.82</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-5,103,242.26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4,626,516.93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8,084,534.08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3,458,017.15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2,981,291.82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8,084,534.08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合并所有者权益变动表" w:id="167"/>
      <w:bookmarkEnd w:id="16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53"/>
        <w:gridCol w:w="8312"/>
      </w:tblGrid>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70"/>
        <w:gridCol w:w="581"/>
        <w:gridCol w:w="586"/>
        <w:gridCol w:w="581"/>
        <w:gridCol w:w="586"/>
        <w:gridCol w:w="586"/>
        <w:gridCol w:w="581"/>
        <w:gridCol w:w="586"/>
        <w:gridCol w:w="586"/>
        <w:gridCol w:w="581"/>
        <w:gridCol w:w="586"/>
        <w:gridCol w:w="576"/>
      </w:tblGrid>
      <w:tr>
        <w:trPr>
          <w:trHeight w:val="96"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7150"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41" w:type="dxa"/>
            <w:vMerge/>
            <w:tcBorders>
              <w:left w:val="single" w:sz="4" w:space="0" w:color="000000"/>
              <w:right w:val="single" w:sz="4" w:space="0" w:color="000000"/>
            </w:tcBorders>
            <w:shd w:val="clear" w:color="auto" w:fill="D2D2D2"/>
          </w:tcPr>
          <w:p>
            <w:pPr/>
          </w:p>
        </w:tc>
        <w:tc>
          <w:tcPr>
            <w:tcW w:w="7150"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54" w:hRule="exact"/>
        </w:trPr>
        <w:tc>
          <w:tcPr>
            <w:tcW w:w="1241" w:type="dxa"/>
            <w:vMerge/>
            <w:tcBorders>
              <w:left w:val="single" w:sz="4" w:space="0" w:color="000000"/>
              <w:right w:val="single" w:sz="4" w:space="0" w:color="000000"/>
            </w:tcBorders>
            <w:shd w:val="clear" w:color="auto" w:fill="D2D2D2"/>
          </w:tcPr>
          <w:p>
            <w:pPr/>
          </w:p>
        </w:tc>
        <w:tc>
          <w:tcPr>
            <w:tcW w:w="7150"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tcBorders>
              <w:left w:val="single" w:sz="4" w:space="0" w:color="000000"/>
              <w:right w:val="single" w:sz="4" w:space="0" w:color="000000"/>
            </w:tcBorders>
            <w:shd w:val="clear" w:color="auto" w:fill="D2D2D2"/>
          </w:tcPr>
          <w:p>
            <w:pPr/>
          </w:p>
        </w:tc>
      </w:tr>
      <w:tr>
        <w:trPr>
          <w:trHeight w:val="206"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74"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81"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6"/>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6"/>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3"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32"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21"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559,9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36,65</w:t>
            </w:r>
          </w:p>
          <w:p>
            <w:pPr>
              <w:pStyle w:val="TableParagraph"/>
              <w:spacing w:line="240" w:lineRule="auto" w:before="110"/>
              <w:ind w:left="136"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191,14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58</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21" w:space="0" w:color="D2D2D2"/>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-9,132.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84</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,814.6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1" w:type="dxa"/>
            <w:vMerge w:val="restart"/>
            <w:tcBorders>
              <w:top w:val="single" w:sz="21" w:space="0" w:color="D2D2D2"/>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3,773.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16</w:t>
            </w: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74"/>
              <w:ind w:left="62" w:right="0"/>
              <w:jc w:val="left"/>
              <w:rPr>
                <w:rFonts w:ascii="Times New Roman" w:hAnsi="Times New Roman" w:cs="Times New Roman" w:eastAsia="Times New Roman" w:hint="default"/>
                <w:sz w:val="18"/>
                <w:szCs w:val="18"/>
              </w:rPr>
            </w:pPr>
            <w:r>
              <w:rPr>
                <w:rFonts w:ascii="Times New Roman"/>
                <w:sz w:val="18"/>
              </w:rPr>
              <w:t>174,11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9,931.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13</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968,73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8,054.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,453.9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vMerge w:val="restart"/>
            <w:tcBorders>
              <w:top w:val="single" w:sz="40" w:space="0" w:color="D2D2D2"/>
              <w:left w:val="single" w:sz="4" w:space="0" w:color="000000"/>
              <w:right w:val="single" w:sz="4" w:space="0" w:color="000000"/>
            </w:tcBorders>
          </w:tcPr>
          <w:p>
            <w:pPr>
              <w:pStyle w:val="TableParagraph"/>
              <w:spacing w:line="240" w:lineRule="auto" w:before="50"/>
              <w:ind w:left="79" w:right="0"/>
              <w:jc w:val="center"/>
              <w:rPr>
                <w:rFonts w:ascii="Times New Roman" w:hAnsi="Times New Roman" w:cs="Times New Roman" w:eastAsia="Times New Roman" w:hint="default"/>
                <w:sz w:val="18"/>
                <w:szCs w:val="18"/>
              </w:rPr>
            </w:pPr>
            <w:r>
              <w:rPr>
                <w:rFonts w:ascii="Times New Roman"/>
                <w:sz w:val="18"/>
              </w:rPr>
              <w:t>1,003,</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193,50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8.63</w:t>
            </w:r>
          </w:p>
        </w:tc>
      </w:tr>
      <w:tr>
        <w:trPr>
          <w:trHeight w:val="701"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7"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3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3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559,9</w:t>
            </w:r>
          </w:p>
          <w:p>
            <w:pPr>
              <w:pStyle w:val="TableParagraph"/>
              <w:spacing w:line="240" w:lineRule="auto" w:before="100"/>
              <w:ind w:left="50" w:right="0"/>
              <w:jc w:val="left"/>
              <w:rPr>
                <w:rFonts w:ascii="Times New Roman" w:hAnsi="Times New Roman" w:cs="Times New Roman" w:eastAsia="Times New Roman" w:hint="default"/>
                <w:sz w:val="18"/>
                <w:szCs w:val="18"/>
              </w:rPr>
            </w:pPr>
            <w:r>
              <w:rPr>
                <w:rFonts w:ascii="Times New Roman"/>
                <w:sz w:val="18"/>
              </w:rPr>
              <w:t>36,65</w:t>
            </w:r>
          </w:p>
          <w:p>
            <w:pPr>
              <w:pStyle w:val="TableParagraph"/>
              <w:spacing w:line="240" w:lineRule="auto" w:before="110"/>
              <w:ind w:left="136"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191,14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58</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-9,132.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84</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43,544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3,773.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16</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174,11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9,931.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13</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968,73</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8,054.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34,455</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,453.9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1,003,</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193,50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8.63</w:t>
            </w:r>
          </w:p>
        </w:tc>
      </w:tr>
      <w:tr>
        <w:trPr>
          <w:trHeight w:val="701"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17"/>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2"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3,298.</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10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15,430</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,948.0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19,004</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,246.1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2,745,</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887.57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21,750</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,133.7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3,298.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10</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29,899</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,681.0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29,902</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,979.1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2,745,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887.57</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32,648</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,866.7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17"/>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9"/>
              <w:ind w:left="11"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-14,76</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8,733.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pacing w:val="-3"/>
                <w:sz w:val="18"/>
              </w:rPr>
              <w:t>-11,19</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8,733.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pacing w:val="-3"/>
                <w:sz w:val="18"/>
              </w:rPr>
              <w:t>-11,19</w:t>
            </w:r>
          </w:p>
          <w:p>
            <w:pPr>
              <w:pStyle w:val="TableParagraph"/>
              <w:spacing w:line="240" w:lineRule="auto" w:before="101"/>
              <w:ind w:left="96" w:right="0"/>
              <w:jc w:val="left"/>
              <w:rPr>
                <w:rFonts w:ascii="Times New Roman" w:hAnsi="Times New Roman" w:cs="Times New Roman" w:eastAsia="Times New Roman" w:hint="default"/>
                <w:sz w:val="18"/>
                <w:szCs w:val="18"/>
              </w:rPr>
            </w:pPr>
            <w:r>
              <w:rPr>
                <w:rFonts w:ascii="Times New Roman"/>
                <w:sz w:val="18"/>
              </w:rPr>
              <w:t>8,733.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pacing w:val="-3"/>
                <w:sz w:val="18"/>
              </w:rPr>
              <w:t>-11,19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8,733.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pacing w:val="-3"/>
                <w:sz w:val="18"/>
              </w:rPr>
              <w:t>-11,19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8,733.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pacing w:val="-3"/>
                <w:sz w:val="18"/>
              </w:rPr>
              <w:t>-11,19</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8,733.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559,9</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36,65</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191,14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-5,834.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43,544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3,573,</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773.16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189,55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0,879.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17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987,74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2,300.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37,201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,341.5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1,024,</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943,64</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2.34</w:t>
            </w:r>
          </w:p>
        </w:tc>
      </w:tr>
    </w:tbl>
    <w:p>
      <w:pPr>
        <w:pStyle w:val="BodyText"/>
        <w:spacing w:line="240" w:lineRule="auto" w:before="53"/>
        <w:ind w:right="0"/>
        <w:jc w:val="left"/>
      </w:pPr>
      <w:r>
        <w:rPr/>
        <w:t>上期金额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401" w:hRule="exact"/>
        </w:trPr>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1" w:hRule="exact"/>
        </w:trPr>
        <w:tc>
          <w:tcPr>
            <w:tcW w:w="1215" w:type="dxa"/>
            <w:vMerge/>
            <w:tcBorders>
              <w:left w:val="single" w:sz="4" w:space="0" w:color="000000"/>
              <w:right w:val="single" w:sz="4" w:space="0" w:color="000000"/>
            </w:tcBorders>
            <w:shd w:val="clear" w:color="auto" w:fill="D2D2D2"/>
          </w:tcPr>
          <w:p>
            <w:pPr/>
          </w:p>
        </w:tc>
        <w:tc>
          <w:tcPr>
            <w:tcW w:w="7063"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3"/>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403" w:hRule="exact"/>
        </w:trPr>
        <w:tc>
          <w:tcPr>
            <w:tcW w:w="1215"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88"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01"/>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01"/>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2" w:lineRule="auto" w:before="121"/>
              <w:ind w:left="105" w:right="94"/>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p>
        </w:tc>
        <w:tc>
          <w:tcPr>
            <w:tcW w:w="58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01"/>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01"/>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2" w:lineRule="auto" w:before="121"/>
              <w:ind w:left="105" w:right="95"/>
              <w:jc w:val="left"/>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p>
        </w:tc>
        <w:tc>
          <w:tcPr>
            <w:tcW w:w="591" w:type="dxa"/>
            <w:vMerge w:val="restart"/>
            <w:tcBorders>
              <w:top w:val="single" w:sz="4" w:space="0" w:color="FFFFFF"/>
              <w:left w:val="single" w:sz="4" w:space="0" w:color="000000"/>
              <w:right w:val="single" w:sz="4" w:space="0" w:color="000000"/>
            </w:tcBorders>
            <w:shd w:val="clear" w:color="auto" w:fill="D2D2D2"/>
          </w:tcPr>
          <w:p>
            <w:pPr>
              <w:pStyle w:val="TableParagraph"/>
              <w:spacing w:line="312" w:lineRule="auto" w:before="121"/>
              <w:ind w:left="110" w:right="104"/>
              <w:jc w:val="left"/>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403"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8"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8"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191"/>
        <w:gridCol w:w="502"/>
        <w:gridCol w:w="447"/>
        <w:gridCol w:w="451"/>
        <w:gridCol w:w="490"/>
        <w:gridCol w:w="577"/>
        <w:gridCol w:w="576"/>
        <w:gridCol w:w="576"/>
        <w:gridCol w:w="581"/>
        <w:gridCol w:w="576"/>
        <w:gridCol w:w="576"/>
        <w:gridCol w:w="591"/>
        <w:gridCol w:w="566"/>
        <w:gridCol w:w="566"/>
        <w:gridCol w:w="644"/>
        <w:gridCol w:w="648"/>
      </w:tblGrid>
      <w:tr>
        <w:trPr>
          <w:trHeight w:val="36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9"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9" w:right="0"/>
              <w:jc w:val="left"/>
              <w:rPr>
                <w:rFonts w:ascii="宋体" w:hAnsi="宋体" w:cs="宋体" w:eastAsia="宋体" w:hint="default"/>
                <w:sz w:val="18"/>
                <w:szCs w:val="18"/>
              </w:rPr>
            </w:pPr>
            <w:r>
              <w:rPr>
                <w:rFonts w:ascii="宋体" w:hAnsi="宋体" w:cs="宋体" w:eastAsia="宋体" w:hint="default"/>
                <w:w w:val="101"/>
                <w:sz w:val="18"/>
                <w:szCs w:val="18"/>
              </w:rPr>
              <w:t>债</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373,2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91,10</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0.00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238,28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5,168.</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58</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-4,780.</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26</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,814.6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3,773.</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16</w:t>
            </w: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121,13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2,981.</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40</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776,25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3,057.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54</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8,336,7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40.18</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784,589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,797.72</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373,2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91,10</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0.00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238,28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5,168.</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58</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-4,780.</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26</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,814.6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3,773.</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16</w:t>
            </w: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121,13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2,981.</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40</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776,25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3,057.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54</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8,336,7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40.18</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784,589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,797.72</w:t>
            </w:r>
          </w:p>
        </w:tc>
      </w:tr>
      <w:tr>
        <w:trPr>
          <w:trHeight w:val="70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4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8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186,6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45,55</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3,150.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-4,352.</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58</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52,986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,949.7</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192,48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4,997.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15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26,118,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713.76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218,603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,710.91</w:t>
            </w:r>
          </w:p>
        </w:tc>
      </w:tr>
      <w:tr>
        <w:trPr>
          <w:trHeight w:val="15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3"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-4,352.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58</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52,986</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,949.7</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52,982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,597.1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5,752,6</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10.13</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58,735,</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207.28</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502" w:type="dxa"/>
            <w:vMerge/>
            <w:tcBorders>
              <w:left w:val="single" w:sz="13"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3"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028"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 w:right="82"/>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20,366,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103.63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20,366,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103.63</w:t>
            </w: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19,000,</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19,000,</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000.00</w:t>
            </w:r>
          </w:p>
        </w:tc>
      </w:tr>
      <w:tr>
        <w:trPr>
          <w:trHeight w:val="1028"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1,366,1</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03.63</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1,366,1</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03.63</w:t>
            </w:r>
          </w:p>
        </w:tc>
      </w:tr>
      <w:tr>
        <w:trPr>
          <w:trHeight w:val="394"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186,6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45,55</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-186,6</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45,550</w:t>
            </w:r>
          </w:p>
          <w:p>
            <w:pPr>
              <w:pStyle w:val="TableParagraph"/>
              <w:spacing w:line="240" w:lineRule="auto" w:before="110"/>
              <w:ind w:left="317"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186,6</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45,55</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-186,6</w:t>
            </w:r>
          </w:p>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45,550</w:t>
            </w:r>
          </w:p>
          <w:p>
            <w:pPr>
              <w:pStyle w:val="TableParagraph"/>
              <w:spacing w:line="240" w:lineRule="auto" w:before="110"/>
              <w:ind w:left="317"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95"/>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4"/>
                <w:sz w:val="18"/>
                <w:szCs w:val="18"/>
              </w:rPr>
              <w:t>（六）其他</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139,50</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139,50</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139,502</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,400.00</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 w:right="0"/>
              <w:jc w:val="left"/>
              <w:rPr>
                <w:rFonts w:ascii="Times New Roman" w:hAnsi="Times New Roman" w:cs="Times New Roman" w:eastAsia="Times New Roman" w:hint="default"/>
                <w:sz w:val="18"/>
                <w:szCs w:val="18"/>
              </w:rPr>
            </w:pPr>
            <w:r>
              <w:rPr>
                <w:rFonts w:ascii="Times New Roman"/>
                <w:sz w:val="18"/>
              </w:rPr>
              <w:t>559,9</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36,65</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 w:right="0"/>
              <w:jc w:val="left"/>
              <w:rPr>
                <w:rFonts w:ascii="Times New Roman" w:hAnsi="Times New Roman" w:cs="Times New Roman" w:eastAsia="Times New Roman" w:hint="default"/>
                <w:sz w:val="18"/>
                <w:szCs w:val="18"/>
              </w:rPr>
            </w:pPr>
            <w:r>
              <w:rPr>
                <w:rFonts w:ascii="Times New Roman"/>
                <w:sz w:val="18"/>
              </w:rPr>
              <w:t>191,14</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58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-9,132.</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84</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43,544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3,773.</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16</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7" w:right="0"/>
              <w:jc w:val="left"/>
              <w:rPr>
                <w:rFonts w:ascii="Times New Roman" w:hAnsi="Times New Roman" w:cs="Times New Roman" w:eastAsia="Times New Roman" w:hint="default"/>
                <w:sz w:val="18"/>
                <w:szCs w:val="18"/>
              </w:rPr>
            </w:pPr>
            <w:r>
              <w:rPr>
                <w:rFonts w:ascii="Times New Roman"/>
                <w:sz w:val="18"/>
              </w:rPr>
              <w:t>174,11</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9,931.</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13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 w:right="0"/>
              <w:jc w:val="left"/>
              <w:rPr>
                <w:rFonts w:ascii="Times New Roman" w:hAnsi="Times New Roman" w:cs="Times New Roman" w:eastAsia="Times New Roman" w:hint="default"/>
                <w:sz w:val="18"/>
                <w:szCs w:val="18"/>
              </w:rPr>
            </w:pPr>
            <w:r>
              <w:rPr>
                <w:rFonts w:ascii="Times New Roman"/>
                <w:sz w:val="18"/>
              </w:rPr>
              <w:t>968,73</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8,054.</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69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34,455,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453.94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1,003,1</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93,508.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8、母公司所有者权益变动表" w:id="168"/>
      <w:bookmarkEnd w:id="16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4"/>
        <w:ind w:left="0" w:right="1122"/>
        <w:jc w:val="right"/>
      </w:pPr>
      <w:r>
        <w:rPr>
          <w:spacing w:val="-2"/>
        </w:rPr>
        <w:t>单位：元</w:t>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5"/>
        <w:gridCol w:w="605"/>
        <w:gridCol w:w="725"/>
        <w:gridCol w:w="725"/>
        <w:gridCol w:w="730"/>
        <w:gridCol w:w="725"/>
        <w:gridCol w:w="725"/>
        <w:gridCol w:w="614"/>
        <w:gridCol w:w="711"/>
        <w:gridCol w:w="864"/>
      </w:tblGrid>
      <w:tr>
        <w:trPr>
          <w:trHeight w:val="40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1"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198"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5"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pacing w:val="-1"/>
                <w:sz w:val="18"/>
              </w:rPr>
              <w:t>559,93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6,650.0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309,684,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562.96</w:t>
            </w:r>
          </w:p>
        </w:tc>
        <w:tc>
          <w:tcPr>
            <w:tcW w:w="725" w:type="dxa"/>
            <w:vMerge w:val="restart"/>
            <w:tcBorders>
              <w:top w:val="single" w:sz="17" w:space="0" w:color="D2D2D2"/>
              <w:left w:val="single" w:sz="4" w:space="0" w:color="000000"/>
              <w:right w:val="single" w:sz="4" w:space="0" w:color="000000"/>
            </w:tcBorders>
          </w:tcPr>
          <w:p>
            <w:pPr/>
          </w:p>
        </w:tc>
        <w:tc>
          <w:tcPr>
            <w:tcW w:w="730" w:type="dxa"/>
            <w:vMerge w:val="restart"/>
            <w:tcBorders>
              <w:top w:val="single" w:sz="17" w:space="0" w:color="D2D2D2"/>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43,544,8</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14.66</w:t>
            </w:r>
          </w:p>
        </w:tc>
        <w:tc>
          <w:tcPr>
            <w:tcW w:w="614"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66,837,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355.72</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980,003,3</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83.34</w:t>
            </w:r>
          </w:p>
        </w:tc>
      </w:tr>
      <w:tr>
        <w:trPr>
          <w:trHeight w:val="701"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5"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6,650.0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309,684,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562.96</w:t>
            </w: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43,544,8</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14.66</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66,837,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355.72</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980,003,3</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83.34</w:t>
            </w:r>
          </w:p>
        </w:tc>
      </w:tr>
      <w:tr>
        <w:trPr>
          <w:trHeight w:val="701"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17"/>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-98,823</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,817.24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-98,823,81</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7.24</w:t>
            </w:r>
          </w:p>
        </w:tc>
      </w:tr>
      <w:tr>
        <w:trPr>
          <w:trHeight w:val="71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7"/>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-87,625</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,084.24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-87,625,08</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4.24</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-11,198</w:t>
            </w: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,733.00</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-11,198,73</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3.00</w:t>
            </w:r>
          </w:p>
        </w:tc>
      </w:tr>
      <w:tr>
        <w:trPr>
          <w:trHeight w:val="389"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-11,198</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,733.00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-11,198,73</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3.00</w:t>
            </w:r>
          </w:p>
        </w:tc>
      </w:tr>
      <w:tr>
        <w:trPr>
          <w:trHeight w:val="404"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pacing w:val="-4"/>
                <w:sz w:val="18"/>
                <w:szCs w:val="18"/>
              </w:rPr>
              <w:t>（四）所有者权</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36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559,93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6,650.0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309,684,</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562.96</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43,544,8</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14.66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-31,986</w:t>
            </w: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,461.52</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881,179,5</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66.10</w:t>
            </w:r>
          </w:p>
        </w:tc>
      </w:tr>
    </w:tbl>
    <w:p>
      <w:pPr>
        <w:pStyle w:val="BodyText"/>
        <w:spacing w:line="240" w:lineRule="auto" w:before="53"/>
        <w:ind w:right="0"/>
        <w:jc w:val="left"/>
      </w:pPr>
      <w:r>
        <w:rPr/>
        <w:t>上期金额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7"/>
        <w:gridCol w:w="595"/>
        <w:gridCol w:w="572"/>
        <w:gridCol w:w="576"/>
        <w:gridCol w:w="572"/>
        <w:gridCol w:w="682"/>
        <w:gridCol w:w="687"/>
        <w:gridCol w:w="686"/>
        <w:gridCol w:w="783"/>
        <w:gridCol w:w="662"/>
        <w:gridCol w:w="802"/>
        <w:gridCol w:w="797"/>
        <w:gridCol w:w="926"/>
      </w:tblGrid>
      <w:tr>
        <w:trPr>
          <w:trHeight w:val="401" w:hRule="exact"/>
        </w:trPr>
        <w:tc>
          <w:tcPr>
            <w:tcW w:w="1217" w:type="dxa"/>
            <w:vMerge w:val="restart"/>
            <w:tcBorders>
              <w:top w:val="single" w:sz="4" w:space="0" w:color="000000"/>
              <w:left w:val="single" w:sz="4" w:space="0" w:color="000000"/>
              <w:right w:val="single" w:sz="4" w:space="0" w:color="000000"/>
            </w:tcBorders>
            <w:shd w:val="clear" w:color="auto" w:fill="D2D2D2"/>
          </w:tcPr>
          <w:p>
            <w:pP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83"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FFFFFF"/>
            </w:tcBorders>
            <w:shd w:val="clear" w:color="auto" w:fill="D2D2D2"/>
          </w:tcPr>
          <w:p>
            <w:pPr/>
          </w:p>
        </w:tc>
        <w:tc>
          <w:tcPr>
            <w:tcW w:w="662" w:type="dxa"/>
            <w:tcBorders>
              <w:top w:val="single" w:sz="4" w:space="0" w:color="000000"/>
              <w:left w:val="single" w:sz="4" w:space="0" w:color="FFFFFF"/>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FFFFFF"/>
            </w:tcBorders>
            <w:shd w:val="clear" w:color="auto" w:fill="D2D2D2"/>
          </w:tcPr>
          <w:p>
            <w:pPr/>
          </w:p>
        </w:tc>
        <w:tc>
          <w:tcPr>
            <w:tcW w:w="926"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181" w:hRule="exact"/>
        </w:trPr>
        <w:tc>
          <w:tcPr>
            <w:tcW w:w="12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5"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4"/>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4"/>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4"/>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FFFFFF"/>
            </w:tcBorders>
            <w:shd w:val="clear" w:color="auto" w:fill="D2D2D2"/>
          </w:tcPr>
          <w:p>
            <w:pPr/>
          </w:p>
        </w:tc>
        <w:tc>
          <w:tcPr>
            <w:tcW w:w="662" w:type="dxa"/>
            <w:vMerge w:val="restart"/>
            <w:tcBorders>
              <w:top w:val="nil" w:sz="6" w:space="0" w:color="auto"/>
              <w:left w:val="single" w:sz="4" w:space="0" w:color="FFFFFF"/>
              <w:right w:val="single" w:sz="4" w:space="0" w:color="000000"/>
            </w:tcBorders>
            <w:shd w:val="clear" w:color="auto" w:fill="D2D2D2"/>
          </w:tcPr>
          <w:p>
            <w:pPr>
              <w:pStyle w:val="TableParagraph"/>
              <w:spacing w:line="321"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FFFFFF"/>
            </w:tcBorders>
            <w:shd w:val="clear" w:color="auto" w:fill="D2D2D2"/>
          </w:tcPr>
          <w:p>
            <w:pPr/>
          </w:p>
        </w:tc>
        <w:tc>
          <w:tcPr>
            <w:tcW w:w="926" w:type="dxa"/>
            <w:vMerge w:val="restart"/>
            <w:tcBorders>
              <w:top w:val="nil" w:sz="6" w:space="0" w:color="auto"/>
              <w:left w:val="single" w:sz="4" w:space="0" w:color="FFFFFF"/>
              <w:right w:val="single" w:sz="4" w:space="0" w:color="000000"/>
            </w:tcBorders>
            <w:shd w:val="clear" w:color="auto" w:fill="D2D2D2"/>
          </w:tcPr>
          <w:p>
            <w:pPr>
              <w:pStyle w:val="TableParagraph"/>
              <w:spacing w:line="321"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8"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FFFFFF"/>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FFFFFF"/>
              <w:right w:val="single" w:sz="4" w:space="0" w:color="000000"/>
            </w:tcBorders>
            <w:shd w:val="clear" w:color="auto" w:fill="D2D2D2"/>
          </w:tcPr>
          <w:p>
            <w:pPr/>
          </w:p>
        </w:tc>
      </w:tr>
      <w:tr>
        <w:trPr>
          <w:trHeight w:val="197" w:hRule="exact"/>
        </w:trPr>
        <w:tc>
          <w:tcPr>
            <w:tcW w:w="1217" w:type="dxa"/>
            <w:vMerge w:val="restart"/>
            <w:tcBorders>
              <w:top w:val="nil" w:sz="6" w:space="0" w:color="auto"/>
              <w:left w:val="single" w:sz="4" w:space="0" w:color="000000"/>
              <w:right w:val="single" w:sz="4" w:space="0" w:color="000000"/>
            </w:tcBorders>
            <w:shd w:val="clear" w:color="auto" w:fill="D2D2D2"/>
          </w:tcPr>
          <w:p>
            <w:pPr/>
          </w:p>
        </w:tc>
        <w:tc>
          <w:tcPr>
            <w:tcW w:w="59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FFFFFF"/>
            </w:tcBorders>
            <w:shd w:val="clear" w:color="auto" w:fill="D2D2D2"/>
          </w:tcPr>
          <w:p>
            <w:pPr/>
          </w:p>
        </w:tc>
        <w:tc>
          <w:tcPr>
            <w:tcW w:w="662" w:type="dxa"/>
            <w:vMerge/>
            <w:tcBorders>
              <w:left w:val="single" w:sz="4" w:space="0" w:color="FFFFFF"/>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FFFFFF"/>
            </w:tcBorders>
            <w:shd w:val="clear" w:color="auto" w:fill="D2D2D2"/>
          </w:tcPr>
          <w:p>
            <w:pPr/>
          </w:p>
        </w:tc>
        <w:tc>
          <w:tcPr>
            <w:tcW w:w="926" w:type="dxa"/>
            <w:vMerge/>
            <w:tcBorders>
              <w:left w:val="single" w:sz="4" w:space="0" w:color="FFFFFF"/>
              <w:right w:val="single" w:sz="4" w:space="0" w:color="000000"/>
            </w:tcBorders>
            <w:shd w:val="clear" w:color="auto" w:fill="D2D2D2"/>
          </w:tcPr>
          <w:p>
            <w:pPr/>
          </w:p>
        </w:tc>
      </w:tr>
      <w:tr>
        <w:trPr>
          <w:trHeight w:val="154" w:hRule="exact"/>
        </w:trPr>
        <w:tc>
          <w:tcPr>
            <w:tcW w:w="1217" w:type="dxa"/>
            <w:vMerge/>
            <w:tcBorders>
              <w:left w:val="single" w:sz="4" w:space="0" w:color="000000"/>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FFFFFF"/>
            </w:tcBorders>
            <w:shd w:val="clear" w:color="auto" w:fill="D2D2D2"/>
          </w:tcPr>
          <w:p>
            <w:pPr/>
          </w:p>
        </w:tc>
        <w:tc>
          <w:tcPr>
            <w:tcW w:w="662" w:type="dxa"/>
            <w:vMerge/>
            <w:tcBorders>
              <w:left w:val="single" w:sz="4" w:space="0" w:color="FFFFFF"/>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FFFFFF"/>
            </w:tcBorders>
            <w:shd w:val="clear" w:color="auto" w:fill="D2D2D2"/>
          </w:tcPr>
          <w:p>
            <w:pPr/>
          </w:p>
        </w:tc>
        <w:tc>
          <w:tcPr>
            <w:tcW w:w="926" w:type="dxa"/>
            <w:vMerge/>
            <w:tcBorders>
              <w:left w:val="single" w:sz="4" w:space="0" w:color="FFFFFF"/>
              <w:bottom w:val="nil" w:sz="6" w:space="0" w:color="auto"/>
              <w:right w:val="single" w:sz="4" w:space="0" w:color="000000"/>
            </w:tcBorders>
            <w:shd w:val="clear" w:color="auto" w:fill="D2D2D2"/>
          </w:tcPr>
          <w:p>
            <w:pPr/>
          </w:p>
        </w:tc>
      </w:tr>
      <w:tr>
        <w:trPr>
          <w:trHeight w:val="206" w:hRule="exact"/>
        </w:trPr>
        <w:tc>
          <w:tcPr>
            <w:tcW w:w="1217"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FFFFFF"/>
            </w:tcBorders>
            <w:shd w:val="clear" w:color="auto" w:fill="D2D2D2"/>
          </w:tcPr>
          <w:p>
            <w:pPr/>
          </w:p>
        </w:tc>
        <w:tc>
          <w:tcPr>
            <w:tcW w:w="662" w:type="dxa"/>
            <w:tcBorders>
              <w:top w:val="nil" w:sz="6" w:space="0" w:color="auto"/>
              <w:left w:val="single" w:sz="4" w:space="0" w:color="FFFFFF"/>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FFFFFF"/>
            </w:tcBorders>
            <w:shd w:val="clear" w:color="auto" w:fill="D2D2D2"/>
          </w:tcPr>
          <w:p>
            <w:pPr/>
          </w:p>
        </w:tc>
        <w:tc>
          <w:tcPr>
            <w:tcW w:w="926"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163" w:hRule="exact"/>
        </w:trPr>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10" w:space="0" w:color="D2D2D2"/>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373,29</w:t>
            </w:r>
          </w:p>
          <w:p>
            <w:pPr>
              <w:pStyle w:val="TableParagraph"/>
              <w:spacing w:line="240" w:lineRule="auto" w:before="100"/>
              <w:ind w:left="108"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10"/>
              <w:ind w:left="381"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356,827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,712.96</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FFFFFF"/>
            </w:tcBorders>
          </w:tcPr>
          <w:p>
            <w:pPr/>
          </w:p>
        </w:tc>
        <w:tc>
          <w:tcPr>
            <w:tcW w:w="662" w:type="dxa"/>
            <w:vMerge w:val="restart"/>
            <w:tcBorders>
              <w:top w:val="single" w:sz="4" w:space="0" w:color="000000"/>
              <w:left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814.66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133,960,4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02.02</w:t>
            </w:r>
          </w:p>
        </w:tc>
        <w:tc>
          <w:tcPr>
            <w:tcW w:w="797" w:type="dxa"/>
            <w:vMerge w:val="restart"/>
            <w:tcBorders>
              <w:top w:val="single" w:sz="4" w:space="0" w:color="000000"/>
              <w:left w:val="single" w:sz="4" w:space="0" w:color="000000"/>
              <w:right w:val="single" w:sz="4" w:space="0" w:color="FFFFFF"/>
            </w:tcBorders>
          </w:tcPr>
          <w:p>
            <w:pPr/>
          </w:p>
        </w:tc>
        <w:tc>
          <w:tcPr>
            <w:tcW w:w="926" w:type="dxa"/>
            <w:vMerge w:val="restart"/>
            <w:tcBorders>
              <w:top w:val="single" w:sz="4" w:space="0" w:color="000000"/>
              <w:left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907,624,02</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9.64</w:t>
            </w:r>
          </w:p>
        </w:tc>
      </w:tr>
      <w:tr>
        <w:trPr>
          <w:trHeight w:val="701" w:hRule="exact"/>
        </w:trPr>
        <w:tc>
          <w:tcPr>
            <w:tcW w:w="1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FFFFFF"/>
            </w:tcBorders>
          </w:tcPr>
          <w:p>
            <w:pPr/>
          </w:p>
        </w:tc>
        <w:tc>
          <w:tcPr>
            <w:tcW w:w="662" w:type="dxa"/>
            <w:vMerge/>
            <w:tcBorders>
              <w:left w:val="single" w:sz="4" w:space="0" w:color="FFFFFF"/>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FFFFFF"/>
            </w:tcBorders>
          </w:tcPr>
          <w:p>
            <w:pPr/>
          </w:p>
        </w:tc>
        <w:tc>
          <w:tcPr>
            <w:tcW w:w="926" w:type="dxa"/>
            <w:vMerge/>
            <w:tcBorders>
              <w:left w:val="single" w:sz="4" w:space="0" w:color="FFFFFF"/>
              <w:right w:val="single" w:sz="4" w:space="0" w:color="000000"/>
            </w:tcBorders>
          </w:tcPr>
          <w:p>
            <w:pPr/>
          </w:p>
        </w:tc>
      </w:tr>
      <w:tr>
        <w:trPr>
          <w:trHeight w:val="163" w:hRule="exact"/>
        </w:trPr>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FFFFFF"/>
            </w:tcBorders>
          </w:tcPr>
          <w:p>
            <w:pPr/>
          </w:p>
        </w:tc>
        <w:tc>
          <w:tcPr>
            <w:tcW w:w="662" w:type="dxa"/>
            <w:vMerge/>
            <w:tcBorders>
              <w:left w:val="single" w:sz="4" w:space="0" w:color="FFFFFF"/>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FFFFFF"/>
            </w:tcBorders>
          </w:tcPr>
          <w:p>
            <w:pPr/>
          </w:p>
        </w:tc>
        <w:tc>
          <w:tcPr>
            <w:tcW w:w="926" w:type="dxa"/>
            <w:vMerge/>
            <w:tcBorders>
              <w:left w:val="single" w:sz="4" w:space="0" w:color="FFFFFF"/>
              <w:bottom w:val="single" w:sz="4" w:space="0" w:color="000000"/>
              <w:right w:val="single" w:sz="4" w:space="0" w:color="000000"/>
            </w:tcBorders>
          </w:tcPr>
          <w:p>
            <w:pPr/>
          </w:p>
        </w:tc>
      </w:tr>
      <w:tr>
        <w:trPr>
          <w:trHeight w:val="710"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FFFFFF"/>
            </w:tcBorders>
          </w:tcPr>
          <w:p>
            <w:pPr/>
          </w:p>
        </w:tc>
        <w:tc>
          <w:tcPr>
            <w:tcW w:w="662" w:type="dxa"/>
            <w:tcBorders>
              <w:top w:val="single" w:sz="4" w:space="0" w:color="000000"/>
              <w:left w:val="single" w:sz="4" w:space="0" w:color="FFFFFF"/>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26" w:type="dxa"/>
            <w:tcBorders>
              <w:top w:val="single" w:sz="4" w:space="0" w:color="000000"/>
              <w:left w:val="single" w:sz="4" w:space="0" w:color="FFFFFF"/>
              <w:bottom w:val="single" w:sz="4" w:space="0" w:color="000000"/>
              <w:right w:val="single" w:sz="4" w:space="0" w:color="000000"/>
            </w:tcBorders>
          </w:tcPr>
          <w:p>
            <w:pP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08"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FFFFFF"/>
            </w:tcBorders>
          </w:tcPr>
          <w:p>
            <w:pPr/>
          </w:p>
        </w:tc>
        <w:tc>
          <w:tcPr>
            <w:tcW w:w="662" w:type="dxa"/>
            <w:tcBorders>
              <w:top w:val="single" w:sz="4" w:space="0" w:color="000000"/>
              <w:left w:val="single" w:sz="4" w:space="0" w:color="FFFFFF"/>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26"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8"/>
              <w:jc w:val="right"/>
              <w:rPr>
                <w:rFonts w:ascii="宋体" w:hAnsi="宋体" w:cs="宋体" w:eastAsia="宋体" w:hint="default"/>
                <w:sz w:val="18"/>
                <w:szCs w:val="18"/>
              </w:rPr>
            </w:pPr>
            <w:r>
              <w:rPr>
                <w:rFonts w:ascii="宋体" w:hAnsi="宋体" w:cs="宋体" w:eastAsia="宋体" w:hint="default"/>
                <w:sz w:val="18"/>
                <w:szCs w:val="18"/>
              </w:rPr>
              <w:t>其他</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FFFFFF"/>
            </w:tcBorders>
          </w:tcPr>
          <w:p>
            <w:pPr/>
          </w:p>
        </w:tc>
        <w:tc>
          <w:tcPr>
            <w:tcW w:w="662" w:type="dxa"/>
            <w:tcBorders>
              <w:top w:val="single" w:sz="4" w:space="0" w:color="000000"/>
              <w:left w:val="single" w:sz="4" w:space="0" w:color="FFFFFF"/>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26"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2"/>
              <w:jc w:val="right"/>
              <w:rPr>
                <w:rFonts w:ascii="宋体" w:hAnsi="宋体" w:cs="宋体" w:eastAsia="宋体" w:hint="default"/>
                <w:sz w:val="18"/>
                <w:szCs w:val="18"/>
              </w:rPr>
            </w:pPr>
            <w:r>
              <w:rPr>
                <w:rFonts w:ascii="宋体" w:hAnsi="宋体" w:cs="宋体" w:eastAsia="宋体" w:hint="default"/>
                <w:w w:val="101"/>
                <w:sz w:val="18"/>
                <w:szCs w:val="18"/>
              </w:rPr>
              <w:t>二</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年</w:t>
            </w:r>
            <w:r>
              <w:rPr>
                <w:rFonts w:ascii="宋体" w:hAnsi="宋体" w:cs="宋体" w:eastAsia="宋体" w:hint="default"/>
                <w:spacing w:val="-5"/>
                <w:w w:val="101"/>
                <w:sz w:val="18"/>
                <w:szCs w:val="18"/>
              </w:rPr>
              <w:t>期</w:t>
            </w:r>
            <w:r>
              <w:rPr>
                <w:rFonts w:ascii="宋体" w:hAnsi="宋体" w:cs="宋体" w:eastAsia="宋体" w:hint="default"/>
                <w:w w:val="101"/>
                <w:sz w:val="18"/>
                <w:szCs w:val="18"/>
              </w:rPr>
              <w:t>初余</w:t>
            </w:r>
            <w:r>
              <w:rPr>
                <w:rFonts w:ascii="宋体" w:hAnsi="宋体" w:cs="宋体" w:eastAsia="宋体" w:hint="default"/>
                <w:sz w:val="18"/>
                <w:szCs w:val="18"/>
              </w:rPr>
            </w:r>
          </w:p>
        </w:tc>
        <w:tc>
          <w:tcPr>
            <w:tcW w:w="5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left="64" w:right="0"/>
              <w:jc w:val="left"/>
              <w:rPr>
                <w:rFonts w:ascii="Times New Roman" w:hAnsi="Times New Roman" w:cs="Times New Roman" w:eastAsia="Times New Roman" w:hint="default"/>
                <w:sz w:val="18"/>
                <w:szCs w:val="18"/>
              </w:rPr>
            </w:pPr>
            <w:r>
              <w:rPr>
                <w:rFonts w:ascii="Times New Roman"/>
                <w:sz w:val="18"/>
              </w:rPr>
              <w:t>373,29</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7" w:right="0"/>
              <w:jc w:val="left"/>
              <w:rPr>
                <w:rFonts w:ascii="Times New Roman" w:hAnsi="Times New Roman" w:cs="Times New Roman" w:eastAsia="Times New Roman" w:hint="default"/>
                <w:sz w:val="18"/>
                <w:szCs w:val="18"/>
              </w:rPr>
            </w:pPr>
            <w:r>
              <w:rPr>
                <w:rFonts w:ascii="Times New Roman"/>
                <w:sz w:val="18"/>
              </w:rPr>
              <w:t>356,827</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FFFFFF"/>
            </w:tcBorders>
          </w:tcPr>
          <w:p>
            <w:pPr/>
          </w:p>
        </w:tc>
        <w:tc>
          <w:tcPr>
            <w:tcW w:w="66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5"/>
              <w:ind w:left="95" w:right="0"/>
              <w:jc w:val="left"/>
              <w:rPr>
                <w:rFonts w:ascii="Times New Roman" w:hAnsi="Times New Roman" w:cs="Times New Roman" w:eastAsia="Times New Roman" w:hint="default"/>
                <w:sz w:val="18"/>
                <w:szCs w:val="18"/>
              </w:rPr>
            </w:pPr>
            <w:r>
              <w:rPr>
                <w:rFonts w:ascii="Times New Roman"/>
                <w:sz w:val="18"/>
              </w:rPr>
              <w:t>43,544,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8" w:right="0"/>
              <w:jc w:val="left"/>
              <w:rPr>
                <w:rFonts w:ascii="Times New Roman" w:hAnsi="Times New Roman" w:cs="Times New Roman" w:eastAsia="Times New Roman" w:hint="default"/>
                <w:sz w:val="18"/>
                <w:szCs w:val="18"/>
              </w:rPr>
            </w:pPr>
            <w:r>
              <w:rPr>
                <w:rFonts w:ascii="Times New Roman"/>
                <w:sz w:val="18"/>
              </w:rPr>
              <w:t>133,960,4</w:t>
            </w:r>
          </w:p>
        </w:tc>
        <w:tc>
          <w:tcPr>
            <w:tcW w:w="797" w:type="dxa"/>
            <w:tcBorders>
              <w:top w:val="single" w:sz="4" w:space="0" w:color="000000"/>
              <w:left w:val="single" w:sz="4" w:space="0" w:color="000000"/>
              <w:bottom w:val="single" w:sz="4" w:space="0" w:color="000000"/>
              <w:right w:val="single" w:sz="4" w:space="0" w:color="FFFFFF"/>
            </w:tcBorders>
          </w:tcPr>
          <w:p>
            <w:pPr/>
          </w:p>
        </w:tc>
        <w:tc>
          <w:tcPr>
            <w:tcW w:w="92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5"/>
              <w:ind w:left="86" w:right="0"/>
              <w:jc w:val="left"/>
              <w:rPr>
                <w:rFonts w:ascii="Times New Roman" w:hAnsi="Times New Roman" w:cs="Times New Roman" w:eastAsia="Times New Roman" w:hint="default"/>
                <w:sz w:val="18"/>
                <w:szCs w:val="18"/>
              </w:rPr>
            </w:pPr>
            <w:r>
              <w:rPr>
                <w:rFonts w:ascii="Times New Roman"/>
                <w:sz w:val="18"/>
              </w:rPr>
              <w:t>907,624,02</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67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5"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5" w:right="0"/>
              <w:jc w:val="left"/>
              <w:rPr>
                <w:rFonts w:ascii="Times New Roman" w:hAnsi="Times New Roman" w:cs="Times New Roman" w:eastAsia="Times New Roman" w:hint="default"/>
                <w:sz w:val="18"/>
                <w:szCs w:val="18"/>
              </w:rPr>
            </w:pPr>
            <w:r>
              <w:rPr>
                <w:rFonts w:ascii="Times New Roman"/>
                <w:sz w:val="18"/>
              </w:rPr>
              <w:t>,712.96</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9" w:right="0"/>
              <w:jc w:val="left"/>
              <w:rPr>
                <w:rFonts w:ascii="Times New Roman" w:hAnsi="Times New Roman" w:cs="Times New Roman" w:eastAsia="Times New Roman" w:hint="default"/>
                <w:sz w:val="18"/>
                <w:szCs w:val="18"/>
              </w:rPr>
            </w:pPr>
            <w:r>
              <w:rPr>
                <w:rFonts w:ascii="Times New Roman"/>
                <w:sz w:val="18"/>
              </w:rPr>
              <w:t>814.66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5" w:right="0"/>
              <w:jc w:val="left"/>
              <w:rPr>
                <w:rFonts w:ascii="Times New Roman" w:hAnsi="Times New Roman" w:cs="Times New Roman" w:eastAsia="Times New Roman" w:hint="default"/>
                <w:sz w:val="18"/>
                <w:szCs w:val="18"/>
              </w:rPr>
            </w:pPr>
            <w:r>
              <w:rPr>
                <w:rFonts w:ascii="Times New Roman"/>
                <w:sz w:val="18"/>
              </w:rPr>
              <w:t>02.02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0" w:right="0"/>
              <w:jc w:val="left"/>
              <w:rPr>
                <w:rFonts w:ascii="Times New Roman" w:hAnsi="Times New Roman" w:cs="Times New Roman" w:eastAsia="Times New Roman" w:hint="default"/>
                <w:sz w:val="18"/>
                <w:szCs w:val="18"/>
              </w:rPr>
            </w:pPr>
            <w:r>
              <w:rPr>
                <w:rFonts w:ascii="Times New Roman"/>
                <w:sz w:val="18"/>
              </w:rPr>
              <w:t>9.64</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186,64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5,550.</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-47,143,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150.00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-67,123,0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46.30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72,379,353.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70</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-67,123,0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46.30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-67,123,046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.30</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186,64</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5,550.</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-186,64</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5,550.0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186,64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5,550.</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-186,64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5,550.0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67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08"/>
              <w:jc w:val="left"/>
              <w:rPr>
                <w:rFonts w:ascii="宋体" w:hAnsi="宋体" w:cs="宋体" w:eastAsia="宋体" w:hint="default"/>
                <w:sz w:val="18"/>
                <w:szCs w:val="18"/>
              </w:rPr>
            </w:pPr>
            <w:r>
              <w:rPr>
                <w:rFonts w:ascii="宋体" w:hAnsi="宋体" w:cs="宋体" w:eastAsia="宋体" w:hint="default"/>
                <w:spacing w:val="-2"/>
                <w:sz w:val="18"/>
                <w:szCs w:val="18"/>
              </w:rPr>
              <w:t>益结转留存收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139,502</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,400.00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139,502,40</w:t>
            </w:r>
          </w:p>
          <w:p>
            <w:pPr>
              <w:pStyle w:val="TableParagraph"/>
              <w:spacing w:line="240" w:lineRule="auto" w:before="110"/>
              <w:ind w:left="580" w:right="0"/>
              <w:jc w:val="lef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559,93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6,650.</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309,684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,562.96</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814.66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66,837,35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980,003,38</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3.34</w:t>
            </w: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9"/>
      <w:bookmarkEnd w:id="169"/>
      <w:r>
        <w:rPr>
          <w:b w:val="0"/>
          <w:bCs w:val="0"/>
        </w:rPr>
      </w:r>
      <w:r>
        <w:rPr/>
        <w:t>三、公司基本情况</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before="0"/>
        <w:ind w:right="1123" w:firstLine="360"/>
        <w:jc w:val="both"/>
      </w:pPr>
      <w:r>
        <w:rPr>
          <w:spacing w:val="-3"/>
        </w:rPr>
        <w:t>仁东控股股份有限公司</w:t>
      </w:r>
      <w:r>
        <w:rPr>
          <w:rFonts w:ascii="Times New Roman" w:hAnsi="Times New Roman" w:cs="Times New Roman" w:eastAsia="Times New Roman" w:hint="default"/>
          <w:spacing w:val="-3"/>
        </w:rPr>
        <w:t>(</w:t>
      </w:r>
      <w:r>
        <w:rPr>
          <w:spacing w:val="-3"/>
        </w:rPr>
        <w:t>以下简称公司或本公司</w:t>
      </w:r>
      <w:r>
        <w:rPr>
          <w:rFonts w:ascii="Times New Roman" w:hAnsi="Times New Roman" w:cs="Times New Roman" w:eastAsia="Times New Roman" w:hint="default"/>
          <w:spacing w:val="-3"/>
        </w:rPr>
        <w:t>)</w:t>
      </w:r>
      <w:r>
        <w:rPr>
          <w:spacing w:val="-3"/>
        </w:rPr>
        <w:t>前身为浙江宏磊铜业股份有限公司，浙江宏磊铜业股份有限公司系在宏</w:t>
      </w:r>
      <w:r>
        <w:rPr>
          <w:w w:val="101"/>
        </w:rPr>
        <w:t> </w:t>
      </w:r>
      <w:r>
        <w:rPr/>
        <w:t>磊集团有限公司的基础上采用整体变更方式设立的股份有限公司，</w:t>
      </w:r>
      <w:r>
        <w:rPr>
          <w:spacing w:val="28"/>
        </w:rPr>
        <w:t> </w:t>
      </w:r>
      <w:r>
        <w:rPr/>
        <w:t>于</w:t>
      </w:r>
      <w:r>
        <w:rPr>
          <w:rFonts w:ascii="Times New Roman" w:hAnsi="Times New Roman" w:cs="Times New Roman" w:eastAsia="Times New Roman" w:hint="default"/>
        </w:rPr>
        <w:t>2007</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rFonts w:ascii="Times New Roman" w:hAnsi="Times New Roman" w:cs="Times New Roman" w:eastAsia="Times New Roman" w:hint="default"/>
        </w:rPr>
        <w:t>29</w:t>
      </w:r>
      <w:r>
        <w:rPr>
          <w:rFonts w:ascii="Times New Roman" w:hAnsi="Times New Roman" w:cs="Times New Roman" w:eastAsia="Times New Roman" w:hint="default"/>
          <w:spacing w:val="21"/>
        </w:rPr>
        <w:t> </w:t>
      </w:r>
      <w:r>
        <w:rPr/>
        <w:t>日在浙江省工商行政管理局登记注</w:t>
      </w:r>
      <w:r>
        <w:rPr>
          <w:spacing w:val="-87"/>
        </w:rPr>
        <w:t> </w:t>
      </w:r>
      <w:r>
        <w:rPr>
          <w:spacing w:val="-87"/>
        </w:rPr>
      </w:r>
      <w:r>
        <w:rPr>
          <w:w w:val="101"/>
        </w:rPr>
        <w:t>册，</w:t>
      </w:r>
      <w:r>
        <w:rPr>
          <w:spacing w:val="26"/>
          <w:w w:val="101"/>
        </w:rPr>
        <w:t> </w:t>
      </w:r>
      <w:r>
        <w:rPr>
          <w:spacing w:val="-4"/>
          <w:w w:val="101"/>
        </w:rPr>
        <w:t>取得注册号为</w:t>
      </w:r>
      <w:r>
        <w:rPr>
          <w:rFonts w:ascii="Times New Roman" w:hAnsi="Times New Roman" w:cs="Times New Roman" w:eastAsia="Times New Roman" w:hint="default"/>
          <w:spacing w:val="-4"/>
          <w:w w:val="101"/>
        </w:rPr>
        <w:t>330681000010590</w:t>
      </w:r>
      <w:r>
        <w:rPr>
          <w:spacing w:val="-4"/>
          <w:w w:val="101"/>
        </w:rPr>
        <w:t>的《企业法人营业执照》。</w:t>
      </w:r>
      <w:r>
        <w:rPr>
          <w:rFonts w:ascii="Times New Roman" w:hAnsi="Times New Roman" w:cs="Times New Roman" w:eastAsia="Times New Roman" w:hint="default"/>
          <w:spacing w:val="-4"/>
          <w:w w:val="101"/>
        </w:rPr>
        <w:t>2017</w:t>
      </w:r>
      <w:r>
        <w:rPr>
          <w:spacing w:val="-4"/>
          <w:w w:val="101"/>
        </w:rPr>
        <w:t>年</w:t>
      </w:r>
      <w:r>
        <w:rPr>
          <w:rFonts w:ascii="Times New Roman" w:hAnsi="Times New Roman" w:cs="Times New Roman" w:eastAsia="Times New Roman" w:hint="default"/>
          <w:spacing w:val="-4"/>
          <w:w w:val="101"/>
        </w:rPr>
        <w:t>3</w:t>
      </w:r>
      <w:r>
        <w:rPr>
          <w:spacing w:val="-4"/>
          <w:w w:val="101"/>
        </w:rPr>
        <w:t>月，公司名称变更为民盛金科控股股份有限公司。</w:t>
      </w:r>
      <w:r>
        <w:rPr>
          <w:spacing w:val="-4"/>
        </w:rPr>
      </w:r>
    </w:p>
    <w:p>
      <w:pPr>
        <w:pStyle w:val="BodyText"/>
        <w:spacing w:line="300" w:lineRule="auto" w:before="13"/>
        <w:ind w:right="1122" w:firstLine="360"/>
        <w:jc w:val="both"/>
      </w:pPr>
      <w:r>
        <w:rPr>
          <w:spacing w:val="-4"/>
          <w:w w:val="101"/>
        </w:rPr>
        <w:t>经中国证券监督管理委员会</w:t>
      </w:r>
      <w:r>
        <w:rPr>
          <w:rFonts w:ascii="Times New Roman" w:hAnsi="Times New Roman" w:cs="Times New Roman" w:eastAsia="Times New Roman" w:hint="default"/>
          <w:spacing w:val="-4"/>
          <w:w w:val="101"/>
        </w:rPr>
        <w:t>(</w:t>
      </w:r>
      <w:r>
        <w:rPr>
          <w:spacing w:val="-4"/>
          <w:w w:val="101"/>
        </w:rPr>
        <w:t>证监许可</w:t>
      </w:r>
      <w:r>
        <w:rPr>
          <w:rFonts w:ascii="Times New Roman" w:hAnsi="Times New Roman" w:cs="Times New Roman" w:eastAsia="Times New Roman" w:hint="default"/>
          <w:spacing w:val="-4"/>
          <w:w w:val="101"/>
        </w:rPr>
        <w:t>[2011]1923</w:t>
      </w:r>
      <w:r>
        <w:rPr>
          <w:spacing w:val="-4"/>
          <w:w w:val="101"/>
        </w:rPr>
        <w:t>号文</w:t>
      </w:r>
      <w:r>
        <w:rPr>
          <w:rFonts w:ascii="Times New Roman" w:hAnsi="Times New Roman" w:cs="Times New Roman" w:eastAsia="Times New Roman" w:hint="default"/>
          <w:spacing w:val="-4"/>
          <w:w w:val="101"/>
        </w:rPr>
        <w:t>)</w:t>
      </w:r>
      <w:r>
        <w:rPr>
          <w:spacing w:val="-4"/>
          <w:w w:val="101"/>
        </w:rPr>
        <w:t>核准，公司获准向社会公开发行人民币普通股</w:t>
      </w:r>
      <w:r>
        <w:rPr>
          <w:rFonts w:ascii="Times New Roman" w:hAnsi="Times New Roman" w:cs="Times New Roman" w:eastAsia="Times New Roman" w:hint="default"/>
          <w:spacing w:val="-4"/>
          <w:w w:val="101"/>
        </w:rPr>
        <w:t>(A</w:t>
      </w:r>
      <w:r>
        <w:rPr>
          <w:spacing w:val="-4"/>
          <w:w w:val="101"/>
        </w:rPr>
        <w:t>股</w:t>
      </w:r>
      <w:r>
        <w:rPr>
          <w:rFonts w:ascii="Times New Roman" w:hAnsi="Times New Roman" w:cs="Times New Roman" w:eastAsia="Times New Roman" w:hint="default"/>
          <w:spacing w:val="-4"/>
          <w:w w:val="101"/>
        </w:rPr>
        <w:t>)</w:t>
      </w:r>
      <w:r>
        <w:rPr>
          <w:spacing w:val="-4"/>
          <w:w w:val="101"/>
        </w:rPr>
        <w:t>股票</w:t>
      </w:r>
      <w:r>
        <w:rPr>
          <w:rFonts w:ascii="Times New Roman" w:hAnsi="Times New Roman" w:cs="Times New Roman" w:eastAsia="Times New Roman" w:hint="default"/>
          <w:spacing w:val="-4"/>
          <w:w w:val="101"/>
        </w:rPr>
        <w:t>4,223</w:t>
      </w:r>
      <w:r>
        <w:rPr>
          <w:spacing w:val="-4"/>
          <w:w w:val="101"/>
        </w:rPr>
        <w:t>万股</w:t>
      </w:r>
      <w:r>
        <w:rPr>
          <w:w w:val="101"/>
        </w:rPr>
        <w:t> </w:t>
      </w:r>
      <w:r>
        <w:rPr>
          <w:rFonts w:ascii="Times New Roman" w:hAnsi="Times New Roman" w:cs="Times New Roman" w:eastAsia="Times New Roman" w:hint="default"/>
          <w:spacing w:val="-5"/>
          <w:w w:val="101"/>
        </w:rPr>
        <w:t>(</w:t>
      </w:r>
      <w:r>
        <w:rPr>
          <w:spacing w:val="-5"/>
          <w:w w:val="101"/>
        </w:rPr>
        <w:t>每股面值</w:t>
      </w:r>
      <w:r>
        <w:rPr>
          <w:rFonts w:ascii="Times New Roman" w:hAnsi="Times New Roman" w:cs="Times New Roman" w:eastAsia="Times New Roman" w:hint="default"/>
          <w:spacing w:val="-5"/>
          <w:w w:val="101"/>
        </w:rPr>
        <w:t>1</w:t>
      </w:r>
      <w:r>
        <w:rPr>
          <w:spacing w:val="-5"/>
          <w:w w:val="101"/>
        </w:rPr>
        <w:t>元</w:t>
      </w:r>
      <w:r>
        <w:rPr>
          <w:rFonts w:ascii="Times New Roman" w:hAnsi="Times New Roman" w:cs="Times New Roman" w:eastAsia="Times New Roman" w:hint="default"/>
          <w:spacing w:val="-5"/>
          <w:w w:val="101"/>
        </w:rPr>
        <w:t>)</w:t>
      </w:r>
      <w:r>
        <w:rPr>
          <w:spacing w:val="-5"/>
          <w:w w:val="101"/>
        </w:rPr>
        <w:t>，公司股票于</w:t>
      </w:r>
      <w:r>
        <w:rPr>
          <w:rFonts w:ascii="Times New Roman" w:hAnsi="Times New Roman" w:cs="Times New Roman" w:eastAsia="Times New Roman" w:hint="default"/>
          <w:spacing w:val="-5"/>
          <w:w w:val="101"/>
        </w:rPr>
        <w:t>2011</w:t>
      </w:r>
      <w:r>
        <w:rPr>
          <w:spacing w:val="-5"/>
          <w:w w:val="101"/>
        </w:rPr>
        <w:t>年</w:t>
      </w:r>
      <w:r>
        <w:rPr>
          <w:rFonts w:ascii="Times New Roman" w:hAnsi="Times New Roman" w:cs="Times New Roman" w:eastAsia="Times New Roman" w:hint="default"/>
          <w:spacing w:val="-5"/>
          <w:w w:val="101"/>
        </w:rPr>
        <w:t>12</w:t>
      </w:r>
      <w:r>
        <w:rPr>
          <w:spacing w:val="-5"/>
          <w:w w:val="101"/>
        </w:rPr>
        <w:t>月</w:t>
      </w:r>
      <w:r>
        <w:rPr>
          <w:rFonts w:ascii="Times New Roman" w:hAnsi="Times New Roman" w:cs="Times New Roman" w:eastAsia="Times New Roman" w:hint="default"/>
          <w:spacing w:val="-5"/>
          <w:w w:val="101"/>
        </w:rPr>
        <w:t>28</w:t>
      </w:r>
      <w:r>
        <w:rPr>
          <w:spacing w:val="-5"/>
          <w:w w:val="101"/>
        </w:rPr>
        <w:t>日在深圳证券交易所挂牌交易，发行后公司注册资本为</w:t>
      </w:r>
      <w:r>
        <w:rPr>
          <w:rFonts w:ascii="Times New Roman" w:hAnsi="Times New Roman" w:cs="Times New Roman" w:eastAsia="Times New Roman" w:hint="default"/>
          <w:spacing w:val="-5"/>
          <w:w w:val="101"/>
        </w:rPr>
        <w:t>16,891</w:t>
      </w:r>
      <w:r>
        <w:rPr>
          <w:spacing w:val="-5"/>
          <w:w w:val="101"/>
        </w:rPr>
        <w:t>万元，股份总数</w:t>
      </w:r>
      <w:r>
        <w:rPr>
          <w:rFonts w:ascii="Times New Roman" w:hAnsi="Times New Roman" w:cs="Times New Roman" w:eastAsia="Times New Roman" w:hint="default"/>
          <w:spacing w:val="-5"/>
          <w:w w:val="101"/>
        </w:rPr>
        <w:t>16,891</w:t>
      </w:r>
      <w:r>
        <w:rPr>
          <w:rFonts w:ascii="Times New Roman" w:hAnsi="Times New Roman" w:cs="Times New Roman" w:eastAsia="Times New Roman" w:hint="default"/>
          <w:w w:val="101"/>
        </w:rPr>
        <w:t> </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w:t>
      </w:r>
    </w:p>
    <w:p>
      <w:pPr>
        <w:pStyle w:val="BodyText"/>
        <w:spacing w:line="300" w:lineRule="auto" w:before="13"/>
        <w:ind w:right="1122" w:firstLine="360"/>
        <w:jc w:val="both"/>
      </w:pPr>
      <w:r>
        <w:rPr>
          <w:spacing w:val="-3"/>
        </w:rPr>
        <w:t>经</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日召开的</w:t>
      </w:r>
      <w:r>
        <w:rPr>
          <w:rFonts w:ascii="Times New Roman" w:hAnsi="Times New Roman" w:cs="Times New Roman" w:eastAsia="Times New Roman" w:hint="default"/>
          <w:spacing w:val="-3"/>
        </w:rPr>
        <w:t>2013</w:t>
      </w:r>
      <w:r>
        <w:rPr>
          <w:spacing w:val="-3"/>
        </w:rPr>
        <w:t>年度股东大会决议，以资本公积金向全体股东每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股。以</w:t>
      </w:r>
      <w:r>
        <w:rPr>
          <w:rFonts w:ascii="Times New Roman" w:hAnsi="Times New Roman" w:cs="Times New Roman" w:eastAsia="Times New Roman" w:hint="default"/>
          <w:spacing w:val="-3"/>
        </w:rPr>
        <w:t>16,891</w:t>
      </w:r>
      <w:r>
        <w:rPr>
          <w:spacing w:val="-3"/>
        </w:rPr>
        <w:t>万股为基数，本次</w:t>
      </w:r>
      <w:r>
        <w:rPr>
          <w:w w:val="101"/>
        </w:rPr>
        <w:t> </w:t>
      </w:r>
      <w:r>
        <w:rPr>
          <w:spacing w:val="-4"/>
        </w:rPr>
        <w:t>资本公积转增股本新增公司注册资本</w:t>
      </w:r>
      <w:r>
        <w:rPr>
          <w:rFonts w:ascii="Times New Roman" w:hAnsi="Times New Roman" w:cs="Times New Roman" w:eastAsia="Times New Roman" w:hint="default"/>
          <w:spacing w:val="-4"/>
        </w:rPr>
        <w:t>5,067.30</w:t>
      </w:r>
      <w:r>
        <w:rPr>
          <w:spacing w:val="-4"/>
        </w:rPr>
        <w:t>万元，新增股份</w:t>
      </w:r>
      <w:r>
        <w:rPr>
          <w:rFonts w:ascii="Times New Roman" w:hAnsi="Times New Roman" w:cs="Times New Roman" w:eastAsia="Times New Roman" w:hint="default"/>
          <w:spacing w:val="-4"/>
        </w:rPr>
        <w:t>5,067.30</w:t>
      </w:r>
      <w:r>
        <w:rPr>
          <w:spacing w:val="-4"/>
        </w:rPr>
        <w:t>万股。转增后公司注册资本为</w:t>
      </w:r>
      <w:r>
        <w:rPr>
          <w:rFonts w:ascii="Times New Roman" w:hAnsi="Times New Roman" w:cs="Times New Roman" w:eastAsia="Times New Roman" w:hint="default"/>
          <w:spacing w:val="-4"/>
        </w:rPr>
        <w:t>21,958.30</w:t>
      </w:r>
      <w:r>
        <w:rPr>
          <w:spacing w:val="-4"/>
        </w:rPr>
        <w:t>万元，股份总数</w:t>
      </w:r>
      <w:r>
        <w:rPr>
          <w:spacing w:val="9"/>
        </w:rPr>
        <w:t> </w:t>
      </w:r>
      <w:r>
        <w:rPr>
          <w:spacing w:val="9"/>
        </w:rPr>
      </w:r>
      <w:r>
        <w:rPr>
          <w:rFonts w:ascii="Times New Roman" w:hAnsi="Times New Roman" w:cs="Times New Roman" w:eastAsia="Times New Roman" w:hint="default"/>
        </w:rPr>
        <w:t>21,958.30   </w:t>
      </w:r>
      <w:r>
        <w:rPr>
          <w:rFonts w:ascii="Times New Roman" w:hAnsi="Times New Roman" w:cs="Times New Roman" w:eastAsia="Times New Roman" w:hint="default"/>
          <w:spacing w:val="10"/>
        </w:rPr>
        <w:t> </w:t>
      </w:r>
      <w:r>
        <w:rPr>
          <w:spacing w:val="-3"/>
        </w:rPr>
        <w:t>万股</w:t>
      </w:r>
      <w:r>
        <w:rPr>
          <w:rFonts w:ascii="Times New Roman" w:hAnsi="Times New Roman" w:cs="Times New Roman" w:eastAsia="Times New Roman" w:hint="default"/>
          <w:spacing w:val="-3"/>
        </w:rPr>
        <w:t>(</w:t>
      </w:r>
      <w:r>
        <w:rPr>
          <w:spacing w:val="-3"/>
        </w:rPr>
        <w:t>每股面值</w:t>
      </w:r>
      <w:r>
        <w:rPr>
          <w:rFonts w:ascii="Times New Roman" w:hAnsi="Times New Roman" w:cs="Times New Roman" w:eastAsia="Times New Roman" w:hint="default"/>
          <w:spacing w:val="-3"/>
        </w:rPr>
        <w:t>1</w:t>
      </w:r>
      <w:r>
        <w:rPr>
          <w:spacing w:val="-3"/>
        </w:rPr>
        <w:t>元</w:t>
      </w:r>
      <w:r>
        <w:rPr>
          <w:rFonts w:ascii="Times New Roman" w:hAnsi="Times New Roman" w:cs="Times New Roman" w:eastAsia="Times New Roman" w:hint="default"/>
          <w:spacing w:val="-3"/>
        </w:rPr>
        <w:t>)</w:t>
      </w:r>
      <w:r>
        <w:rPr>
          <w:spacing w:val="-3"/>
        </w:rPr>
        <w:t>。公司已于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日办妥工商变更登记。</w:t>
      </w:r>
    </w:p>
    <w:p>
      <w:pPr>
        <w:pStyle w:val="BodyText"/>
        <w:spacing w:line="300" w:lineRule="auto" w:before="13"/>
        <w:ind w:right="1122" w:firstLine="360"/>
        <w:jc w:val="both"/>
      </w:pPr>
      <w:r>
        <w:rPr>
          <w:spacing w:val="-4"/>
        </w:rPr>
        <w:t>经</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26</w:t>
      </w:r>
      <w:r>
        <w:rPr>
          <w:spacing w:val="-4"/>
        </w:rPr>
        <w:t>日召开的</w:t>
      </w:r>
      <w:r>
        <w:rPr>
          <w:rFonts w:ascii="Times New Roman" w:hAnsi="Times New Roman" w:cs="Times New Roman" w:eastAsia="Times New Roman" w:hint="default"/>
          <w:spacing w:val="-4"/>
        </w:rPr>
        <w:t>2016</w:t>
      </w:r>
      <w:r>
        <w:rPr>
          <w:spacing w:val="-4"/>
        </w:rPr>
        <w:t>年度股东大会决议，以资本公积金向全体股东每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7</w:t>
      </w:r>
      <w:r>
        <w:rPr>
          <w:spacing w:val="-4"/>
        </w:rPr>
        <w:t>股。以</w:t>
      </w:r>
      <w:r>
        <w:rPr>
          <w:rFonts w:ascii="Times New Roman" w:hAnsi="Times New Roman" w:cs="Times New Roman" w:eastAsia="Times New Roman" w:hint="default"/>
          <w:spacing w:val="-4"/>
        </w:rPr>
        <w:t>21,958.30</w:t>
      </w:r>
      <w:r>
        <w:rPr>
          <w:spacing w:val="-4"/>
        </w:rPr>
        <w:t>万股为基数，本</w:t>
      </w:r>
      <w:r>
        <w:rPr>
          <w:w w:val="101"/>
        </w:rPr>
        <w:t> </w:t>
      </w:r>
      <w:r>
        <w:rPr>
          <w:spacing w:val="-4"/>
        </w:rPr>
        <w:t>次资本公积转增股本新增公司注册资本</w:t>
      </w:r>
      <w:r>
        <w:rPr>
          <w:rFonts w:ascii="Times New Roman" w:hAnsi="Times New Roman" w:cs="Times New Roman" w:eastAsia="Times New Roman" w:hint="default"/>
          <w:spacing w:val="-4"/>
        </w:rPr>
        <w:t>15,370.81</w:t>
      </w:r>
      <w:r>
        <w:rPr>
          <w:spacing w:val="-4"/>
        </w:rPr>
        <w:t>万元，新增股份</w:t>
      </w:r>
      <w:r>
        <w:rPr>
          <w:rFonts w:ascii="Times New Roman" w:hAnsi="Times New Roman" w:cs="Times New Roman" w:eastAsia="Times New Roman" w:hint="default"/>
          <w:spacing w:val="-4"/>
        </w:rPr>
        <w:t>15,370.81</w:t>
      </w:r>
      <w:r>
        <w:rPr>
          <w:spacing w:val="-4"/>
        </w:rPr>
        <w:t>万股。转增后公司注册资本为</w:t>
      </w:r>
      <w:r>
        <w:rPr>
          <w:rFonts w:ascii="Times New Roman" w:hAnsi="Times New Roman" w:cs="Times New Roman" w:eastAsia="Times New Roman" w:hint="default"/>
          <w:spacing w:val="-4"/>
        </w:rPr>
        <w:t>37,329.11</w:t>
      </w:r>
      <w:r>
        <w:rPr>
          <w:spacing w:val="-4"/>
        </w:rPr>
        <w:t>万元，股份</w:t>
      </w:r>
      <w:r>
        <w:rPr>
          <w:spacing w:val="9"/>
        </w:rPr>
        <w:t> </w:t>
      </w:r>
      <w:r>
        <w:rPr>
          <w:spacing w:val="9"/>
        </w:rPr>
      </w:r>
      <w:r>
        <w:rPr/>
        <w:t>总数</w:t>
      </w:r>
      <w:r>
        <w:rPr>
          <w:rFonts w:ascii="Times New Roman" w:hAnsi="Times New Roman" w:cs="Times New Roman" w:eastAsia="Times New Roman" w:hint="default"/>
        </w:rPr>
        <w:t>37,329.11   </w:t>
      </w:r>
      <w:r>
        <w:rPr>
          <w:rFonts w:ascii="Times New Roman" w:hAnsi="Times New Roman" w:cs="Times New Roman" w:eastAsia="Times New Roman" w:hint="default"/>
          <w:spacing w:val="3"/>
        </w:rPr>
        <w:t> </w:t>
      </w:r>
      <w:r>
        <w:rPr>
          <w:spacing w:val="-3"/>
        </w:rPr>
        <w:t>万股</w:t>
      </w:r>
      <w:r>
        <w:rPr>
          <w:rFonts w:ascii="Times New Roman" w:hAnsi="Times New Roman" w:cs="Times New Roman" w:eastAsia="Times New Roman" w:hint="default"/>
          <w:spacing w:val="-3"/>
        </w:rPr>
        <w:t>(</w:t>
      </w:r>
      <w:r>
        <w:rPr>
          <w:spacing w:val="-3"/>
        </w:rPr>
        <w:t>每股面值</w:t>
      </w:r>
      <w:r>
        <w:rPr>
          <w:rFonts w:ascii="Times New Roman" w:hAnsi="Times New Roman" w:cs="Times New Roman" w:eastAsia="Times New Roman" w:hint="default"/>
          <w:spacing w:val="-3"/>
        </w:rPr>
        <w:t>1</w:t>
      </w:r>
      <w:r>
        <w:rPr>
          <w:spacing w:val="-3"/>
        </w:rPr>
        <w:t>元</w:t>
      </w:r>
      <w:r>
        <w:rPr>
          <w:rFonts w:ascii="Times New Roman" w:hAnsi="Times New Roman" w:cs="Times New Roman" w:eastAsia="Times New Roman" w:hint="default"/>
          <w:spacing w:val="-3"/>
        </w:rPr>
        <w:t>)</w:t>
      </w:r>
      <w:r>
        <w:rPr>
          <w:spacing w:val="-3"/>
        </w:rPr>
        <w:t>。公司已于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27</w:t>
      </w:r>
      <w:r>
        <w:rPr>
          <w:spacing w:val="-3"/>
        </w:rPr>
        <w:t>日办妥工商变更登记。</w:t>
      </w:r>
    </w:p>
    <w:p>
      <w:pPr>
        <w:pStyle w:val="BodyText"/>
        <w:spacing w:line="300" w:lineRule="auto" w:before="13"/>
        <w:ind w:right="1122" w:firstLine="360"/>
        <w:jc w:val="both"/>
      </w:pPr>
      <w:r>
        <w:rPr>
          <w:rFonts w:ascii="Times New Roman" w:hAnsi="Times New Roman" w:cs="Times New Roman" w:eastAsia="Times New Roman" w:hint="default"/>
          <w:w w:val="101"/>
        </w:rPr>
        <w:t>2018 </w:t>
      </w:r>
      <w:r>
        <w:rPr>
          <w:w w:val="101"/>
        </w:rPr>
        <w:t>年</w:t>
      </w:r>
      <w:r>
        <w:rPr>
          <w:rFonts w:ascii="Times New Roman" w:hAnsi="Times New Roman" w:cs="Times New Roman" w:eastAsia="Times New Roman" w:hint="default"/>
          <w:w w:val="101"/>
        </w:rPr>
        <w:t>3 </w:t>
      </w:r>
      <w:r>
        <w:rPr>
          <w:w w:val="101"/>
        </w:rPr>
        <w:t>月</w:t>
      </w:r>
      <w:r>
        <w:rPr>
          <w:rFonts w:ascii="Times New Roman" w:hAnsi="Times New Roman" w:cs="Times New Roman" w:eastAsia="Times New Roman" w:hint="default"/>
          <w:w w:val="101"/>
        </w:rPr>
        <w:t>14</w:t>
      </w:r>
      <w:r>
        <w:rPr>
          <w:rFonts w:ascii="Times New Roman" w:hAnsi="Times New Roman" w:cs="Times New Roman" w:eastAsia="Times New Roman" w:hint="default"/>
          <w:spacing w:val="10"/>
          <w:w w:val="101"/>
        </w:rPr>
        <w:t> </w:t>
      </w:r>
      <w:r>
        <w:rPr>
          <w:spacing w:val="-5"/>
          <w:w w:val="101"/>
        </w:rPr>
        <w:t>日，公司权益变动涉及的协议转让股权在中国证券登记结算有限责任公司深圳分公司完成了过户登记手</w:t>
      </w:r>
      <w:r>
        <w:rPr>
          <w:w w:val="101"/>
        </w:rPr>
        <w:t> </w:t>
      </w:r>
      <w:r>
        <w:rPr>
          <w:spacing w:val="-4"/>
        </w:rPr>
        <w:t>续，公司的控股股东由和柚技术集团有限公司变更为内蒙古正东云驱科技有限公司。</w:t>
      </w:r>
      <w:r>
        <w:rPr>
          <w:rFonts w:ascii="Times New Roman" w:hAnsi="Times New Roman" w:cs="Times New Roman" w:eastAsia="Times New Roman" w:hint="default"/>
          <w:spacing w:val="-4"/>
        </w:rPr>
        <w:t>2018 </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29</w:t>
      </w:r>
      <w:r>
        <w:rPr>
          <w:spacing w:val="-4"/>
        </w:rPr>
        <w:t>日，因控股股东发生了变</w:t>
      </w:r>
      <w:r>
        <w:rPr>
          <w:spacing w:val="-59"/>
        </w:rPr>
        <w:t> </w:t>
      </w:r>
      <w:r>
        <w:rPr>
          <w:spacing w:val="-59"/>
        </w:rPr>
      </w:r>
      <w:r>
        <w:rPr>
          <w:spacing w:val="-3"/>
        </w:rPr>
        <w:t>更，公司的办公地址由深圳迁至北京，公司的工作区域中心发生变更。</w:t>
      </w:r>
    </w:p>
    <w:p>
      <w:pPr>
        <w:pStyle w:val="BodyText"/>
        <w:spacing w:line="300" w:lineRule="auto" w:before="31"/>
        <w:ind w:right="1122" w:firstLine="360"/>
        <w:jc w:val="both"/>
      </w:pPr>
      <w:r>
        <w:rPr>
          <w:spacing w:val="-4"/>
        </w:rPr>
        <w:t>经</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22</w:t>
      </w:r>
      <w:r>
        <w:rPr>
          <w:spacing w:val="-4"/>
        </w:rPr>
        <w:t>日召开的</w:t>
      </w:r>
      <w:r>
        <w:rPr>
          <w:rFonts w:ascii="Times New Roman" w:hAnsi="Times New Roman" w:cs="Times New Roman" w:eastAsia="Times New Roman" w:hint="default"/>
          <w:spacing w:val="-4"/>
        </w:rPr>
        <w:t>2017</w:t>
      </w:r>
      <w:r>
        <w:rPr>
          <w:spacing w:val="-4"/>
        </w:rPr>
        <w:t>年度股东大会决议，以资本公积金向全体股东每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5</w:t>
      </w:r>
      <w:r>
        <w:rPr>
          <w:spacing w:val="-4"/>
        </w:rPr>
        <w:t>股。以</w:t>
      </w:r>
      <w:r>
        <w:rPr>
          <w:rFonts w:ascii="Times New Roman" w:hAnsi="Times New Roman" w:cs="Times New Roman" w:eastAsia="Times New Roman" w:hint="default"/>
          <w:spacing w:val="-4"/>
        </w:rPr>
        <w:t>37,329.11</w:t>
      </w:r>
      <w:r>
        <w:rPr>
          <w:spacing w:val="-4"/>
        </w:rPr>
        <w:t>万股为基数，</w:t>
      </w:r>
      <w:r>
        <w:rPr>
          <w:spacing w:val="28"/>
        </w:rPr>
        <w:t> </w:t>
      </w:r>
      <w:r>
        <w:rPr/>
        <w:t>本</w:t>
      </w:r>
      <w:r>
        <w:rPr>
          <w:w w:val="101"/>
        </w:rPr>
        <w:t> </w:t>
      </w:r>
      <w:r>
        <w:rPr>
          <w:spacing w:val="-4"/>
        </w:rPr>
        <w:t>次资本公积转增股本新增公司注册资本</w:t>
      </w:r>
      <w:r>
        <w:rPr>
          <w:rFonts w:ascii="Times New Roman" w:hAnsi="Times New Roman" w:cs="Times New Roman" w:eastAsia="Times New Roman" w:hint="default"/>
          <w:spacing w:val="-4"/>
        </w:rPr>
        <w:t>18,664.56</w:t>
      </w:r>
      <w:r>
        <w:rPr>
          <w:spacing w:val="-4"/>
        </w:rPr>
        <w:t>万元，新增股份</w:t>
      </w:r>
      <w:r>
        <w:rPr>
          <w:rFonts w:ascii="Times New Roman" w:hAnsi="Times New Roman" w:cs="Times New Roman" w:eastAsia="Times New Roman" w:hint="default"/>
          <w:spacing w:val="-4"/>
        </w:rPr>
        <w:t>18,664.56</w:t>
      </w:r>
      <w:r>
        <w:rPr>
          <w:spacing w:val="-4"/>
        </w:rPr>
        <w:t>万股。转增后公司注册资本为</w:t>
      </w:r>
      <w:r>
        <w:rPr>
          <w:rFonts w:ascii="Times New Roman" w:hAnsi="Times New Roman" w:cs="Times New Roman" w:eastAsia="Times New Roman" w:hint="default"/>
          <w:spacing w:val="-4"/>
        </w:rPr>
        <w:t>55,993.67</w:t>
      </w:r>
      <w:r>
        <w:rPr>
          <w:spacing w:val="-4"/>
        </w:rPr>
        <w:t>万元，股份</w:t>
      </w:r>
      <w:r>
        <w:rPr>
          <w:spacing w:val="14"/>
        </w:rPr>
        <w:t> </w:t>
      </w:r>
      <w:r>
        <w:rPr>
          <w:spacing w:val="14"/>
        </w:rPr>
      </w:r>
      <w:r>
        <w:rPr/>
        <w:t>总数</w:t>
      </w:r>
      <w:r>
        <w:rPr>
          <w:rFonts w:ascii="Times New Roman" w:hAnsi="Times New Roman" w:cs="Times New Roman" w:eastAsia="Times New Roman" w:hint="default"/>
        </w:rPr>
        <w:t>55,993.67</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日办妥工商变更登记。</w:t>
      </w:r>
    </w:p>
    <w:p>
      <w:pPr>
        <w:pStyle w:val="BodyText"/>
        <w:spacing w:line="300" w:lineRule="auto" w:before="13"/>
        <w:ind w:right="1122" w:firstLine="360"/>
        <w:jc w:val="both"/>
      </w:pPr>
      <w:r>
        <w:rPr>
          <w:rFonts w:ascii="Times New Roman" w:hAnsi="Times New Roman" w:cs="Times New Roman" w:eastAsia="Times New Roman" w:hint="default"/>
          <w:w w:val="101"/>
        </w:rPr>
        <w:t>2018 </w:t>
      </w:r>
      <w:r>
        <w:rPr>
          <w:w w:val="101"/>
        </w:rPr>
        <w:t>年 </w:t>
      </w:r>
      <w:r>
        <w:rPr>
          <w:rFonts w:ascii="Times New Roman" w:hAnsi="Times New Roman" w:cs="Times New Roman" w:eastAsia="Times New Roman" w:hint="default"/>
          <w:w w:val="101"/>
        </w:rPr>
        <w:t>6 </w:t>
      </w:r>
      <w:r>
        <w:rPr>
          <w:w w:val="101"/>
        </w:rPr>
        <w:t>月 </w:t>
      </w:r>
      <w:r>
        <w:rPr>
          <w:rFonts w:ascii="Times New Roman" w:hAnsi="Times New Roman" w:cs="Times New Roman" w:eastAsia="Times New Roman" w:hint="default"/>
          <w:spacing w:val="-3"/>
          <w:w w:val="101"/>
        </w:rPr>
        <w:t>11</w:t>
      </w:r>
      <w:r>
        <w:rPr>
          <w:rFonts w:ascii="Times New Roman" w:hAnsi="Times New Roman" w:cs="Times New Roman" w:eastAsia="Times New Roman" w:hint="default"/>
          <w:spacing w:val="17"/>
          <w:w w:val="101"/>
        </w:rPr>
        <w:t> </w:t>
      </w:r>
      <w:r>
        <w:rPr>
          <w:spacing w:val="-5"/>
          <w:w w:val="101"/>
        </w:rPr>
        <w:t>日公司控股股东内蒙古仁东科技有限公司的公司名称发生变更，由内蒙古正东云驱科技有限公司变更</w:t>
      </w:r>
      <w:r>
        <w:rPr>
          <w:w w:val="101"/>
        </w:rPr>
        <w:t> </w:t>
      </w:r>
      <w:r>
        <w:rPr>
          <w:spacing w:val="-3"/>
        </w:rPr>
        <w:t>为内蒙古仁东科技有限公司。</w:t>
      </w:r>
    </w:p>
    <w:p>
      <w:pPr>
        <w:pStyle w:val="BodyText"/>
        <w:spacing w:line="300" w:lineRule="auto" w:before="32"/>
        <w:ind w:right="1128" w:firstLine="360"/>
        <w:jc w:val="both"/>
      </w:pPr>
      <w:r>
        <w:rPr>
          <w:rFonts w:ascii="Times New Roman" w:hAnsi="Times New Roman" w:cs="Times New Roman" w:eastAsia="Times New Roman" w:hint="default"/>
        </w:rPr>
        <w:t>2018 </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12</w:t>
      </w:r>
      <w:r>
        <w:rPr>
          <w:spacing w:val="-3"/>
        </w:rPr>
        <w:t>日公司召开第四届董事会第二次会议，并于 </w:t>
      </w:r>
      <w:r>
        <w:rPr>
          <w:rFonts w:ascii="Times New Roman" w:hAnsi="Times New Roman" w:cs="Times New Roman" w:eastAsia="Times New Roman" w:hint="default"/>
          <w:spacing w:val="-3"/>
        </w:rPr>
        <w:t>2018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日召开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3"/>
        </w:rPr>
        <w:t>年第四次临时股东大会审议通过</w:t>
      </w:r>
      <w:r>
        <w:rPr>
          <w:w w:val="101"/>
        </w:rPr>
        <w:t> </w:t>
      </w:r>
      <w:r>
        <w:rPr>
          <w:spacing w:val="-6"/>
          <w:w w:val="101"/>
        </w:rPr>
        <w:t>了《关于变更公司名称及证券简称的议案》，公司名称变更为：仁东控股股份有限公司。</w:t>
      </w:r>
      <w:r>
        <w:rPr>
          <w:rFonts w:ascii="Times New Roman" w:hAnsi="Times New Roman" w:cs="Times New Roman" w:eastAsia="Times New Roman" w:hint="default"/>
          <w:spacing w:val="-6"/>
          <w:w w:val="101"/>
        </w:rPr>
        <w:t>2019</w:t>
      </w:r>
      <w:r>
        <w:rPr>
          <w:spacing w:val="-6"/>
          <w:w w:val="101"/>
        </w:rPr>
        <w:t>年</w:t>
      </w:r>
      <w:r>
        <w:rPr>
          <w:rFonts w:ascii="Times New Roman" w:hAnsi="Times New Roman" w:cs="Times New Roman" w:eastAsia="Times New Roman" w:hint="default"/>
          <w:spacing w:val="-6"/>
          <w:w w:val="101"/>
        </w:rPr>
        <w:t>4</w:t>
      </w:r>
      <w:r>
        <w:rPr>
          <w:spacing w:val="-6"/>
          <w:w w:val="101"/>
        </w:rPr>
        <w:t>月</w:t>
      </w:r>
      <w:r>
        <w:rPr>
          <w:rFonts w:ascii="Times New Roman" w:hAnsi="Times New Roman" w:cs="Times New Roman" w:eastAsia="Times New Roman" w:hint="default"/>
          <w:spacing w:val="-6"/>
          <w:w w:val="101"/>
        </w:rPr>
        <w:t>28</w:t>
      </w:r>
      <w:r>
        <w:rPr>
          <w:spacing w:val="-6"/>
          <w:w w:val="101"/>
        </w:rPr>
        <w:t>日经北京市工商行政管</w:t>
      </w:r>
      <w:r>
        <w:rPr>
          <w:spacing w:val="-54"/>
          <w:w w:val="101"/>
        </w:rPr>
        <w:t> </w:t>
      </w:r>
      <w:r>
        <w:rPr>
          <w:spacing w:val="-54"/>
          <w:w w:val="101"/>
        </w:rPr>
      </w:r>
      <w:r>
        <w:rPr>
          <w:spacing w:val="-3"/>
        </w:rPr>
        <w:t>理局朝阳分局核准，公司控股股东内蒙古仁东科技有限公司名称变更为北京仁东信息技术有限公司。</w:t>
      </w:r>
    </w:p>
    <w:p>
      <w:pPr>
        <w:pStyle w:val="BodyText"/>
        <w:spacing w:line="300" w:lineRule="auto" w:before="31"/>
        <w:ind w:right="1080" w:firstLine="360"/>
        <w:jc w:val="both"/>
      </w:pPr>
      <w:r>
        <w:rPr>
          <w:rFonts w:ascii="Times New Roman" w:hAnsi="Times New Roman" w:cs="Times New Roman" w:eastAsia="Times New Roman" w:hint="default"/>
          <w:w w:val="101"/>
        </w:rPr>
        <w:t>2019 </w:t>
      </w:r>
      <w:r>
        <w:rPr>
          <w:w w:val="101"/>
        </w:rPr>
        <w:t>年 </w:t>
      </w:r>
      <w:r>
        <w:rPr>
          <w:rFonts w:ascii="Times New Roman" w:hAnsi="Times New Roman" w:cs="Times New Roman" w:eastAsia="Times New Roman" w:hint="default"/>
          <w:w w:val="101"/>
        </w:rPr>
        <w:t>7 </w:t>
      </w:r>
      <w:r>
        <w:rPr>
          <w:w w:val="101"/>
        </w:rPr>
        <w:t>月 </w:t>
      </w:r>
      <w:r>
        <w:rPr>
          <w:rFonts w:ascii="Times New Roman" w:hAnsi="Times New Roman" w:cs="Times New Roman" w:eastAsia="Times New Roman" w:hint="default"/>
          <w:w w:val="101"/>
        </w:rPr>
        <w:t>29</w:t>
      </w:r>
      <w:r>
        <w:rPr>
          <w:rFonts w:ascii="Times New Roman" w:hAnsi="Times New Roman" w:cs="Times New Roman" w:eastAsia="Times New Roman" w:hint="default"/>
          <w:spacing w:val="30"/>
          <w:w w:val="101"/>
        </w:rPr>
        <w:t> </w:t>
      </w:r>
      <w:r>
        <w:rPr>
          <w:spacing w:val="-3"/>
          <w:w w:val="101"/>
        </w:rPr>
        <w:t>日，北京仁东信息技术有限公司（以下简称仁东信息）、仁东</w:t>
      </w:r>
      <w:r>
        <w:rPr>
          <w:rFonts w:ascii="Times New Roman" w:hAnsi="Times New Roman" w:cs="Times New Roman" w:eastAsia="Times New Roman" w:hint="default"/>
          <w:spacing w:val="-3"/>
          <w:w w:val="101"/>
        </w:rPr>
        <w:t>(</w:t>
      </w:r>
      <w:r>
        <w:rPr>
          <w:spacing w:val="-3"/>
          <w:w w:val="101"/>
        </w:rPr>
        <w:t>天津</w:t>
      </w:r>
      <w:r>
        <w:rPr>
          <w:rFonts w:ascii="Times New Roman" w:hAnsi="Times New Roman" w:cs="Times New Roman" w:eastAsia="Times New Roman" w:hint="default"/>
          <w:spacing w:val="-3"/>
          <w:w w:val="101"/>
        </w:rPr>
        <w:t>)</w:t>
      </w:r>
      <w:r>
        <w:rPr>
          <w:spacing w:val="-3"/>
          <w:w w:val="101"/>
        </w:rPr>
        <w:t>科技有限公司</w:t>
      </w:r>
      <w:r>
        <w:rPr>
          <w:rFonts w:ascii="Times New Roman" w:hAnsi="Times New Roman" w:cs="Times New Roman" w:eastAsia="Times New Roman" w:hint="default"/>
          <w:spacing w:val="-3"/>
          <w:w w:val="101"/>
        </w:rPr>
        <w:t>(</w:t>
      </w:r>
      <w:r>
        <w:rPr>
          <w:spacing w:val="-3"/>
          <w:w w:val="101"/>
        </w:rPr>
        <w:t>以下简称</w:t>
      </w:r>
      <w:r>
        <w:rPr>
          <w:rFonts w:ascii="Times New Roman" w:hAnsi="Times New Roman" w:cs="Times New Roman" w:eastAsia="Times New Roman" w:hint="default"/>
          <w:spacing w:val="-3"/>
          <w:w w:val="101"/>
        </w:rPr>
        <w:t>“</w:t>
      </w:r>
      <w:r>
        <w:rPr>
          <w:spacing w:val="-3"/>
          <w:w w:val="101"/>
        </w:rPr>
        <w:t>天津仁</w:t>
      </w:r>
      <w:r>
        <w:rPr>
          <w:w w:val="101"/>
        </w:rPr>
        <w:t> </w:t>
      </w:r>
      <w:r>
        <w:rPr>
          <w:spacing w:val="-3"/>
        </w:rPr>
        <w:t>东</w:t>
      </w:r>
      <w:r>
        <w:rPr>
          <w:rFonts w:ascii="Times New Roman" w:hAnsi="Times New Roman" w:cs="Times New Roman" w:eastAsia="Times New Roman" w:hint="default"/>
          <w:spacing w:val="-3"/>
        </w:rPr>
        <w:t>”)</w:t>
      </w:r>
      <w:r>
        <w:rPr>
          <w:spacing w:val="-3"/>
        </w:rPr>
        <w:t>、仁东（天津）科技发展集团有限公司、霍东与北京海淀科技金融资本控股集团股份有限公司（以下简称海科金集团）</w:t>
      </w:r>
      <w:r>
        <w:rPr>
          <w:spacing w:val="75"/>
        </w:rPr>
        <w:t> </w:t>
      </w:r>
      <w:r>
        <w:rPr>
          <w:spacing w:val="75"/>
        </w:rPr>
      </w:r>
      <w:r>
        <w:rPr>
          <w:spacing w:val="-5"/>
          <w:w w:val="101"/>
        </w:rPr>
        <w:t>签署了《关于仁东控股股份有限公司的股份委托管理协议》，仁东信息将其持有的仁东控股</w:t>
      </w:r>
      <w:r>
        <w:rPr>
          <w:rFonts w:ascii="Times New Roman" w:hAnsi="Times New Roman" w:cs="Times New Roman" w:eastAsia="Times New Roman" w:hint="default"/>
          <w:spacing w:val="-5"/>
          <w:w w:val="101"/>
        </w:rPr>
        <w:t>119,088,160</w:t>
      </w:r>
      <w:r>
        <w:rPr>
          <w:rFonts w:ascii="Times New Roman" w:hAnsi="Times New Roman" w:cs="Times New Roman" w:eastAsia="Times New Roman" w:hint="default"/>
          <w:spacing w:val="40"/>
          <w:w w:val="101"/>
        </w:rPr>
        <w:t> </w:t>
      </w:r>
      <w:r>
        <w:rPr>
          <w:spacing w:val="-5"/>
          <w:w w:val="101"/>
        </w:rPr>
        <w:t>股股份（占上市公司</w:t>
      </w:r>
      <w:r>
        <w:rPr>
          <w:w w:val="101"/>
        </w:rPr>
        <w:t> </w:t>
      </w:r>
      <w:r>
        <w:rPr/>
        <w:t>总股本的 </w:t>
      </w:r>
      <w:r>
        <w:rPr>
          <w:rFonts w:ascii="Times New Roman" w:hAnsi="Times New Roman" w:cs="Times New Roman" w:eastAsia="Times New Roman" w:hint="default"/>
        </w:rPr>
        <w:t>21.27%</w:t>
      </w:r>
      <w:r>
        <w:rPr/>
        <w:t>）对应的表决权等股东权利委托海科金集团进行管理。</w:t>
      </w:r>
      <w:r>
        <w:rPr>
          <w:spacing w:val="80"/>
        </w:rPr>
        <w:t> </w:t>
      </w:r>
      <w:r>
        <w:rPr/>
        <w:t>同时，仁东信息、天津仁东与海科金集团签署了</w:t>
      </w:r>
    </w:p>
    <w:p>
      <w:pPr>
        <w:pStyle w:val="BodyText"/>
        <w:spacing w:line="300" w:lineRule="auto" w:before="13"/>
        <w:ind w:right="0"/>
        <w:jc w:val="left"/>
      </w:pPr>
      <w:r>
        <w:rPr>
          <w:spacing w:val="-6"/>
          <w:w w:val="101"/>
        </w:rPr>
        <w:t>《关于仁东控股股份有限公司的一致行动协议》（以下简称</w:t>
      </w:r>
      <w:r>
        <w:rPr>
          <w:rFonts w:ascii="Times New Roman" w:hAnsi="Times New Roman" w:cs="Times New Roman" w:eastAsia="Times New Roman" w:hint="default"/>
          <w:spacing w:val="-6"/>
          <w:w w:val="101"/>
        </w:rPr>
        <w:t>“</w:t>
      </w:r>
      <w:r>
        <w:rPr>
          <w:spacing w:val="-6"/>
          <w:w w:val="101"/>
        </w:rPr>
        <w:t>《一致行动协议》</w:t>
      </w:r>
      <w:r>
        <w:rPr>
          <w:rFonts w:ascii="Times New Roman" w:hAnsi="Times New Roman" w:cs="Times New Roman" w:eastAsia="Times New Roman" w:hint="default"/>
          <w:spacing w:val="-6"/>
          <w:w w:val="101"/>
        </w:rPr>
        <w:t>”</w:t>
      </w:r>
      <w:r>
        <w:rPr>
          <w:spacing w:val="-6"/>
          <w:w w:val="101"/>
        </w:rPr>
        <w:t>），仁东信息、天津仁东、海科金集团同意，</w:t>
      </w:r>
      <w:r>
        <w:rPr>
          <w:spacing w:val="-72"/>
          <w:w w:val="101"/>
        </w:rPr>
        <w:t> </w:t>
      </w:r>
      <w:r>
        <w:rPr>
          <w:spacing w:val="-72"/>
          <w:w w:val="101"/>
        </w:rPr>
      </w:r>
      <w:r>
        <w:rPr>
          <w:spacing w:val="-4"/>
        </w:rPr>
        <w:t>托管期限内，在上市公司所有重大事项决策中，保持一致行动，仁东信息、天津仁东应当与海科金集团取得一致意见，若无</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ind w:right="1122"/>
        <w:jc w:val="both"/>
      </w:pPr>
      <w:r>
        <w:rPr>
          <w:spacing w:val="-4"/>
        </w:rPr>
        <w:t>法形成一致意见，以海科金集团的意见为一致表决意见。</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15</w:t>
      </w:r>
      <w:r>
        <w:rPr>
          <w:spacing w:val="-4"/>
        </w:rPr>
        <w:t>日，上述协议正式生效，海科金集团将通过股份托管</w:t>
      </w:r>
      <w:r>
        <w:rPr>
          <w:spacing w:val="52"/>
        </w:rPr>
        <w:t> </w:t>
      </w:r>
      <w:r>
        <w:rPr>
          <w:spacing w:val="52"/>
        </w:rPr>
      </w:r>
      <w:r>
        <w:rPr>
          <w:spacing w:val="-1"/>
        </w:rPr>
        <w:t>的方式持有上市公司</w:t>
      </w:r>
      <w:r>
        <w:rPr>
          <w:rFonts w:ascii="Times New Roman" w:hAnsi="Times New Roman" w:cs="Times New Roman" w:eastAsia="Times New Roman" w:hint="default"/>
          <w:spacing w:val="-1"/>
        </w:rPr>
        <w:t>119,088,160</w:t>
      </w:r>
      <w:r>
        <w:rPr>
          <w:spacing w:val="-1"/>
        </w:rPr>
        <w:t>股股份对应的表决权，占上市公司总股本的</w:t>
      </w:r>
      <w:r>
        <w:rPr>
          <w:rFonts w:ascii="Times New Roman" w:hAnsi="Times New Roman" w:cs="Times New Roman" w:eastAsia="Times New Roman" w:hint="default"/>
          <w:spacing w:val="-1"/>
        </w:rPr>
        <w:t>21.27%</w:t>
      </w:r>
      <w:r>
        <w:rPr>
          <w:spacing w:val="-1"/>
        </w:rPr>
        <w:t>。通过《关于仁东控股股份有限公司的</w:t>
      </w:r>
      <w:r>
        <w:rPr>
          <w:spacing w:val="52"/>
        </w:rPr>
        <w:t> </w:t>
      </w:r>
      <w:r>
        <w:rPr>
          <w:spacing w:val="52"/>
        </w:rPr>
      </w:r>
      <w:r>
        <w:rPr>
          <w:spacing w:val="-4"/>
          <w:w w:val="101"/>
        </w:rPr>
        <w:t>一致行动协议》，海科金集团及其一致行动人将合计控制上市公司</w:t>
      </w:r>
      <w:r>
        <w:rPr>
          <w:spacing w:val="9"/>
          <w:w w:val="101"/>
        </w:rPr>
        <w:t> </w:t>
      </w:r>
      <w:r>
        <w:rPr>
          <w:rFonts w:ascii="Times New Roman" w:hAnsi="Times New Roman" w:cs="Times New Roman" w:eastAsia="Times New Roman" w:hint="default"/>
          <w:spacing w:val="-1"/>
          <w:w w:val="101"/>
        </w:rPr>
        <w:t>29.93%</w:t>
      </w:r>
      <w:r>
        <w:rPr>
          <w:spacing w:val="-1"/>
          <w:w w:val="101"/>
        </w:rPr>
        <w:t>的股份表决权。海科金集团成为公司控股股东，</w:t>
      </w:r>
      <w:r>
        <w:rPr>
          <w:w w:val="101"/>
        </w:rPr>
        <w:t> </w:t>
      </w:r>
      <w:r>
        <w:rPr>
          <w:spacing w:val="-3"/>
        </w:rPr>
        <w:t>其实际控制人北京市海淀区人民政府国有资产监督管理委员会成为公司的实际控制人。</w:t>
      </w:r>
    </w:p>
    <w:p>
      <w:pPr>
        <w:pStyle w:val="BodyText"/>
        <w:spacing w:line="300" w:lineRule="auto" w:before="31"/>
        <w:ind w:left="513" w:right="2115"/>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日，本公司累计发行股本总数</w:t>
      </w:r>
      <w:r>
        <w:rPr>
          <w:rFonts w:ascii="Times New Roman" w:hAnsi="Times New Roman" w:cs="Times New Roman" w:eastAsia="Times New Roman" w:hint="default"/>
          <w:spacing w:val="-2"/>
        </w:rPr>
        <w:t>559,936,650.00</w:t>
      </w:r>
      <w:r>
        <w:rPr>
          <w:spacing w:val="-2"/>
        </w:rPr>
        <w:t>股，公司注册资本为</w:t>
      </w:r>
      <w:r>
        <w:rPr>
          <w:rFonts w:ascii="Times New Roman" w:hAnsi="Times New Roman" w:cs="Times New Roman" w:eastAsia="Times New Roman" w:hint="default"/>
          <w:spacing w:val="-2"/>
        </w:rPr>
        <w:t>559,936,650.00</w:t>
      </w:r>
      <w:r>
        <w:rPr>
          <w:spacing w:val="-2"/>
        </w:rPr>
        <w:t>元。</w:t>
      </w:r>
      <w:r>
        <w:rPr>
          <w:spacing w:val="37"/>
        </w:rPr>
        <w:t> </w:t>
      </w:r>
      <w:r>
        <w:rPr>
          <w:spacing w:val="-3"/>
        </w:rPr>
        <w:t>法定代表人：王石山</w:t>
      </w:r>
    </w:p>
    <w:p>
      <w:pPr>
        <w:pStyle w:val="BodyText"/>
        <w:spacing w:line="300" w:lineRule="auto" w:before="31"/>
        <w:ind w:left="513" w:right="3317"/>
        <w:jc w:val="left"/>
      </w:pPr>
      <w:r>
        <w:rPr>
          <w:spacing w:val="-2"/>
        </w:rPr>
        <w:t>企业法人营业执照统一社会信用代码：</w:t>
      </w:r>
      <w:r>
        <w:rPr>
          <w:rFonts w:ascii="Times New Roman" w:hAnsi="Times New Roman" w:cs="Times New Roman" w:eastAsia="Times New Roman" w:hint="default"/>
          <w:spacing w:val="-2"/>
        </w:rPr>
        <w:t>91330000753974205M</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3"/>
        </w:rPr>
        <w:t>注册地：浙江省诸暨市大唐镇开元东路</w:t>
      </w:r>
    </w:p>
    <w:p>
      <w:pPr>
        <w:pStyle w:val="BodyText"/>
        <w:spacing w:line="300" w:lineRule="auto" w:before="31"/>
        <w:ind w:right="1122" w:firstLine="360"/>
        <w:jc w:val="both"/>
      </w:pPr>
      <w:r>
        <w:rPr>
          <w:spacing w:val="-7"/>
        </w:rPr>
        <w:t>本公司经营范围：实业投资，资产管理。</w:t>
      </w:r>
      <w:r>
        <w:rPr>
          <w:rFonts w:ascii="Times New Roman" w:hAnsi="Times New Roman" w:cs="Times New Roman" w:eastAsia="Times New Roman" w:hint="default"/>
          <w:spacing w:val="-7"/>
        </w:rPr>
        <w:t>(</w:t>
      </w:r>
      <w:r>
        <w:rPr>
          <w:spacing w:val="-7"/>
        </w:rPr>
        <w:t>未经金融等监管部门批准不得从事向公众融资存款、融资担保、代客理财等</w:t>
      </w:r>
      <w:r>
        <w:rPr>
          <w:spacing w:val="30"/>
        </w:rPr>
        <w:t> </w:t>
      </w:r>
      <w:r>
        <w:rPr/>
        <w:t>金</w:t>
      </w:r>
      <w:r>
        <w:rPr>
          <w:w w:val="101"/>
        </w:rPr>
        <w:t> </w:t>
      </w:r>
      <w:r>
        <w:rPr>
          <w:spacing w:val="-2"/>
        </w:rPr>
        <w:t>融服务</w:t>
      </w:r>
      <w:r>
        <w:rPr>
          <w:rFonts w:ascii="Times New Roman" w:hAnsi="Times New Roman" w:cs="Times New Roman" w:eastAsia="Times New Roman" w:hint="default"/>
          <w:spacing w:val="-2"/>
        </w:rPr>
        <w:t>)</w:t>
      </w:r>
      <w:r>
        <w:rPr>
          <w:spacing w:val="-2"/>
        </w:rPr>
        <w:t>，投资咨询服务，信息系统集成服务，信息技术咨询服务，数据处理、数据库服务，企业征信服务，网络技术的研</w:t>
      </w:r>
      <w:r>
        <w:rPr>
          <w:spacing w:val="52"/>
        </w:rPr>
        <w:t> </w:t>
      </w:r>
      <w:r>
        <w:rPr>
          <w:spacing w:val="52"/>
        </w:rPr>
      </w:r>
      <w:r>
        <w:rPr>
          <w:spacing w:val="-4"/>
        </w:rPr>
        <w:t>究开发、技术咨询、技术服务，软件开发，企业管理咨询服务，供应链管理，从事进出口业务。</w:t>
      </w:r>
      <w:r>
        <w:rPr>
          <w:rFonts w:ascii="Times New Roman" w:hAnsi="Times New Roman" w:cs="Times New Roman" w:eastAsia="Times New Roman" w:hint="default"/>
          <w:spacing w:val="-4"/>
        </w:rPr>
        <w:t>(</w:t>
      </w:r>
      <w:r>
        <w:rPr>
          <w:spacing w:val="-4"/>
        </w:rPr>
        <w:t>依法须经批准的项目， </w:t>
      </w:r>
      <w:r>
        <w:rPr/>
        <w:t>经</w:t>
      </w:r>
      <w:r>
        <w:rPr>
          <w:spacing w:val="-14"/>
        </w:rPr>
        <w:t> </w:t>
      </w:r>
      <w:r>
        <w:rPr>
          <w:spacing w:val="-14"/>
        </w:rPr>
      </w:r>
      <w:r>
        <w:rPr>
          <w:spacing w:val="-3"/>
        </w:rPr>
        <w:t>相关部门批准后方可开展经营活动</w:t>
      </w:r>
      <w:r>
        <w:rPr>
          <w:rFonts w:ascii="Times New Roman" w:hAnsi="Times New Roman" w:cs="Times New Roman" w:eastAsia="Times New Roman" w:hint="default"/>
          <w:spacing w:val="-3"/>
        </w:rPr>
        <w:t>)</w:t>
      </w:r>
      <w:r>
        <w:rPr>
          <w:spacing w:val="-3"/>
        </w:rPr>
        <w:t>。</w:t>
      </w:r>
    </w:p>
    <w:p>
      <w:pPr>
        <w:pStyle w:val="BodyText"/>
        <w:spacing w:line="300" w:lineRule="auto" w:before="13"/>
        <w:ind w:left="513" w:right="0"/>
        <w:jc w:val="left"/>
      </w:pPr>
      <w:r>
        <w:rPr>
          <w:spacing w:val="-3"/>
        </w:rPr>
        <w:t>本财务报告已于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日经公司第四届董事会第十六次会议批准报出。</w:t>
      </w:r>
      <w:r>
        <w:rPr>
          <w:spacing w:val="20"/>
        </w:rPr>
        <w:t> </w:t>
      </w:r>
      <w:r>
        <w:rPr>
          <w:spacing w:val="20"/>
        </w:rPr>
      </w:r>
      <w:r>
        <w:rPr>
          <w:spacing w:val="-4"/>
        </w:rPr>
        <w:t>本公司</w:t>
      </w:r>
      <w:r>
        <w:rPr>
          <w:rFonts w:ascii="Times New Roman" w:hAnsi="Times New Roman" w:cs="Times New Roman" w:eastAsia="Times New Roman" w:hint="default"/>
          <w:spacing w:val="-4"/>
        </w:rPr>
        <w:t>2019</w:t>
      </w:r>
      <w:r>
        <w:rPr>
          <w:spacing w:val="-4"/>
        </w:rPr>
        <w:t>年度纳入合并范围的子公司共</w:t>
      </w:r>
      <w:r>
        <w:rPr>
          <w:rFonts w:ascii="Times New Roman" w:hAnsi="Times New Roman" w:cs="Times New Roman" w:eastAsia="Times New Roman" w:hint="default"/>
          <w:spacing w:val="-4"/>
        </w:rPr>
        <w:t>19</w:t>
      </w:r>
      <w:r>
        <w:rPr>
          <w:spacing w:val="-4"/>
        </w:rPr>
        <w:t>家，详见附注九</w:t>
      </w:r>
      <w:r>
        <w:rPr>
          <w:rFonts w:ascii="Times New Roman" w:hAnsi="Times New Roman" w:cs="Times New Roman" w:eastAsia="Times New Roman" w:hint="default"/>
          <w:spacing w:val="-4"/>
        </w:rPr>
        <w:t>“</w:t>
      </w:r>
      <w:r>
        <w:rPr>
          <w:spacing w:val="-4"/>
        </w:rPr>
        <w:t>在其他主体中的权益</w:t>
      </w:r>
      <w:r>
        <w:rPr>
          <w:rFonts w:ascii="Times New Roman" w:hAnsi="Times New Roman" w:cs="Times New Roman" w:eastAsia="Times New Roman" w:hint="default"/>
          <w:spacing w:val="-4"/>
        </w:rPr>
        <w:t>”</w:t>
      </w:r>
      <w:r>
        <w:rPr>
          <w:spacing w:val="-4"/>
        </w:rPr>
        <w:t>。与上年度相比，本公司合并范围减</w:t>
      </w:r>
    </w:p>
    <w:p>
      <w:pPr>
        <w:pStyle w:val="BodyText"/>
        <w:spacing w:line="240" w:lineRule="auto" w:before="13"/>
        <w:ind w:right="0"/>
        <w:jc w:val="left"/>
      </w:pPr>
      <w:r>
        <w:rPr>
          <w:spacing w:val="-3"/>
        </w:rPr>
        <w:t>少</w:t>
      </w:r>
      <w:r>
        <w:rPr>
          <w:rFonts w:ascii="Times New Roman" w:hAnsi="Times New Roman" w:cs="Times New Roman" w:eastAsia="Times New Roman" w:hint="default"/>
          <w:spacing w:val="-3"/>
        </w:rPr>
        <w:t>4</w:t>
      </w:r>
      <w:r>
        <w:rPr>
          <w:spacing w:val="-3"/>
        </w:rPr>
        <w:t>家，详见附注八</w:t>
      </w:r>
      <w:r>
        <w:rPr>
          <w:rFonts w:ascii="Times New Roman" w:hAnsi="Times New Roman" w:cs="Times New Roman" w:eastAsia="Times New Roman" w:hint="default"/>
          <w:spacing w:val="-3"/>
        </w:rPr>
        <w:t>“</w:t>
      </w:r>
      <w:r>
        <w:rPr>
          <w:spacing w:val="-3"/>
        </w:rPr>
        <w:t>合并范围的变更</w:t>
      </w:r>
      <w:r>
        <w:rPr>
          <w:rFonts w:ascii="Times New Roman" w:hAnsi="Times New Roman" w:cs="Times New Roman" w:eastAsia="Times New Roman" w:hint="default"/>
          <w:spacing w:val="-3"/>
        </w:rPr>
        <w:t>”</w:t>
      </w:r>
      <w:r>
        <w:rPr>
          <w:spacing w:val="-3"/>
        </w:rPr>
        <w:t>。</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1"/>
      <w:bookmarkEnd w:id="17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300" w:lineRule="auto" w:before="0"/>
        <w:ind w:right="1036" w:firstLine="422"/>
        <w:jc w:val="both"/>
      </w:pPr>
      <w:r>
        <w:rPr>
          <w:spacing w:val="-4"/>
        </w:rPr>
        <w:t>本公司财务报表以持续经营假设为基础，根据实际发生的交易和事项，按照财政部于</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15</w:t>
      </w:r>
      <w:r>
        <w:rPr>
          <w:spacing w:val="-4"/>
        </w:rPr>
        <w:t>日及以后颁布的《企</w:t>
      </w:r>
      <w:r>
        <w:rPr>
          <w:w w:val="101"/>
        </w:rPr>
        <w:t> </w:t>
      </w:r>
      <w:r>
        <w:rPr>
          <w:spacing w:val="-6"/>
        </w:rPr>
        <w:t>业会计准则</w:t>
      </w:r>
      <w:r>
        <w:rPr>
          <w:rFonts w:ascii="Times New Roman" w:hAnsi="Times New Roman" w:cs="Times New Roman" w:eastAsia="Times New Roman" w:hint="default"/>
          <w:spacing w:val="-6"/>
        </w:rPr>
        <w:t>——</w:t>
      </w:r>
      <w:r>
        <w:rPr>
          <w:spacing w:val="-6"/>
        </w:rPr>
        <w:t>基本准则》和各项具体会计准则、企业会计准则应用指南、企业会计准则解释及其他相关规定（以下合称</w:t>
      </w:r>
      <w:r>
        <w:rPr>
          <w:rFonts w:ascii="Times New Roman" w:hAnsi="Times New Roman" w:cs="Times New Roman" w:eastAsia="Times New Roman" w:hint="default"/>
          <w:spacing w:val="-6"/>
        </w:rPr>
        <w:t>“</w:t>
      </w:r>
      <w:r>
        <w:rPr>
          <w:spacing w:val="-6"/>
        </w:rPr>
        <w:t>企</w:t>
      </w:r>
      <w:r>
        <w:rPr>
          <w:spacing w:val="69"/>
        </w:rPr>
        <w:t> </w:t>
      </w:r>
      <w:r>
        <w:rPr>
          <w:spacing w:val="-1"/>
          <w:w w:val="101"/>
        </w:rPr>
        <w:t>业会计准则</w:t>
      </w:r>
      <w:r>
        <w:rPr>
          <w:rFonts w:ascii="Times New Roman" w:hAnsi="Times New Roman" w:cs="Times New Roman" w:eastAsia="Times New Roman" w:hint="default"/>
          <w:spacing w:val="-1"/>
          <w:w w:val="101"/>
        </w:rPr>
        <w:t>”</w:t>
      </w:r>
      <w:r>
        <w:rPr>
          <w:spacing w:val="-1"/>
          <w:w w:val="101"/>
        </w:rPr>
        <w:t>），以及中国证券监督管理委员会《公开发行证券的公司信息披露编报规则第</w:t>
      </w:r>
      <w:r>
        <w:rPr>
          <w:rFonts w:ascii="Times New Roman" w:hAnsi="Times New Roman" w:cs="Times New Roman" w:eastAsia="Times New Roman" w:hint="default"/>
          <w:spacing w:val="-1"/>
          <w:w w:val="101"/>
        </w:rPr>
        <w:t>15</w:t>
      </w:r>
      <w:r>
        <w:rPr>
          <w:spacing w:val="-1"/>
          <w:w w:val="101"/>
        </w:rPr>
        <w:t>号</w:t>
      </w:r>
      <w:r>
        <w:rPr>
          <w:rFonts w:ascii="Times New Roman" w:hAnsi="Times New Roman" w:cs="Times New Roman" w:eastAsia="Times New Roman" w:hint="default"/>
          <w:spacing w:val="-1"/>
          <w:w w:val="101"/>
        </w:rPr>
        <w:t>——</w:t>
      </w:r>
      <w:r>
        <w:rPr>
          <w:spacing w:val="-1"/>
          <w:w w:val="101"/>
        </w:rPr>
        <w:t>财务报告的一般规定》</w:t>
      </w:r>
      <w:r>
        <w:rPr>
          <w:spacing w:val="-1"/>
        </w:rPr>
      </w:r>
    </w:p>
    <w:p>
      <w:pPr>
        <w:pStyle w:val="BodyText"/>
        <w:spacing w:line="300" w:lineRule="auto" w:before="13"/>
        <w:ind w:left="513" w:right="0" w:hanging="360"/>
        <w:jc w:val="left"/>
      </w:pPr>
      <w:r>
        <w:rPr>
          <w:spacing w:val="-3"/>
        </w:rPr>
        <w:t>（</w:t>
      </w:r>
      <w:r>
        <w:rPr>
          <w:rFonts w:ascii="Times New Roman" w:hAnsi="Times New Roman" w:cs="Times New Roman" w:eastAsia="Times New Roman" w:hint="default"/>
          <w:spacing w:val="-3"/>
        </w:rPr>
        <w:t>2014</w:t>
      </w:r>
      <w:r>
        <w:rPr>
          <w:spacing w:val="-3"/>
        </w:rPr>
        <w:t>年修订）的披露规定编制。</w:t>
      </w:r>
      <w:r>
        <w:rPr>
          <w:spacing w:val="-39"/>
        </w:rPr>
        <w:t> </w:t>
      </w:r>
      <w:r>
        <w:rPr>
          <w:spacing w:val="-39"/>
        </w:rPr>
      </w:r>
      <w:r>
        <w:rPr>
          <w:spacing w:val="-4"/>
        </w:rPr>
        <w:t>根据企业会计准则的相关规定，本公司会计核算以权责发生制为基础。除某些金融工具外，本财务报表均以历史成本为</w:t>
      </w:r>
    </w:p>
    <w:p>
      <w:pPr>
        <w:pStyle w:val="BodyText"/>
        <w:spacing w:line="240" w:lineRule="auto" w:before="32"/>
        <w:ind w:right="0"/>
        <w:jc w:val="left"/>
      </w:pPr>
      <w:r>
        <w:rPr>
          <w:spacing w:val="-3"/>
        </w:rPr>
        <w:t>计量基础。资产如果发生减值，则按照相关规定计提相应的减值准备。</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持续经营" w:id="172"/>
      <w:bookmarkEnd w:id="17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0"/>
        <w:jc w:val="left"/>
      </w:pPr>
      <w:r>
        <w:rPr>
          <w:spacing w:val="-3"/>
        </w:rPr>
        <w:t>公司自本报告期末至少</w:t>
      </w:r>
      <w:r>
        <w:rPr>
          <w:rFonts w:ascii="Times New Roman" w:hAnsi="Times New Roman" w:cs="Times New Roman" w:eastAsia="Times New Roman" w:hint="default"/>
          <w:spacing w:val="-3"/>
        </w:rPr>
        <w:t>12</w:t>
      </w:r>
      <w:r>
        <w:rPr>
          <w:spacing w:val="-3"/>
        </w:rPr>
        <w:t>个月内具备持续经营能力，无影响持续经营能力的重大事项。</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五、重要会计政策及会计估计" w:id="173"/>
      <w:bookmarkEnd w:id="173"/>
      <w:r>
        <w:rPr>
          <w:b w:val="0"/>
          <w:bCs w:val="0"/>
        </w:rPr>
      </w:r>
      <w:r>
        <w:rPr/>
        <w:t>五、重要会计政策及会计估计</w:t>
      </w:r>
      <w:r>
        <w:rPr>
          <w:b w:val="0"/>
          <w:bCs w:val="0"/>
        </w:rPr>
      </w:r>
    </w:p>
    <w:p>
      <w:pPr>
        <w:spacing w:line="240" w:lineRule="auto" w:before="7"/>
        <w:rPr>
          <w:rFonts w:ascii="宋体" w:hAnsi="宋体" w:cs="宋体" w:eastAsia="宋体" w:hint="default"/>
          <w:b/>
          <w:bCs/>
          <w:sz w:val="27"/>
          <w:szCs w:val="27"/>
        </w:rPr>
      </w:pPr>
    </w:p>
    <w:p>
      <w:pPr>
        <w:pStyle w:val="BodyText"/>
        <w:spacing w:line="352" w:lineRule="auto" w:before="0"/>
        <w:ind w:left="513" w:right="0" w:hanging="360"/>
        <w:jc w:val="left"/>
      </w:pPr>
      <w:r>
        <w:rPr>
          <w:spacing w:val="-3"/>
        </w:rPr>
        <w:t>具体会计政策和会计估计提示：</w:t>
      </w:r>
      <w:r>
        <w:rPr>
          <w:spacing w:val="-45"/>
        </w:rPr>
        <w:t> </w:t>
      </w:r>
      <w:r>
        <w:rPr>
          <w:spacing w:val="-45"/>
        </w:rPr>
      </w:r>
      <w:r>
        <w:rPr>
          <w:spacing w:val="-4"/>
        </w:rPr>
        <w:t>本公司及各子公司根据实际生产经营特点，依据相关企业会计准则的规定，对应收款项的坏账准备的确认标准和计提方</w:t>
      </w:r>
    </w:p>
    <w:p>
      <w:pPr>
        <w:pStyle w:val="BodyText"/>
        <w:spacing w:line="227" w:lineRule="exact" w:before="0"/>
        <w:ind w:right="0"/>
        <w:jc w:val="left"/>
      </w:pPr>
      <w:r>
        <w:rPr>
          <w:spacing w:val="-3"/>
        </w:rPr>
        <w:t>法、收入确认等交易和事项指定了若干具体会计政策和会计估计</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遵循企业会计准则的声明" w:id="174"/>
      <w:bookmarkEnd w:id="17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firstLine="360"/>
        <w:jc w:val="both"/>
      </w:pPr>
      <w:r>
        <w:rPr>
          <w:spacing w:val="-4"/>
        </w:rPr>
        <w:t>本财务报表符合企业会计准则的要求，真实、完整地反映了本公司</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日的合并及公司财务状况以及</w:t>
      </w:r>
      <w:r>
        <w:rPr>
          <w:rFonts w:ascii="宋体" w:hAnsi="宋体" w:cs="宋体" w:eastAsia="宋体" w:hint="default"/>
          <w:spacing w:val="-4"/>
        </w:rPr>
        <w:t>2019</w:t>
      </w:r>
      <w:r>
        <w:rPr>
          <w:spacing w:val="-4"/>
        </w:rPr>
        <w:t>年度</w:t>
      </w:r>
      <w:r>
        <w:rPr>
          <w:spacing w:val="-5"/>
          <w:w w:val="101"/>
        </w:rPr>
        <w:t> </w:t>
      </w:r>
      <w:r>
        <w:rPr>
          <w:spacing w:val="-3"/>
        </w:rPr>
        <w:t>的合并及公司经营成果和现金流量。</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会计期间" w:id="175"/>
      <w:bookmarkEnd w:id="17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0"/>
        <w:jc w:val="left"/>
      </w:pPr>
      <w:r>
        <w:rPr>
          <w:spacing w:val="-3"/>
        </w:rPr>
        <w:t>本公司的会计期间分为年度和中期，会计中期指短于一个完整的会计年度的报告期间。本公司会计年度采用公历年度，</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spacing w:val="-3"/>
        </w:rPr>
        <w:t>即每年自</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日起至</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日止。</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营业周期" w:id="176"/>
      <w:bookmarkEnd w:id="17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0" w:firstLine="360"/>
        <w:jc w:val="left"/>
      </w:pPr>
      <w:r>
        <w:rPr>
          <w:spacing w:val="-3"/>
        </w:rPr>
        <w:t>正常营业周期是指本公司从购买用于加工的资产起至实现现金或现金等价物的期间。本公司以</w:t>
      </w:r>
      <w:r>
        <w:rPr>
          <w:rFonts w:ascii="宋体" w:hAnsi="宋体" w:cs="宋体" w:eastAsia="宋体" w:hint="default"/>
          <w:spacing w:val="-3"/>
        </w:rPr>
        <w:t>12</w:t>
      </w:r>
      <w:r>
        <w:rPr>
          <w:spacing w:val="-3"/>
        </w:rPr>
        <w:t>个月作为一个营业周</w:t>
      </w:r>
      <w:r>
        <w:rPr>
          <w:w w:val="101"/>
        </w:rPr>
        <w:t> </w:t>
      </w:r>
      <w:r>
        <w:rPr>
          <w:spacing w:val="-3"/>
        </w:rPr>
        <w:t>期，并以其作为资产和负债的流动性划分标准。</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记账本位币" w:id="177"/>
      <w:bookmarkEnd w:id="17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left="513" w:right="0"/>
        <w:jc w:val="left"/>
      </w:pPr>
      <w:r>
        <w:rPr>
          <w:spacing w:val="-3"/>
        </w:rPr>
        <w:t>本公司以人民币为记账本位币。</w:t>
      </w:r>
      <w:r>
        <w:rPr>
          <w:spacing w:val="-45"/>
        </w:rPr>
        <w:t> </w:t>
      </w:r>
      <w:r>
        <w:rPr>
          <w:spacing w:val="-45"/>
        </w:rPr>
      </w:r>
      <w:r>
        <w:rPr>
          <w:spacing w:val="-4"/>
        </w:rPr>
        <w:t>本公司下属子公司、合营企业及联营企业，根据其经营所处的主要经济环境自行决定其记账本位币，编制财务报表时折</w:t>
      </w:r>
    </w:p>
    <w:p>
      <w:pPr>
        <w:pStyle w:val="BodyText"/>
        <w:spacing w:line="240" w:lineRule="auto" w:before="19"/>
        <w:ind w:right="0"/>
        <w:jc w:val="left"/>
      </w:pPr>
      <w:r>
        <w:rPr/>
        <w:t>算为人民币。</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同一控制下和非同一控制下企业合并的会计处理方法" w:id="178"/>
      <w:bookmarkEnd w:id="17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0" w:firstLine="360"/>
        <w:jc w:val="left"/>
      </w:pPr>
      <w:r>
        <w:rPr>
          <w:spacing w:val="-4"/>
        </w:rPr>
        <w:t>企业合并，是指将两个或两个以上单独的企业合并形成一个报告主体的交易或事项。企业合并分为同一控制下企业合并</w:t>
      </w:r>
      <w:r>
        <w:rPr>
          <w:w w:val="101"/>
        </w:rPr>
        <w:t> </w:t>
      </w:r>
      <w:r>
        <w:rPr>
          <w:spacing w:val="-3"/>
        </w:rPr>
        <w:t>和非同一控制下企业合并。</w:t>
      </w:r>
    </w:p>
    <w:p>
      <w:pPr>
        <w:pStyle w:val="BodyText"/>
        <w:spacing w:line="316" w:lineRule="auto" w:before="19"/>
        <w:ind w:left="513" w:right="0"/>
        <w:jc w:val="left"/>
      </w:pPr>
      <w:r>
        <w:rPr>
          <w:spacing w:val="-3"/>
        </w:rPr>
        <w:t>（</w:t>
      </w:r>
      <w:r>
        <w:rPr>
          <w:rFonts w:ascii="宋体" w:hAnsi="宋体" w:cs="宋体" w:eastAsia="宋体" w:hint="default"/>
          <w:spacing w:val="-3"/>
        </w:rPr>
        <w:t>1</w:t>
      </w:r>
      <w:r>
        <w:rPr>
          <w:spacing w:val="-3"/>
        </w:rPr>
        <w:t>）同一控制下企业合并</w:t>
      </w:r>
      <w:r>
        <w:rPr>
          <w:spacing w:val="-52"/>
        </w:rPr>
        <w:t> </w:t>
      </w:r>
      <w:r>
        <w:rPr>
          <w:spacing w:val="-52"/>
        </w:rPr>
      </w:r>
      <w:r>
        <w:rPr>
          <w:spacing w:val="-5"/>
        </w:rPr>
        <w:t>参与合并的企业在合并前后均受同一方或相同的多方最终控制，且该控制并非暂时性的，为同一控制下的企业合并。同</w:t>
      </w:r>
    </w:p>
    <w:p>
      <w:pPr>
        <w:pStyle w:val="BodyText"/>
        <w:spacing w:line="319" w:lineRule="auto" w:before="19"/>
        <w:ind w:right="0"/>
        <w:jc w:val="left"/>
      </w:pPr>
      <w:r>
        <w:rPr>
          <w:spacing w:val="-6"/>
        </w:rPr>
        <w:t>一控制下的企业合并，在合并日取得对其他参与合并企业控制权的一方为合并方，参与合并的其他企业为被合并方。合并日，</w:t>
      </w:r>
      <w:r>
        <w:rPr>
          <w:spacing w:val="63"/>
        </w:rPr>
        <w:t> </w:t>
      </w:r>
      <w:r>
        <w:rPr>
          <w:spacing w:val="63"/>
        </w:rPr>
      </w:r>
      <w:r>
        <w:rPr>
          <w:spacing w:val="-3"/>
        </w:rPr>
        <w:t>是指合并方实际取得对被合并方控制权的日期。</w:t>
      </w:r>
    </w:p>
    <w:p>
      <w:pPr>
        <w:pStyle w:val="BodyText"/>
        <w:spacing w:line="316" w:lineRule="auto" w:before="17"/>
        <w:ind w:right="0" w:firstLine="360"/>
        <w:jc w:val="left"/>
      </w:pPr>
      <w:r>
        <w:rPr>
          <w:spacing w:val="-5"/>
          <w:w w:val="101"/>
        </w:rPr>
        <w:t>合并方取得的资产和负债均按合并日在被合并方的账面价值计量。合并方取得的净资产账面价值与支付的合并对价账面</w:t>
      </w:r>
      <w:r>
        <w:rPr>
          <w:w w:val="101"/>
        </w:rPr>
        <w:t> </w:t>
      </w:r>
      <w:r>
        <w:rPr>
          <w:spacing w:val="-3"/>
        </w:rPr>
        <w:t>价值（或发行股份面值总额）的差额，调整资本公积（股本溢价）；资本公积（股本溢价）不足以冲减的，调整留存收益。</w:t>
      </w:r>
    </w:p>
    <w:p>
      <w:pPr>
        <w:pStyle w:val="BodyText"/>
        <w:spacing w:line="240" w:lineRule="auto" w:before="19"/>
        <w:ind w:left="513" w:right="0"/>
        <w:jc w:val="left"/>
      </w:pPr>
      <w:r>
        <w:rPr>
          <w:spacing w:val="-3"/>
        </w:rPr>
        <w:t>合并方为进行企业合并发生的各项直接费用，于发生时计入当期损益。</w:t>
      </w:r>
    </w:p>
    <w:p>
      <w:pPr>
        <w:pStyle w:val="BodyText"/>
        <w:spacing w:line="319" w:lineRule="auto" w:before="76"/>
        <w:ind w:left="513" w:right="0"/>
        <w:jc w:val="left"/>
      </w:pPr>
      <w:r>
        <w:rPr/>
        <w:t>（</w:t>
      </w:r>
      <w:r>
        <w:rPr>
          <w:rFonts w:ascii="宋体" w:hAnsi="宋体" w:cs="宋体" w:eastAsia="宋体" w:hint="default"/>
        </w:rPr>
        <w:t>2</w:t>
      </w:r>
      <w:r>
        <w:rPr/>
        <w:t>）非同一控制下企业合并</w:t>
      </w:r>
      <w:r>
        <w:rPr>
          <w:spacing w:val="-85"/>
        </w:rPr>
        <w:t> </w:t>
      </w:r>
      <w:r>
        <w:rPr>
          <w:spacing w:val="-85"/>
        </w:rPr>
      </w:r>
      <w:r>
        <w:rPr>
          <w:spacing w:val="-5"/>
        </w:rPr>
        <w:t>参与合并的企业在合并前后不受同一方或相同的多方最终控制的，为非同一控制下的企业合并。非同一控制下的企业合</w:t>
      </w:r>
    </w:p>
    <w:p>
      <w:pPr>
        <w:pStyle w:val="BodyText"/>
        <w:spacing w:line="316" w:lineRule="auto" w:before="17"/>
        <w:ind w:right="0"/>
        <w:jc w:val="left"/>
      </w:pPr>
      <w:r>
        <w:rPr>
          <w:spacing w:val="-4"/>
        </w:rPr>
        <w:t>并，在购买日取得对其他参与合并企业控制权的一方为购买方，参与合并的其他企业为被购买方。购买日，是指为购买方实</w:t>
      </w:r>
      <w:r>
        <w:rPr>
          <w:spacing w:val="40"/>
        </w:rPr>
        <w:t> </w:t>
      </w:r>
      <w:r>
        <w:rPr>
          <w:spacing w:val="40"/>
        </w:rPr>
      </w:r>
      <w:r>
        <w:rPr>
          <w:spacing w:val="-3"/>
        </w:rPr>
        <w:t>际取得对被购买方控制权的日期。</w:t>
      </w:r>
    </w:p>
    <w:p>
      <w:pPr>
        <w:pStyle w:val="BodyText"/>
        <w:spacing w:line="319" w:lineRule="auto" w:before="19"/>
        <w:ind w:right="1122" w:firstLine="360"/>
        <w:jc w:val="both"/>
      </w:pPr>
      <w:r>
        <w:rPr>
          <w:spacing w:val="-4"/>
        </w:rPr>
        <w:t>对于非同一控制下的企业合并，合并成本包含购买日购买方为取得对被购买方的控制权而付出的资产、发生或承担的负</w:t>
      </w:r>
      <w:r>
        <w:rPr>
          <w:w w:val="101"/>
        </w:rPr>
        <w:t> </w:t>
      </w:r>
      <w:r>
        <w:rPr>
          <w:spacing w:val="-4"/>
        </w:rPr>
        <w:t>债以及发行的权益性证券的公允价值，为企业合并发生的审计、法律服务、评估咨询等中介费用以及其他管理费用于发生时</w:t>
      </w:r>
      <w:r>
        <w:rPr>
          <w:spacing w:val="45"/>
        </w:rPr>
        <w:t> </w:t>
      </w:r>
      <w:r>
        <w:rPr>
          <w:spacing w:val="45"/>
        </w:rPr>
      </w:r>
      <w:r>
        <w:rPr>
          <w:spacing w:val="-4"/>
        </w:rPr>
        <w:t>计入当期损益。购买方作为合并对价发行的权益性证券或债务性证券的交易费用，计入权益性证券或债务性证券的初始确认</w:t>
      </w:r>
      <w:r>
        <w:rPr>
          <w:spacing w:val="44"/>
        </w:rPr>
        <w:t> </w:t>
      </w:r>
      <w:r>
        <w:rPr>
          <w:spacing w:val="44"/>
        </w:rPr>
      </w:r>
      <w:r>
        <w:rPr>
          <w:spacing w:val="-4"/>
        </w:rPr>
        <w:t>金额。所涉及的或有对价按其在购买日的公允价值计入合并成本，购买日后</w:t>
      </w:r>
      <w:r>
        <w:rPr>
          <w:rFonts w:ascii="宋体" w:hAnsi="宋体" w:cs="宋体" w:eastAsia="宋体" w:hint="default"/>
          <w:spacing w:val="-4"/>
        </w:rPr>
        <w:t>12</w:t>
      </w:r>
      <w:r>
        <w:rPr>
          <w:spacing w:val="-4"/>
        </w:rPr>
        <w:t>个月内出现对购买日已存在情况的新的或进一</w:t>
      </w:r>
      <w:r>
        <w:rPr>
          <w:spacing w:val="48"/>
        </w:rPr>
        <w:t> </w:t>
      </w:r>
      <w:r>
        <w:rPr>
          <w:spacing w:val="48"/>
        </w:rPr>
      </w:r>
      <w:r>
        <w:rPr>
          <w:spacing w:val="-5"/>
        </w:rPr>
        <w:t>步证据而需要调整或有对价的，相应调整合并商誉。购买方发生的合并成本及在合并中取得的可辨认净资产按购买日的公允</w:t>
      </w:r>
      <w:r>
        <w:rPr>
          <w:spacing w:val="6"/>
        </w:rPr>
        <w:t> </w:t>
      </w:r>
      <w:r>
        <w:rPr>
          <w:spacing w:val="6"/>
        </w:rPr>
      </w:r>
      <w:r>
        <w:rPr>
          <w:spacing w:val="-4"/>
        </w:rPr>
        <w:t>价值计量。合并成本大于合并中取得的被购买方于购买日可辨认净资产公允价值份额的差额，确认为商誉。合并成本小于合</w:t>
      </w:r>
      <w:r>
        <w:rPr>
          <w:spacing w:val="43"/>
        </w:rPr>
        <w:t> </w:t>
      </w:r>
      <w:r>
        <w:rPr>
          <w:spacing w:val="43"/>
        </w:rPr>
      </w:r>
      <w:r>
        <w:rPr>
          <w:spacing w:val="-4"/>
        </w:rPr>
        <w:t>并中取得的被购买方可辨认净资产公允价值份额的，首先对取得的被购买方各项可辨认资产、负债及或有负债的公允价值以</w:t>
      </w:r>
      <w:r>
        <w:rPr>
          <w:spacing w:val="44"/>
        </w:rPr>
        <w:t> </w:t>
      </w:r>
      <w:r>
        <w:rPr>
          <w:spacing w:val="44"/>
        </w:rPr>
      </w:r>
      <w:r>
        <w:rPr>
          <w:spacing w:val="-4"/>
        </w:rPr>
        <w:t>及合并成本的计量进行复核，复核后合并成本仍小于合并中取得的被购买方可辨认净资产公允价值份额的，其差额计入当期</w:t>
      </w:r>
      <w:r>
        <w:rPr>
          <w:spacing w:val="43"/>
        </w:rPr>
        <w:t> </w:t>
      </w:r>
      <w:r>
        <w:rPr>
          <w:spacing w:val="43"/>
        </w:rPr>
      </w:r>
      <w:r>
        <w:rPr/>
        <w:t>损益。</w:t>
      </w:r>
    </w:p>
    <w:p>
      <w:pPr>
        <w:pStyle w:val="BodyText"/>
        <w:spacing w:line="316" w:lineRule="auto" w:before="17"/>
        <w:ind w:right="0" w:firstLine="360"/>
        <w:jc w:val="left"/>
      </w:pPr>
      <w:r>
        <w:rPr>
          <w:spacing w:val="-3"/>
        </w:rPr>
        <w:t>购买方取得被购买方的可抵扣暂时性差异，在购买日因不符合递延所得税资产确认条件而未予确认的，在购买日后</w:t>
      </w:r>
      <w:r>
        <w:rPr>
          <w:rFonts w:ascii="宋体" w:hAnsi="宋体" w:cs="宋体" w:eastAsia="宋体" w:hint="default"/>
          <w:spacing w:val="-3"/>
        </w:rPr>
        <w:t>12</w:t>
      </w:r>
      <w:r>
        <w:rPr>
          <w:rFonts w:ascii="宋体" w:hAnsi="宋体" w:cs="宋体" w:eastAsia="宋体" w:hint="default"/>
          <w:w w:val="101"/>
        </w:rPr>
        <w:t> </w:t>
      </w:r>
      <w:r>
        <w:rPr>
          <w:spacing w:val="-4"/>
        </w:rPr>
        <w:t>个月内，如取得新的或进一步的信息表明购买日的相关情况已经存在，预期被购买方在购买日可抵扣暂时性差异带来的经济</w:t>
      </w:r>
      <w:r>
        <w:rPr>
          <w:spacing w:val="42"/>
        </w:rPr>
        <w:t> </w:t>
      </w:r>
      <w:r>
        <w:rPr>
          <w:spacing w:val="42"/>
        </w:rPr>
      </w:r>
      <w:r>
        <w:rPr>
          <w:spacing w:val="-3"/>
        </w:rPr>
        <w:t>利益能够实现的，则确认相关的递延所得税资产，同时减少商誉，商誉不足冲减的，差额部分确认为 当期损益；除上述情</w:t>
      </w:r>
      <w:r>
        <w:rPr>
          <w:spacing w:val="-16"/>
        </w:rPr>
        <w:t> </w:t>
      </w:r>
      <w:r>
        <w:rPr>
          <w:spacing w:val="-16"/>
        </w:rPr>
      </w:r>
      <w:r>
        <w:rPr>
          <w:spacing w:val="-3"/>
        </w:rPr>
        <w:t>况以外，确认与企业合并相关的递延所得税资产的，计入当期损益。</w:t>
      </w:r>
    </w:p>
    <w:p>
      <w:pPr>
        <w:pStyle w:val="BodyText"/>
        <w:spacing w:line="316" w:lineRule="auto" w:before="19"/>
        <w:ind w:right="1024" w:firstLine="360"/>
        <w:jc w:val="left"/>
      </w:pPr>
      <w:r>
        <w:rPr>
          <w:spacing w:val="-7"/>
          <w:w w:val="101"/>
        </w:rPr>
        <w:t>通过多次交易分步实现的非同一控制下企业合并，根据《财政部关于印发企业会计准则解释第</w:t>
      </w:r>
      <w:r>
        <w:rPr>
          <w:rFonts w:ascii="宋体" w:hAnsi="宋体" w:cs="宋体" w:eastAsia="宋体" w:hint="default"/>
          <w:spacing w:val="-7"/>
          <w:w w:val="101"/>
        </w:rPr>
        <w:t>5</w:t>
      </w:r>
      <w:r>
        <w:rPr>
          <w:spacing w:val="-7"/>
          <w:w w:val="101"/>
        </w:rPr>
        <w:t>号的通知》（财会〔</w:t>
      </w:r>
      <w:r>
        <w:rPr>
          <w:rFonts w:ascii="宋体" w:hAnsi="宋体" w:cs="宋体" w:eastAsia="宋体" w:hint="default"/>
          <w:spacing w:val="-7"/>
          <w:w w:val="101"/>
        </w:rPr>
        <w:t>2012</w:t>
      </w:r>
      <w:r>
        <w:rPr>
          <w:spacing w:val="-7"/>
          <w:w w:val="101"/>
        </w:rPr>
        <w:t>〕</w:t>
      </w:r>
      <w:r>
        <w:rPr>
          <w:w w:val="101"/>
        </w:rPr>
        <w:t> </w:t>
      </w:r>
      <w:r>
        <w:rPr>
          <w:rFonts w:ascii="宋体" w:hAnsi="宋体" w:cs="宋体" w:eastAsia="宋体" w:hint="default"/>
          <w:spacing w:val="-6"/>
        </w:rPr>
        <w:t>19</w:t>
      </w:r>
      <w:r>
        <w:rPr>
          <w:spacing w:val="-6"/>
        </w:rPr>
        <w:t>号）和《企业会计准则第</w:t>
      </w:r>
      <w:r>
        <w:rPr>
          <w:rFonts w:ascii="宋体" w:hAnsi="宋体" w:cs="宋体" w:eastAsia="宋体" w:hint="default"/>
          <w:spacing w:val="-6"/>
        </w:rPr>
        <w:t>33</w:t>
      </w:r>
      <w:r>
        <w:rPr>
          <w:spacing w:val="-6"/>
        </w:rPr>
        <w:t>号——合并财务报表》第五十一条关于“一揽子交易”的判断标准（参见本附注五、</w:t>
      </w:r>
      <w:r>
        <w:rPr>
          <w:rFonts w:ascii="宋体" w:hAnsi="宋体" w:cs="宋体" w:eastAsia="宋体" w:hint="default"/>
          <w:spacing w:val="-6"/>
        </w:rPr>
        <w:t>6</w:t>
      </w:r>
      <w:r>
        <w:rPr>
          <w:spacing w:val="-6"/>
        </w:rPr>
        <w:t>（</w:t>
      </w:r>
      <w:r>
        <w:rPr>
          <w:rFonts w:ascii="宋体" w:hAnsi="宋体" w:cs="宋体" w:eastAsia="宋体" w:hint="default"/>
          <w:spacing w:val="-6"/>
        </w:rPr>
        <w:t>2</w:t>
      </w:r>
      <w:r>
        <w:rPr>
          <w:spacing w:val="-6"/>
        </w:rPr>
        <w:t>）），</w:t>
      </w:r>
      <w:r>
        <w:rPr>
          <w:spacing w:val="63"/>
        </w:rPr>
        <w:t> </w:t>
      </w:r>
      <w:r>
        <w:rPr>
          <w:spacing w:val="-4"/>
        </w:rPr>
        <w:t>判断该多次交易是否属于“一揽子交易”。属于“一揽子交易”的，参考本部分前面各段描述及本附注五、</w:t>
      </w:r>
      <w:r>
        <w:rPr>
          <w:rFonts w:ascii="宋体" w:hAnsi="宋体" w:cs="宋体" w:eastAsia="宋体" w:hint="default"/>
          <w:spacing w:val="-4"/>
        </w:rPr>
        <w:t>22</w:t>
      </w:r>
      <w:r>
        <w:rPr>
          <w:spacing w:val="-4"/>
        </w:rPr>
        <w:t>“长期股权投</w:t>
      </w:r>
      <w:r>
        <w:rPr>
          <w:spacing w:val="45"/>
        </w:rPr>
        <w:t> </w:t>
      </w:r>
      <w:r>
        <w:rPr>
          <w:spacing w:val="45"/>
        </w:rPr>
      </w:r>
      <w:r>
        <w:rPr>
          <w:spacing w:val="-3"/>
        </w:rPr>
        <w:t>资”进行会计处理；不属于“一揽子交易”的，区分个别财务报表和合并财务报表进行相关会计处理：</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ind w:right="1123" w:firstLine="360"/>
        <w:jc w:val="both"/>
      </w:pPr>
      <w:r>
        <w:rPr>
          <w:spacing w:val="-4"/>
        </w:rPr>
        <w:t>在个别财务报表中，以购买日之前所持被购买方的股权投资的账面价值与购买日新增投资成本之和，作为该项投资的初</w:t>
      </w:r>
      <w:r>
        <w:rPr>
          <w:w w:val="101"/>
        </w:rPr>
        <w:t> </w:t>
      </w:r>
      <w:r>
        <w:rPr>
          <w:spacing w:val="-4"/>
        </w:rPr>
        <w:t>始投资成本；购买日之前持有的被购买方的股权涉及其他综合收益的，在处置该项投资时将与其相关的其他综合收益采用与</w:t>
      </w:r>
      <w:r>
        <w:rPr>
          <w:spacing w:val="42"/>
        </w:rPr>
        <w:t> </w:t>
      </w:r>
      <w:r>
        <w:rPr>
          <w:spacing w:val="42"/>
        </w:rPr>
      </w:r>
      <w:r>
        <w:rPr>
          <w:spacing w:val="-4"/>
        </w:rPr>
        <w:t>被购买方直接处置相关资产或负债相同的基础进行会计处理（即，除了按照权益法核算的在被购买方重新计量设定受益计划</w:t>
      </w:r>
      <w:r>
        <w:rPr>
          <w:spacing w:val="42"/>
        </w:rPr>
        <w:t> </w:t>
      </w:r>
      <w:r>
        <w:rPr>
          <w:spacing w:val="42"/>
        </w:rPr>
      </w:r>
      <w:r>
        <w:rPr>
          <w:spacing w:val="-3"/>
        </w:rPr>
        <w:t>净负债或净资产导致的变动中的相应份额以外，其余转入当期投资收益）。</w:t>
      </w:r>
    </w:p>
    <w:p>
      <w:pPr>
        <w:pStyle w:val="BodyText"/>
        <w:spacing w:line="316" w:lineRule="auto" w:before="17"/>
        <w:ind w:right="1122" w:firstLine="360"/>
        <w:jc w:val="both"/>
      </w:pPr>
      <w:r>
        <w:rPr>
          <w:spacing w:val="-4"/>
        </w:rPr>
        <w:t>在合并财务报表中，对于购买日之前持有的被购买方的股权，按照该股权在购买日的公允价值进行重新计量，公允价值</w:t>
      </w:r>
      <w:r>
        <w:rPr>
          <w:w w:val="101"/>
        </w:rPr>
        <w:t> </w:t>
      </w:r>
      <w:r>
        <w:rPr>
          <w:spacing w:val="-4"/>
        </w:rPr>
        <w:t>与其账面价值的差额计入当期投资收益；购买日之前持有的被购买方的股权涉及其他综合收益的，与其相关的其他综合收益</w:t>
      </w:r>
      <w:r>
        <w:rPr>
          <w:spacing w:val="43"/>
        </w:rPr>
        <w:t> </w:t>
      </w:r>
      <w:r>
        <w:rPr>
          <w:spacing w:val="43"/>
        </w:rPr>
      </w:r>
      <w:r>
        <w:rPr>
          <w:spacing w:val="-5"/>
        </w:rPr>
        <w:t>应当采用与被购买方直接处置相关资产或负债相同的基础进行会计处理（即，除了按照权益法核算的在被购买方重新计量设</w:t>
      </w:r>
      <w:r>
        <w:rPr>
          <w:spacing w:val="6"/>
        </w:rPr>
        <w:t> </w:t>
      </w:r>
      <w:r>
        <w:rPr>
          <w:spacing w:val="6"/>
        </w:rPr>
      </w:r>
      <w:r>
        <w:rPr>
          <w:spacing w:val="-3"/>
        </w:rPr>
        <w:t>定受益计划净负债或净资产导致的变动中的相应份额以外，其余转为购买日所属当期投资收益）。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79"/>
      <w:bookmarkEnd w:id="17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575" w:right="0"/>
        <w:jc w:val="left"/>
      </w:pPr>
      <w:r>
        <w:rPr>
          <w:spacing w:val="-3"/>
        </w:rPr>
        <w:t>（</w:t>
      </w:r>
      <w:r>
        <w:rPr>
          <w:rFonts w:ascii="宋体" w:hAnsi="宋体" w:cs="宋体" w:eastAsia="宋体" w:hint="default"/>
          <w:spacing w:val="-3"/>
        </w:rPr>
        <w:t>1</w:t>
      </w:r>
      <w:r>
        <w:rPr>
          <w:spacing w:val="-3"/>
        </w:rPr>
        <w:t>）合并财务报表范围的确定原则</w:t>
      </w:r>
      <w:r>
        <w:rPr>
          <w:spacing w:val="-40"/>
        </w:rPr>
        <w:t> </w:t>
      </w:r>
      <w:r>
        <w:rPr>
          <w:spacing w:val="-40"/>
        </w:rPr>
      </w:r>
      <w:r>
        <w:rPr>
          <w:spacing w:val="-2"/>
        </w:rPr>
        <w:t>合并财务报表的合并范围以控制为基础予以确定。控制是指本公司拥有对被投资方的权力，通过参与被投资方的相关</w:t>
      </w:r>
    </w:p>
    <w:p>
      <w:pPr>
        <w:pStyle w:val="BodyText"/>
        <w:spacing w:line="319" w:lineRule="auto" w:before="19"/>
        <w:ind w:right="1124"/>
        <w:jc w:val="both"/>
      </w:pPr>
      <w:r>
        <w:rPr>
          <w:spacing w:val="-4"/>
        </w:rPr>
        <w:t>活动而享有可变回报，并且有能力运用对被投资方的权力影响该回报金额。合并范围包括本公司及全部子公司。子公司，是</w:t>
      </w:r>
      <w:r>
        <w:rPr>
          <w:spacing w:val="40"/>
        </w:rPr>
        <w:t> </w:t>
      </w:r>
      <w:r>
        <w:rPr>
          <w:spacing w:val="40"/>
        </w:rPr>
      </w:r>
      <w:r>
        <w:rPr>
          <w:spacing w:val="-3"/>
        </w:rPr>
        <w:t>指被本公司控制的主体。</w:t>
      </w:r>
    </w:p>
    <w:p>
      <w:pPr>
        <w:pStyle w:val="BodyText"/>
        <w:spacing w:line="240" w:lineRule="auto" w:before="17"/>
        <w:ind w:left="575" w:right="0"/>
        <w:jc w:val="left"/>
      </w:pPr>
      <w:r>
        <w:rPr>
          <w:spacing w:val="-3"/>
        </w:rPr>
        <w:t>一旦相关事实和情况的变化导致上述控制定义涉及的相关要素发生了变化，本公司将进行重新评估。</w:t>
      </w:r>
    </w:p>
    <w:p>
      <w:pPr>
        <w:pStyle w:val="BodyText"/>
        <w:spacing w:line="316" w:lineRule="auto" w:before="76"/>
        <w:ind w:left="575" w:right="0"/>
        <w:jc w:val="left"/>
      </w:pPr>
      <w:r>
        <w:rPr>
          <w:spacing w:val="-3"/>
        </w:rPr>
        <w:t>（</w:t>
      </w:r>
      <w:r>
        <w:rPr>
          <w:rFonts w:ascii="宋体" w:hAnsi="宋体" w:cs="宋体" w:eastAsia="宋体" w:hint="default"/>
          <w:spacing w:val="-3"/>
        </w:rPr>
        <w:t>2</w:t>
      </w:r>
      <w:r>
        <w:rPr>
          <w:spacing w:val="-3"/>
        </w:rPr>
        <w:t>）合并财务报表编制的方法</w:t>
      </w:r>
      <w:r>
        <w:rPr>
          <w:spacing w:val="-46"/>
        </w:rPr>
        <w:t> </w:t>
      </w:r>
      <w:r>
        <w:rPr>
          <w:spacing w:val="-46"/>
        </w:rPr>
      </w:r>
      <w:r>
        <w:rPr>
          <w:spacing w:val="-2"/>
        </w:rPr>
        <w:t>从取得子公司的净资产和生产经营决策的实际控制权之日起，本公司开始将其纳入合并范围；从丧失实际控制权之日</w:t>
      </w:r>
    </w:p>
    <w:p>
      <w:pPr>
        <w:pStyle w:val="BodyText"/>
        <w:spacing w:line="319" w:lineRule="auto" w:before="19"/>
        <w:ind w:right="1122"/>
        <w:jc w:val="both"/>
      </w:pPr>
      <w:r>
        <w:rPr>
          <w:spacing w:val="-5"/>
        </w:rPr>
        <w:t>起停止纳入合并范围。对于处置的子公司，处置日前的经营成果和现金流量已经适当地包括在合并利润表和合并现金流量表</w:t>
      </w:r>
      <w:r>
        <w:rPr>
          <w:spacing w:val="6"/>
        </w:rPr>
        <w:t> </w:t>
      </w:r>
      <w:r>
        <w:rPr>
          <w:spacing w:val="6"/>
        </w:rPr>
      </w:r>
      <w:r>
        <w:rPr>
          <w:spacing w:val="-4"/>
        </w:rPr>
        <w:t>中；当期处置的子公司，不调整合并资产负债表的期初数。非同一控制下企业合并增加的子公司，其购买日后的经营成果及</w:t>
      </w:r>
      <w:r>
        <w:rPr>
          <w:spacing w:val="40"/>
        </w:rPr>
        <w:t> </w:t>
      </w:r>
      <w:r>
        <w:rPr>
          <w:spacing w:val="40"/>
        </w:rPr>
      </w:r>
      <w:r>
        <w:rPr>
          <w:spacing w:val="-4"/>
        </w:rPr>
        <w:t>现金流量已经适当地包括在合并利润表和合并现金流量表中，且不调整合并财务报表的期初数和对比数。同一控制下企业合</w:t>
      </w:r>
      <w:r>
        <w:rPr>
          <w:spacing w:val="45"/>
        </w:rPr>
        <w:t> </w:t>
      </w:r>
      <w:r>
        <w:rPr>
          <w:spacing w:val="45"/>
        </w:rPr>
      </w:r>
      <w:r>
        <w:rPr>
          <w:spacing w:val="-4"/>
          <w:w w:val="101"/>
        </w:rPr>
        <w:t>并增加的子公司及吸收合并下的被合并方，其自合并当期期初至合并日的经营成果和现金流量已经适当地包括在合并利润表</w:t>
      </w:r>
      <w:r>
        <w:rPr>
          <w:w w:val="101"/>
        </w:rPr>
        <w:t> </w:t>
      </w:r>
      <w:r>
        <w:rPr>
          <w:spacing w:val="-3"/>
        </w:rPr>
        <w:t>和合并现金流量表中，并且同时调整合并财务报表的对比数。</w:t>
      </w:r>
    </w:p>
    <w:p>
      <w:pPr>
        <w:pStyle w:val="BodyText"/>
        <w:spacing w:line="319" w:lineRule="auto" w:before="17"/>
        <w:ind w:right="1124" w:firstLine="422"/>
        <w:jc w:val="both"/>
      </w:pPr>
      <w:r>
        <w:rPr>
          <w:spacing w:val="-2"/>
        </w:rPr>
        <w:t>在编制合并财务报表时，子公司与本公司采用的会计政策或会计期间不一致的，按照本公司的会计政策和会计期间对</w:t>
      </w:r>
      <w:r>
        <w:rPr>
          <w:w w:val="101"/>
        </w:rPr>
        <w:t> </w:t>
      </w:r>
      <w:r>
        <w:rPr>
          <w:spacing w:val="-4"/>
        </w:rPr>
        <w:t>子公司财务报表进行必要的调整。对于非同一控制下企业合并取得的子公司，以购买日可辨认净资产公允价值为基础对其财</w:t>
      </w:r>
      <w:r>
        <w:rPr>
          <w:spacing w:val="44"/>
        </w:rPr>
        <w:t> </w:t>
      </w:r>
      <w:r>
        <w:rPr>
          <w:spacing w:val="44"/>
        </w:rPr>
      </w:r>
      <w:r>
        <w:rPr/>
        <w:t>务报表进行调整。</w:t>
      </w:r>
    </w:p>
    <w:p>
      <w:pPr>
        <w:pStyle w:val="BodyText"/>
        <w:spacing w:line="316" w:lineRule="auto" w:before="17"/>
        <w:ind w:left="575" w:right="0"/>
        <w:jc w:val="left"/>
      </w:pPr>
      <w:r>
        <w:rPr>
          <w:spacing w:val="-3"/>
        </w:rPr>
        <w:t>公司内往来余额、交易及未实现利润在合并财务报表编制时予以抵销。</w:t>
      </w:r>
      <w:r>
        <w:rPr>
          <w:spacing w:val="2"/>
        </w:rPr>
        <w:t> </w:t>
      </w:r>
      <w:r>
        <w:rPr>
          <w:spacing w:val="2"/>
        </w:rPr>
      </w:r>
      <w:r>
        <w:rPr>
          <w:spacing w:val="-2"/>
        </w:rPr>
        <w:t>子公司的股东权益及当期净损益中不属于本公司所拥有的部分分别作为少数股东权益及少数股东损益在合并财务报表</w:t>
      </w:r>
    </w:p>
    <w:p>
      <w:pPr>
        <w:pStyle w:val="BodyText"/>
        <w:spacing w:line="319" w:lineRule="auto" w:before="19"/>
        <w:ind w:right="1122"/>
        <w:jc w:val="both"/>
      </w:pPr>
      <w:r>
        <w:rPr>
          <w:spacing w:val="-4"/>
        </w:rPr>
        <w:t>中股东权益及净利润项下单独列示。子公司当期净损益中属于少数股东权益的份额，在合并利润表中净利润项目下以“少数</w:t>
      </w:r>
      <w:r>
        <w:rPr>
          <w:spacing w:val="45"/>
        </w:rPr>
        <w:t> </w:t>
      </w:r>
      <w:r>
        <w:rPr>
          <w:spacing w:val="45"/>
        </w:rPr>
      </w:r>
      <w:r>
        <w:rPr>
          <w:spacing w:val="-4"/>
        </w:rPr>
        <w:t>股东损益”项目列示。少数股东分担的子公司的亏损超过了少数股东在该子公司期初股东权益中所享有的份额，仍冲减少数</w:t>
      </w:r>
      <w:r>
        <w:rPr>
          <w:spacing w:val="42"/>
        </w:rPr>
        <w:t> </w:t>
      </w:r>
      <w:r>
        <w:rPr>
          <w:spacing w:val="42"/>
        </w:rPr>
      </w:r>
      <w:r>
        <w:rPr/>
        <w:t>股东权益。</w:t>
      </w:r>
    </w:p>
    <w:p>
      <w:pPr>
        <w:pStyle w:val="BodyText"/>
        <w:spacing w:line="316" w:lineRule="auto" w:before="17"/>
        <w:ind w:right="1122" w:firstLine="422"/>
        <w:jc w:val="both"/>
      </w:pPr>
      <w:r>
        <w:rPr>
          <w:spacing w:val="-2"/>
        </w:rPr>
        <w:t>当因处置部分股权投资或其他原因丧失了对原有子公司的控制权时，对于剩余股权，按照其在丧失控制权日的公允价</w:t>
      </w:r>
      <w:r>
        <w:rPr>
          <w:w w:val="101"/>
        </w:rPr>
        <w:t> </w:t>
      </w:r>
      <w:r>
        <w:rPr>
          <w:spacing w:val="-4"/>
        </w:rPr>
        <w:t>值进行重新计量。处置股权取得的对价与剩余股权公允价值之和，减去按原持股比例计算应享有原有子公司自购买日开始持</w:t>
      </w:r>
      <w:r>
        <w:rPr>
          <w:spacing w:val="44"/>
        </w:rPr>
        <w:t> </w:t>
      </w:r>
      <w:r>
        <w:rPr>
          <w:spacing w:val="44"/>
        </w:rPr>
      </w:r>
      <w:r>
        <w:rPr>
          <w:spacing w:val="-4"/>
        </w:rPr>
        <w:t>续计算的净资产的份额之间的差额，计入丧失控制权当期的投资收益。与原有子公司股权投资相关的其他综合收益，在丧失</w:t>
      </w:r>
      <w:r>
        <w:rPr>
          <w:spacing w:val="43"/>
        </w:rPr>
        <w:t> </w:t>
      </w:r>
      <w:r>
        <w:rPr>
          <w:spacing w:val="43"/>
        </w:rPr>
      </w:r>
      <w:r>
        <w:rPr>
          <w:spacing w:val="-5"/>
        </w:rPr>
        <w:t>控制权时采用与被购买方直接处置相关资产或负债相同的基础进行会计处理（即，除了在该原有子公司重新计量设定受益计</w:t>
      </w:r>
      <w:r>
        <w:rPr>
          <w:spacing w:val="6"/>
        </w:rPr>
        <w:t> </w:t>
      </w:r>
      <w:r>
        <w:rPr>
          <w:spacing w:val="6"/>
        </w:rPr>
      </w:r>
      <w:r>
        <w:rPr>
          <w:spacing w:val="-4"/>
        </w:rPr>
        <w:t>划净负债或净资产导致的变动以外，其余一并转为当期投资收益）。其后</w:t>
      </w:r>
      <w:r>
        <w:rPr>
          <w:rFonts w:ascii="宋体" w:hAnsi="宋体" w:cs="宋体" w:eastAsia="宋体" w:hint="default"/>
          <w:spacing w:val="-4"/>
        </w:rPr>
        <w:t>,</w:t>
      </w:r>
      <w:r>
        <w:rPr>
          <w:spacing w:val="-4"/>
        </w:rPr>
        <w:t>对该部分剩余股权按照《企业会计准则第</w:t>
      </w:r>
      <w:r>
        <w:rPr>
          <w:rFonts w:ascii="宋体" w:hAnsi="宋体" w:cs="宋体" w:eastAsia="宋体" w:hint="default"/>
          <w:spacing w:val="-4"/>
        </w:rPr>
        <w:t>2</w:t>
      </w:r>
      <w:r>
        <w:rPr>
          <w:spacing w:val="-4"/>
        </w:rPr>
        <w:t>号——</w:t>
      </w:r>
      <w:r>
        <w:rPr>
          <w:spacing w:val="46"/>
        </w:rPr>
        <w:t> </w:t>
      </w:r>
      <w:r>
        <w:rPr>
          <w:spacing w:val="46"/>
        </w:rPr>
      </w:r>
      <w:r>
        <w:rPr>
          <w:spacing w:val="-4"/>
        </w:rPr>
        <w:t>长期股权投资》或《企业会计准则第</w:t>
      </w:r>
      <w:r>
        <w:rPr>
          <w:rFonts w:ascii="宋体" w:hAnsi="宋体" w:cs="宋体" w:eastAsia="宋体" w:hint="default"/>
          <w:spacing w:val="-4"/>
        </w:rPr>
        <w:t>22</w:t>
      </w:r>
      <w:r>
        <w:rPr>
          <w:spacing w:val="-4"/>
        </w:rPr>
        <w:t>号——金融工具确认和计量》等相关规定进行后续计量，详见本附注五、</w:t>
      </w:r>
      <w:r>
        <w:rPr>
          <w:rFonts w:ascii="宋体" w:hAnsi="宋体" w:cs="宋体" w:eastAsia="宋体" w:hint="default"/>
          <w:spacing w:val="-4"/>
        </w:rPr>
        <w:t>22</w:t>
      </w:r>
      <w:r>
        <w:rPr>
          <w:spacing w:val="-4"/>
        </w:rPr>
        <w:t>“长期股</w:t>
      </w:r>
      <w:r>
        <w:rPr>
          <w:spacing w:val="49"/>
        </w:rPr>
        <w:t> </w:t>
      </w:r>
      <w:r>
        <w:rPr>
          <w:spacing w:val="49"/>
        </w:rPr>
      </w:r>
      <w:r>
        <w:rPr>
          <w:spacing w:val="-3"/>
        </w:rPr>
        <w:t>权投资”或本附注五、</w:t>
      </w:r>
      <w:r>
        <w:rPr>
          <w:rFonts w:ascii="宋体" w:hAnsi="宋体" w:cs="宋体" w:eastAsia="宋体" w:hint="default"/>
          <w:spacing w:val="-3"/>
        </w:rPr>
        <w:t>10</w:t>
      </w:r>
      <w:r>
        <w:rPr>
          <w:spacing w:val="-3"/>
        </w:rPr>
        <w:t>“金融工具”。</w:t>
      </w:r>
    </w:p>
    <w:p>
      <w:pPr>
        <w:pStyle w:val="BodyText"/>
        <w:spacing w:line="319" w:lineRule="auto" w:before="19"/>
        <w:ind w:right="1122" w:firstLine="422"/>
        <w:jc w:val="both"/>
      </w:pPr>
      <w:r>
        <w:rPr>
          <w:spacing w:val="-2"/>
        </w:rPr>
        <w:t>本公司通过多次交易分步处置对子公司股权投资直至丧失控制权的，需区分处置对子公司股权投资直至丧失控制权的</w:t>
      </w:r>
      <w:r>
        <w:rPr>
          <w:w w:val="101"/>
        </w:rPr>
        <w:t> </w:t>
      </w:r>
      <w:r>
        <w:rPr>
          <w:spacing w:val="-4"/>
        </w:rPr>
        <w:t>各项交易是否属于一揽子交易。处置对子公司股权投资的各项交易的条款、条件以及经济影响符合以下一种或多种情况，通</w:t>
      </w:r>
      <w:r>
        <w:rPr>
          <w:spacing w:val="43"/>
        </w:rPr>
        <w:t> </w:t>
      </w:r>
      <w:r>
        <w:rPr>
          <w:spacing w:val="43"/>
        </w:rPr>
      </w:r>
      <w:r>
        <w:rPr>
          <w:spacing w:val="-6"/>
          <w:w w:val="101"/>
        </w:rPr>
        <w:t>常表明应将多次交易事项作为一揽子交易进行会计处理：①</w:t>
      </w:r>
      <w:r>
        <w:rPr>
          <w:w w:val="101"/>
        </w:rPr>
        <w:t> </w:t>
      </w:r>
      <w:r>
        <w:rPr>
          <w:spacing w:val="-6"/>
          <w:w w:val="101"/>
        </w:rPr>
        <w:t>这些交易是同时或者在考虑了彼此影响的情况下订立的；②</w:t>
      </w:r>
      <w:r>
        <w:rPr>
          <w:spacing w:val="4"/>
          <w:w w:val="101"/>
        </w:rPr>
        <w:t> </w:t>
      </w:r>
      <w:r>
        <w:rPr>
          <w:w w:val="101"/>
        </w:rPr>
        <w:t>这</w:t>
      </w:r>
      <w:r>
        <w:rPr>
          <w:w w:val="101"/>
        </w:rPr>
        <w:t> </w:t>
      </w:r>
      <w:r>
        <w:rPr>
          <w:spacing w:val="-3"/>
        </w:rPr>
        <w:t>些交易整体才能达成一项完整的商业结果；③一项交易的发生取决于其他至少一项交易的发生；④ 一项交易单独看是不经</w:t>
      </w:r>
      <w:r>
        <w:rPr>
          <w:spacing w:val="-11"/>
        </w:rPr>
        <w:t> </w:t>
      </w:r>
      <w:r>
        <w:rPr>
          <w:spacing w:val="-11"/>
        </w:rPr>
      </w:r>
      <w:r>
        <w:rPr>
          <w:spacing w:val="-4"/>
        </w:rPr>
        <w:t>济的，但是和其他交易一并考虑时是经济的。不属于一揽子交易的，对其中的每一项交易视情况分别按照“不丧失控制权的</w:t>
      </w:r>
      <w:r>
        <w:rPr>
          <w:spacing w:val="41"/>
        </w:rPr>
        <w:t> </w:t>
      </w:r>
      <w:r>
        <w:rPr>
          <w:spacing w:val="41"/>
        </w:rPr>
      </w:r>
      <w:r>
        <w:rPr>
          <w:spacing w:val="-3"/>
        </w:rPr>
        <w:t>情况下部分处置对子公司的长期股权投资”（详见本附注五、</w:t>
      </w:r>
      <w:r>
        <w:rPr>
          <w:rFonts w:ascii="宋体" w:hAnsi="宋体" w:cs="宋体" w:eastAsia="宋体" w:hint="default"/>
          <w:spacing w:val="-3"/>
        </w:rPr>
        <w:t>22</w:t>
      </w:r>
      <w:r>
        <w:rPr>
          <w:spacing w:val="-3"/>
        </w:rPr>
        <w:t>、（</w:t>
      </w:r>
      <w:r>
        <w:rPr>
          <w:rFonts w:ascii="宋体" w:hAnsi="宋体" w:cs="宋体" w:eastAsia="宋体" w:hint="default"/>
          <w:spacing w:val="-3"/>
        </w:rPr>
        <w:t>2</w:t>
      </w:r>
      <w:r>
        <w:rPr>
          <w:spacing w:val="-3"/>
        </w:rPr>
        <w:t>）④）和“因处置部分股权投资或其他原因丧失了对</w:t>
      </w:r>
    </w:p>
    <w:p>
      <w:pPr>
        <w:spacing w:after="0" w:line="31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ind w:right="1123"/>
        <w:jc w:val="both"/>
      </w:pPr>
      <w:r>
        <w:rPr>
          <w:spacing w:val="-4"/>
        </w:rPr>
        <w:t>原有子公司的控制权”（详见前段）适用的原则进行会计处理。处置对子公司股权投资直至丧失控制权的各项交易属于一揽</w:t>
      </w:r>
      <w:r>
        <w:rPr>
          <w:spacing w:val="41"/>
        </w:rPr>
        <w:t> </w:t>
      </w:r>
      <w:r>
        <w:rPr>
          <w:spacing w:val="41"/>
        </w:rPr>
      </w:r>
      <w:r>
        <w:rPr>
          <w:spacing w:val="-4"/>
        </w:rPr>
        <w:t>子交易的，将各项交易作为一项处置子公司并丧失控制权的交易进行会计处理；但是，在丧失控制权之前每一次处置价款与</w:t>
      </w:r>
      <w:r>
        <w:rPr>
          <w:spacing w:val="43"/>
        </w:rPr>
        <w:t> </w:t>
      </w:r>
      <w:r>
        <w:rPr>
          <w:spacing w:val="43"/>
        </w:rPr>
      </w:r>
      <w:r>
        <w:rPr>
          <w:spacing w:val="-4"/>
        </w:rPr>
        <w:t>处置投资对应的享有该子公司净资产份额的差额，在合并财务报表中确认为其他综合收益，在丧失控制权时一并转入丧失控</w:t>
      </w:r>
      <w:r>
        <w:rPr>
          <w:spacing w:val="43"/>
        </w:rPr>
        <w:t> </w:t>
      </w:r>
      <w:r>
        <w:rPr>
          <w:spacing w:val="43"/>
        </w:rPr>
      </w:r>
      <w:r>
        <w:rPr/>
        <w:t>制权当期的损益。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80"/>
      <w:bookmarkEnd w:id="18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0" w:firstLine="422"/>
        <w:jc w:val="left"/>
      </w:pPr>
      <w:r>
        <w:rPr>
          <w:spacing w:val="-4"/>
        </w:rPr>
        <w:t>合营安排，是指一项由两个或两个以上的参与方共同控制的安排。本公司根据在合营安排中享有的权利和承担的义务，</w:t>
      </w:r>
      <w:r>
        <w:rPr>
          <w:w w:val="101"/>
        </w:rPr>
        <w:t> </w:t>
      </w:r>
      <w:r>
        <w:rPr>
          <w:spacing w:val="-4"/>
        </w:rPr>
        <w:t>将合营安排分为共同经营和合营企业。共同经营，是指本公司享有该安排相关资产且承担该安排相关负债的合营安排。合营</w:t>
      </w:r>
      <w:r>
        <w:rPr>
          <w:spacing w:val="43"/>
        </w:rPr>
        <w:t> </w:t>
      </w:r>
      <w:r>
        <w:rPr>
          <w:spacing w:val="43"/>
        </w:rPr>
      </w:r>
      <w:r>
        <w:rPr>
          <w:spacing w:val="-3"/>
        </w:rPr>
        <w:t>企业，是指本公司仅对该安排的净资产享有权利的合营安排。</w:t>
      </w:r>
    </w:p>
    <w:p>
      <w:pPr>
        <w:pStyle w:val="BodyText"/>
        <w:spacing w:line="316" w:lineRule="auto" w:before="17"/>
        <w:ind w:right="1117" w:firstLine="422"/>
        <w:jc w:val="both"/>
      </w:pPr>
      <w:r>
        <w:rPr>
          <w:spacing w:val="-2"/>
        </w:rPr>
        <w:t>本公司对合营企业的投资采用权益法核算，按照本附注五、</w:t>
      </w:r>
      <w:r>
        <w:rPr>
          <w:rFonts w:ascii="宋体" w:hAnsi="宋体" w:cs="宋体" w:eastAsia="宋体" w:hint="default"/>
          <w:spacing w:val="-2"/>
        </w:rPr>
        <w:t>15</w:t>
      </w:r>
      <w:r>
        <w:rPr>
          <w:spacing w:val="-2"/>
        </w:rPr>
        <w:t>（</w:t>
      </w:r>
      <w:r>
        <w:rPr>
          <w:rFonts w:ascii="宋体" w:hAnsi="宋体" w:cs="宋体" w:eastAsia="宋体" w:hint="default"/>
          <w:spacing w:val="-2"/>
        </w:rPr>
        <w:t>2</w:t>
      </w:r>
      <w:r>
        <w:rPr>
          <w:spacing w:val="-2"/>
        </w:rPr>
        <w:t>）②“</w:t>
      </w:r>
      <w:r>
        <w:rPr>
          <w:spacing w:val="36"/>
        </w:rPr>
        <w:t> </w:t>
      </w:r>
      <w:r>
        <w:rPr>
          <w:spacing w:val="-2"/>
        </w:rPr>
        <w:t>权益法核算的长期股权投资”中所述的会计</w:t>
      </w:r>
      <w:r>
        <w:rPr>
          <w:w w:val="101"/>
        </w:rPr>
        <w:t> </w:t>
      </w:r>
      <w:r>
        <w:rPr/>
        <w:t>政策处理。</w:t>
      </w:r>
    </w:p>
    <w:p>
      <w:pPr>
        <w:pStyle w:val="BodyText"/>
        <w:spacing w:line="319" w:lineRule="auto" w:before="19"/>
        <w:ind w:right="1123" w:firstLine="422"/>
        <w:jc w:val="both"/>
      </w:pPr>
      <w:r>
        <w:rPr>
          <w:spacing w:val="-2"/>
        </w:rPr>
        <w:t>本公司作为合营方对共同经营，确认本公司单独持有的资产、单独所承担的负债，以及按本公司份额确认共同持有的</w:t>
      </w:r>
      <w:r>
        <w:rPr>
          <w:w w:val="101"/>
        </w:rPr>
        <w:t> </w:t>
      </w:r>
      <w:r>
        <w:rPr>
          <w:spacing w:val="-4"/>
        </w:rPr>
        <w:t>资产和共同承担的负债；确认出售本公司享有的共同经营产出份额所产生的收入；按本公司份额确认共同经营因出售产出所</w:t>
      </w:r>
      <w:r>
        <w:rPr>
          <w:spacing w:val="45"/>
        </w:rPr>
        <w:t> </w:t>
      </w:r>
      <w:r>
        <w:rPr>
          <w:spacing w:val="45"/>
        </w:rPr>
      </w:r>
      <w:r>
        <w:rPr>
          <w:spacing w:val="-3"/>
        </w:rPr>
        <w:t>产生的收入；确认本公司单独所发生的费用，以及按本公司份额确认共同经营发生的费用。</w:t>
      </w:r>
    </w:p>
    <w:p>
      <w:pPr>
        <w:pStyle w:val="BodyText"/>
        <w:spacing w:line="316" w:lineRule="auto" w:before="17"/>
        <w:ind w:right="1124" w:firstLine="422"/>
        <w:jc w:val="both"/>
      </w:pPr>
      <w:r>
        <w:rPr>
          <w:spacing w:val="-2"/>
        </w:rPr>
        <w:t>当本公司作为合营方向共同经营投出或出售资产（该资产不构成业务，下同）或者自共同经营购买资产时，在该等资</w:t>
      </w:r>
      <w:r>
        <w:rPr>
          <w:w w:val="101"/>
        </w:rPr>
        <w:t> </w:t>
      </w:r>
      <w:r>
        <w:rPr>
          <w:spacing w:val="-4"/>
        </w:rPr>
        <w:t>产出售给第三方之前，本公司仅确认因该交易产生的损益中归属于共同经营其他参与方的部分。该等资产发生符合《企业会</w:t>
      </w:r>
      <w:r>
        <w:rPr>
          <w:spacing w:val="43"/>
        </w:rPr>
        <w:t> </w:t>
      </w:r>
      <w:r>
        <w:rPr>
          <w:spacing w:val="43"/>
        </w:rPr>
      </w:r>
      <w:r>
        <w:rPr>
          <w:spacing w:val="-3"/>
        </w:rPr>
        <w:t>计准则第</w:t>
      </w:r>
      <w:r>
        <w:rPr>
          <w:rFonts w:ascii="宋体" w:hAnsi="宋体" w:cs="宋体" w:eastAsia="宋体" w:hint="default"/>
          <w:spacing w:val="-3"/>
        </w:rPr>
        <w:t>8</w:t>
      </w:r>
      <w:r>
        <w:rPr>
          <w:spacing w:val="-3"/>
        </w:rPr>
        <w:t>号——资产减值》等规定的资产减值损失的，对于由本公司向共同经营投出或出售资产的情况，本公司全额确认</w:t>
      </w:r>
      <w:r>
        <w:rPr>
          <w:spacing w:val="74"/>
        </w:rPr>
        <w:t> </w:t>
      </w:r>
      <w:r>
        <w:rPr>
          <w:spacing w:val="74"/>
        </w:rPr>
      </w:r>
      <w:r>
        <w:rPr>
          <w:spacing w:val="-3"/>
        </w:rPr>
        <w:t>该损失；对于本公司自共同经营购买资产的情况，本公司按承担的份额确认该损失。</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81"/>
      <w:bookmarkEnd w:id="18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right="1124" w:firstLine="360"/>
        <w:jc w:val="both"/>
      </w:pPr>
      <w:r>
        <w:rPr>
          <w:spacing w:val="-4"/>
        </w:rPr>
        <w:t>本公司现金及现金等价物包括库存现金、可以随时用于支付的存款以及本公司持有的期限短（一般为从购买日起，三个</w:t>
      </w:r>
      <w:r>
        <w:rPr>
          <w:w w:val="101"/>
        </w:rPr>
        <w:t> </w:t>
      </w:r>
      <w:r>
        <w:rPr>
          <w:spacing w:val="-3"/>
        </w:rPr>
        <w:t>月内到期）、流动性强、易于转换为已知金额的现金、价值变动风险很小的投资。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82"/>
      <w:bookmarkEnd w:id="18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513" w:right="0"/>
        <w:jc w:val="left"/>
      </w:pPr>
      <w:r>
        <w:rPr>
          <w:spacing w:val="-3"/>
        </w:rPr>
        <w:t>（</w:t>
      </w:r>
      <w:r>
        <w:rPr>
          <w:rFonts w:ascii="宋体" w:hAnsi="宋体" w:cs="宋体" w:eastAsia="宋体" w:hint="default"/>
          <w:spacing w:val="-3"/>
        </w:rPr>
        <w:t>1</w:t>
      </w:r>
      <w:r>
        <w:rPr>
          <w:spacing w:val="-3"/>
        </w:rPr>
        <w:t>）外币交易的折算方法</w:t>
      </w:r>
      <w:r>
        <w:rPr>
          <w:spacing w:val="-52"/>
        </w:rPr>
        <w:t> </w:t>
      </w:r>
      <w:r>
        <w:rPr>
          <w:spacing w:val="-52"/>
        </w:rPr>
      </w:r>
      <w:r>
        <w:rPr>
          <w:spacing w:val="-6"/>
        </w:rPr>
        <w:t>本公司发生的外币交易在初始确认时，按交易日的即期汇率（通常指中国人民银行公布的当日外汇牌价的中间价，下同）</w:t>
      </w:r>
    </w:p>
    <w:p>
      <w:pPr>
        <w:pStyle w:val="BodyText"/>
        <w:spacing w:line="319" w:lineRule="auto" w:before="19"/>
        <w:ind w:right="1124"/>
        <w:jc w:val="both"/>
      </w:pPr>
      <w:r>
        <w:rPr>
          <w:spacing w:val="-4"/>
        </w:rPr>
        <w:t>折算为记账本位币金额，但公司发生的外币兑换业务或涉及外币兑换的交易事项，按照实际采用的汇率折算为记账本位币金</w:t>
      </w:r>
      <w:r>
        <w:rPr>
          <w:spacing w:val="44"/>
        </w:rPr>
        <w:t> </w:t>
      </w:r>
      <w:r>
        <w:rPr>
          <w:spacing w:val="44"/>
        </w:rPr>
      </w:r>
      <w:r>
        <w:rPr/>
        <w:t>额。</w:t>
      </w:r>
    </w:p>
    <w:p>
      <w:pPr>
        <w:pStyle w:val="BodyText"/>
        <w:spacing w:line="316" w:lineRule="auto" w:before="17"/>
        <w:ind w:left="513" w:right="0"/>
        <w:jc w:val="left"/>
      </w:pPr>
      <w:r>
        <w:rPr>
          <w:spacing w:val="-3"/>
        </w:rPr>
        <w:t>（</w:t>
      </w:r>
      <w:r>
        <w:rPr>
          <w:rFonts w:ascii="宋体" w:hAnsi="宋体" w:cs="宋体" w:eastAsia="宋体" w:hint="default"/>
          <w:spacing w:val="-3"/>
        </w:rPr>
        <w:t>2</w:t>
      </w:r>
      <w:r>
        <w:rPr>
          <w:spacing w:val="-3"/>
        </w:rPr>
        <w:t>）对于外币货币性项目和外币非货币性项目的折算方法</w:t>
      </w:r>
      <w:r>
        <w:rPr>
          <w:spacing w:val="-11"/>
        </w:rPr>
        <w:t> </w:t>
      </w:r>
      <w:r>
        <w:rPr>
          <w:spacing w:val="-11"/>
        </w:rPr>
      </w:r>
      <w:r>
        <w:rPr>
          <w:spacing w:val="-5"/>
        </w:rPr>
        <w:t>资产负债表日，对于外币货币性项目采用资产负债表日即期汇率折算，由此产生的汇兑差额，除：属于与购建符合资本</w:t>
      </w:r>
    </w:p>
    <w:p>
      <w:pPr>
        <w:pStyle w:val="BodyText"/>
        <w:spacing w:line="316" w:lineRule="auto" w:before="19"/>
        <w:ind w:right="1128"/>
        <w:jc w:val="both"/>
      </w:pPr>
      <w:r>
        <w:rPr>
          <w:spacing w:val="-4"/>
          <w:w w:val="101"/>
        </w:rPr>
        <w:t>化条件的资产相关的外币专门借款产生的汇兑差额按照借款费用资本化的原则处理，以及可供出售的外币货币性项目除摊余</w:t>
      </w:r>
      <w:r>
        <w:rPr>
          <w:w w:val="101"/>
        </w:rPr>
        <w:t> </w:t>
      </w:r>
      <w:r>
        <w:rPr>
          <w:spacing w:val="-3"/>
        </w:rPr>
        <w:t>成本之外的其他账面余额变动产生的汇兑差额计入其他综合收益之外，均计入当期损益。</w:t>
      </w:r>
    </w:p>
    <w:p>
      <w:pPr>
        <w:pStyle w:val="BodyText"/>
        <w:spacing w:line="319" w:lineRule="auto" w:before="19"/>
        <w:ind w:right="1122" w:firstLine="360"/>
        <w:jc w:val="both"/>
      </w:pPr>
      <w:r>
        <w:rPr>
          <w:spacing w:val="-4"/>
        </w:rPr>
        <w:t>以历史成本计量的外币非货币性项目，仍采用交易发生日的即期汇率折算的记账本位币金额计量。以公允价值计量的外</w:t>
      </w:r>
      <w:r>
        <w:rPr>
          <w:w w:val="101"/>
        </w:rPr>
        <w:t> </w:t>
      </w:r>
      <w:r>
        <w:rPr>
          <w:spacing w:val="-4"/>
        </w:rPr>
        <w:t>币非货币性项目，采用公允价值确定日的即期汇率折算，折算后的记账本位币金额与原记账本位币金额的差额，作为公允价</w:t>
      </w:r>
      <w:r>
        <w:rPr>
          <w:spacing w:val="44"/>
        </w:rPr>
        <w:t> </w:t>
      </w:r>
      <w:r>
        <w:rPr>
          <w:spacing w:val="44"/>
        </w:rPr>
      </w:r>
      <w:r>
        <w:rPr>
          <w:spacing w:val="-3"/>
        </w:rPr>
        <w:t>值变动（含汇率变动）处理，计入当期损益或确认为其他综合收益。</w:t>
      </w:r>
    </w:p>
    <w:p>
      <w:pPr>
        <w:pStyle w:val="BodyText"/>
        <w:spacing w:line="316" w:lineRule="auto" w:before="17"/>
        <w:ind w:left="513" w:right="0"/>
        <w:jc w:val="left"/>
      </w:pPr>
      <w:r>
        <w:rPr>
          <w:spacing w:val="-3"/>
        </w:rPr>
        <w:t>（</w:t>
      </w:r>
      <w:r>
        <w:rPr>
          <w:rFonts w:ascii="宋体" w:hAnsi="宋体" w:cs="宋体" w:eastAsia="宋体" w:hint="default"/>
          <w:spacing w:val="-3"/>
        </w:rPr>
        <w:t>3</w:t>
      </w:r>
      <w:r>
        <w:rPr>
          <w:spacing w:val="-3"/>
        </w:rPr>
        <w:t>）外币财务报表的折算方法</w:t>
      </w:r>
      <w:r>
        <w:rPr>
          <w:spacing w:val="-46"/>
        </w:rPr>
        <w:t> </w:t>
      </w:r>
      <w:r>
        <w:rPr>
          <w:spacing w:val="-46"/>
        </w:rPr>
      </w:r>
      <w:r>
        <w:rPr>
          <w:spacing w:val="-4"/>
        </w:rPr>
        <w:t>编制合并财务报表涉及境外经营的，如有实质上构成对境外经营净投资的外币货币性项目，因汇率变动而产生的汇兑差</w:t>
      </w:r>
    </w:p>
    <w:p>
      <w:pPr>
        <w:pStyle w:val="BodyText"/>
        <w:spacing w:line="319" w:lineRule="auto" w:before="19"/>
        <w:ind w:left="513" w:right="0" w:hanging="360"/>
        <w:jc w:val="left"/>
      </w:pPr>
      <w:r>
        <w:rPr>
          <w:spacing w:val="-3"/>
        </w:rPr>
        <w:t>额，作为“外币报表折算差额”确认为其他综合收益；处置境外经营时，计入处置当期损益。</w:t>
      </w:r>
      <w:r>
        <w:rPr>
          <w:spacing w:val="31"/>
        </w:rPr>
        <w:t> </w:t>
      </w:r>
      <w:r>
        <w:rPr>
          <w:spacing w:val="31"/>
        </w:rPr>
      </w:r>
      <w:r>
        <w:rPr>
          <w:spacing w:val="-4"/>
        </w:rPr>
        <w:t>境外经营的外币财务报表按以下方法折算为人民币报表：资产负债表中的资产和负债项目，采用资产负债表日的即期汇</w:t>
      </w:r>
    </w:p>
    <w:p>
      <w:pPr>
        <w:pStyle w:val="BodyText"/>
        <w:spacing w:line="316" w:lineRule="auto" w:before="17"/>
        <w:ind w:right="1122"/>
        <w:jc w:val="both"/>
      </w:pPr>
      <w:r>
        <w:rPr>
          <w:spacing w:val="-4"/>
        </w:rPr>
        <w:t>率折算；股东权益类项目除“未分配利润”项目外，其他项目采用发生时的即期汇率折算。利润表中的收入和费用项目，采</w:t>
      </w:r>
      <w:r>
        <w:rPr>
          <w:spacing w:val="41"/>
        </w:rPr>
        <w:t> </w:t>
      </w:r>
      <w:r>
        <w:rPr>
          <w:spacing w:val="41"/>
        </w:rPr>
      </w:r>
      <w:r>
        <w:rPr>
          <w:spacing w:val="-4"/>
        </w:rPr>
        <w:t>用交易发生当期平均汇率折算。年初未分配利润为上一年折算后的年末未分配利润；年末未分配利润按折算后的利润分配各</w:t>
      </w:r>
      <w:r>
        <w:rPr>
          <w:spacing w:val="42"/>
        </w:rPr>
        <w:t> </w:t>
      </w:r>
      <w:r>
        <w:rPr>
          <w:spacing w:val="42"/>
        </w:rPr>
      </w:r>
      <w:r>
        <w:rPr>
          <w:spacing w:val="-4"/>
        </w:rPr>
        <w:t>项目计算列示；折算后资产类项目与负债类项目和股东权益类项目合计数的差额，作为外币报表折算差额，确认为其他综合</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ind w:right="1124"/>
        <w:jc w:val="both"/>
      </w:pPr>
      <w:r>
        <w:rPr>
          <w:spacing w:val="-4"/>
        </w:rPr>
        <w:t>收益。处置境外经营并丧失控制权时，将资产负债表中股东权益项目下列示的、与该境外经营相关的外币报表折算差额，全</w:t>
      </w:r>
      <w:r>
        <w:rPr>
          <w:spacing w:val="40"/>
        </w:rPr>
        <w:t> </w:t>
      </w:r>
      <w:r>
        <w:rPr>
          <w:spacing w:val="40"/>
        </w:rPr>
      </w:r>
      <w:r>
        <w:rPr>
          <w:spacing w:val="-3"/>
        </w:rPr>
        <w:t>部或按处置该境外经营的比例转入处置当期损益。</w:t>
      </w:r>
    </w:p>
    <w:p>
      <w:pPr>
        <w:pStyle w:val="BodyText"/>
        <w:spacing w:line="319" w:lineRule="auto" w:before="19"/>
        <w:ind w:right="0" w:firstLine="360"/>
        <w:jc w:val="left"/>
      </w:pPr>
      <w:r>
        <w:rPr>
          <w:spacing w:val="-4"/>
        </w:rPr>
        <w:t>外币现金流量以及境外子公司的现金流量，采用现金流量发生当期平均汇率折算。汇率变动对现金的影响额作为调节项</w:t>
      </w:r>
      <w:r>
        <w:rPr>
          <w:w w:val="101"/>
        </w:rPr>
        <w:t> </w:t>
      </w:r>
      <w:r>
        <w:rPr>
          <w:spacing w:val="-3"/>
        </w:rPr>
        <w:t>目，在现金流量表中单独列报。</w:t>
      </w:r>
    </w:p>
    <w:p>
      <w:pPr>
        <w:pStyle w:val="BodyText"/>
        <w:spacing w:line="316" w:lineRule="auto" w:before="17"/>
        <w:ind w:left="513" w:right="0"/>
        <w:jc w:val="left"/>
      </w:pPr>
      <w:r>
        <w:rPr>
          <w:spacing w:val="-3"/>
        </w:rPr>
        <w:t>年初数和上年实际数按照上年财务报表折算后的数额列示。</w:t>
      </w:r>
      <w:r>
        <w:rPr>
          <w:spacing w:val="-10"/>
        </w:rPr>
        <w:t> </w:t>
      </w:r>
      <w:r>
        <w:rPr>
          <w:spacing w:val="-10"/>
        </w:rPr>
      </w:r>
      <w:r>
        <w:rPr>
          <w:spacing w:val="-5"/>
          <w:w w:val="101"/>
        </w:rPr>
        <w:t>在处置本公司在境外经营的全部所有者权益或因处置部分股权投资或其他原因丧失了对境外经营控制权时，将资产负债</w:t>
      </w:r>
      <w:r>
        <w:rPr>
          <w:spacing w:val="-5"/>
        </w:rPr>
      </w:r>
    </w:p>
    <w:p>
      <w:pPr>
        <w:pStyle w:val="BodyText"/>
        <w:spacing w:line="316" w:lineRule="auto" w:before="19"/>
        <w:ind w:left="513" w:right="0" w:hanging="360"/>
        <w:jc w:val="left"/>
      </w:pPr>
      <w:r>
        <w:rPr>
          <w:spacing w:val="-3"/>
        </w:rPr>
        <w:t>表中股东权益项目下列示的、与该境外经营相关的归属于母公司所有者权益的外币报表折算差额，全部转入处置当期损益。</w:t>
      </w:r>
      <w:r>
        <w:rPr>
          <w:spacing w:val="66"/>
        </w:rPr>
        <w:t> </w:t>
      </w:r>
      <w:r>
        <w:rPr>
          <w:spacing w:val="66"/>
        </w:rPr>
      </w:r>
      <w:r>
        <w:rPr>
          <w:spacing w:val="-5"/>
          <w:w w:val="101"/>
        </w:rPr>
        <w:t>在处置部分股权投资或其他原因导致持有境外经营权益比例降低但不丧失对境外经营控制权时，与该境外经营处置部分</w:t>
      </w:r>
      <w:r>
        <w:rPr>
          <w:spacing w:val="-5"/>
        </w:rPr>
      </w:r>
    </w:p>
    <w:p>
      <w:pPr>
        <w:pStyle w:val="BodyText"/>
        <w:spacing w:line="319" w:lineRule="auto" w:before="19"/>
        <w:ind w:right="1047"/>
        <w:jc w:val="both"/>
      </w:pPr>
      <w:r>
        <w:rPr>
          <w:spacing w:val="-3"/>
        </w:rPr>
        <w:t>相关的外币报表折算差额将归属于少数股东权益，不转入当期损益。在处置境外经营为联营企业或合营企业的部分股权时，</w:t>
      </w:r>
      <w:r>
        <w:rPr>
          <w:spacing w:val="66"/>
        </w:rPr>
        <w:t> </w:t>
      </w:r>
      <w:r>
        <w:rPr>
          <w:spacing w:val="66"/>
        </w:rPr>
      </w:r>
      <w:r>
        <w:rPr>
          <w:spacing w:val="-3"/>
        </w:rPr>
        <w:t>与该境外经营相关的外币报表折算差额，按处置该境外经营的比例转入处置当期损益。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10、金融工具" w:id="183"/>
      <w:bookmarkEnd w:id="18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0" w:firstLine="360"/>
        <w:jc w:val="left"/>
      </w:pPr>
      <w:r>
        <w:rPr>
          <w:spacing w:val="-6"/>
          <w:w w:val="101"/>
        </w:rPr>
        <w:t>金融工具，是指形成一方的金融资产并形成其他方的金融负债或权益工具的合同。当本公司成为金融工具合同的一方时，</w:t>
      </w:r>
      <w:r>
        <w:rPr>
          <w:w w:val="101"/>
        </w:rPr>
        <w:t> </w:t>
      </w:r>
      <w:r>
        <w:rPr>
          <w:spacing w:val="-3"/>
        </w:rPr>
        <w:t>确认相关的金融资产或金融负债。</w:t>
      </w:r>
    </w:p>
    <w:p>
      <w:pPr>
        <w:pStyle w:val="BodyText"/>
        <w:spacing w:line="316" w:lineRule="auto" w:before="17"/>
        <w:ind w:right="1124" w:firstLine="360"/>
        <w:jc w:val="both"/>
      </w:pPr>
      <w:r>
        <w:rPr>
          <w:spacing w:val="-5"/>
          <w:w w:val="101"/>
        </w:rPr>
        <w:t>金融资产和金融负债在初始确认时以公允价值计量：①对于以公允价值计量且其变动计入当期损益的金融资产和金融负</w:t>
      </w:r>
      <w:r>
        <w:rPr>
          <w:w w:val="101"/>
        </w:rPr>
        <w:t> </w:t>
      </w:r>
      <w:r>
        <w:rPr>
          <w:spacing w:val="-4"/>
        </w:rPr>
        <w:t>债，相关交易费用直接计入当期损益；②对于其他类别的金融资产和金融负债，相关交易费用计入初始确认金额。金融资产</w:t>
      </w:r>
      <w:r>
        <w:rPr>
          <w:spacing w:val="40"/>
        </w:rPr>
        <w:t> </w:t>
      </w:r>
      <w:r>
        <w:rPr>
          <w:spacing w:val="40"/>
        </w:rPr>
      </w:r>
      <w:r>
        <w:rPr>
          <w:spacing w:val="-3"/>
        </w:rPr>
        <w:t>和金融负债的后续计量取决于其分类。</w:t>
      </w:r>
    </w:p>
    <w:p>
      <w:pPr>
        <w:pStyle w:val="BodyText"/>
        <w:spacing w:line="319" w:lineRule="auto" w:before="19"/>
        <w:ind w:right="0" w:firstLine="360"/>
        <w:jc w:val="left"/>
      </w:pPr>
      <w:r>
        <w:rPr>
          <w:spacing w:val="-6"/>
          <w:w w:val="101"/>
        </w:rPr>
        <w:t>金融资产或金融负债满足下列条件之一的，表明持有目的是交易性的：①取得相关金融资产或承担相关金融负债的目的，</w:t>
      </w:r>
      <w:r>
        <w:rPr>
          <w:w w:val="101"/>
        </w:rPr>
        <w:t> </w:t>
      </w:r>
      <w:r>
        <w:rPr>
          <w:spacing w:val="-4"/>
        </w:rPr>
        <w:t>主要是为了近期内出售或回购；②初始确认时属于集中管理的可辨认金融工具组合的一部分，且有客观证据表明近期实际存</w:t>
      </w:r>
      <w:r>
        <w:rPr>
          <w:spacing w:val="42"/>
        </w:rPr>
        <w:t> </w:t>
      </w:r>
      <w:r>
        <w:rPr>
          <w:spacing w:val="42"/>
        </w:rPr>
      </w:r>
      <w:r>
        <w:rPr>
          <w:spacing w:val="-3"/>
        </w:rPr>
        <w:t>在短期获利模式；③属于衍生工具，但符合财务担保合同定义的衍生工具以及被指定为有效套期工具的衍生工具除外。</w:t>
      </w:r>
    </w:p>
    <w:p>
      <w:pPr>
        <w:pStyle w:val="BodyText"/>
        <w:spacing w:line="316" w:lineRule="auto" w:before="17"/>
        <w:ind w:left="513" w:right="1051"/>
        <w:jc w:val="left"/>
      </w:pPr>
      <w:r>
        <w:rPr/>
        <w:t>（</w:t>
      </w:r>
      <w:r>
        <w:rPr>
          <w:rFonts w:ascii="宋体" w:hAnsi="宋体" w:cs="宋体" w:eastAsia="宋体" w:hint="default"/>
        </w:rPr>
        <w:t>1</w:t>
      </w:r>
      <w:r>
        <w:rPr/>
        <w:t>）债务工具</w:t>
      </w:r>
      <w:r>
        <w:rPr>
          <w:spacing w:val="-85"/>
        </w:rPr>
        <w:t> </w:t>
      </w:r>
      <w:r>
        <w:rPr>
          <w:spacing w:val="-85"/>
        </w:rPr>
      </w:r>
      <w:r>
        <w:rPr>
          <w:spacing w:val="-5"/>
          <w:w w:val="101"/>
        </w:rPr>
        <w:t>债务工具是指从发行方角度分析符合金融负债定义的工具。债务工具的分类和后续计量取决于本公司管理金融资产的业</w:t>
      </w:r>
      <w:r>
        <w:rPr>
          <w:spacing w:val="-5"/>
        </w:rPr>
      </w:r>
    </w:p>
    <w:p>
      <w:pPr>
        <w:pStyle w:val="BodyText"/>
        <w:spacing w:line="319" w:lineRule="auto" w:before="19"/>
        <w:ind w:right="1124"/>
        <w:jc w:val="both"/>
      </w:pPr>
      <w:r>
        <w:rPr>
          <w:spacing w:val="-4"/>
        </w:rPr>
        <w:t>务模式，以及金融资产的合同现金流量特征。不能通过现金流量特征测试的，直接分类为以公允价值计量且其变动计入当期</w:t>
      </w:r>
      <w:r>
        <w:rPr>
          <w:spacing w:val="43"/>
        </w:rPr>
        <w:t> </w:t>
      </w:r>
      <w:r>
        <w:rPr>
          <w:spacing w:val="43"/>
        </w:rPr>
      </w:r>
      <w:r>
        <w:rPr>
          <w:spacing w:val="-4"/>
        </w:rPr>
        <w:t>损益的金融资产；能够通过现金流量特征测试的，其分类取决于管理金融资产的业务模式，以及是否将其指定为以公允价值</w:t>
      </w:r>
      <w:r>
        <w:rPr>
          <w:spacing w:val="43"/>
        </w:rPr>
        <w:t> </w:t>
      </w:r>
      <w:r>
        <w:rPr>
          <w:spacing w:val="43"/>
        </w:rPr>
      </w:r>
      <w:r>
        <w:rPr>
          <w:spacing w:val="-3"/>
        </w:rPr>
        <w:t>计量且其变动计入当期损益的金融资产。</w:t>
      </w:r>
    </w:p>
    <w:p>
      <w:pPr>
        <w:pStyle w:val="BodyText"/>
        <w:spacing w:line="316" w:lineRule="auto" w:before="17"/>
        <w:ind w:right="0" w:firstLine="360"/>
        <w:jc w:val="left"/>
      </w:pPr>
      <w:r>
        <w:rPr>
          <w:spacing w:val="-4"/>
        </w:rPr>
        <w:t>①以摊余成本计量。本公司管理此类金融资产的业务模式为以收取合同现金流量为目标，且此类金融资产的合同现金流</w:t>
      </w:r>
      <w:r>
        <w:rPr>
          <w:w w:val="101"/>
        </w:rPr>
        <w:t> </w:t>
      </w:r>
      <w:r>
        <w:rPr>
          <w:spacing w:val="-4"/>
        </w:rPr>
        <w:t>量特征与基本借贷安排相一致，即在特定日期产生的现金流量，仅为对本金和以未偿付本金金额为基础的利息的支付，同时</w:t>
      </w:r>
      <w:r>
        <w:rPr>
          <w:spacing w:val="43"/>
        </w:rPr>
        <w:t> </w:t>
      </w:r>
      <w:r>
        <w:rPr>
          <w:spacing w:val="43"/>
        </w:rPr>
      </w:r>
      <w:r>
        <w:rPr>
          <w:spacing w:val="-3"/>
        </w:rPr>
        <w:t>并未指定此类金融资产为以公允价值计量且其变动计入当期损益。本公司对于此类金融资产按照实际利率法确认利息收入。</w:t>
      </w:r>
      <w:r>
        <w:rPr>
          <w:spacing w:val="66"/>
        </w:rPr>
        <w:t> </w:t>
      </w:r>
      <w:r>
        <w:rPr>
          <w:spacing w:val="66"/>
        </w:rPr>
      </w:r>
      <w:r>
        <w:rPr>
          <w:spacing w:val="-3"/>
        </w:rPr>
        <w:t>此类金融资产因终止确认产生的利得或损失以及因减值导致的损失直接计入当期损益。</w:t>
      </w:r>
    </w:p>
    <w:p>
      <w:pPr>
        <w:pStyle w:val="BodyText"/>
        <w:spacing w:line="316" w:lineRule="auto" w:before="19"/>
        <w:ind w:right="1122" w:firstLine="360"/>
        <w:jc w:val="both"/>
      </w:pPr>
      <w:r>
        <w:rPr>
          <w:spacing w:val="-5"/>
          <w:w w:val="101"/>
        </w:rPr>
        <w:t>②以公允价值计量且其变动计入其他综合收益。本公司管理此类金融资产的业务模式为既以收取合同现金流量为目标又</w:t>
      </w:r>
      <w:r>
        <w:rPr>
          <w:w w:val="101"/>
        </w:rPr>
        <w:t> </w:t>
      </w:r>
      <w:r>
        <w:rPr>
          <w:spacing w:val="-4"/>
        </w:rPr>
        <w:t>以出售为目标，且此类金融资产的合同现金流量特征与基本借贷安排相一致，即在特定日期产生的现金流量，仅为对本金和</w:t>
      </w:r>
      <w:r>
        <w:rPr>
          <w:spacing w:val="43"/>
        </w:rPr>
        <w:t> </w:t>
      </w:r>
      <w:r>
        <w:rPr>
          <w:spacing w:val="43"/>
        </w:rPr>
      </w:r>
      <w:r>
        <w:rPr>
          <w:spacing w:val="-4"/>
        </w:rPr>
        <w:t>以未偿付本金金额为基础的利息的支付，同时并未指定此类金融资产为以公允价值计量且其变动计入当期损益。此类金融资</w:t>
      </w:r>
      <w:r>
        <w:rPr>
          <w:spacing w:val="42"/>
        </w:rPr>
        <w:t> </w:t>
      </w:r>
      <w:r>
        <w:rPr>
          <w:spacing w:val="42"/>
        </w:rPr>
      </w:r>
      <w:r>
        <w:rPr>
          <w:spacing w:val="-4"/>
        </w:rPr>
        <w:t>产按照公允价值计量且其变动计入其他综合收益，但减值损失或利得、汇兑损益和按照实际利率法计算的利息收入计入当期</w:t>
      </w:r>
      <w:r>
        <w:rPr>
          <w:spacing w:val="42"/>
        </w:rPr>
        <w:t> </w:t>
      </w:r>
      <w:r>
        <w:rPr>
          <w:spacing w:val="42"/>
        </w:rPr>
      </w:r>
      <w:r>
        <w:rPr>
          <w:spacing w:val="-4"/>
        </w:rPr>
        <w:t>损益。此类金融资产终止确认时，累计计入其他综合收益的公允价值变动将结转计入当期损益。此类金融资产列示为其他债</w:t>
      </w:r>
      <w:r>
        <w:rPr>
          <w:spacing w:val="44"/>
        </w:rPr>
        <w:t> </w:t>
      </w:r>
      <w:r>
        <w:rPr>
          <w:spacing w:val="44"/>
        </w:rPr>
      </w:r>
      <w:r>
        <w:rPr/>
        <w:t>权投资。</w:t>
      </w:r>
    </w:p>
    <w:p>
      <w:pPr>
        <w:pStyle w:val="BodyText"/>
        <w:spacing w:line="316" w:lineRule="auto" w:before="19"/>
        <w:ind w:right="0" w:firstLine="360"/>
        <w:jc w:val="left"/>
      </w:pPr>
      <w:r>
        <w:rPr>
          <w:spacing w:val="-5"/>
          <w:w w:val="101"/>
        </w:rPr>
        <w:t>③以公允价值计量且其变动计入当期损益。本公司将持有的未划分为以摊余成本计量和以公允价值计量且其变动计入其</w:t>
      </w:r>
      <w:r>
        <w:rPr>
          <w:w w:val="101"/>
        </w:rPr>
        <w:t> </w:t>
      </w:r>
      <w:r>
        <w:rPr>
          <w:spacing w:val="-6"/>
          <w:w w:val="101"/>
        </w:rPr>
        <w:t>他综合收益的债务工具，以公允价值计量且其变动计入当期损益，分类为以公允价值计量且其变动计入当期损益的金融资产，</w:t>
      </w:r>
      <w:r>
        <w:rPr>
          <w:spacing w:val="-71"/>
          <w:w w:val="101"/>
        </w:rPr>
        <w:t> </w:t>
      </w:r>
      <w:r>
        <w:rPr>
          <w:spacing w:val="-71"/>
          <w:w w:val="101"/>
        </w:rPr>
      </w:r>
      <w:r>
        <w:rPr>
          <w:spacing w:val="-3"/>
        </w:rPr>
        <w:t>列示为交易性金融资产或其他非流动金融资产。</w:t>
      </w:r>
    </w:p>
    <w:p>
      <w:pPr>
        <w:pStyle w:val="BodyText"/>
        <w:spacing w:line="316" w:lineRule="auto" w:before="19"/>
        <w:ind w:left="513" w:right="1051"/>
        <w:jc w:val="left"/>
      </w:pPr>
      <w:r>
        <w:rPr/>
        <w:t>（</w:t>
      </w:r>
      <w:r>
        <w:rPr>
          <w:rFonts w:ascii="宋体" w:hAnsi="宋体" w:cs="宋体" w:eastAsia="宋体" w:hint="default"/>
        </w:rPr>
        <w:t>2</w:t>
      </w:r>
      <w:r>
        <w:rPr/>
        <w:t>）权益工具</w:t>
      </w:r>
      <w:r>
        <w:rPr>
          <w:spacing w:val="-85"/>
        </w:rPr>
        <w:t> </w:t>
      </w:r>
      <w:r>
        <w:rPr>
          <w:spacing w:val="-85"/>
        </w:rPr>
      </w:r>
      <w:r>
        <w:rPr>
          <w:spacing w:val="-4"/>
        </w:rPr>
        <w:t>权益工具是指从发行方角度分析符合权益工具定义的工具。权益工具投资以公允价值计量且其变动计入当期损益，列示</w:t>
      </w:r>
    </w:p>
    <w:p>
      <w:pPr>
        <w:pStyle w:val="BodyText"/>
        <w:spacing w:line="316" w:lineRule="auto" w:before="19"/>
        <w:ind w:right="1122"/>
        <w:jc w:val="both"/>
      </w:pPr>
      <w:r>
        <w:rPr>
          <w:spacing w:val="-4"/>
        </w:rPr>
        <w:t>为交易性金融资产，但本公司管理层指定为以公允价值计量且其变动计入其他综合收益除外。指定为以公允价值计量且其变</w:t>
      </w:r>
      <w:r>
        <w:rPr>
          <w:spacing w:val="44"/>
        </w:rPr>
        <w:t> </w:t>
      </w:r>
      <w:r>
        <w:rPr>
          <w:spacing w:val="44"/>
        </w:rPr>
      </w:r>
      <w:r>
        <w:rPr>
          <w:spacing w:val="-4"/>
        </w:rPr>
        <w:t>动计入综合收益的，列示为其他权益工具投资，相关公允价值变动不得结转至当期损益，且该指定一经作出不得撤销。相关</w:t>
      </w:r>
      <w:r>
        <w:rPr>
          <w:spacing w:val="40"/>
        </w:rPr>
        <w:t> </w:t>
      </w:r>
      <w:r>
        <w:rPr>
          <w:spacing w:val="40"/>
        </w:rPr>
      </w:r>
      <w:r>
        <w:rPr>
          <w:spacing w:val="-4"/>
        </w:rPr>
        <w:t>股利收入计入当期损益。其他权益工具投资不计提减值准备，终止确认时，之前计入其他综合收益的累计利得或损失从其他</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ind w:right="0"/>
        <w:jc w:val="both"/>
      </w:pPr>
      <w:r>
        <w:rPr>
          <w:spacing w:val="-3"/>
        </w:rPr>
        <w:t>综合收益转出，计入留存收益。</w:t>
      </w:r>
    </w:p>
    <w:p>
      <w:pPr>
        <w:pStyle w:val="BodyText"/>
        <w:spacing w:line="316" w:lineRule="auto" w:before="76"/>
        <w:ind w:left="513" w:right="2115"/>
        <w:jc w:val="left"/>
      </w:pPr>
      <w:r>
        <w:rPr/>
        <w:t>（</w:t>
      </w:r>
      <w:r>
        <w:rPr>
          <w:rFonts w:ascii="宋体" w:hAnsi="宋体" w:cs="宋体" w:eastAsia="宋体" w:hint="default"/>
        </w:rPr>
        <w:t>3</w:t>
      </w:r>
      <w:r>
        <w:rPr/>
        <w:t>）金融负债</w:t>
      </w:r>
      <w:r>
        <w:rPr>
          <w:spacing w:val="-85"/>
        </w:rPr>
        <w:t> </w:t>
      </w:r>
      <w:r>
        <w:rPr>
          <w:spacing w:val="-85"/>
        </w:rPr>
      </w:r>
      <w:r>
        <w:rPr>
          <w:spacing w:val="-3"/>
        </w:rPr>
        <w:t>金融负债于初始确认时分类为以公允价值计量且其变动计入当期损益的金融负债及其他金融负债。</w:t>
      </w:r>
    </w:p>
    <w:p>
      <w:pPr>
        <w:pStyle w:val="BodyText"/>
        <w:spacing w:line="316" w:lineRule="auto" w:before="19"/>
        <w:ind w:right="1046" w:firstLine="360"/>
        <w:jc w:val="both"/>
      </w:pPr>
      <w:r>
        <w:rPr>
          <w:spacing w:val="-5"/>
          <w:w w:val="101"/>
        </w:rPr>
        <w:t>以公允价值计量且其变动计入当期损益的金融负债，包括交易性金融负债和指定为以公允价值计量且其变动计入当期损</w:t>
      </w:r>
      <w:r>
        <w:rPr>
          <w:w w:val="101"/>
        </w:rPr>
        <w:t> </w:t>
      </w:r>
      <w:r>
        <w:rPr>
          <w:spacing w:val="-3"/>
        </w:rPr>
        <w:t>益的金融负债。满足以下条件之一时，金融负债可在初始计量时指定为以公允价值计量且其变动计入当期损益的金融负债：</w:t>
      </w:r>
    </w:p>
    <w:p>
      <w:pPr>
        <w:pStyle w:val="BodyText"/>
        <w:spacing w:line="316" w:lineRule="auto" w:before="19"/>
        <w:ind w:right="1124"/>
        <w:jc w:val="both"/>
      </w:pPr>
      <w:r>
        <w:rPr>
          <w:spacing w:val="-4"/>
        </w:rPr>
        <w:t>①该项指定能够消除或显著减少会计错配；②根据正式书面文件载明的风险管理或投资策略，以公允价值为基础对金融负债</w:t>
      </w:r>
      <w:r>
        <w:rPr>
          <w:spacing w:val="43"/>
        </w:rPr>
        <w:t> </w:t>
      </w:r>
      <w:r>
        <w:rPr>
          <w:spacing w:val="43"/>
        </w:rPr>
      </w:r>
      <w:r>
        <w:rPr>
          <w:spacing w:val="-4"/>
        </w:rPr>
        <w:t>组合或金融资产和金融负债组合进行管理和业绩评价，并在公司内部以此为基础向关键管理人员报告。该指定一经作出，不</w:t>
      </w:r>
      <w:r>
        <w:rPr>
          <w:spacing w:val="43"/>
        </w:rPr>
        <w:t> </w:t>
      </w:r>
      <w:r>
        <w:rPr>
          <w:spacing w:val="43"/>
        </w:rPr>
      </w:r>
      <w:r>
        <w:rPr/>
        <w:t>得撤销。</w:t>
      </w:r>
    </w:p>
    <w:p>
      <w:pPr>
        <w:pStyle w:val="BodyText"/>
        <w:spacing w:line="319" w:lineRule="auto" w:before="19"/>
        <w:ind w:right="1122" w:firstLine="360"/>
        <w:jc w:val="both"/>
      </w:pPr>
      <w:r>
        <w:rPr>
          <w:spacing w:val="-4"/>
        </w:rPr>
        <w:t>指定为以公允价值计量且变动计入当期损益的金融负债，由公司自身信用风险变动引起的公允价值的变动金额，计入其</w:t>
      </w:r>
      <w:r>
        <w:rPr>
          <w:w w:val="101"/>
        </w:rPr>
        <w:t> </w:t>
      </w:r>
      <w:r>
        <w:rPr>
          <w:spacing w:val="-4"/>
        </w:rPr>
        <w:t>他综合收益；其他公允价值变动，计入当期损益。该金融负债终止确认时，之前计入其他综合收益的累计利得或损失从其他</w:t>
      </w:r>
      <w:r>
        <w:rPr>
          <w:spacing w:val="42"/>
        </w:rPr>
        <w:t> </w:t>
      </w:r>
      <w:r>
        <w:rPr>
          <w:spacing w:val="42"/>
        </w:rPr>
      </w:r>
      <w:r>
        <w:rPr>
          <w:spacing w:val="-3"/>
        </w:rPr>
        <w:t>综合收益转出，计入留存收益。</w:t>
      </w:r>
    </w:p>
    <w:p>
      <w:pPr>
        <w:pStyle w:val="BodyText"/>
        <w:spacing w:line="316" w:lineRule="auto" w:before="17"/>
        <w:ind w:right="1124" w:firstLine="360"/>
        <w:jc w:val="both"/>
      </w:pPr>
      <w:r>
        <w:rPr>
          <w:spacing w:val="-5"/>
        </w:rPr>
        <w:t>本公司其他金融负债主要包括短期借款、长期借款、应付债券等。对于此类金融负债，采用实际利率法，按照摊余成本</w:t>
      </w:r>
      <w:r>
        <w:rPr>
          <w:w w:val="101"/>
        </w:rPr>
        <w:t> </w:t>
      </w:r>
      <w:r>
        <w:rPr>
          <w:spacing w:val="-3"/>
        </w:rPr>
        <w:t>进行后续计量。</w:t>
      </w:r>
    </w:p>
    <w:p>
      <w:pPr>
        <w:pStyle w:val="BodyText"/>
        <w:spacing w:line="319" w:lineRule="auto" w:before="19"/>
        <w:ind w:right="1122" w:firstLine="360"/>
        <w:jc w:val="both"/>
      </w:pPr>
      <w:r>
        <w:rPr>
          <w:spacing w:val="-4"/>
        </w:rPr>
        <w:t>财务担保合同，是指当特定债务人到期不能按照最初或修改后的债务工具条款偿付债务时，要求发行方向蒙受损失的合</w:t>
      </w:r>
      <w:r>
        <w:rPr>
          <w:w w:val="101"/>
        </w:rPr>
        <w:t> </w:t>
      </w:r>
      <w:r>
        <w:rPr>
          <w:spacing w:val="-4"/>
        </w:rPr>
        <w:t>同持有人赔付特定金额的合同。贷款承诺，是指按照预先规定的条款和条件提供信用的确定性承诺。不属于以公允价值计量</w:t>
      </w:r>
      <w:r>
        <w:rPr>
          <w:spacing w:val="43"/>
        </w:rPr>
        <w:t> </w:t>
      </w:r>
      <w:r>
        <w:rPr>
          <w:spacing w:val="43"/>
        </w:rPr>
      </w:r>
      <w:r>
        <w:rPr>
          <w:spacing w:val="-4"/>
        </w:rPr>
        <w:t>且其变动计入当期损益的金融负债的财务担保合同，以及以低于市场利率贷款的贷款承诺，本公司作为发行方的，在初始确</w:t>
      </w:r>
      <w:r>
        <w:rPr>
          <w:spacing w:val="43"/>
        </w:rPr>
        <w:t> </w:t>
      </w:r>
      <w:r>
        <w:rPr>
          <w:spacing w:val="43"/>
        </w:rPr>
      </w:r>
      <w:r>
        <w:rPr>
          <w:spacing w:val="-4"/>
        </w:rPr>
        <w:t>认后按照以下二者孰高进行计量：①损失准备金额；②初始确认金额扣除依据《企业会计准则第</w:t>
      </w:r>
      <w:r>
        <w:rPr>
          <w:rFonts w:ascii="宋体" w:hAnsi="宋体" w:cs="宋体" w:eastAsia="宋体" w:hint="default"/>
          <w:spacing w:val="-4"/>
        </w:rPr>
        <w:t>14</w:t>
      </w:r>
      <w:r>
        <w:rPr>
          <w:spacing w:val="-4"/>
        </w:rPr>
        <w:t>号——收入》确定的累计</w:t>
      </w:r>
      <w:r>
        <w:rPr>
          <w:spacing w:val="46"/>
        </w:rPr>
        <w:t> </w:t>
      </w:r>
      <w:r>
        <w:rPr>
          <w:spacing w:val="46"/>
        </w:rPr>
      </w:r>
      <w:r>
        <w:rPr/>
        <w:t>摊销额后的余额。</w:t>
      </w:r>
    </w:p>
    <w:p>
      <w:pPr>
        <w:pStyle w:val="BodyText"/>
        <w:spacing w:line="319" w:lineRule="auto" w:before="17"/>
        <w:ind w:left="513" w:right="6287"/>
        <w:jc w:val="left"/>
      </w:pPr>
      <w:r>
        <w:rPr>
          <w:spacing w:val="-3"/>
        </w:rPr>
        <w:t>（</w:t>
      </w:r>
      <w:r>
        <w:rPr>
          <w:rFonts w:ascii="宋体" w:hAnsi="宋体" w:cs="宋体" w:eastAsia="宋体" w:hint="default"/>
          <w:spacing w:val="-3"/>
        </w:rPr>
        <w:t>4</w:t>
      </w:r>
      <w:r>
        <w:rPr>
          <w:spacing w:val="-3"/>
        </w:rPr>
        <w:t>）金融资产和金融负债的终止确认</w:t>
      </w:r>
      <w:r>
        <w:rPr>
          <w:spacing w:val="-35"/>
        </w:rPr>
        <w:t> </w:t>
      </w:r>
      <w:r>
        <w:rPr>
          <w:spacing w:val="-35"/>
        </w:rPr>
      </w:r>
      <w:r>
        <w:rPr>
          <w:spacing w:val="-3"/>
        </w:rPr>
        <w:t>金融资产满足下列条件之一的，予以终止确认：</w:t>
      </w:r>
    </w:p>
    <w:p>
      <w:pPr>
        <w:pStyle w:val="BodyText"/>
        <w:spacing w:line="240" w:lineRule="auto" w:before="17"/>
        <w:ind w:left="513" w:right="0"/>
        <w:jc w:val="left"/>
      </w:pPr>
      <w:r>
        <w:rPr>
          <w:spacing w:val="-3"/>
        </w:rPr>
        <w:t>①收取该金融资产现金流量的合同权利终止；</w:t>
      </w:r>
    </w:p>
    <w:p>
      <w:pPr>
        <w:pStyle w:val="BodyText"/>
        <w:spacing w:line="240" w:lineRule="auto" w:before="76"/>
        <w:ind w:left="513" w:right="0"/>
        <w:jc w:val="left"/>
      </w:pPr>
      <w:r>
        <w:rPr>
          <w:spacing w:val="-3"/>
        </w:rPr>
        <w:t>②该金融资产已转移，且本公司将金融资产所有权上几乎所有的风险和报酬转移给转入方；</w:t>
      </w:r>
    </w:p>
    <w:p>
      <w:pPr>
        <w:pStyle w:val="BodyText"/>
        <w:spacing w:line="316" w:lineRule="auto" w:before="76"/>
        <w:ind w:right="1124" w:firstLine="360"/>
        <w:jc w:val="both"/>
      </w:pPr>
      <w:r>
        <w:rPr>
          <w:spacing w:val="-4"/>
        </w:rPr>
        <w:t>③该金融资产已转移，虽然本公司既没有转移也没有保留金融资产所有权上几乎所有的风险和报酬，但是放弃了对该金</w:t>
      </w:r>
      <w:r>
        <w:rPr>
          <w:w w:val="101"/>
        </w:rPr>
        <w:t> </w:t>
      </w:r>
      <w:r>
        <w:rPr>
          <w:spacing w:val="-3"/>
        </w:rPr>
        <w:t>融资产的控制。</w:t>
      </w:r>
    </w:p>
    <w:p>
      <w:pPr>
        <w:pStyle w:val="BodyText"/>
        <w:spacing w:line="240" w:lineRule="auto" w:before="19"/>
        <w:ind w:left="513" w:right="0"/>
        <w:jc w:val="left"/>
      </w:pPr>
      <w:r>
        <w:rPr>
          <w:spacing w:val="-3"/>
        </w:rPr>
        <w:t>金融负债（或其一部分）的现时义务已经解除的，本公司终止确认该金融负债（或该部分金融负债）。</w:t>
      </w:r>
    </w:p>
    <w:p>
      <w:pPr>
        <w:pStyle w:val="BodyText"/>
        <w:spacing w:line="316" w:lineRule="auto" w:before="77"/>
        <w:ind w:left="513" w:right="0"/>
        <w:jc w:val="left"/>
      </w:pPr>
      <w:r>
        <w:rPr/>
        <w:t>（</w:t>
      </w:r>
      <w:r>
        <w:rPr>
          <w:rFonts w:ascii="宋体" w:hAnsi="宋体" w:cs="宋体" w:eastAsia="宋体" w:hint="default"/>
        </w:rPr>
        <w:t>5</w:t>
      </w:r>
      <w:r>
        <w:rPr/>
        <w:t>）金融工具的减值</w:t>
      </w:r>
      <w:r>
        <w:rPr>
          <w:spacing w:val="-88"/>
        </w:rPr>
        <w:t> </w:t>
      </w:r>
      <w:r>
        <w:rPr>
          <w:spacing w:val="-88"/>
        </w:rPr>
      </w:r>
      <w:r>
        <w:rPr>
          <w:spacing w:val="-5"/>
        </w:rPr>
        <w:t>本公司以预期信用损失为基础进行金融工具减值会计处理并确认损失准备。预期信用损失，是指以发生违约的风险为权</w:t>
      </w:r>
    </w:p>
    <w:p>
      <w:pPr>
        <w:pStyle w:val="BodyText"/>
        <w:spacing w:line="316" w:lineRule="auto" w:before="19"/>
        <w:ind w:right="1124"/>
        <w:jc w:val="both"/>
      </w:pPr>
      <w:r>
        <w:rPr>
          <w:spacing w:val="-4"/>
        </w:rPr>
        <w:t>重的金融工具信用损失的加权平均值。信用损失，是指按照原实际利率折现的、根据合同应收的所有合同现金流量与预期收</w:t>
      </w:r>
      <w:r>
        <w:rPr>
          <w:spacing w:val="43"/>
        </w:rPr>
        <w:t> </w:t>
      </w:r>
      <w:r>
        <w:rPr>
          <w:spacing w:val="43"/>
        </w:rPr>
      </w:r>
      <w:r>
        <w:rPr>
          <w:spacing w:val="-3"/>
        </w:rPr>
        <w:t>取的所有现金流量之间的差额，即全部现金短缺的现值。</w:t>
      </w:r>
    </w:p>
    <w:p>
      <w:pPr>
        <w:pStyle w:val="BodyText"/>
        <w:spacing w:line="319" w:lineRule="auto" w:before="19"/>
        <w:ind w:right="0" w:firstLine="360"/>
        <w:jc w:val="left"/>
      </w:pPr>
      <w:r>
        <w:rPr>
          <w:spacing w:val="-3"/>
        </w:rPr>
        <w:t>本公司计量金融工具预期信用损失的方法反映的因素包括：通过评价一系列可能的结果而确定的无偏概率加权平均金</w:t>
      </w:r>
      <w:r>
        <w:rPr>
          <w:w w:val="101"/>
        </w:rPr>
        <w:t> </w:t>
      </w:r>
      <w:r>
        <w:rPr>
          <w:spacing w:val="-4"/>
        </w:rPr>
        <w:t>额；货币时间价值；在资产负债表日无须付出不必要的额外成本或努力即可获得的有关过去事项、当前状况以及未来经济状</w:t>
      </w:r>
      <w:r>
        <w:rPr>
          <w:spacing w:val="43"/>
        </w:rPr>
        <w:t> </w:t>
      </w:r>
      <w:r>
        <w:rPr>
          <w:spacing w:val="43"/>
        </w:rPr>
      </w:r>
      <w:r>
        <w:rPr>
          <w:spacing w:val="-3"/>
        </w:rPr>
        <w:t>况预测的合理且有依据的信息。本公司按照下列方法确定相关金融工具的预期信用损失：</w:t>
      </w:r>
    </w:p>
    <w:p>
      <w:pPr>
        <w:pStyle w:val="BodyText"/>
        <w:spacing w:line="240" w:lineRule="auto" w:before="17"/>
        <w:ind w:left="513" w:right="0"/>
        <w:jc w:val="left"/>
      </w:pPr>
      <w:r>
        <w:rPr>
          <w:spacing w:val="-3"/>
        </w:rPr>
        <w:t>①对于金融资产，信用损失为本公司应收取的合同现金流量与预期收取的现金流量之间差额的现值；</w:t>
      </w:r>
    </w:p>
    <w:p>
      <w:pPr>
        <w:pStyle w:val="BodyText"/>
        <w:spacing w:line="240" w:lineRule="auto" w:before="76"/>
        <w:ind w:left="513" w:right="0"/>
        <w:jc w:val="left"/>
      </w:pPr>
      <w:r>
        <w:rPr>
          <w:spacing w:val="-3"/>
        </w:rPr>
        <w:t>②对于租赁应收款项，信用损失为本公司应收取的合同现金流量与预期收取的现金流量之间差额的现值；</w:t>
      </w:r>
    </w:p>
    <w:p>
      <w:pPr>
        <w:pStyle w:val="BodyText"/>
        <w:spacing w:line="316" w:lineRule="auto" w:before="76"/>
        <w:ind w:right="1124" w:firstLine="360"/>
        <w:jc w:val="both"/>
      </w:pPr>
      <w:r>
        <w:rPr>
          <w:spacing w:val="-4"/>
        </w:rPr>
        <w:t>③对于未提用的贷款承诺，信用损失为在贷款承诺持有人提用相应贷款的情况下，本公司应收取的合同现金流量与预期</w:t>
      </w:r>
      <w:r>
        <w:rPr>
          <w:w w:val="101"/>
        </w:rPr>
        <w:t> </w:t>
      </w:r>
      <w:r>
        <w:rPr>
          <w:spacing w:val="-3"/>
        </w:rPr>
        <w:t>收取的现金流量之间差额的现值。本公司对贷款承诺预期信用损失的估计，与其对该贷款承诺提用情况的预期保持一致；</w:t>
      </w:r>
    </w:p>
    <w:p>
      <w:pPr>
        <w:pStyle w:val="BodyText"/>
        <w:spacing w:line="316" w:lineRule="auto" w:before="19"/>
        <w:ind w:right="1122" w:firstLine="360"/>
        <w:jc w:val="both"/>
      </w:pPr>
      <w:r>
        <w:rPr>
          <w:spacing w:val="-4"/>
        </w:rPr>
        <w:t>④对于财务担保合同，信用损失为本公司就该合同持有人发生的信用损失向其做出赔付的预计付款额，减去本公司预期</w:t>
      </w:r>
      <w:r>
        <w:rPr>
          <w:w w:val="101"/>
        </w:rPr>
        <w:t> </w:t>
      </w:r>
      <w:r>
        <w:rPr>
          <w:spacing w:val="-3"/>
        </w:rPr>
        <w:t>向该合同持有人、债务人或任何其他方收取的金额之间差额的现值；</w:t>
      </w:r>
    </w:p>
    <w:p>
      <w:pPr>
        <w:pStyle w:val="BodyText"/>
        <w:spacing w:line="316" w:lineRule="auto" w:before="19"/>
        <w:ind w:right="1128" w:firstLine="360"/>
        <w:jc w:val="both"/>
      </w:pPr>
      <w:r>
        <w:rPr>
          <w:spacing w:val="-5"/>
          <w:w w:val="101"/>
        </w:rPr>
        <w:t>⑤对于资产负债表日已发生信用减值但并非购买或源生已发生信用减值的金融资产，信用损失为该金融资产账面余额与</w:t>
      </w:r>
      <w:r>
        <w:rPr>
          <w:w w:val="101"/>
        </w:rPr>
        <w:t> </w:t>
      </w:r>
      <w:r>
        <w:rPr>
          <w:spacing w:val="-3"/>
        </w:rPr>
        <w:t>按原实际利率折现的估计未来现金流量的现值之间的差额。</w:t>
      </w:r>
    </w:p>
    <w:p>
      <w:pPr>
        <w:pStyle w:val="BodyText"/>
        <w:spacing w:line="319" w:lineRule="auto" w:before="19"/>
        <w:ind w:right="1123" w:firstLine="360"/>
        <w:jc w:val="both"/>
      </w:pPr>
      <w:r>
        <w:rPr>
          <w:spacing w:val="-5"/>
        </w:rPr>
        <w:t>对于购买或源生的未发生信用减值的金融工具，每个资产负债表日，考虑合理且有依据的信息（包括前瞻性信息），评</w:t>
      </w:r>
      <w:r>
        <w:rPr>
          <w:w w:val="101"/>
        </w:rPr>
        <w:t> </w:t>
      </w:r>
      <w:r>
        <w:rPr>
          <w:spacing w:val="-4"/>
        </w:rPr>
        <w:t>估其信用风险自初始确认后是否显著增加，按照三阶段分别确认预期信用损失。信用风险自初始确认后未显著增加的，处于</w:t>
      </w:r>
      <w:r>
        <w:rPr>
          <w:spacing w:val="43"/>
        </w:rPr>
        <w:t> </w:t>
      </w:r>
      <w:r>
        <w:rPr>
          <w:spacing w:val="43"/>
        </w:rPr>
      </w:r>
      <w:r>
        <w:rPr>
          <w:spacing w:val="-4"/>
        </w:rPr>
        <w:t>第一阶段，按照该金融工具未来</w:t>
      </w:r>
      <w:r>
        <w:rPr>
          <w:rFonts w:ascii="宋体" w:hAnsi="宋体" w:cs="宋体" w:eastAsia="宋体" w:hint="default"/>
          <w:spacing w:val="-4"/>
        </w:rPr>
        <w:t>12</w:t>
      </w:r>
      <w:r>
        <w:rPr>
          <w:spacing w:val="-4"/>
        </w:rPr>
        <w:t>个月内的预期信用损失计量损失准备；信用风险自初始确认后已显著增加但尚未发生信用</w:t>
      </w:r>
      <w:r>
        <w:rPr>
          <w:spacing w:val="48"/>
        </w:rPr>
        <w:t> </w:t>
      </w:r>
      <w:r>
        <w:rPr>
          <w:spacing w:val="48"/>
        </w:rPr>
      </w:r>
      <w:r>
        <w:rPr>
          <w:spacing w:val="-4"/>
        </w:rPr>
        <w:t>减值的，处于第二阶段，按照该金融工具整个存续期的预期信用损失计量损失准备；自初始确认后已经发生信用减值的，处</w:t>
      </w:r>
    </w:p>
    <w:p>
      <w:pPr>
        <w:spacing w:after="0" w:line="31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ind w:right="1124"/>
        <w:jc w:val="both"/>
      </w:pPr>
      <w:r>
        <w:rPr>
          <w:spacing w:val="-4"/>
        </w:rPr>
        <w:t>于第三阶段，按照该金融工具整个存续期的预期信用损失计量损失准备。处于第一阶段和第二阶段的金融工具，按照其账面</w:t>
      </w:r>
      <w:r>
        <w:rPr>
          <w:spacing w:val="43"/>
        </w:rPr>
        <w:t> </w:t>
      </w:r>
      <w:r>
        <w:rPr>
          <w:spacing w:val="43"/>
        </w:rPr>
      </w:r>
      <w:r>
        <w:rPr>
          <w:spacing w:val="-3"/>
        </w:rPr>
        <w:t>余额和实际利率计算利息收入；处于第三阶段的金融工具，按照其摊余成本和实际利率计算确定利息收入。</w:t>
      </w:r>
    </w:p>
    <w:p>
      <w:pPr>
        <w:pStyle w:val="BodyText"/>
        <w:spacing w:line="319" w:lineRule="auto" w:before="19"/>
        <w:ind w:right="0" w:firstLine="360"/>
        <w:jc w:val="left"/>
      </w:pPr>
      <w:r>
        <w:rPr>
          <w:spacing w:val="-5"/>
          <w:w w:val="101"/>
        </w:rPr>
        <w:t>对于购买或源生的已发生信用减值的金融资产，在资产负债表日仅将自初始确认后整个存续期内预期信用损失的累计变</w:t>
      </w:r>
      <w:r>
        <w:rPr>
          <w:w w:val="101"/>
        </w:rPr>
        <w:t> </w:t>
      </w:r>
      <w:r>
        <w:rPr>
          <w:spacing w:val="-3"/>
        </w:rPr>
        <w:t>动确认为损失准备，其利息收入按照金融资产的摊余成本和经信用调整的实际利率计算确定。</w:t>
      </w:r>
    </w:p>
    <w:p>
      <w:pPr>
        <w:pStyle w:val="BodyText"/>
        <w:spacing w:line="316" w:lineRule="auto" w:before="17"/>
        <w:ind w:right="0" w:firstLine="360"/>
        <w:jc w:val="left"/>
      </w:pPr>
      <w:r>
        <w:rPr>
          <w:spacing w:val="-4"/>
        </w:rPr>
        <w:t>损失准备的增加或转回，作为减值损失或利得，计入当期损益。对于持有的以公允价值计量且其变动计入其他综合收益</w:t>
      </w:r>
      <w:r>
        <w:rPr>
          <w:w w:val="101"/>
        </w:rPr>
        <w:t> </w:t>
      </w:r>
      <w:r>
        <w:rPr>
          <w:spacing w:val="-3"/>
        </w:rPr>
        <w:t>的债务工具，减值损失或利得计入当期损益的同时调整其他综合收益。</w:t>
      </w:r>
    </w:p>
    <w:p>
      <w:pPr>
        <w:pStyle w:val="BodyText"/>
        <w:spacing w:line="316" w:lineRule="auto" w:before="19"/>
        <w:ind w:left="513" w:right="0"/>
        <w:jc w:val="left"/>
      </w:pPr>
      <w:r>
        <w:rPr>
          <w:spacing w:val="-3"/>
        </w:rPr>
        <w:t>（</w:t>
      </w:r>
      <w:r>
        <w:rPr>
          <w:rFonts w:ascii="宋体" w:hAnsi="宋体" w:cs="宋体" w:eastAsia="宋体" w:hint="default"/>
          <w:spacing w:val="-3"/>
        </w:rPr>
        <w:t>6</w:t>
      </w:r>
      <w:r>
        <w:rPr>
          <w:spacing w:val="-3"/>
        </w:rPr>
        <w:t>）衍生工具及嵌入衍生工具</w:t>
      </w:r>
      <w:r>
        <w:rPr>
          <w:spacing w:val="-46"/>
        </w:rPr>
        <w:t> </w:t>
      </w:r>
      <w:r>
        <w:rPr>
          <w:spacing w:val="-46"/>
        </w:rPr>
      </w:r>
      <w:r>
        <w:rPr>
          <w:spacing w:val="-6"/>
        </w:rPr>
        <w:t>本公司衍生工具主要包括远期合同、期货合同、互换合同。衍生工具初始以衍生交易合同签订当日的公允价值进行计量，</w:t>
      </w:r>
    </w:p>
    <w:p>
      <w:pPr>
        <w:pStyle w:val="BodyText"/>
        <w:spacing w:line="319" w:lineRule="auto" w:before="19"/>
        <w:ind w:left="513" w:right="0" w:hanging="360"/>
        <w:jc w:val="left"/>
      </w:pPr>
      <w:r>
        <w:rPr>
          <w:spacing w:val="-3"/>
        </w:rPr>
        <w:t>并以其公允价值进行后续计量。本公司衍生工具公允价值变动而产生的利得或损失，直接计入当期损益。</w:t>
      </w:r>
      <w:r>
        <w:rPr>
          <w:spacing w:val="43"/>
        </w:rPr>
        <w:t> </w:t>
      </w:r>
      <w:r>
        <w:rPr>
          <w:spacing w:val="43"/>
        </w:rPr>
      </w:r>
      <w:r>
        <w:rPr>
          <w:spacing w:val="-4"/>
        </w:rPr>
        <w:t>嵌入衍生工具是指嵌入到非衍生工具（即主合同）中的衍生工具，与主合同构成混合合同。混合合同包含的主合同属于</w:t>
      </w:r>
    </w:p>
    <w:p>
      <w:pPr>
        <w:pStyle w:val="BodyText"/>
        <w:spacing w:line="316" w:lineRule="auto" w:before="17"/>
        <w:ind w:right="1124"/>
        <w:jc w:val="both"/>
      </w:pPr>
      <w:r>
        <w:rPr>
          <w:spacing w:val="-4"/>
        </w:rPr>
        <w:t>金融工具准则规范的资产的，本公司不从该混合合同中分拆嵌入衍生工具，而是将该混合合同作为一个整体适用金融工具准</w:t>
      </w:r>
      <w:r>
        <w:rPr>
          <w:spacing w:val="43"/>
        </w:rPr>
        <w:t> </w:t>
      </w:r>
      <w:r>
        <w:rPr>
          <w:spacing w:val="43"/>
        </w:rPr>
      </w:r>
      <w:r>
        <w:rPr>
          <w:spacing w:val="-3"/>
        </w:rPr>
        <w:t>则关于金融资产分类的相关规定。</w:t>
      </w:r>
    </w:p>
    <w:p>
      <w:pPr>
        <w:pStyle w:val="BodyText"/>
        <w:spacing w:line="316" w:lineRule="auto" w:before="19"/>
        <w:ind w:right="0" w:firstLine="360"/>
        <w:jc w:val="left"/>
      </w:pPr>
      <w:r>
        <w:rPr>
          <w:spacing w:val="-6"/>
          <w:w w:val="101"/>
        </w:rPr>
        <w:t>混合合同包含的主合同不属于金融工具准则规范的资产，且同时符合下列条件的，本公司从主合同中分拆嵌入衍生工具，</w:t>
      </w:r>
      <w:r>
        <w:rPr>
          <w:w w:val="101"/>
        </w:rPr>
        <w:t> </w:t>
      </w:r>
      <w:r>
        <w:rPr>
          <w:spacing w:val="-3"/>
        </w:rPr>
        <w:t>将其作为单独存在的衍生工具进行处理：</w:t>
      </w:r>
    </w:p>
    <w:p>
      <w:pPr>
        <w:pStyle w:val="BodyText"/>
        <w:spacing w:line="240" w:lineRule="auto" w:before="19"/>
        <w:ind w:left="513" w:right="0"/>
        <w:jc w:val="left"/>
      </w:pPr>
      <w:r>
        <w:rPr>
          <w:spacing w:val="-3"/>
        </w:rPr>
        <w:t>①嵌入衍生工具的经济特征和风险与主合同的经济特征和风险不紧密相关；</w:t>
      </w:r>
    </w:p>
    <w:p>
      <w:pPr>
        <w:pStyle w:val="BodyText"/>
        <w:spacing w:line="240" w:lineRule="auto" w:before="76"/>
        <w:ind w:left="513" w:right="0"/>
        <w:jc w:val="left"/>
      </w:pPr>
      <w:r>
        <w:rPr>
          <w:spacing w:val="-3"/>
        </w:rPr>
        <w:t>②与嵌入衍生工具具有相关条款的单独工具符合衍生工具的定义；</w:t>
      </w:r>
    </w:p>
    <w:p>
      <w:pPr>
        <w:pStyle w:val="BodyText"/>
        <w:spacing w:line="240" w:lineRule="auto" w:before="76"/>
        <w:ind w:left="513" w:right="0"/>
        <w:jc w:val="left"/>
      </w:pPr>
      <w:r>
        <w:rPr>
          <w:spacing w:val="-3"/>
        </w:rPr>
        <w:t>③该混合合同不是以公允价值计量且其变动计入当期损益进行会计处理。</w:t>
      </w:r>
    </w:p>
    <w:p>
      <w:pPr>
        <w:pStyle w:val="BodyText"/>
        <w:spacing w:line="316" w:lineRule="auto" w:before="76"/>
        <w:ind w:left="513" w:right="0"/>
        <w:jc w:val="left"/>
      </w:pPr>
      <w:r>
        <w:rPr/>
        <w:t>（</w:t>
      </w:r>
      <w:r>
        <w:rPr>
          <w:rFonts w:ascii="宋体" w:hAnsi="宋体" w:cs="宋体" w:eastAsia="宋体" w:hint="default"/>
        </w:rPr>
        <w:t>7</w:t>
      </w:r>
      <w:r>
        <w:rPr/>
        <w:t>）金融资产和金融负债的抵销</w:t>
      </w:r>
      <w:r>
        <w:rPr>
          <w:spacing w:val="-86"/>
        </w:rPr>
        <w:t> </w:t>
      </w:r>
      <w:r>
        <w:rPr>
          <w:spacing w:val="-86"/>
        </w:rPr>
      </w:r>
      <w:r>
        <w:rPr>
          <w:spacing w:val="-4"/>
        </w:rPr>
        <w:t>当本公司具有抵销已确认金融资产和金融负债的法定权利，且目前可执行该种法定权利，同时本公司计划以净额结算或</w:t>
      </w:r>
    </w:p>
    <w:p>
      <w:pPr>
        <w:pStyle w:val="BodyText"/>
        <w:spacing w:line="316" w:lineRule="auto" w:before="19"/>
        <w:ind w:right="1124"/>
        <w:jc w:val="both"/>
      </w:pPr>
      <w:r>
        <w:rPr>
          <w:spacing w:val="-4"/>
        </w:rPr>
        <w:t>同时变现该金融资产和清偿该金融负债时，金融资产和金融负债以相互抵销后的金额在资产负债表内列示。除此以外，金融</w:t>
      </w:r>
      <w:r>
        <w:rPr>
          <w:spacing w:val="43"/>
        </w:rPr>
        <w:t> </w:t>
      </w:r>
      <w:r>
        <w:rPr>
          <w:spacing w:val="43"/>
        </w:rPr>
      </w:r>
      <w:r>
        <w:rPr>
          <w:spacing w:val="-3"/>
        </w:rPr>
        <w:t>资产和金融负债在资产负债表内分别列示，不予相互抵销。</w:t>
      </w:r>
    </w:p>
    <w:p>
      <w:pPr>
        <w:pStyle w:val="BodyText"/>
        <w:spacing w:line="316" w:lineRule="auto" w:before="19"/>
        <w:ind w:left="513" w:right="0"/>
        <w:jc w:val="left"/>
      </w:pPr>
      <w:r>
        <w:rPr>
          <w:spacing w:val="-3"/>
        </w:rPr>
        <w:t>（</w:t>
      </w:r>
      <w:r>
        <w:rPr>
          <w:rFonts w:ascii="宋体" w:hAnsi="宋体" w:cs="宋体" w:eastAsia="宋体" w:hint="default"/>
          <w:spacing w:val="-3"/>
        </w:rPr>
        <w:t>8</w:t>
      </w:r>
      <w:r>
        <w:rPr>
          <w:spacing w:val="-3"/>
        </w:rPr>
        <w:t>）金融工具的公允价值确定</w:t>
      </w:r>
      <w:r>
        <w:rPr>
          <w:spacing w:val="-46"/>
        </w:rPr>
        <w:t> </w:t>
      </w:r>
      <w:r>
        <w:rPr>
          <w:spacing w:val="-46"/>
        </w:rPr>
      </w:r>
      <w:r>
        <w:rPr>
          <w:spacing w:val="-4"/>
        </w:rPr>
        <w:t>存在活跃市场的金融工具，以市场参与者在计量日发生的有序交易中，出售一项资产所能收到或者转移一项负债所需支</w:t>
      </w:r>
    </w:p>
    <w:p>
      <w:pPr>
        <w:pStyle w:val="BodyText"/>
        <w:spacing w:line="319" w:lineRule="auto" w:before="19"/>
        <w:ind w:right="1123"/>
        <w:jc w:val="both"/>
      </w:pPr>
      <w:r>
        <w:rPr>
          <w:spacing w:val="-4"/>
        </w:rPr>
        <w:t>付的价格确定其公允价值。不存在活跃市场的金融工具，采用估值技术确定其公允价值。在估值时，本公司采用在当前情况</w:t>
      </w:r>
      <w:r>
        <w:rPr>
          <w:spacing w:val="41"/>
        </w:rPr>
        <w:t> </w:t>
      </w:r>
      <w:r>
        <w:rPr>
          <w:spacing w:val="41"/>
        </w:rPr>
      </w:r>
      <w:r>
        <w:rPr>
          <w:spacing w:val="-4"/>
          <w:w w:val="101"/>
        </w:rPr>
        <w:t>下适用并且有足够可利用数据和其他信息支持的估值技术，选择与市场参与者在相关资产或负债的交易中所考虑的资产或负</w:t>
      </w:r>
      <w:r>
        <w:rPr>
          <w:w w:val="101"/>
        </w:rPr>
        <w:t> </w:t>
      </w:r>
      <w:r>
        <w:rPr>
          <w:spacing w:val="-4"/>
        </w:rPr>
        <w:t>债特征相一致的输入值，并尽可能优先使用相关可观察输入值。在相关可观察输入值无法取得或取得不切实可行时，使用不</w:t>
      </w:r>
      <w:r>
        <w:rPr>
          <w:spacing w:val="43"/>
        </w:rPr>
        <w:t> </w:t>
      </w:r>
      <w:r>
        <w:rPr>
          <w:spacing w:val="43"/>
        </w:rPr>
      </w:r>
      <w:r>
        <w:rPr>
          <w:spacing w:val="-3"/>
        </w:rPr>
        <w:t>可观察输入值。</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1、应收票据" w:id="184"/>
      <w:bookmarkEnd w:id="184"/>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left="513" w:right="0"/>
        <w:jc w:val="left"/>
      </w:pPr>
      <w:r>
        <w:rPr>
          <w:spacing w:val="-3"/>
        </w:rPr>
        <w:t>对于应收票据无论是否存在重大融资成分，本公司均按照整个存续期的预期信用损失计量损失准备。</w:t>
      </w:r>
      <w:r>
        <w:rPr>
          <w:spacing w:val="37"/>
        </w:rPr>
        <w:t> </w:t>
      </w:r>
      <w:r>
        <w:rPr>
          <w:spacing w:val="37"/>
        </w:rPr>
      </w:r>
      <w:r>
        <w:rPr>
          <w:spacing w:val="-5"/>
        </w:rPr>
        <w:t>当单项应收票据无法以合理成本取得评估预期信用损失的信息时，本公司依据信用风险特征，将应收票据划分为若干组</w:t>
      </w:r>
    </w:p>
    <w:p>
      <w:pPr>
        <w:pStyle w:val="BodyText"/>
        <w:spacing w:line="316" w:lineRule="auto" w:before="19"/>
        <w:ind w:left="513" w:right="0" w:hanging="360"/>
        <w:jc w:val="left"/>
      </w:pPr>
      <w:r>
        <w:rPr>
          <w:spacing w:val="-3"/>
        </w:rPr>
        <w:t>合，在组合基础上计算预期信用损失。</w:t>
      </w:r>
      <w:r>
        <w:rPr>
          <w:spacing w:val="-39"/>
        </w:rPr>
        <w:t> </w:t>
      </w:r>
      <w:r>
        <w:rPr>
          <w:spacing w:val="-39"/>
        </w:rPr>
      </w:r>
      <w:r>
        <w:rPr>
          <w:spacing w:val="-4"/>
        </w:rPr>
        <w:t>对于划分为组合的应收票据，本公司参考历史信用损失经验，结合当前状况以及对未来经济状况的预测，通过违约风险</w:t>
      </w:r>
    </w:p>
    <w:p>
      <w:pPr>
        <w:pStyle w:val="BodyText"/>
        <w:tabs>
          <w:tab w:pos="2016" w:val="left" w:leader="none"/>
        </w:tabs>
        <w:spacing w:line="316" w:lineRule="auto" w:before="19"/>
        <w:ind w:left="513" w:right="4465" w:hanging="360"/>
        <w:jc w:val="left"/>
      </w:pPr>
      <w:r>
        <w:rPr>
          <w:spacing w:val="-3"/>
        </w:rPr>
        <w:t>敞口和整个存续期预期信用损失率，计算预期信用损失。确定组合的依据如下：</w:t>
      </w:r>
      <w:r>
        <w:rPr>
          <w:spacing w:val="13"/>
        </w:rPr>
        <w:t> </w:t>
      </w:r>
      <w:r>
        <w:rPr>
          <w:spacing w:val="13"/>
        </w:rPr>
      </w:r>
      <w:r>
        <w:rPr>
          <w:spacing w:val="-2"/>
        </w:rPr>
        <w:t>应收票据组合</w:t>
      </w:r>
      <w:r>
        <w:rPr>
          <w:rFonts w:ascii="宋体" w:hAnsi="宋体" w:cs="宋体" w:eastAsia="宋体" w:hint="default"/>
          <w:spacing w:val="-2"/>
        </w:rPr>
        <w:t>1</w:t>
        <w:tab/>
      </w:r>
      <w:r>
        <w:rPr>
          <w:spacing w:val="-3"/>
        </w:rPr>
        <w:t>商业承兑汇票</w:t>
      </w:r>
    </w:p>
    <w:p>
      <w:pPr>
        <w:pStyle w:val="BodyText"/>
        <w:tabs>
          <w:tab w:pos="2016" w:val="left" w:leader="none"/>
        </w:tabs>
        <w:spacing w:line="240" w:lineRule="auto" w:before="19"/>
        <w:ind w:left="513" w:right="0"/>
        <w:jc w:val="left"/>
      </w:pPr>
      <w:r>
        <w:rPr>
          <w:spacing w:val="-2"/>
        </w:rPr>
        <w:t>应收票据组合</w:t>
      </w:r>
      <w:r>
        <w:rPr>
          <w:rFonts w:ascii="宋体" w:hAnsi="宋体" w:cs="宋体" w:eastAsia="宋体" w:hint="default"/>
          <w:spacing w:val="-2"/>
        </w:rPr>
        <w:t>2</w:t>
        <w:tab/>
      </w:r>
      <w:r>
        <w:rPr>
          <w:spacing w:val="-3"/>
        </w:rPr>
        <w:t>银行承兑汇票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2、应收账款" w:id="185"/>
      <w:bookmarkEnd w:id="185"/>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left="513" w:right="0"/>
        <w:jc w:val="left"/>
      </w:pPr>
      <w:r>
        <w:rPr>
          <w:spacing w:val="-3"/>
        </w:rPr>
        <w:t>对于应收账款，无论是否存在重大融资成分，本公司均按照整个存续期的预期信用损失计量损失准备。</w:t>
      </w:r>
      <w:r>
        <w:rPr>
          <w:spacing w:val="42"/>
        </w:rPr>
        <w:t> </w:t>
      </w:r>
      <w:r>
        <w:rPr>
          <w:spacing w:val="42"/>
        </w:rPr>
      </w:r>
      <w:r>
        <w:rPr>
          <w:spacing w:val="-5"/>
        </w:rPr>
        <w:t>当单项应收账款无法以合理成本取得评估预期信用损失的信息时，本公司依据信用风险特征，将应收账款划分为若干组</w:t>
      </w:r>
    </w:p>
    <w:p>
      <w:pPr>
        <w:pStyle w:val="BodyText"/>
        <w:spacing w:line="316" w:lineRule="auto" w:before="17"/>
        <w:ind w:left="575" w:right="0" w:hanging="423"/>
        <w:jc w:val="left"/>
      </w:pPr>
      <w:r>
        <w:rPr>
          <w:spacing w:val="-3"/>
        </w:rPr>
        <w:t>合，在组合基础上计算预期信用损失。</w:t>
      </w:r>
      <w:r>
        <w:rPr>
          <w:spacing w:val="-44"/>
        </w:rPr>
        <w:t> </w:t>
      </w:r>
      <w:r>
        <w:rPr>
          <w:spacing w:val="-44"/>
        </w:rPr>
      </w:r>
      <w:r>
        <w:rPr>
          <w:spacing w:val="-2"/>
        </w:rPr>
        <w:t>对于划分为组合的应收账款，本公司参考历史信用损失经验，结合当前状况以及对未来经济状况的预测，编制应收账</w:t>
      </w:r>
    </w:p>
    <w:p>
      <w:pPr>
        <w:pStyle w:val="BodyText"/>
        <w:spacing w:line="240" w:lineRule="auto" w:before="19"/>
        <w:ind w:right="0"/>
        <w:jc w:val="left"/>
      </w:pPr>
      <w:r>
        <w:rPr>
          <w:spacing w:val="-3"/>
        </w:rPr>
        <w:t>款账龄与整个存续期预期信用损失率对照表，计算预期信用损失。确定组合的依据如下：</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3659"/>
        <w:gridCol w:w="6199"/>
      </w:tblGrid>
      <w:tr>
        <w:trPr>
          <w:trHeight w:val="322" w:hRule="exact"/>
        </w:trPr>
        <w:tc>
          <w:tcPr>
            <w:tcW w:w="36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322" w:hRule="exact"/>
        </w:trPr>
        <w:tc>
          <w:tcPr>
            <w:tcW w:w="36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1</w:t>
            </w:r>
          </w:p>
        </w:tc>
        <w:tc>
          <w:tcPr>
            <w:tcW w:w="6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pacing w:val="-3"/>
                <w:sz w:val="18"/>
                <w:szCs w:val="18"/>
              </w:rPr>
              <w:t>以应收款项的账龄作为信用风险特征</w:t>
            </w:r>
          </w:p>
        </w:tc>
      </w:tr>
      <w:tr>
        <w:trPr>
          <w:trHeight w:val="322" w:hRule="exact"/>
        </w:trPr>
        <w:tc>
          <w:tcPr>
            <w:tcW w:w="36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2</w:t>
            </w:r>
          </w:p>
        </w:tc>
        <w:tc>
          <w:tcPr>
            <w:tcW w:w="6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pacing w:val="-3"/>
                <w:sz w:val="18"/>
                <w:szCs w:val="18"/>
              </w:rPr>
              <w:t>保理业务应收款项及应收利息</w:t>
            </w:r>
          </w:p>
        </w:tc>
      </w:tr>
      <w:tr>
        <w:trPr>
          <w:trHeight w:val="322" w:hRule="exact"/>
        </w:trPr>
        <w:tc>
          <w:tcPr>
            <w:tcW w:w="36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3</w:t>
            </w:r>
          </w:p>
        </w:tc>
        <w:tc>
          <w:tcPr>
            <w:tcW w:w="6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pacing w:val="-3"/>
                <w:sz w:val="18"/>
                <w:szCs w:val="18"/>
              </w:rPr>
              <w:t>贷款业务应收款项及应收利息</w:t>
            </w:r>
          </w:p>
        </w:tc>
      </w:tr>
      <w:tr>
        <w:trPr>
          <w:trHeight w:val="322" w:hRule="exact"/>
        </w:trPr>
        <w:tc>
          <w:tcPr>
            <w:tcW w:w="36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4</w:t>
            </w:r>
          </w:p>
        </w:tc>
        <w:tc>
          <w:tcPr>
            <w:tcW w:w="6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pacing w:val="-3"/>
                <w:sz w:val="18"/>
                <w:szCs w:val="18"/>
              </w:rPr>
              <w:t>应收本公司合并报表范围内关联方应收款项</w:t>
            </w:r>
          </w:p>
        </w:tc>
      </w:tr>
    </w:tbl>
    <w:p>
      <w:pPr>
        <w:spacing w:line="240" w:lineRule="auto" w:before="3"/>
        <w:rPr>
          <w:rFonts w:ascii="宋体" w:hAnsi="宋体" w:cs="宋体" w:eastAsia="宋体" w:hint="default"/>
          <w:sz w:val="19"/>
          <w:szCs w:val="19"/>
        </w:rPr>
      </w:pPr>
    </w:p>
    <w:p>
      <w:pPr>
        <w:pStyle w:val="Heading3"/>
        <w:spacing w:line="240" w:lineRule="auto" w:before="36"/>
        <w:ind w:left="233" w:right="1145"/>
        <w:jc w:val="left"/>
        <w:rPr>
          <w:b w:val="0"/>
          <w:bCs w:val="0"/>
        </w:rPr>
      </w:pPr>
      <w:bookmarkStart w:name="13、应收款项融资" w:id="186"/>
      <w:bookmarkEnd w:id="186"/>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33" w:right="1145"/>
        <w:jc w:val="left"/>
        <w:rPr>
          <w:b w:val="0"/>
          <w:bCs w:val="0"/>
        </w:rPr>
      </w:pPr>
      <w:bookmarkStart w:name="14、其他应收款" w:id="187"/>
      <w:bookmarkEnd w:id="187"/>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1"/>
        <w:rPr>
          <w:rFonts w:ascii="宋体" w:hAnsi="宋体" w:cs="宋体" w:eastAsia="宋体" w:hint="default"/>
          <w:b/>
          <w:bCs/>
          <w:sz w:val="27"/>
          <w:szCs w:val="27"/>
        </w:rPr>
      </w:pPr>
    </w:p>
    <w:p>
      <w:pPr>
        <w:pStyle w:val="BodyText"/>
        <w:spacing w:line="352" w:lineRule="auto" w:before="0"/>
        <w:ind w:left="655" w:right="1145" w:hanging="423"/>
        <w:jc w:val="left"/>
      </w:pPr>
      <w:r>
        <w:rPr>
          <w:spacing w:val="-3"/>
        </w:rPr>
        <w:t>其他应收款的预期信用损失的确定方法及会计处理方法</w:t>
      </w:r>
      <w:r>
        <w:rPr>
          <w:spacing w:val="-16"/>
        </w:rPr>
        <w:t> </w:t>
      </w:r>
      <w:r>
        <w:rPr>
          <w:spacing w:val="-16"/>
        </w:rPr>
      </w:r>
      <w:r>
        <w:rPr>
          <w:spacing w:val="-2"/>
        </w:rPr>
        <w:t>当单项其他应收款无法以合理成本取得评估预期信用损失的信息时，本公司依据信用风险特征将其他应收款划分为若</w:t>
      </w:r>
    </w:p>
    <w:p>
      <w:pPr>
        <w:pStyle w:val="BodyText"/>
        <w:spacing w:line="227" w:lineRule="exact" w:before="0"/>
        <w:ind w:left="233" w:right="1145"/>
        <w:jc w:val="left"/>
      </w:pPr>
      <w:r>
        <w:rPr>
          <w:spacing w:val="-3"/>
        </w:rPr>
        <w:t>干组合，在组合基础上计算预期信用损失。确定组合的依据如下：</w:t>
      </w:r>
    </w:p>
    <w:p>
      <w:pPr>
        <w:spacing w:line="240" w:lineRule="auto" w:before="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654"/>
        <w:gridCol w:w="6204"/>
      </w:tblGrid>
      <w:tr>
        <w:trPr>
          <w:trHeight w:val="322"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64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5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pacing w:val="-3"/>
                <w:sz w:val="18"/>
                <w:szCs w:val="18"/>
              </w:rPr>
              <w:t>以应收款项的账龄作为信用风险特征</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5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pacing w:val="-3"/>
                <w:sz w:val="18"/>
                <w:szCs w:val="18"/>
              </w:rPr>
              <w:t>应收取的各类保证金、押金、备用金、代垫及暂付款项等应收款项。</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5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pacing w:val="-3"/>
                <w:sz w:val="18"/>
                <w:szCs w:val="18"/>
              </w:rPr>
              <w:t>应收本公司合并报表范围内关联方应收款项</w:t>
            </w:r>
          </w:p>
        </w:tc>
      </w:tr>
    </w:tbl>
    <w:p>
      <w:pPr>
        <w:pStyle w:val="BodyText"/>
        <w:spacing w:line="240" w:lineRule="auto" w:before="10"/>
        <w:ind w:left="655" w:right="1145"/>
        <w:jc w:val="left"/>
      </w:pPr>
      <w:r>
        <w:rPr>
          <w:spacing w:val="-3"/>
        </w:rPr>
        <w:t>其他应收款通过违约风险敞口和未来</w:t>
      </w:r>
      <w:r>
        <w:rPr>
          <w:rFonts w:ascii="Times New Roman" w:hAnsi="Times New Roman" w:cs="Times New Roman" w:eastAsia="Times New Roman" w:hint="default"/>
          <w:spacing w:val="-3"/>
        </w:rPr>
        <w:t>12</w:t>
      </w:r>
      <w:r>
        <w:rPr>
          <w:spacing w:val="-3"/>
        </w:rPr>
        <w:t>个月内或整个存续期预期信用损失率，计算预期信用损失。</w:t>
      </w:r>
    </w:p>
    <w:p>
      <w:pPr>
        <w:spacing w:line="240" w:lineRule="auto" w:before="13"/>
        <w:rPr>
          <w:rFonts w:ascii="宋体" w:hAnsi="宋体" w:cs="宋体" w:eastAsia="宋体" w:hint="default"/>
          <w:sz w:val="25"/>
          <w:szCs w:val="25"/>
        </w:rPr>
      </w:pPr>
    </w:p>
    <w:p>
      <w:pPr>
        <w:pStyle w:val="Heading3"/>
        <w:spacing w:line="240" w:lineRule="auto"/>
        <w:ind w:left="233" w:right="1145"/>
        <w:jc w:val="left"/>
        <w:rPr>
          <w:b w:val="0"/>
          <w:bCs w:val="0"/>
        </w:rPr>
      </w:pPr>
      <w:bookmarkStart w:name="15、存货" w:id="188"/>
      <w:bookmarkEnd w:id="188"/>
      <w:r>
        <w:rPr>
          <w:b w:val="0"/>
          <w:bCs w:val="0"/>
        </w:rPr>
      </w:r>
      <w:r>
        <w:rPr>
          <w:rFonts w:ascii="Times New Roman" w:hAnsi="Times New Roman" w:cs="Times New Roman" w:eastAsia="Times New Roman" w:hint="default"/>
        </w:rPr>
        <w:t>15</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00" w:lineRule="auto" w:before="0"/>
        <w:ind w:left="655" w:right="4417"/>
        <w:jc w:val="left"/>
      </w:pPr>
      <w:r>
        <w:rPr/>
        <w:t>（</w:t>
      </w:r>
      <w:r>
        <w:rPr>
          <w:rFonts w:ascii="Times New Roman" w:hAnsi="Times New Roman" w:cs="Times New Roman" w:eastAsia="Times New Roman" w:hint="default"/>
        </w:rPr>
        <w:t>1</w:t>
      </w:r>
      <w:r>
        <w:rPr/>
        <w:t>）存货的分类</w:t>
      </w:r>
      <w:r>
        <w:rPr>
          <w:spacing w:val="-87"/>
        </w:rPr>
        <w:t> </w:t>
      </w:r>
      <w:r>
        <w:rPr>
          <w:spacing w:val="-87"/>
        </w:rPr>
      </w:r>
      <w:r>
        <w:rPr>
          <w:spacing w:val="-3"/>
        </w:rPr>
        <w:t>本公司存货分为原材料、在产品、库存商品、周转材料等。</w:t>
      </w:r>
    </w:p>
    <w:p>
      <w:pPr>
        <w:pStyle w:val="BodyText"/>
        <w:spacing w:line="300" w:lineRule="auto" w:before="31"/>
        <w:ind w:left="655" w:right="1145"/>
        <w:jc w:val="left"/>
      </w:pPr>
      <w:r>
        <w:rPr/>
        <w:t>（</w:t>
      </w:r>
      <w:r>
        <w:rPr>
          <w:rFonts w:ascii="Times New Roman" w:hAnsi="Times New Roman" w:cs="Times New Roman" w:eastAsia="Times New Roman" w:hint="default"/>
        </w:rPr>
        <w:t>2</w:t>
      </w:r>
      <w:r>
        <w:rPr/>
        <w:t>）存货取得和发出的计价方法</w:t>
      </w:r>
      <w:r>
        <w:rPr>
          <w:spacing w:val="-86"/>
        </w:rPr>
        <w:t> </w:t>
      </w:r>
      <w:r>
        <w:rPr>
          <w:spacing w:val="-86"/>
        </w:rPr>
      </w:r>
      <w:r>
        <w:rPr>
          <w:spacing w:val="-2"/>
        </w:rPr>
        <w:t>本公司存货盘存制度采用永续盘存制，存货取得时按实际成本计价。原材料、在产品、库存商品等发出时采用加权平</w:t>
      </w:r>
    </w:p>
    <w:p>
      <w:pPr>
        <w:pStyle w:val="BodyText"/>
        <w:spacing w:line="240" w:lineRule="auto" w:before="32"/>
        <w:ind w:left="233" w:right="1145"/>
        <w:jc w:val="left"/>
      </w:pPr>
      <w:r>
        <w:rPr>
          <w:spacing w:val="-3"/>
        </w:rPr>
        <w:t>均法计价；周转用包装物和低值易耗品领用时采用一次转销法摊销。</w:t>
      </w:r>
    </w:p>
    <w:p>
      <w:pPr>
        <w:pStyle w:val="BodyText"/>
        <w:spacing w:line="300" w:lineRule="auto" w:before="76"/>
        <w:ind w:left="655" w:right="1145"/>
        <w:jc w:val="left"/>
      </w:pPr>
      <w:r>
        <w:rPr/>
        <w:t>（</w:t>
      </w:r>
      <w:r>
        <w:rPr>
          <w:rFonts w:ascii="Times New Roman" w:hAnsi="Times New Roman" w:cs="Times New Roman" w:eastAsia="Times New Roman" w:hint="default"/>
        </w:rPr>
        <w:t>3</w:t>
      </w:r>
      <w:r>
        <w:rPr/>
        <w:t>）存货跌价准备计提方法</w:t>
      </w:r>
      <w:r>
        <w:rPr>
          <w:spacing w:val="-85"/>
        </w:rPr>
        <w:t> </w:t>
      </w:r>
      <w:r>
        <w:rPr>
          <w:spacing w:val="-85"/>
        </w:rPr>
      </w:r>
      <w:r>
        <w:rPr>
          <w:spacing w:val="-2"/>
        </w:rPr>
        <w:t>本公司期末存货成本高于其可变现净值的，计提存货跌价准备。本公司通常按照类别计提存货跌价准备，期末，以前</w:t>
      </w:r>
    </w:p>
    <w:p>
      <w:pPr>
        <w:pStyle w:val="BodyText"/>
        <w:spacing w:line="240" w:lineRule="auto" w:before="31"/>
        <w:ind w:left="233" w:right="1145"/>
        <w:jc w:val="left"/>
      </w:pPr>
      <w:r>
        <w:rPr>
          <w:spacing w:val="-3"/>
        </w:rPr>
        <w:t>减记存货价值的影响因素已经消失的，存货跌价准备在原已计提的金额内转回。</w:t>
      </w:r>
    </w:p>
    <w:p>
      <w:pPr>
        <w:pStyle w:val="BodyText"/>
        <w:spacing w:line="300" w:lineRule="auto" w:before="76"/>
        <w:ind w:left="655" w:right="1145"/>
        <w:jc w:val="left"/>
      </w:pPr>
      <w:r>
        <w:rPr/>
        <w:t>（</w:t>
      </w:r>
      <w:r>
        <w:rPr>
          <w:rFonts w:ascii="Times New Roman" w:hAnsi="Times New Roman" w:cs="Times New Roman" w:eastAsia="Times New Roman" w:hint="default"/>
        </w:rPr>
        <w:t>4</w:t>
      </w:r>
      <w:r>
        <w:rPr/>
        <w:t>）存货可变现净值的确认方法</w:t>
      </w:r>
      <w:r>
        <w:rPr>
          <w:spacing w:val="-86"/>
        </w:rPr>
        <w:t> </w:t>
      </w:r>
      <w:r>
        <w:rPr>
          <w:spacing w:val="-86"/>
        </w:rPr>
      </w:r>
      <w:r>
        <w:rPr>
          <w:spacing w:val="-2"/>
        </w:rPr>
        <w:t>期末对存货进行全面清查后，按存货的成本与可变现净值孰低提取或调整存货跌价准备。产成品和用于出售的材料等</w:t>
      </w:r>
      <w:r>
        <w:rPr/>
      </w:r>
    </w:p>
    <w:p>
      <w:pPr>
        <w:pStyle w:val="BodyText"/>
        <w:spacing w:line="316" w:lineRule="auto" w:before="31"/>
        <w:ind w:left="233" w:right="1145"/>
        <w:jc w:val="left"/>
      </w:pPr>
      <w:r>
        <w:rPr>
          <w:spacing w:val="-4"/>
        </w:rPr>
        <w:t>直接用于出售的商品存货，在正常生产经营过程中，以该存货的估计售价减去估计的销售费用和相关税费后的金额，确定其</w:t>
      </w:r>
      <w:r>
        <w:rPr>
          <w:spacing w:val="43"/>
        </w:rPr>
        <w:t> </w:t>
      </w:r>
      <w:r>
        <w:rPr>
          <w:spacing w:val="43"/>
        </w:rPr>
      </w:r>
      <w:r>
        <w:rPr>
          <w:spacing w:val="-4"/>
        </w:rPr>
        <w:t>可变现净值；需要经过加工的材料存货，在正常生产经营过程中，以所生产的产成品的估计售价减去至完工时估计将要发生</w:t>
      </w:r>
      <w:r>
        <w:rPr>
          <w:spacing w:val="43"/>
        </w:rPr>
        <w:t> </w:t>
      </w:r>
      <w:r>
        <w:rPr>
          <w:spacing w:val="43"/>
        </w:rPr>
      </w:r>
      <w:r>
        <w:rPr>
          <w:spacing w:val="-4"/>
        </w:rPr>
        <w:t>的成本、估计的销售费用和相关税费后的金额，确定其可变现净值；为执行销售合同或者劳务合同而持有的存货，其可变现</w:t>
      </w:r>
      <w:r>
        <w:rPr>
          <w:spacing w:val="40"/>
        </w:rPr>
        <w:t> </w:t>
      </w:r>
      <w:r>
        <w:rPr>
          <w:spacing w:val="40"/>
        </w:rPr>
      </w:r>
      <w:r>
        <w:rPr>
          <w:spacing w:val="-4"/>
        </w:rPr>
        <w:t>净值以合同价格为基础计算，若持有存货的数量多于销售合同订购数量的，超出部分的存货的可变现净值以一般销售价格为</w:t>
      </w:r>
      <w:r>
        <w:rPr>
          <w:spacing w:val="43"/>
        </w:rPr>
        <w:t> </w:t>
      </w:r>
      <w:r>
        <w:rPr>
          <w:spacing w:val="43"/>
        </w:rPr>
      </w:r>
      <w:r>
        <w:rPr>
          <w:spacing w:val="-6"/>
        </w:rPr>
        <w:t>基础计算。期末按照单个存货项目计提存货跌价准备；但对于数量繁多、单价较低的存货，按照存货类别计提存货跌价准备；</w:t>
      </w:r>
      <w:r>
        <w:rPr>
          <w:spacing w:val="66"/>
        </w:rPr>
        <w:t> </w:t>
      </w:r>
      <w:r>
        <w:rPr>
          <w:spacing w:val="66"/>
        </w:rPr>
      </w:r>
      <w:r>
        <w:rPr>
          <w:spacing w:val="-4"/>
        </w:rPr>
        <w:t>与在同一地区生产和销售的产品系列相关、具有相同或类似最终用途或目的，且难以与其他项目分开计量的存货，则合并计</w:t>
      </w:r>
      <w:r>
        <w:rPr>
          <w:spacing w:val="43"/>
        </w:rPr>
        <w:t> </w:t>
      </w:r>
      <w:r>
        <w:rPr>
          <w:spacing w:val="43"/>
        </w:rPr>
      </w:r>
      <w:r>
        <w:rPr>
          <w:spacing w:val="-4"/>
        </w:rPr>
        <w:t>提存货跌价准备。除有明确证据表明资产负债表日市场价格异常外，存货项目的可变现净值以资产负债表日市场价格为基础</w:t>
      </w:r>
      <w:r>
        <w:rPr>
          <w:spacing w:val="43"/>
        </w:rPr>
        <w:t> </w:t>
      </w:r>
      <w:r>
        <w:rPr>
          <w:spacing w:val="43"/>
        </w:rPr>
      </w:r>
      <w:r>
        <w:rPr>
          <w:spacing w:val="-3"/>
        </w:rPr>
        <w:t>确定。本期期末存货项目的可变现净值以资产负债表日市场价格为基础确定。</w:t>
      </w:r>
    </w:p>
    <w:p>
      <w:pPr>
        <w:spacing w:after="0" w:line="316" w:lineRule="auto"/>
        <w:jc w:val="left"/>
        <w:sectPr>
          <w:pgSz w:w="11910" w:h="16840"/>
          <w:pgMar w:header="741" w:footer="979" w:top="1060" w:bottom="1160" w:left="90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16、合同资产" w:id="189"/>
      <w:bookmarkEnd w:id="189"/>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7、合同成本" w:id="190"/>
      <w:bookmarkEnd w:id="190"/>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8、持有待售资产" w:id="191"/>
      <w:bookmarkEnd w:id="191"/>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07" w:lineRule="auto" w:before="0"/>
        <w:ind w:right="1123" w:firstLine="422"/>
        <w:jc w:val="both"/>
      </w:pPr>
      <w:r>
        <w:rPr>
          <w:spacing w:val="-2"/>
        </w:rPr>
        <w:t>本公司将通过出售（包括具有商业实质的非货币性资产交换，下同）而非持续使用一项非流动资产或处置组收回其账</w:t>
      </w:r>
      <w:r>
        <w:rPr>
          <w:w w:val="101"/>
        </w:rPr>
        <w:t> </w:t>
      </w:r>
      <w:r>
        <w:rPr>
          <w:spacing w:val="-2"/>
        </w:rPr>
        <w:t>面价值，并同时满足以下两个条件的，划分为持有待售类别：</w:t>
      </w:r>
      <w:r>
        <w:rPr>
          <w:rFonts w:ascii="Times New Roman" w:hAnsi="Times New Roman" w:cs="Times New Roman" w:eastAsia="Times New Roman" w:hint="default"/>
          <w:spacing w:val="-2"/>
        </w:rPr>
        <w:t>(1)</w:t>
      </w:r>
      <w:r>
        <w:rPr>
          <w:spacing w:val="-2"/>
        </w:rPr>
        <w:t>某项非流动资产或处置组根据类似交易中出售此类资产或</w:t>
      </w:r>
      <w:r>
        <w:rPr/>
        <w:t> </w:t>
      </w:r>
      <w:r>
        <w:rPr/>
      </w:r>
      <w:r>
        <w:rPr>
          <w:spacing w:val="-3"/>
        </w:rPr>
        <w:t>处置组的惯例，在当前状况下即可立即出售；</w:t>
      </w:r>
      <w:r>
        <w:rPr>
          <w:rFonts w:ascii="Times New Roman" w:hAnsi="Times New Roman" w:cs="Times New Roman" w:eastAsia="Times New Roman" w:hint="default"/>
          <w:spacing w:val="-3"/>
        </w:rPr>
        <w:t>(2) </w:t>
      </w:r>
      <w:r>
        <w:rPr>
          <w:spacing w:val="-3"/>
        </w:rPr>
        <w:t>本公司已经就出售计划作出决议且获得确定的购买承诺，预计出售将在一</w:t>
      </w:r>
      <w:r>
        <w:rPr>
          <w:spacing w:val="-68"/>
        </w:rPr>
        <w:t> </w:t>
      </w:r>
      <w:r>
        <w:rPr>
          <w:spacing w:val="-68"/>
        </w:rPr>
      </w:r>
      <w:r>
        <w:rPr>
          <w:spacing w:val="-7"/>
          <w:w w:val="101"/>
        </w:rPr>
        <w:t>年内完成。（有关规定要求相关权力机构或者监管部门批准后方可出售的，已经获得批准。）</w:t>
      </w:r>
      <w:r>
        <w:rPr>
          <w:spacing w:val="-7"/>
        </w:rPr>
      </w:r>
    </w:p>
    <w:p>
      <w:pPr>
        <w:pStyle w:val="BodyText"/>
        <w:spacing w:line="300" w:lineRule="auto" w:before="26"/>
        <w:ind w:right="1122" w:firstLine="422"/>
        <w:jc w:val="both"/>
      </w:pPr>
      <w:r>
        <w:rPr>
          <w:spacing w:val="-2"/>
        </w:rPr>
        <w:t>本公司将专为转售而取得的非流动资产或处置组，在取得日满足</w:t>
      </w:r>
      <w:r>
        <w:rPr>
          <w:rFonts w:ascii="Times New Roman" w:hAnsi="Times New Roman" w:cs="Times New Roman" w:eastAsia="Times New Roman" w:hint="default"/>
          <w:spacing w:val="-2"/>
        </w:rPr>
        <w:t>“</w:t>
      </w:r>
      <w:r>
        <w:rPr>
          <w:spacing w:val="-2"/>
        </w:rPr>
        <w:t>预计出售将在一年内完成</w:t>
      </w:r>
      <w:r>
        <w:rPr>
          <w:rFonts w:ascii="Times New Roman" w:hAnsi="Times New Roman" w:cs="Times New Roman" w:eastAsia="Times New Roman" w:hint="default"/>
          <w:spacing w:val="-2"/>
        </w:rPr>
        <w:t>”</w:t>
      </w:r>
      <w:r>
        <w:rPr>
          <w:spacing w:val="-2"/>
        </w:rPr>
        <w:t>的规定条件，且短期（通</w:t>
      </w:r>
      <w:r>
        <w:rPr>
          <w:w w:val="101"/>
        </w:rPr>
        <w:t> </w:t>
      </w:r>
      <w:r>
        <w:rPr>
          <w:spacing w:val="-3"/>
        </w:rPr>
        <w:t>常为</w:t>
      </w:r>
      <w:r>
        <w:rPr>
          <w:rFonts w:ascii="Times New Roman" w:hAnsi="Times New Roman" w:cs="Times New Roman" w:eastAsia="Times New Roman" w:hint="default"/>
          <w:spacing w:val="-3"/>
        </w:rPr>
        <w:t>3</w:t>
      </w:r>
      <w:r>
        <w:rPr>
          <w:spacing w:val="-3"/>
        </w:rPr>
        <w:t>个月）内很可能满足持有待售类别的其他划分条件的，在取得日划分为持有待售类别。</w:t>
      </w:r>
    </w:p>
    <w:p>
      <w:pPr>
        <w:pStyle w:val="BodyText"/>
        <w:spacing w:line="314" w:lineRule="auto" w:before="13"/>
        <w:ind w:right="0" w:firstLine="422"/>
        <w:jc w:val="left"/>
      </w:pPr>
      <w:r>
        <w:rPr>
          <w:spacing w:val="-2"/>
        </w:rPr>
        <w:t>本公司初始计量或在资产负债表日重新计量划分为持有待售的非流动资产和处置组时，其账面价值高于公允价值减去</w:t>
      </w:r>
      <w:r>
        <w:rPr>
          <w:w w:val="101"/>
        </w:rPr>
        <w:t> </w:t>
      </w:r>
      <w:r>
        <w:rPr>
          <w:spacing w:val="-6"/>
        </w:rPr>
        <w:t>出售费用后的净额的，将账面价值减记至公允价值减去出售费用后的净额，减记的金额确认为资产减值损失，计入当期损益，</w:t>
      </w:r>
      <w:r>
        <w:rPr>
          <w:spacing w:val="63"/>
        </w:rPr>
        <w:t> </w:t>
      </w:r>
      <w:r>
        <w:rPr>
          <w:spacing w:val="63"/>
        </w:rPr>
      </w:r>
      <w:r>
        <w:rPr>
          <w:spacing w:val="-4"/>
        </w:rPr>
        <w:t>同时计提持有待售资产减值准备。对于持有待售的处置组确认的资产减值损失金额，先抵减处置组中商誉的账面价值，再根</w:t>
      </w:r>
      <w:r>
        <w:rPr>
          <w:spacing w:val="43"/>
        </w:rPr>
        <w:t> </w:t>
      </w:r>
      <w:r>
        <w:rPr>
          <w:spacing w:val="43"/>
        </w:rPr>
      </w:r>
      <w:r>
        <w:rPr>
          <w:spacing w:val="-4"/>
        </w:rPr>
        <w:t>据处置组中适用《企业会计准则第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持有待售的非流动资产、处置组和终止经营》计量规定的各项非流动资产账面价</w:t>
      </w:r>
      <w:r>
        <w:rPr>
          <w:spacing w:val="47"/>
        </w:rPr>
        <w:t> </w:t>
      </w:r>
      <w:r>
        <w:rPr>
          <w:spacing w:val="47"/>
        </w:rPr>
      </w:r>
      <w:r>
        <w:rPr>
          <w:spacing w:val="-3"/>
        </w:rPr>
        <w:t>值所占比重，按比例抵减其账面价值。</w:t>
      </w:r>
    </w:p>
    <w:p>
      <w:pPr>
        <w:pStyle w:val="BodyText"/>
        <w:spacing w:line="312" w:lineRule="auto" w:before="20"/>
        <w:ind w:right="0" w:firstLine="422"/>
        <w:jc w:val="left"/>
      </w:pPr>
      <w:r>
        <w:rPr>
          <w:spacing w:val="-2"/>
        </w:rPr>
        <w:t>后续资产负债表日持有待售的非流动资产公允价值减去出售费用后的净额增加的，以前减记的金额予以恢复，并在划</w:t>
      </w:r>
      <w:r>
        <w:rPr>
          <w:w w:val="101"/>
        </w:rPr>
        <w:t> </w:t>
      </w:r>
      <w:r>
        <w:rPr>
          <w:spacing w:val="-4"/>
        </w:rPr>
        <w:t>分为持有待售类别后确认的资产减值损失金额内转回，转回金额计入当期损益。划分为持有待售类别前确认的资产减值损失</w:t>
      </w:r>
      <w:r>
        <w:rPr>
          <w:spacing w:val="42"/>
        </w:rPr>
        <w:t> </w:t>
      </w:r>
      <w:r>
        <w:rPr>
          <w:spacing w:val="42"/>
        </w:rPr>
      </w:r>
      <w:r>
        <w:rPr>
          <w:spacing w:val="-4"/>
        </w:rPr>
        <w:t>不转回。持有待售的处置组以前减记的金额应当予以恢复，并在划分为持有待售类别后适用《企业会计准则第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w:t>
      </w:r>
      <w:r>
        <w:rPr>
          <w:spacing w:val="49"/>
        </w:rPr>
        <w:t> </w:t>
      </w:r>
      <w:r>
        <w:rPr>
          <w:spacing w:val="-3"/>
        </w:rPr>
        <w:t>待售的非流动资产、处置组和终止经营》计量规定的非流动资产确认的资产减值损失金额内转回，转回金额计入当期损益。</w:t>
      </w:r>
      <w:r>
        <w:rPr>
          <w:spacing w:val="66"/>
        </w:rPr>
        <w:t> </w:t>
      </w:r>
      <w:r>
        <w:rPr>
          <w:spacing w:val="66"/>
        </w:rPr>
      </w:r>
      <w:r>
        <w:rPr>
          <w:spacing w:val="-4"/>
        </w:rPr>
        <w:t>已抵减的商誉账面价值，以及适用《企业会计准则第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持有待售的非流动资产、处置组和终止经营》计量规定的非流</w:t>
      </w:r>
      <w:r>
        <w:rPr>
          <w:spacing w:val="44"/>
        </w:rPr>
        <w:t> </w:t>
      </w:r>
      <w:r>
        <w:rPr>
          <w:spacing w:val="44"/>
        </w:rPr>
      </w:r>
      <w:r>
        <w:rPr>
          <w:spacing w:val="-3"/>
        </w:rPr>
        <w:t>动资产在划分为持有待售类别前确认的资产减值损失不得转回。</w:t>
      </w:r>
    </w:p>
    <w:p>
      <w:pPr>
        <w:pStyle w:val="BodyText"/>
        <w:spacing w:line="316" w:lineRule="auto" w:before="22"/>
        <w:ind w:right="1123" w:firstLine="422"/>
        <w:jc w:val="both"/>
      </w:pPr>
      <w:r>
        <w:rPr>
          <w:spacing w:val="-2"/>
        </w:rPr>
        <w:t>持有待售的非流动资产或处置组中的非流动资产不计提折旧或摊销，持有待售的处置组中负债的利息和其他费用继续</w:t>
      </w:r>
      <w:r>
        <w:rPr>
          <w:w w:val="101"/>
        </w:rPr>
        <w:t> </w:t>
      </w:r>
      <w:r>
        <w:rPr/>
        <w:t>予以确认。</w:t>
      </w:r>
    </w:p>
    <w:p>
      <w:pPr>
        <w:pStyle w:val="BodyText"/>
        <w:spacing w:line="307" w:lineRule="auto" w:before="19"/>
        <w:ind w:right="1123" w:firstLine="360"/>
        <w:jc w:val="both"/>
      </w:pPr>
      <w:r>
        <w:rPr>
          <w:spacing w:val="-5"/>
          <w:w w:val="101"/>
        </w:rPr>
        <w:t>非流动资产或处置组因不再满足持有待售类别的划分条件时，本公司不再将其继续划分为持有待售类别或非流动资产从</w:t>
      </w:r>
      <w:r>
        <w:rPr>
          <w:w w:val="101"/>
        </w:rPr>
        <w:t> </w:t>
      </w:r>
      <w:r>
        <w:rPr>
          <w:spacing w:val="-6"/>
          <w:w w:val="101"/>
        </w:rPr>
        <w:t>持有待售的处置组中移除，并按照以下两者孰低计量：（</w:t>
      </w:r>
      <w:r>
        <w:rPr>
          <w:rFonts w:ascii="Times New Roman" w:hAnsi="Times New Roman" w:cs="Times New Roman" w:eastAsia="Times New Roman" w:hint="default"/>
          <w:spacing w:val="-6"/>
          <w:w w:val="101"/>
        </w:rPr>
        <w:t>1</w:t>
      </w:r>
      <w:r>
        <w:rPr>
          <w:spacing w:val="-6"/>
          <w:w w:val="101"/>
        </w:rPr>
        <w:t>）划分为持有待售类别前的账面价值，按照假定不划分为持有待售</w:t>
      </w:r>
      <w:r>
        <w:rPr>
          <w:spacing w:val="-67"/>
          <w:w w:val="101"/>
        </w:rPr>
        <w:t> </w:t>
      </w:r>
      <w:r>
        <w:rPr>
          <w:spacing w:val="-67"/>
          <w:w w:val="101"/>
        </w:rPr>
      </w:r>
      <w:r>
        <w:rPr>
          <w:spacing w:val="-6"/>
          <w:w w:val="101"/>
        </w:rPr>
        <w:t>类别情况下本应确认的折旧、摊销或减值等进行调整后的金额；（</w:t>
      </w:r>
      <w:r>
        <w:rPr>
          <w:rFonts w:ascii="Times New Roman" w:hAnsi="Times New Roman" w:cs="Times New Roman" w:eastAsia="Times New Roman" w:hint="default"/>
          <w:spacing w:val="-6"/>
          <w:w w:val="101"/>
        </w:rPr>
        <w:t>2</w:t>
      </w:r>
      <w:r>
        <w:rPr>
          <w:spacing w:val="-6"/>
          <w:w w:val="101"/>
        </w:rPr>
        <w:t>）可收回金额。终止确认持有待售的非流动资产或处置组</w:t>
      </w:r>
      <w:r>
        <w:rPr>
          <w:spacing w:val="-67"/>
          <w:w w:val="101"/>
        </w:rPr>
        <w:t> </w:t>
      </w:r>
      <w:r>
        <w:rPr>
          <w:spacing w:val="-67"/>
          <w:w w:val="101"/>
        </w:rPr>
      </w:r>
      <w:r>
        <w:rPr>
          <w:spacing w:val="-3"/>
        </w:rPr>
        <w:t>时，本公司将尚未确认的利得或损失计入当期损益。</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19、债权投资" w:id="192"/>
      <w:bookmarkEnd w:id="192"/>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0、其他债权投资" w:id="193"/>
      <w:bookmarkEnd w:id="193"/>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21、长期应收款" w:id="194"/>
      <w:bookmarkEnd w:id="194"/>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right="1124" w:firstLine="360"/>
        <w:jc w:val="both"/>
      </w:pPr>
      <w:r>
        <w:rPr>
          <w:spacing w:val="-4"/>
        </w:rPr>
        <w:t>租赁业务产生的长期应收款、一年内到期长期应收款，本公司参考历史信用损失经验，结合当前状况以及对未来经济状</w:t>
      </w:r>
      <w:r>
        <w:rPr>
          <w:w w:val="101"/>
        </w:rPr>
        <w:t> </w:t>
      </w:r>
      <w:r>
        <w:rPr>
          <w:spacing w:val="-3"/>
        </w:rPr>
        <w:t>况的预测，通过违约风险敞口和整个存续期预期信用损失率。</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2、长期股权投资" w:id="195"/>
      <w:bookmarkEnd w:id="195"/>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28" w:firstLine="360"/>
        <w:jc w:val="both"/>
      </w:pPr>
      <w:r>
        <w:rPr>
          <w:spacing w:val="-5"/>
        </w:rPr>
        <w:t>本部分所指的长期股权投资是指本公司对被投资单位具有控制、共同控制或重大影响的长期股权投资。本公司对被投资</w:t>
      </w:r>
      <w:r>
        <w:rPr>
          <w:w w:val="101"/>
        </w:rPr>
        <w:t> </w:t>
      </w:r>
      <w:r>
        <w:rPr>
          <w:spacing w:val="-5"/>
        </w:rPr>
        <w:t>单位不具有控制、共同控制或重大影响的长期股权投资，作为可供出售金融资产或以公允价值计量且其变动计入当期损益的</w:t>
      </w:r>
      <w:r>
        <w:rPr>
          <w:spacing w:val="6"/>
        </w:rPr>
        <w:t> </w:t>
      </w:r>
      <w:r>
        <w:rPr>
          <w:spacing w:val="6"/>
        </w:rPr>
      </w:r>
      <w:r>
        <w:rPr>
          <w:spacing w:val="-3"/>
        </w:rPr>
        <w:t>金融资产核算，其会计政策详见附注三、</w:t>
      </w:r>
      <w:r>
        <w:rPr>
          <w:rFonts w:ascii="Times New Roman" w:hAnsi="Times New Roman" w:cs="Times New Roman" w:eastAsia="Times New Roman" w:hint="default"/>
          <w:spacing w:val="-3"/>
        </w:rPr>
        <w:t>10</w:t>
      </w:r>
      <w:r>
        <w:rPr>
          <w:spacing w:val="-3"/>
        </w:rPr>
        <w:t>金融工具</w:t>
      </w:r>
      <w:r>
        <w:rPr>
          <w:rFonts w:ascii="Times New Roman" w:hAnsi="Times New Roman" w:cs="Times New Roman" w:eastAsia="Times New Roman" w:hint="default"/>
          <w:spacing w:val="-3"/>
        </w:rPr>
        <w:t>”</w:t>
      </w:r>
      <w:r>
        <w:rPr>
          <w:spacing w:val="-3"/>
        </w:rPr>
        <w:t>。</w:t>
      </w:r>
    </w:p>
    <w:p>
      <w:pPr>
        <w:pStyle w:val="BodyText"/>
        <w:spacing w:line="235" w:lineRule="exact" w:before="0"/>
        <w:ind w:left="513" w:right="0"/>
        <w:jc w:val="left"/>
      </w:pPr>
      <w:r>
        <w:rPr>
          <w:spacing w:val="-4"/>
        </w:rPr>
        <w:t>共同控制，是指本公司按照相关约定对某项安排所共有的控制，并且该安排的相关活动必须经过分享控制权的参与方一</w:t>
      </w:r>
    </w:p>
    <w:p>
      <w:pPr>
        <w:spacing w:after="0" w:line="235" w:lineRule="exact"/>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ind w:right="0"/>
        <w:jc w:val="left"/>
      </w:pPr>
      <w:r>
        <w:rPr>
          <w:spacing w:val="-4"/>
        </w:rPr>
        <w:t>致同意后才能决策。重大影响，是指本公司对被投资单位的财务和经营政策有参与决策的权力，但并不能够控制或者与其他</w:t>
      </w:r>
      <w:r>
        <w:rPr>
          <w:spacing w:val="43"/>
        </w:rPr>
        <w:t> </w:t>
      </w:r>
      <w:r>
        <w:rPr>
          <w:spacing w:val="43"/>
        </w:rPr>
      </w:r>
      <w:r>
        <w:rPr>
          <w:spacing w:val="-3"/>
        </w:rPr>
        <w:t>方一起共同控制这些政策的制定。</w:t>
      </w:r>
    </w:p>
    <w:p>
      <w:pPr>
        <w:pStyle w:val="BodyText"/>
        <w:spacing w:line="300" w:lineRule="auto" w:before="19"/>
        <w:ind w:left="513" w:right="0"/>
        <w:jc w:val="left"/>
      </w:pPr>
      <w:r>
        <w:rPr/>
        <w:t>（</w:t>
      </w:r>
      <w:r>
        <w:rPr>
          <w:rFonts w:ascii="Times New Roman" w:hAnsi="Times New Roman" w:cs="Times New Roman" w:eastAsia="Times New Roman" w:hint="default"/>
        </w:rPr>
        <w:t>1</w:t>
      </w:r>
      <w:r>
        <w:rPr/>
        <w:t>）投资成本的确定</w:t>
      </w:r>
      <w:r>
        <w:rPr>
          <w:spacing w:val="-88"/>
        </w:rPr>
        <w:t> </w:t>
      </w:r>
      <w:r>
        <w:rPr>
          <w:spacing w:val="-88"/>
        </w:rPr>
      </w:r>
      <w:r>
        <w:rPr>
          <w:spacing w:val="-3"/>
        </w:rPr>
        <w:t>对于同一控制下的企业合并取得的长期股权投资，在合并日按照被合并方股东权益</w:t>
      </w:r>
      <w:r>
        <w:rPr>
          <w:rFonts w:ascii="Times New Roman" w:hAnsi="Times New Roman" w:cs="Times New Roman" w:eastAsia="Times New Roman" w:hint="default"/>
          <w:spacing w:val="-3"/>
        </w:rPr>
        <w:t>/</w:t>
      </w:r>
      <w:r>
        <w:rPr>
          <w:spacing w:val="-3"/>
        </w:rPr>
        <w:t>所有者权益在最终控制方合并财务</w:t>
      </w:r>
    </w:p>
    <w:p>
      <w:pPr>
        <w:pStyle w:val="BodyText"/>
        <w:spacing w:line="312" w:lineRule="auto" w:before="13"/>
        <w:ind w:right="1117"/>
        <w:jc w:val="left"/>
      </w:pPr>
      <w:r>
        <w:rPr>
          <w:spacing w:val="-4"/>
        </w:rPr>
        <w:t>报表中的账面价值的份额作为长期股权投资的初始投资成本。长期股权投资初始投资成本与支付的现金、转让的非现金资产</w:t>
      </w:r>
      <w:r>
        <w:rPr>
          <w:spacing w:val="44"/>
        </w:rPr>
        <w:t> </w:t>
      </w:r>
      <w:r>
        <w:rPr>
          <w:spacing w:val="44"/>
        </w:rPr>
      </w:r>
      <w:r>
        <w:rPr>
          <w:spacing w:val="-4"/>
        </w:rPr>
        <w:t>以及所承担债务账面价值之间的差额，调整资本公积；资本公积不足冲减的，调整留存收益。以发行权益性证券作为合并对</w:t>
      </w:r>
      <w:r>
        <w:rPr>
          <w:spacing w:val="41"/>
        </w:rPr>
        <w:t> </w:t>
      </w:r>
      <w:r>
        <w:rPr>
          <w:spacing w:val="41"/>
        </w:rPr>
      </w:r>
      <w:r>
        <w:rPr>
          <w:spacing w:val="-3"/>
        </w:rPr>
        <w:t>价的，在合并日按照被合并方股东权益</w:t>
      </w:r>
      <w:r>
        <w:rPr>
          <w:rFonts w:ascii="Times New Roman" w:hAnsi="Times New Roman" w:cs="Times New Roman" w:eastAsia="Times New Roman" w:hint="default"/>
          <w:spacing w:val="-3"/>
        </w:rPr>
        <w:t>/</w:t>
      </w:r>
      <w:r>
        <w:rPr>
          <w:spacing w:val="-3"/>
        </w:rPr>
        <w:t>所有者权益在最终控制方合并财务报表中的账面价值的份额作为长期股权投资的初</w:t>
      </w:r>
      <w:r>
        <w:rPr>
          <w:spacing w:val="71"/>
        </w:rPr>
        <w:t> </w:t>
      </w:r>
      <w:r>
        <w:rPr>
          <w:spacing w:val="71"/>
        </w:rPr>
      </w:r>
      <w:r>
        <w:rPr>
          <w:spacing w:val="-4"/>
        </w:rPr>
        <w:t>始投资成本，按照发行股份的面值总额作为股本，长期股权投资初始投资成本与所发行股份面值总额之间的差额，调整资本</w:t>
      </w:r>
      <w:r>
        <w:rPr>
          <w:spacing w:val="43"/>
        </w:rPr>
        <w:t> </w:t>
      </w:r>
      <w:r>
        <w:rPr>
          <w:spacing w:val="43"/>
        </w:rPr>
      </w:r>
      <w:r>
        <w:rPr>
          <w:spacing w:val="-4"/>
        </w:rPr>
        <w:t>公积；资本公积不足冲减的，调整留存收益。通过多次交易分步取得同一控制下被合并方的股权，最终形成同一控制下企业</w:t>
      </w:r>
      <w:r>
        <w:rPr>
          <w:spacing w:val="40"/>
        </w:rPr>
        <w:t> </w:t>
      </w:r>
      <w:r>
        <w:rPr>
          <w:spacing w:val="40"/>
        </w:rPr>
      </w:r>
      <w:r>
        <w:rPr>
          <w:spacing w:val="-4"/>
        </w:rPr>
        <w:t>合并的，应分别是否属于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进行处理：属于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的，将各项交易作为一项取得控制权的交易进行会计处</w:t>
      </w:r>
      <w:r>
        <w:rPr>
          <w:spacing w:val="3"/>
        </w:rPr>
        <w:t> </w:t>
      </w:r>
      <w:r>
        <w:rPr>
          <w:spacing w:val="3"/>
        </w:rPr>
      </w:r>
      <w:r>
        <w:rPr>
          <w:spacing w:val="-3"/>
        </w:rPr>
        <w:t>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的，在合并日按照应享有被合并方股东权益</w:t>
      </w:r>
      <w:r>
        <w:rPr>
          <w:rFonts w:ascii="Times New Roman" w:hAnsi="Times New Roman" w:cs="Times New Roman" w:eastAsia="Times New Roman" w:hint="default"/>
          <w:spacing w:val="-3"/>
        </w:rPr>
        <w:t>/</w:t>
      </w:r>
      <w:r>
        <w:rPr>
          <w:spacing w:val="-3"/>
        </w:rPr>
        <w:t>所有者权益在最终控制方合并财务报表中的账面价值</w:t>
      </w:r>
      <w:r>
        <w:rPr>
          <w:spacing w:val="69"/>
        </w:rPr>
        <w:t> </w:t>
      </w:r>
      <w:r>
        <w:rPr>
          <w:spacing w:val="69"/>
        </w:rPr>
      </w:r>
      <w:r>
        <w:rPr>
          <w:spacing w:val="-4"/>
          <w:w w:val="101"/>
        </w:rPr>
        <w:t>的份额作为长期股权投资的初始投资成本，长期股权投资初始投资成本与达到合并前的长期股权投资账面价值加上合并日进</w:t>
      </w:r>
      <w:r>
        <w:rPr>
          <w:w w:val="101"/>
        </w:rPr>
        <w:t> </w:t>
      </w:r>
      <w:r>
        <w:rPr>
          <w:spacing w:val="-4"/>
        </w:rPr>
        <w:t>一步取得股份新支付对价的账面价值之和的差额，调整资本公积；资本公积不足冲减的，调整留存收益。合并日之前持有的</w:t>
      </w:r>
      <w:r>
        <w:rPr>
          <w:spacing w:val="40"/>
        </w:rPr>
        <w:t> </w:t>
      </w:r>
      <w:r>
        <w:rPr>
          <w:spacing w:val="40"/>
        </w:rPr>
      </w:r>
      <w:r>
        <w:rPr>
          <w:spacing w:val="-3"/>
        </w:rPr>
        <w:t>股权投资因采用权益法核算或为可供出售金融资产而确认的其他综合收益，暂不进行会计处理。</w:t>
      </w:r>
    </w:p>
    <w:p>
      <w:pPr>
        <w:pStyle w:val="BodyText"/>
        <w:spacing w:line="312" w:lineRule="auto" w:before="23"/>
        <w:ind w:right="1122" w:firstLine="360"/>
        <w:jc w:val="both"/>
      </w:pPr>
      <w:r>
        <w:rPr>
          <w:spacing w:val="-4"/>
        </w:rPr>
        <w:t>对于非同一控制下的企业合并取得的长期股权投资，在购买日按照合并成本作为长期股权投资的初始投资成本，合并成</w:t>
      </w:r>
      <w:r>
        <w:rPr>
          <w:w w:val="101"/>
        </w:rPr>
        <w:t> </w:t>
      </w:r>
      <w:r>
        <w:rPr>
          <w:spacing w:val="-4"/>
        </w:rPr>
        <w:t>本包括包括购买方付出的资产、发生或承担的负债、发行的权益性证券的公允价值之和。通过多次交易分步取得被购买方的</w:t>
      </w:r>
      <w:r>
        <w:rPr>
          <w:spacing w:val="44"/>
        </w:rPr>
        <w:t> </w:t>
      </w:r>
      <w:r>
        <w:rPr>
          <w:spacing w:val="44"/>
        </w:rPr>
      </w:r>
      <w:r>
        <w:rPr>
          <w:spacing w:val="-4"/>
        </w:rPr>
        <w:t>股权，最终形成非同一控制下的企业合并的，应分别是否属于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进行处理：属于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的，将各项交易作</w:t>
      </w:r>
      <w:r>
        <w:rPr>
          <w:spacing w:val="2"/>
        </w:rPr>
        <w:t> </w:t>
      </w:r>
      <w:r>
        <w:rPr>
          <w:spacing w:val="2"/>
        </w:rPr>
      </w:r>
      <w:r>
        <w:rPr>
          <w:spacing w:val="-4"/>
        </w:rPr>
        <w:t>为一项取得控制权的交易进行会计处理。不属于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的，按照原持有被购买方的股权投资账面价值加上新增投资成</w:t>
      </w:r>
      <w:r>
        <w:rPr>
          <w:spacing w:val="66"/>
        </w:rPr>
        <w:t> </w:t>
      </w:r>
      <w:r>
        <w:rPr>
          <w:spacing w:val="66"/>
        </w:rPr>
      </w:r>
      <w:r>
        <w:rPr>
          <w:spacing w:val="-4"/>
        </w:rPr>
        <w:t>本之和，作为改按成本法核算的长期股权投资的初始投资成本。原持有的股权采用权益法核算的，相关其他综合收益暂不进</w:t>
      </w:r>
      <w:r>
        <w:rPr>
          <w:spacing w:val="43"/>
        </w:rPr>
        <w:t> </w:t>
      </w:r>
      <w:r>
        <w:rPr>
          <w:spacing w:val="43"/>
        </w:rPr>
      </w:r>
      <w:r>
        <w:rPr>
          <w:spacing w:val="-4"/>
        </w:rPr>
        <w:t>行会计处理。原持有股权投资为可供出售金融资产的，其公允价值与账面价值之间的差额，以及原计入其他综合收益的累计</w:t>
      </w:r>
      <w:r>
        <w:rPr>
          <w:spacing w:val="43"/>
        </w:rPr>
        <w:t> </w:t>
      </w:r>
      <w:r>
        <w:rPr>
          <w:spacing w:val="43"/>
        </w:rPr>
      </w:r>
      <w:r>
        <w:rPr>
          <w:spacing w:val="-3"/>
        </w:rPr>
        <w:t>公允价值变动转入当期损益。</w:t>
      </w:r>
    </w:p>
    <w:p>
      <w:pPr>
        <w:pStyle w:val="BodyText"/>
        <w:spacing w:line="316" w:lineRule="auto" w:before="22"/>
        <w:ind w:right="1124" w:firstLine="360"/>
        <w:jc w:val="both"/>
      </w:pPr>
      <w:r>
        <w:rPr>
          <w:spacing w:val="-4"/>
        </w:rPr>
        <w:t>合并方或购买方为企业合并发生的审计、法律服务、评估咨询等中介费用以及其他相关管理费用，于发生时计入当期损</w:t>
      </w:r>
      <w:r>
        <w:rPr>
          <w:w w:val="101"/>
        </w:rPr>
        <w:t> </w:t>
      </w:r>
      <w:r>
        <w:rPr/>
        <w:t>益。</w:t>
      </w:r>
    </w:p>
    <w:p>
      <w:pPr>
        <w:pStyle w:val="BodyText"/>
        <w:spacing w:line="314" w:lineRule="auto" w:before="19"/>
        <w:ind w:right="1122" w:firstLine="360"/>
        <w:jc w:val="both"/>
      </w:pPr>
      <w:r>
        <w:rPr>
          <w:spacing w:val="-4"/>
        </w:rPr>
        <w:t>除企业合并形成的长期股权投资外的其他股权投资，按成本进行初始计量，该成本视长期股权投资取得方式的不同，分</w:t>
      </w:r>
      <w:r>
        <w:rPr>
          <w:w w:val="101"/>
        </w:rPr>
        <w:t> </w:t>
      </w:r>
      <w:r>
        <w:rPr>
          <w:spacing w:val="-4"/>
        </w:rPr>
        <w:t>别按照本公司实际支付的现金购买价款、本公司发行的权益性证券的公允价值、投资合同或协议约定的价值、非货币性资产</w:t>
      </w:r>
      <w:r>
        <w:rPr>
          <w:spacing w:val="43"/>
        </w:rPr>
        <w:t> </w:t>
      </w:r>
      <w:r>
        <w:rPr>
          <w:spacing w:val="43"/>
        </w:rPr>
      </w:r>
      <w:r>
        <w:rPr>
          <w:spacing w:val="-4"/>
        </w:rPr>
        <w:t>交换交易中换出资产的公允价值或原账面价值、该项长期股权投资自身的公允价值等方式确定。与取得长期股权投资直接相</w:t>
      </w:r>
      <w:r>
        <w:rPr>
          <w:spacing w:val="44"/>
        </w:rPr>
        <w:t> </w:t>
      </w:r>
      <w:r>
        <w:rPr>
          <w:spacing w:val="44"/>
        </w:rPr>
      </w:r>
      <w:r>
        <w:rPr>
          <w:spacing w:val="-4"/>
        </w:rPr>
        <w:t>关的费用、税金及其他必要支出也计入投资成本。对于因追加投资能够对被投资单位实施重大影响或实施共同控制但不构成</w:t>
      </w:r>
      <w:r>
        <w:rPr>
          <w:spacing w:val="40"/>
        </w:rPr>
        <w:t> </w:t>
      </w:r>
      <w:r>
        <w:rPr>
          <w:spacing w:val="40"/>
        </w:rPr>
      </w:r>
      <w:r>
        <w:rPr>
          <w:spacing w:val="-4"/>
        </w:rPr>
        <w:t>控制的，长期股权投资成本为按照《企业会计准则第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金融工具确认和计量》确定的原持有股权投资的公允价值加上</w:t>
      </w:r>
      <w:r>
        <w:rPr>
          <w:spacing w:val="48"/>
        </w:rPr>
        <w:t> </w:t>
      </w:r>
      <w:r>
        <w:rPr>
          <w:spacing w:val="48"/>
        </w:rPr>
      </w:r>
      <w:r>
        <w:rPr>
          <w:spacing w:val="-3"/>
        </w:rPr>
        <w:t>新增投资成本之和。</w:t>
      </w:r>
    </w:p>
    <w:p>
      <w:pPr>
        <w:pStyle w:val="BodyText"/>
        <w:spacing w:line="300" w:lineRule="auto" w:before="20"/>
        <w:ind w:left="513" w:right="0"/>
        <w:jc w:val="left"/>
      </w:pPr>
      <w:r>
        <w:rPr>
          <w:spacing w:val="-3"/>
        </w:rPr>
        <w:t>（</w:t>
      </w:r>
      <w:r>
        <w:rPr>
          <w:rFonts w:ascii="Times New Roman" w:hAnsi="Times New Roman" w:cs="Times New Roman" w:eastAsia="Times New Roman" w:hint="default"/>
          <w:spacing w:val="-3"/>
        </w:rPr>
        <w:t>2</w:t>
      </w:r>
      <w:r>
        <w:rPr>
          <w:spacing w:val="-3"/>
        </w:rPr>
        <w:t>）后续计量及损益确认方法</w:t>
      </w:r>
      <w:r>
        <w:rPr>
          <w:spacing w:val="-46"/>
        </w:rPr>
        <w:t> </w:t>
      </w:r>
      <w:r>
        <w:rPr>
          <w:spacing w:val="-46"/>
        </w:rPr>
      </w:r>
      <w:r>
        <w:rPr>
          <w:spacing w:val="-5"/>
        </w:rPr>
        <w:t>对被投资单位具有共同控制（构成共同经营者除外）或重大影响的长期股权投资，采用权益法核算。此外，公司财务报</w:t>
      </w:r>
    </w:p>
    <w:p>
      <w:pPr>
        <w:pStyle w:val="BodyText"/>
        <w:spacing w:line="240" w:lineRule="auto" w:before="31"/>
        <w:ind w:right="0"/>
        <w:jc w:val="left"/>
      </w:pPr>
      <w:r>
        <w:rPr>
          <w:spacing w:val="-3"/>
        </w:rPr>
        <w:t>表采用成本法核算能够对被投资单位实施控制的长期股权投资。</w:t>
      </w:r>
    </w:p>
    <w:p>
      <w:pPr>
        <w:pStyle w:val="BodyText"/>
        <w:spacing w:line="316" w:lineRule="auto" w:before="76"/>
        <w:ind w:left="513" w:right="0"/>
        <w:jc w:val="left"/>
      </w:pPr>
      <w:r>
        <w:rPr>
          <w:spacing w:val="-3"/>
        </w:rPr>
        <w:t>①成本法核算的长期股权投资</w:t>
      </w:r>
      <w:r>
        <w:rPr>
          <w:spacing w:val="-50"/>
        </w:rPr>
        <w:t> </w:t>
      </w:r>
      <w:r>
        <w:rPr>
          <w:spacing w:val="-50"/>
        </w:rPr>
      </w:r>
      <w:r>
        <w:rPr>
          <w:spacing w:val="-4"/>
        </w:rPr>
        <w:t>采用成本法核算时，长期股权投资按初始投资成本计价，追加或收回投资调整长期股权投资的成本。除取得投资时实际</w:t>
      </w:r>
    </w:p>
    <w:p>
      <w:pPr>
        <w:pStyle w:val="BodyText"/>
        <w:spacing w:line="316" w:lineRule="auto" w:before="19"/>
        <w:ind w:right="1117"/>
        <w:jc w:val="left"/>
      </w:pPr>
      <w:r>
        <w:rPr>
          <w:spacing w:val="-4"/>
          <w:w w:val="101"/>
        </w:rPr>
        <w:t>支付的价款或者对价中包含的已宣告但尚未发放的现金股利或者利润外，当期投资收益按照享有被投资单位宣告发放的现金</w:t>
      </w:r>
      <w:r>
        <w:rPr>
          <w:w w:val="101"/>
        </w:rPr>
        <w:t> </w:t>
      </w:r>
      <w:r>
        <w:rPr/>
        <w:t>股利或利润确认。</w:t>
      </w:r>
    </w:p>
    <w:p>
      <w:pPr>
        <w:pStyle w:val="BodyText"/>
        <w:spacing w:line="316" w:lineRule="auto" w:before="19"/>
        <w:ind w:left="513" w:right="0"/>
        <w:jc w:val="left"/>
      </w:pPr>
      <w:r>
        <w:rPr>
          <w:spacing w:val="-3"/>
        </w:rPr>
        <w:t>②权益法核算的长期股权投资</w:t>
      </w:r>
      <w:r>
        <w:rPr>
          <w:spacing w:val="-50"/>
        </w:rPr>
        <w:t> </w:t>
      </w:r>
      <w:r>
        <w:rPr>
          <w:spacing w:val="-50"/>
        </w:rPr>
      </w:r>
      <w:r>
        <w:rPr>
          <w:spacing w:val="-4"/>
        </w:rPr>
        <w:t>采用权益法核算时，长期股权投资的初始投资成本大于投资时应享有被投资单位可辨认净资产公允价值份额的，不调整</w:t>
      </w:r>
    </w:p>
    <w:p>
      <w:pPr>
        <w:pStyle w:val="BodyText"/>
        <w:spacing w:line="316" w:lineRule="auto" w:before="19"/>
        <w:ind w:right="0"/>
        <w:jc w:val="left"/>
      </w:pPr>
      <w:r>
        <w:rPr>
          <w:spacing w:val="-4"/>
        </w:rPr>
        <w:t>长期股权投资的初始投资成本；初始投资成本小于投资时应享有被投资单位可辨认净资产公允价值份额的，其差额计入当期</w:t>
      </w:r>
      <w:r>
        <w:rPr>
          <w:spacing w:val="42"/>
        </w:rPr>
        <w:t> </w:t>
      </w:r>
      <w:r>
        <w:rPr>
          <w:spacing w:val="42"/>
        </w:rPr>
      </w:r>
      <w:r>
        <w:rPr>
          <w:spacing w:val="-3"/>
        </w:rPr>
        <w:t>损益，同时调整长期股权投资的成本。</w:t>
      </w:r>
    </w:p>
    <w:p>
      <w:pPr>
        <w:pStyle w:val="BodyText"/>
        <w:spacing w:line="319" w:lineRule="auto" w:before="19"/>
        <w:ind w:right="1123" w:firstLine="360"/>
        <w:jc w:val="both"/>
      </w:pPr>
      <w:r>
        <w:rPr>
          <w:spacing w:val="-4"/>
        </w:rPr>
        <w:t>采用权益法核算时，按照应享有或应分担的被投资单位实现的净损益和其他综合收益的份额，分别确认投资收益和其他</w:t>
      </w:r>
      <w:r>
        <w:rPr>
          <w:w w:val="101"/>
        </w:rPr>
        <w:t> </w:t>
      </w:r>
      <w:r>
        <w:rPr>
          <w:spacing w:val="-4"/>
        </w:rPr>
        <w:t>综合收益，同时调整长期股权投资的账面价值；按照被投资单位宣告分派的利润或现金股利计算应享有的部分，相应减少长</w:t>
      </w:r>
      <w:r>
        <w:rPr>
          <w:spacing w:val="43"/>
        </w:rPr>
        <w:t> </w:t>
      </w:r>
      <w:r>
        <w:rPr>
          <w:spacing w:val="43"/>
        </w:rPr>
      </w:r>
      <w:r>
        <w:rPr>
          <w:spacing w:val="-4"/>
        </w:rPr>
        <w:t>期股权投资的账面价值；对于被投资单位除净损益、其他综合收益和利润分配以外所有者权益的其他变动，调整长期股权投</w:t>
      </w:r>
      <w:r>
        <w:rPr>
          <w:spacing w:val="43"/>
        </w:rPr>
        <w:t> </w:t>
      </w:r>
      <w:r>
        <w:rPr>
          <w:spacing w:val="43"/>
        </w:rPr>
      </w:r>
      <w:r>
        <w:rPr>
          <w:spacing w:val="-4"/>
        </w:rPr>
        <w:t>资的账面价值并计入资本公积。在确认应享有被投资单位净损益的份额时，以取得投资时被投资单位各项可辨认资产等的公</w:t>
      </w:r>
    </w:p>
    <w:p>
      <w:pPr>
        <w:spacing w:after="0" w:line="31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ind w:right="0"/>
        <w:jc w:val="left"/>
      </w:pPr>
      <w:r>
        <w:rPr>
          <w:spacing w:val="-4"/>
        </w:rPr>
        <w:t>允价值为基础，对被投资单位的净利润进行调整后确认。被投资单位采用的会计政策及会计期间与本公司不一致的，按照本</w:t>
      </w:r>
      <w:r>
        <w:rPr>
          <w:spacing w:val="43"/>
        </w:rPr>
        <w:t> </w:t>
      </w:r>
      <w:r>
        <w:rPr>
          <w:spacing w:val="43"/>
        </w:rPr>
      </w:r>
      <w:r>
        <w:rPr>
          <w:spacing w:val="-4"/>
        </w:rPr>
        <w:t>公司的会计政策及会计期间对被投资单位的财务报表进行调整，并据以确认投资收益和其他综合收益。对于本公司与联营企</w:t>
      </w:r>
      <w:r>
        <w:rPr>
          <w:spacing w:val="38"/>
        </w:rPr>
        <w:t> </w:t>
      </w:r>
      <w:r>
        <w:rPr>
          <w:spacing w:val="38"/>
        </w:rPr>
      </w:r>
      <w:r>
        <w:rPr>
          <w:spacing w:val="-4"/>
        </w:rPr>
        <w:t>业及合营企业之间发生的交易，投出或出售的资产不构成业务的，未实现内部交易损益按照享有的比例计算归属于本公司的</w:t>
      </w:r>
      <w:r>
        <w:rPr>
          <w:spacing w:val="42"/>
        </w:rPr>
        <w:t> </w:t>
      </w:r>
      <w:r>
        <w:rPr>
          <w:spacing w:val="42"/>
        </w:rPr>
      </w:r>
      <w:r>
        <w:rPr>
          <w:spacing w:val="-6"/>
        </w:rPr>
        <w:t>部分予以抵销，在此基础上确认投资损益。但本公司与被投资单位发生的未实现内部交易损失，属于所转让资产减值损失的，</w:t>
      </w:r>
      <w:r>
        <w:rPr>
          <w:spacing w:val="63"/>
        </w:rPr>
        <w:t> </w:t>
      </w:r>
      <w:r>
        <w:rPr>
          <w:spacing w:val="63"/>
        </w:rPr>
      </w:r>
      <w:r>
        <w:rPr>
          <w:spacing w:val="-4"/>
        </w:rPr>
        <w:t>不予以抵销。本公司向合营企业或联营企业投出的资产构成业务的，投资方因此取得长期股权投资但未取得控制权的，以投</w:t>
      </w:r>
      <w:r>
        <w:rPr>
          <w:spacing w:val="43"/>
        </w:rPr>
        <w:t> </w:t>
      </w:r>
      <w:r>
        <w:rPr>
          <w:spacing w:val="43"/>
        </w:rPr>
      </w:r>
      <w:r>
        <w:rPr>
          <w:spacing w:val="-3"/>
        </w:rPr>
        <w:t>出业务的公允价值作为新增长期股权投资的初始投资成本，初始投资成本与投出业务的账面价值之差，全额计入当期损益。</w:t>
      </w:r>
      <w:r>
        <w:rPr>
          <w:spacing w:val="66"/>
        </w:rPr>
        <w:t> </w:t>
      </w:r>
      <w:r>
        <w:rPr>
          <w:spacing w:val="66"/>
        </w:rPr>
      </w:r>
      <w:r>
        <w:rPr>
          <w:spacing w:val="-4"/>
        </w:rPr>
        <w:t>本公司向合营企业或联营企业出售的资产构成业务的，取得的对价与业务的账面价值之差，全额计入当期损益。本公司自联</w:t>
      </w:r>
      <w:r>
        <w:rPr>
          <w:spacing w:val="45"/>
        </w:rPr>
        <w:t> </w:t>
      </w:r>
      <w:r>
        <w:rPr>
          <w:spacing w:val="45"/>
        </w:rPr>
      </w:r>
      <w:r>
        <w:rPr>
          <w:spacing w:val="-4"/>
        </w:rPr>
        <w:t>营企业及合营企业购入的资产构成业务的，按《企业会计准则第</w:t>
      </w:r>
      <w:r>
        <w:rPr>
          <w:rFonts w:ascii="Times New Roman" w:hAnsi="Times New Roman" w:cs="Times New Roman" w:eastAsia="Times New Roman" w:hint="default"/>
          <w:spacing w:val="-4"/>
        </w:rPr>
        <w:t>20</w:t>
      </w:r>
      <w:r>
        <w:rPr>
          <w:spacing w:val="-4"/>
        </w:rPr>
        <w:t>号</w:t>
      </w:r>
      <w:r>
        <w:rPr>
          <w:rFonts w:ascii="Times New Roman" w:hAnsi="Times New Roman" w:cs="Times New Roman" w:eastAsia="Times New Roman" w:hint="default"/>
          <w:spacing w:val="-4"/>
        </w:rPr>
        <w:t>——</w:t>
      </w:r>
      <w:r>
        <w:rPr>
          <w:spacing w:val="-4"/>
        </w:rPr>
        <w:t>企业合并》的规定进行会计处理，全额确认与交易</w:t>
      </w:r>
      <w:r>
        <w:rPr>
          <w:spacing w:val="45"/>
        </w:rPr>
        <w:t> </w:t>
      </w:r>
      <w:r>
        <w:rPr>
          <w:spacing w:val="45"/>
        </w:rPr>
      </w:r>
      <w:r>
        <w:rPr>
          <w:spacing w:val="-3"/>
        </w:rPr>
        <w:t>相关的利得或损失。</w:t>
      </w:r>
    </w:p>
    <w:p>
      <w:pPr>
        <w:pStyle w:val="BodyText"/>
        <w:spacing w:line="316" w:lineRule="auto" w:before="19"/>
        <w:ind w:right="1124" w:firstLine="360"/>
        <w:jc w:val="both"/>
      </w:pPr>
      <w:r>
        <w:rPr>
          <w:spacing w:val="-5"/>
          <w:w w:val="101"/>
        </w:rPr>
        <w:t>在确认应分担被投资单位发生的净亏损时，以长期股权投资的账面价值和其他实质上构成对被投资单位净投资的长期权</w:t>
      </w:r>
      <w:r>
        <w:rPr>
          <w:w w:val="101"/>
        </w:rPr>
        <w:t> </w:t>
      </w:r>
      <w:r>
        <w:rPr>
          <w:spacing w:val="-4"/>
        </w:rPr>
        <w:t>益减记至零为限。此外，如本公司对被投资单位负有承担额外损失的义务，则按预计承担的义务确认预计负债，计入当期投</w:t>
      </w:r>
      <w:r>
        <w:rPr>
          <w:spacing w:val="40"/>
        </w:rPr>
        <w:t> </w:t>
      </w:r>
      <w:r>
        <w:rPr>
          <w:spacing w:val="40"/>
        </w:rPr>
      </w:r>
      <w:r>
        <w:rPr>
          <w:spacing w:val="-3"/>
        </w:rPr>
        <w:t>资损失。被投资单位以后期间实现净利润的，本公司在收益分享额弥补未确认的亏损分担额后，恢复确认收益分享额。</w:t>
      </w:r>
    </w:p>
    <w:p>
      <w:pPr>
        <w:pStyle w:val="BodyText"/>
        <w:spacing w:line="316" w:lineRule="auto" w:before="19"/>
        <w:ind w:left="513" w:right="1051"/>
        <w:jc w:val="left"/>
      </w:pPr>
      <w:r>
        <w:rPr>
          <w:spacing w:val="-3"/>
        </w:rPr>
        <w:t>③收购少数股权</w:t>
      </w:r>
      <w:r>
        <w:rPr>
          <w:spacing w:val="-68"/>
        </w:rPr>
        <w:t> </w:t>
      </w:r>
      <w:r>
        <w:rPr>
          <w:spacing w:val="-68"/>
        </w:rPr>
      </w:r>
      <w:r>
        <w:rPr>
          <w:spacing w:val="-4"/>
        </w:rPr>
        <w:t>在编制合并财务报表时，因购买少数股权新增的长期股权投资与按照新增持股比例计算应享有子公司自购买日（或合并</w:t>
      </w:r>
    </w:p>
    <w:p>
      <w:pPr>
        <w:pStyle w:val="BodyText"/>
        <w:spacing w:line="240" w:lineRule="auto" w:before="19"/>
        <w:ind w:right="0"/>
        <w:jc w:val="left"/>
      </w:pPr>
      <w:r>
        <w:rPr>
          <w:spacing w:val="-3"/>
        </w:rPr>
        <w:t>日）开始持续计算的净资产份额之间的差额，调整资本公积，资本公积不足冲减的，调整留存收益。</w:t>
      </w:r>
    </w:p>
    <w:p>
      <w:pPr>
        <w:pStyle w:val="BodyText"/>
        <w:spacing w:line="316" w:lineRule="auto" w:before="76"/>
        <w:ind w:left="513" w:right="0"/>
        <w:jc w:val="left"/>
      </w:pPr>
      <w:r>
        <w:rPr>
          <w:spacing w:val="-3"/>
        </w:rPr>
        <w:t>④处置长期股权投资</w:t>
      </w:r>
      <w:r>
        <w:rPr>
          <w:spacing w:val="-62"/>
        </w:rPr>
        <w:t> </w:t>
      </w:r>
      <w:r>
        <w:rPr>
          <w:spacing w:val="-62"/>
        </w:rPr>
      </w:r>
      <w:r>
        <w:rPr>
          <w:spacing w:val="-4"/>
        </w:rPr>
        <w:t>在合并财务报表中，母公司在不丧失控制权的情况下部分处置对子公司的长期股权投资，处置价款与处置长期股权投资</w:t>
      </w:r>
    </w:p>
    <w:p>
      <w:pPr>
        <w:pStyle w:val="BodyText"/>
        <w:spacing w:line="316" w:lineRule="auto" w:before="19"/>
        <w:ind w:right="0"/>
        <w:jc w:val="left"/>
      </w:pPr>
      <w:r>
        <w:rPr>
          <w:spacing w:val="-4"/>
        </w:rPr>
        <w:t>相对应享有子公司净资产的差额计入股东权益；母公司部分处置对子公司的长期股权投资导致丧失对子公司控制权的，按本</w:t>
      </w:r>
      <w:r>
        <w:rPr>
          <w:spacing w:val="44"/>
        </w:rPr>
        <w:t> </w:t>
      </w:r>
      <w:r>
        <w:rPr>
          <w:spacing w:val="44"/>
        </w:rPr>
      </w:r>
      <w:r>
        <w:rPr>
          <w:spacing w:val="-5"/>
          <w:w w:val="101"/>
        </w:rPr>
        <w:t>附注三、</w:t>
      </w:r>
      <w:r>
        <w:rPr>
          <w:rFonts w:ascii="Times New Roman" w:hAnsi="Times New Roman" w:cs="Times New Roman" w:eastAsia="Times New Roman" w:hint="default"/>
          <w:spacing w:val="-5"/>
          <w:w w:val="101"/>
        </w:rPr>
        <w:t>6</w:t>
      </w:r>
      <w:r>
        <w:rPr>
          <w:spacing w:val="-5"/>
          <w:w w:val="101"/>
        </w:rPr>
        <w:t>、（</w:t>
      </w:r>
      <w:r>
        <w:rPr>
          <w:rFonts w:ascii="Times New Roman" w:hAnsi="Times New Roman" w:cs="Times New Roman" w:eastAsia="Times New Roman" w:hint="default"/>
          <w:spacing w:val="-5"/>
          <w:w w:val="101"/>
        </w:rPr>
        <w:t>2</w:t>
      </w:r>
      <w:r>
        <w:rPr>
          <w:spacing w:val="-5"/>
          <w:w w:val="101"/>
        </w:rPr>
        <w:t>）</w:t>
      </w:r>
      <w:r>
        <w:rPr>
          <w:rFonts w:ascii="Times New Roman" w:hAnsi="Times New Roman" w:cs="Times New Roman" w:eastAsia="Times New Roman" w:hint="default"/>
          <w:spacing w:val="-5"/>
          <w:w w:val="101"/>
        </w:rPr>
        <w:t>“</w:t>
      </w:r>
      <w:r>
        <w:rPr>
          <w:spacing w:val="-5"/>
          <w:w w:val="101"/>
        </w:rPr>
        <w:t>合并财务报表编制的方法</w:t>
      </w:r>
      <w:r>
        <w:rPr>
          <w:rFonts w:ascii="Times New Roman" w:hAnsi="Times New Roman" w:cs="Times New Roman" w:eastAsia="Times New Roman" w:hint="default"/>
          <w:spacing w:val="-5"/>
          <w:w w:val="101"/>
        </w:rPr>
        <w:t>”</w:t>
      </w:r>
      <w:r>
        <w:rPr>
          <w:spacing w:val="-5"/>
          <w:w w:val="101"/>
        </w:rPr>
        <w:t>中所述的相关会计政策处理。</w:t>
      </w:r>
      <w:r>
        <w:rPr>
          <w:spacing w:val="-5"/>
        </w:rPr>
      </w:r>
    </w:p>
    <w:p>
      <w:pPr>
        <w:pStyle w:val="BodyText"/>
        <w:spacing w:line="316" w:lineRule="auto" w:before="0"/>
        <w:ind w:left="513" w:right="0"/>
        <w:jc w:val="left"/>
      </w:pPr>
      <w:r>
        <w:rPr>
          <w:spacing w:val="-3"/>
        </w:rPr>
        <w:t>其他情形下的长期股权投资处置，对于处置的股权，其账面价值与实际取得价款的差额，计入当期损益。</w:t>
      </w:r>
      <w:r>
        <w:rPr>
          <w:spacing w:val="44"/>
        </w:rPr>
        <w:t> </w:t>
      </w:r>
      <w:r>
        <w:rPr>
          <w:spacing w:val="44"/>
        </w:rPr>
      </w:r>
      <w:r>
        <w:rPr>
          <w:spacing w:val="-4"/>
        </w:rPr>
        <w:t>采用权益法核算的长期股权投资，处置后的剩余股权仍采用权益法核算的，在处置时将原计入股东权益的其他综合收益</w:t>
      </w:r>
    </w:p>
    <w:p>
      <w:pPr>
        <w:pStyle w:val="BodyText"/>
        <w:spacing w:line="316" w:lineRule="auto" w:before="19"/>
        <w:ind w:right="0"/>
        <w:jc w:val="left"/>
      </w:pPr>
      <w:r>
        <w:rPr>
          <w:spacing w:val="-4"/>
        </w:rPr>
        <w:t>部分按相应的比例采用与被投资单位直接处置相关资产或负债相同的基础进行会计处理。因被投资方除净损益、其他综合收</w:t>
      </w:r>
      <w:r>
        <w:rPr>
          <w:spacing w:val="38"/>
        </w:rPr>
        <w:t> </w:t>
      </w:r>
      <w:r>
        <w:rPr>
          <w:spacing w:val="38"/>
        </w:rPr>
      </w:r>
      <w:r>
        <w:rPr>
          <w:spacing w:val="-3"/>
        </w:rPr>
        <w:t>益和利润分配以外的其他所有者权益变动而确认的所有者权益，按比例结转入当期损益。</w:t>
      </w:r>
    </w:p>
    <w:p>
      <w:pPr>
        <w:pStyle w:val="BodyText"/>
        <w:spacing w:line="319" w:lineRule="auto" w:before="19"/>
        <w:ind w:right="1124" w:firstLine="360"/>
        <w:jc w:val="both"/>
      </w:pPr>
      <w:r>
        <w:rPr>
          <w:spacing w:val="-4"/>
        </w:rPr>
        <w:t>采用成本法核算的长期股权投资，处置后剩余股权仍采用成本法核算的，其在取得对被投资单位的控制之前因采用权益</w:t>
      </w:r>
      <w:r>
        <w:rPr>
          <w:w w:val="101"/>
        </w:rPr>
        <w:t> </w:t>
      </w:r>
      <w:r>
        <w:rPr>
          <w:spacing w:val="-4"/>
          <w:w w:val="101"/>
        </w:rPr>
        <w:t>法核算或金融工具确认和计量准则核算而确认的其他综合收益，采用与被投资单位直接处置相关资产或负债相同的基础进行</w:t>
      </w:r>
      <w:r>
        <w:rPr>
          <w:w w:val="101"/>
        </w:rPr>
        <w:t> </w:t>
      </w:r>
      <w:r>
        <w:rPr>
          <w:spacing w:val="-4"/>
        </w:rPr>
        <w:t>会计处理，并按比例结转当期损益；因采用权益法核算而确认的被投资单位净资产中除净损益、其他综合收益和利润分配以</w:t>
      </w:r>
      <w:r>
        <w:rPr>
          <w:spacing w:val="43"/>
        </w:rPr>
        <w:t> </w:t>
      </w:r>
      <w:r>
        <w:rPr>
          <w:spacing w:val="43"/>
        </w:rPr>
      </w:r>
      <w:r>
        <w:rPr>
          <w:spacing w:val="-3"/>
        </w:rPr>
        <w:t>外的其他所有者权益变动按比例结转当期损益。</w:t>
      </w:r>
    </w:p>
    <w:p>
      <w:pPr>
        <w:pStyle w:val="BodyText"/>
        <w:spacing w:line="316" w:lineRule="auto" w:before="17"/>
        <w:ind w:right="1122" w:firstLine="360"/>
        <w:jc w:val="both"/>
      </w:pPr>
      <w:r>
        <w:rPr>
          <w:spacing w:val="-4"/>
        </w:rPr>
        <w:t>本公司因处置部分股权投资丧失了对被投资单位的控制的，在编制个别财务报表时，处置后的剩余股权能够对被投资单</w:t>
      </w:r>
      <w:r>
        <w:rPr>
          <w:w w:val="101"/>
        </w:rPr>
        <w:t> </w:t>
      </w:r>
      <w:r>
        <w:rPr>
          <w:spacing w:val="-4"/>
        </w:rPr>
        <w:t>位实施共同控制或施加重大影响的，改按权益法核算，并对该剩余股权视同自取得时即采用权益法核算进行调整；处置后的</w:t>
      </w:r>
      <w:r>
        <w:rPr>
          <w:spacing w:val="43"/>
        </w:rPr>
        <w:t> </w:t>
      </w:r>
      <w:r>
        <w:rPr>
          <w:spacing w:val="43"/>
        </w:rPr>
      </w:r>
      <w:r>
        <w:rPr>
          <w:spacing w:val="-4"/>
        </w:rPr>
        <w:t>剩余股权不能对被投资单位实施共同控制或施加重大影响的，改按金融工具确认和计量准则的有关规定进行会计处理，其在</w:t>
      </w:r>
      <w:r>
        <w:rPr>
          <w:spacing w:val="46"/>
        </w:rPr>
        <w:t> </w:t>
      </w:r>
      <w:r>
        <w:rPr>
          <w:spacing w:val="46"/>
        </w:rPr>
      </w:r>
      <w:r>
        <w:rPr>
          <w:spacing w:val="-4"/>
        </w:rPr>
        <w:t>丧失控制之日的公允价值与账面价值之间的差额计入当期损益。对于本公司取得对被投资单位的控制之前，因采用权益法核</w:t>
      </w:r>
      <w:r>
        <w:rPr>
          <w:spacing w:val="38"/>
        </w:rPr>
        <w:t> </w:t>
      </w:r>
      <w:r>
        <w:rPr>
          <w:spacing w:val="38"/>
        </w:rPr>
      </w:r>
      <w:r>
        <w:rPr>
          <w:spacing w:val="-4"/>
          <w:w w:val="101"/>
        </w:rPr>
        <w:t>算或金融工具确认和计量准则核算而确认的其他综合收益，在丧失对被投资单位控制时采用与被投资单位直接处置相关资产</w:t>
      </w:r>
      <w:r>
        <w:rPr>
          <w:w w:val="101"/>
        </w:rPr>
        <w:t> </w:t>
      </w:r>
      <w:r>
        <w:rPr>
          <w:spacing w:val="-4"/>
        </w:rPr>
        <w:t>或负债相同的基础进行会计处理，因采用权益法核算而确认的被投资单位净资产中除净损益、其他综合收益和利润分配以外</w:t>
      </w:r>
      <w:r>
        <w:rPr>
          <w:spacing w:val="43"/>
        </w:rPr>
        <w:t> </w:t>
      </w:r>
      <w:r>
        <w:rPr>
          <w:spacing w:val="43"/>
        </w:rPr>
      </w:r>
      <w:r>
        <w:rPr>
          <w:spacing w:val="-4"/>
        </w:rPr>
        <w:t>的其他所有者权益变动在丧失对被投资单位控制时结转入当期损益。其中，处置后的剩余股权采用权益法核算的，其他综合</w:t>
      </w:r>
      <w:r>
        <w:rPr>
          <w:spacing w:val="38"/>
        </w:rPr>
        <w:t> </w:t>
      </w:r>
      <w:r>
        <w:rPr>
          <w:spacing w:val="38"/>
        </w:rPr>
      </w:r>
      <w:r>
        <w:rPr>
          <w:spacing w:val="-4"/>
        </w:rPr>
        <w:t>收益和其他所有者权益按比例结转；处置后的剩余股权改按金融工具确认和计量准则进行会计处理的，其他综合收益和其他</w:t>
      </w:r>
      <w:r>
        <w:rPr>
          <w:spacing w:val="43"/>
        </w:rPr>
        <w:t> </w:t>
      </w:r>
      <w:r>
        <w:rPr>
          <w:spacing w:val="43"/>
        </w:rPr>
      </w:r>
      <w:r>
        <w:rPr/>
        <w:t>所有者权益全部结转。</w:t>
      </w:r>
    </w:p>
    <w:p>
      <w:pPr>
        <w:pStyle w:val="BodyText"/>
        <w:spacing w:line="316" w:lineRule="auto" w:before="19"/>
        <w:ind w:right="0" w:firstLine="360"/>
        <w:jc w:val="left"/>
      </w:pPr>
      <w:r>
        <w:rPr>
          <w:spacing w:val="-5"/>
          <w:w w:val="101"/>
        </w:rPr>
        <w:t>本公司因处置部分股权投资丧失了对被投资单位的共同控制或重大影响的，处置后的剩余股权改按金融工具确认和计量</w:t>
      </w:r>
      <w:r>
        <w:rPr>
          <w:w w:val="101"/>
        </w:rPr>
        <w:t> </w:t>
      </w:r>
      <w:r>
        <w:rPr>
          <w:spacing w:val="-4"/>
        </w:rPr>
        <w:t>准则核算，其在丧失共同控制或重大影响之日的公允价值与账面价值之间的差额计入当期损益。原股权投资因采用权益法核</w:t>
      </w:r>
      <w:r>
        <w:rPr>
          <w:spacing w:val="44"/>
        </w:rPr>
        <w:t> </w:t>
      </w:r>
      <w:r>
        <w:rPr>
          <w:spacing w:val="44"/>
        </w:rPr>
      </w:r>
      <w:r>
        <w:rPr>
          <w:spacing w:val="-3"/>
        </w:rPr>
        <w:t>算而确认的其他综合收益，在终止采用权益法核算时采用与被投资单位直接处置相关资产或负债相同的基础进行会计处理，</w:t>
      </w:r>
      <w:r>
        <w:rPr>
          <w:spacing w:val="66"/>
        </w:rPr>
        <w:t> </w:t>
      </w:r>
      <w:r>
        <w:rPr>
          <w:spacing w:val="66"/>
        </w:rPr>
      </w:r>
      <w:r>
        <w:rPr>
          <w:spacing w:val="-4"/>
        </w:rPr>
        <w:t>因被投资方除净损益、其他综合收益和利润分配以外的其他所有者权益变动而确认的所有者权益，在终止采用权益法时全部</w:t>
      </w:r>
      <w:r>
        <w:rPr>
          <w:spacing w:val="42"/>
        </w:rPr>
        <w:t> </w:t>
      </w:r>
      <w:r>
        <w:rPr>
          <w:spacing w:val="42"/>
        </w:rPr>
      </w:r>
      <w:r>
        <w:rPr>
          <w:spacing w:val="-3"/>
        </w:rPr>
        <w:t>转入当期投资收益。</w:t>
      </w:r>
    </w:p>
    <w:p>
      <w:pPr>
        <w:pStyle w:val="BodyText"/>
        <w:spacing w:line="316" w:lineRule="auto" w:before="19"/>
        <w:ind w:right="1128" w:firstLine="360"/>
        <w:jc w:val="both"/>
      </w:pPr>
      <w:r>
        <w:rPr>
          <w:spacing w:val="-5"/>
        </w:rPr>
        <w:t>本公司通过多次交易分步处置对子公司股权投资直至丧失控制权，如果上述交易属于一揽子交易的，将各项交易作为一</w:t>
      </w:r>
      <w:r>
        <w:rPr>
          <w:w w:val="101"/>
        </w:rPr>
        <w:t> </w:t>
      </w:r>
      <w:r>
        <w:rPr>
          <w:spacing w:val="-4"/>
          <w:w w:val="101"/>
        </w:rPr>
        <w:t>项处置子公司股权投资并丧失控制权的交易进行会计处理，在丧失控制权之前每一次处置价款与所处置的股权对应的长期股</w:t>
      </w:r>
      <w:r>
        <w:rPr>
          <w:w w:val="101"/>
        </w:rPr>
        <w:t> </w:t>
      </w:r>
      <w:r>
        <w:rPr>
          <w:spacing w:val="-3"/>
        </w:rPr>
        <w:t>权投资账面价值之间的差额，先确认为其他综合收益，到丧失控制权时再一并转入丧失控制权的当期损益。</w:t>
      </w:r>
    </w:p>
    <w:p>
      <w:pPr>
        <w:spacing w:after="0" w:line="316"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3、投资性房地产" w:id="196"/>
      <w:bookmarkEnd w:id="196"/>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854"/>
        <w:jc w:val="left"/>
      </w:pPr>
      <w:r>
        <w:rPr>
          <w:spacing w:val="-2"/>
        </w:rPr>
        <w:t>投资性房地产计量模式</w:t>
      </w:r>
      <w:r>
        <w:rPr>
          <w:spacing w:val="-66"/>
        </w:rPr>
        <w:t> </w:t>
      </w:r>
      <w:r>
        <w:rPr>
          <w:spacing w:val="-66"/>
        </w:rPr>
      </w:r>
      <w:r>
        <w:rPr/>
        <w:t>不适用</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24、固定资产" w:id="197"/>
      <w:bookmarkEnd w:id="197"/>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8"/>
      <w:bookmarkEnd w:id="19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right="1123" w:firstLine="360"/>
        <w:jc w:val="both"/>
      </w:pPr>
      <w:r>
        <w:rPr>
          <w:spacing w:val="-5"/>
        </w:rPr>
        <w:t>本公司固定资产是指为生产商品、提供劳务、出租或经营管理而持有的，使用寿命超过一个会计年度的有形资产。与该</w:t>
      </w:r>
      <w:r>
        <w:rPr>
          <w:w w:val="101"/>
        </w:rPr>
        <w:t> </w:t>
      </w:r>
      <w:r>
        <w:rPr>
          <w:spacing w:val="-4"/>
        </w:rPr>
        <w:t>固定资产有关的经济利益很可能流入企业，并且该固定资产的成本能够可靠地计量时，固定资产才能予以确认。本公司固定</w:t>
      </w:r>
      <w:r>
        <w:rPr>
          <w:spacing w:val="43"/>
        </w:rPr>
        <w:t> </w:t>
      </w:r>
      <w:r>
        <w:rPr>
          <w:spacing w:val="43"/>
        </w:rPr>
      </w:r>
      <w:r>
        <w:rPr>
          <w:spacing w:val="-3"/>
        </w:rPr>
        <w:t>资产按照取得时的实际成本进行初始计量。</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2）折旧方法" w:id="199"/>
      <w:bookmarkEnd w:id="19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18.00-25.00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18.00-33.33</w:t>
            </w:r>
          </w:p>
        </w:tc>
      </w:tr>
    </w:tbl>
    <w:p>
      <w:pPr>
        <w:pStyle w:val="BodyText"/>
        <w:spacing w:line="319" w:lineRule="auto" w:before="10"/>
        <w:ind w:right="0" w:firstLine="360"/>
        <w:jc w:val="left"/>
      </w:pPr>
      <w:r>
        <w:rPr>
          <w:spacing w:val="-4"/>
        </w:rPr>
        <w:t>本公司采用年限平均法计提折旧。固定资产自达到预定可使用状态时开始计提折旧，终止确认时或划分为持有待售非流</w:t>
      </w:r>
      <w:r>
        <w:rPr>
          <w:w w:val="101"/>
        </w:rPr>
        <w:t> </w:t>
      </w:r>
      <w:r>
        <w:rPr>
          <w:spacing w:val="-4"/>
        </w:rPr>
        <w:t>动资产时停止计提折旧。在不考虑减值准备的情况下，按固定资产类别、预计使用寿命和预计残值，其中，已计提减值准备</w:t>
      </w:r>
      <w:r>
        <w:rPr>
          <w:spacing w:val="41"/>
        </w:rPr>
        <w:t> </w:t>
      </w:r>
      <w:r>
        <w:rPr>
          <w:spacing w:val="41"/>
        </w:rPr>
      </w:r>
      <w:r>
        <w:rPr>
          <w:spacing w:val="-6"/>
        </w:rPr>
        <w:t>的固定资产，还应扣除已计提的固定资产减值准备累计金额计算确定折旧率。每年年度终了，本公司对固定资产的使用寿命、</w:t>
      </w:r>
      <w:r>
        <w:rPr>
          <w:spacing w:val="63"/>
        </w:rPr>
        <w:t> </w:t>
      </w:r>
      <w:r>
        <w:rPr>
          <w:spacing w:val="63"/>
        </w:rPr>
      </w:r>
      <w:r>
        <w:rPr>
          <w:spacing w:val="-4"/>
        </w:rPr>
        <w:t>预计净残值和折旧方法进行复核。使用寿命预计数与原先估计数有差异的，调整固定资产使用寿命；预计净残值预计数与原</w:t>
      </w:r>
      <w:r>
        <w:rPr>
          <w:spacing w:val="43"/>
        </w:rPr>
        <w:t> </w:t>
      </w:r>
      <w:r>
        <w:rPr>
          <w:spacing w:val="43"/>
        </w:rPr>
      </w:r>
      <w:r>
        <w:rPr>
          <w:spacing w:val="-3"/>
        </w:rPr>
        <w:t>先估计数有差异的，调整预计净残值。</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融资租入固定资产的认定依据、计价和折旧方法" w:id="200"/>
      <w:bookmarkEnd w:id="20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122" w:firstLine="360"/>
        <w:jc w:val="both"/>
      </w:pPr>
      <w:r>
        <w:rPr>
          <w:spacing w:val="-3"/>
        </w:rPr>
        <w:t>公司与租赁方所签订的租赁协议条款中规定了下列条件之一的，确认为融资租入资产：</w:t>
      </w:r>
      <w:r>
        <w:rPr>
          <w:spacing w:val="34"/>
        </w:rPr>
        <w:t> </w:t>
      </w:r>
      <w:r>
        <w:rPr>
          <w:spacing w:val="-3"/>
        </w:rPr>
        <w:t>①租赁期满后租赁资产的所有</w:t>
      </w:r>
      <w:r>
        <w:rPr>
          <w:w w:val="101"/>
        </w:rPr>
        <w:t> </w:t>
      </w:r>
      <w:r>
        <w:rPr>
          <w:spacing w:val="-4"/>
        </w:rPr>
        <w:t>权归属于本公司；②公司具有购买资产的选择权，购买价款远低于行使选择权时该资产的公允价值；③租赁期占所租赁资产</w:t>
      </w:r>
      <w:r>
        <w:rPr>
          <w:spacing w:val="44"/>
        </w:rPr>
        <w:t> </w:t>
      </w:r>
      <w:r>
        <w:rPr>
          <w:spacing w:val="44"/>
        </w:rPr>
      </w:r>
      <w:r>
        <w:rPr>
          <w:spacing w:val="-4"/>
        </w:rPr>
        <w:t>使用寿命的大部分；④租赁开始日的最低租赁付款额现值，与该资产的公允价值不存在较大的差异。公司在承租开始日，将</w:t>
      </w:r>
      <w:r>
        <w:rPr>
          <w:spacing w:val="41"/>
        </w:rPr>
        <w:t> </w:t>
      </w:r>
      <w:r>
        <w:rPr>
          <w:spacing w:val="41"/>
        </w:rPr>
      </w:r>
      <w:r>
        <w:rPr>
          <w:spacing w:val="-4"/>
          <w:w w:val="101"/>
        </w:rPr>
        <w:t>租赁资产公允价值与最低租赁付款额现值两者中较低者作为租入资产的入账价值，将最低租赁付款额作为长期应付款的入账</w:t>
      </w:r>
      <w:r>
        <w:rPr>
          <w:w w:val="101"/>
        </w:rPr>
        <w:t> </w:t>
      </w:r>
      <w:r>
        <w:rPr>
          <w:spacing w:val="-4"/>
        </w:rPr>
        <w:t>价值，其差额作为未确认的融资费。融资租入的固定资产，能够合理确定租赁期届满时将会取得租赁资产所有权的，在租赁</w:t>
      </w:r>
      <w:r>
        <w:rPr>
          <w:spacing w:val="40"/>
        </w:rPr>
        <w:t> </w:t>
      </w:r>
      <w:r>
        <w:rPr>
          <w:spacing w:val="40"/>
        </w:rPr>
      </w:r>
      <w:r>
        <w:rPr>
          <w:spacing w:val="-4"/>
        </w:rPr>
        <w:t>资产尚可使用年限内计提折旧；无法合理确定租赁期届满时能够取得租赁资产所有权的，在租赁期与租赁资产尚可使用年限</w:t>
      </w:r>
      <w:r>
        <w:rPr>
          <w:spacing w:val="42"/>
        </w:rPr>
        <w:t> </w:t>
      </w:r>
      <w:r>
        <w:rPr>
          <w:spacing w:val="42"/>
        </w:rPr>
      </w:r>
      <w:r>
        <w:rPr>
          <w:spacing w:val="-3"/>
        </w:rPr>
        <w:t>两者中较短的期间内计提折旧。</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25、在建工程" w:id="201"/>
      <w:bookmarkEnd w:id="201"/>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right="1123" w:firstLine="360"/>
        <w:jc w:val="both"/>
      </w:pPr>
      <w:r>
        <w:rPr>
          <w:spacing w:val="-5"/>
        </w:rPr>
        <w:t>在建工程项目按建造该项资产达到预定可使用状态前所发生的必要支出，作为固定资产的入账价值。所建造的固定资产</w:t>
      </w:r>
      <w:r>
        <w:rPr>
          <w:w w:val="101"/>
        </w:rPr>
        <w:t> </w:t>
      </w:r>
      <w:r>
        <w:rPr>
          <w:spacing w:val="-4"/>
        </w:rPr>
        <w:t>在建工程已达到预定可使用状态，但尚未办理竣工决算的，自达到预定可使用状态之日起，根据工程预算、造价或者工程实</w:t>
      </w:r>
      <w:r>
        <w:rPr>
          <w:spacing w:val="40"/>
        </w:rPr>
        <w:t> </w:t>
      </w:r>
      <w:r>
        <w:rPr>
          <w:spacing w:val="40"/>
        </w:rPr>
      </w:r>
      <w:r>
        <w:rPr>
          <w:spacing w:val="-4"/>
        </w:rPr>
        <w:t>际成本等，按估计的价值转入固定资产，并按本公司固定资产折旧政策计提固定资产的折旧，待办理竣工决算后，再按实际</w:t>
      </w:r>
      <w:r>
        <w:rPr>
          <w:spacing w:val="40"/>
        </w:rPr>
        <w:t> </w:t>
      </w:r>
      <w:r>
        <w:rPr>
          <w:spacing w:val="40"/>
        </w:rPr>
      </w:r>
      <w:r>
        <w:rPr>
          <w:spacing w:val="-3"/>
        </w:rPr>
        <w:t>成本调整原来的暂估价值，但不调整原已计提的折旧额。</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6、借款费用" w:id="202"/>
      <w:bookmarkEnd w:id="202"/>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513" w:right="0"/>
        <w:jc w:val="left"/>
      </w:pPr>
      <w:r>
        <w:rPr>
          <w:spacing w:val="-4"/>
        </w:rPr>
        <w:t>借款费用包括借款利息、折价或溢价的摊销、辅助费用以及因外币借款而发生的汇兑差额等。可直接归属于符合资本化</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ind w:left="233" w:right="1123"/>
        <w:jc w:val="both"/>
      </w:pPr>
      <w:r>
        <w:rPr>
          <w:spacing w:val="-4"/>
        </w:rPr>
        <w:t>条件的资产的购建或者生产的借款费用，在资产支出已经发生、借款费用已经发生、为使资产达到预定可使用或可销售状态</w:t>
      </w:r>
      <w:r>
        <w:rPr>
          <w:spacing w:val="43"/>
        </w:rPr>
        <w:t> </w:t>
      </w:r>
      <w:r>
        <w:rPr>
          <w:spacing w:val="43"/>
        </w:rPr>
      </w:r>
      <w:r>
        <w:rPr>
          <w:spacing w:val="-4"/>
        </w:rPr>
        <w:t>所必要的购建或生产活动已经开始时，开始资本化；构建或者生产的符合资本化条件的资产达到预定可使用状态或者可销售</w:t>
      </w:r>
      <w:r>
        <w:rPr>
          <w:spacing w:val="38"/>
        </w:rPr>
        <w:t> </w:t>
      </w:r>
      <w:r>
        <w:rPr>
          <w:spacing w:val="38"/>
        </w:rPr>
      </w:r>
      <w:r>
        <w:rPr>
          <w:spacing w:val="-3"/>
        </w:rPr>
        <w:t>状态时，停止资本化。其余借款费用在发生当期确认为费用。</w:t>
      </w:r>
    </w:p>
    <w:p>
      <w:pPr>
        <w:pStyle w:val="BodyText"/>
        <w:spacing w:line="319" w:lineRule="auto" w:before="51"/>
        <w:ind w:left="233" w:right="1128" w:firstLine="360"/>
        <w:jc w:val="both"/>
      </w:pPr>
      <w:r>
        <w:rPr>
          <w:spacing w:val="-5"/>
          <w:w w:val="101"/>
        </w:rPr>
        <w:t>专门借款当期实际发生的利息费用，减去尚未动用的借款资金存入银行取得的利息收入或进行暂时性投资取得的投资收</w:t>
      </w:r>
      <w:r>
        <w:rPr>
          <w:w w:val="101"/>
        </w:rPr>
        <w:t> </w:t>
      </w:r>
      <w:r>
        <w:rPr>
          <w:spacing w:val="-4"/>
          <w:w w:val="101"/>
        </w:rPr>
        <w:t>益后的金额予以资本化；一般借款根据累计资产支出超过专门借款部分的资产支出加权平均数乘以所占用一般借款的资本化</w:t>
      </w:r>
      <w:r>
        <w:rPr>
          <w:w w:val="101"/>
        </w:rPr>
        <w:t> </w:t>
      </w:r>
      <w:r>
        <w:rPr>
          <w:spacing w:val="-3"/>
        </w:rPr>
        <w:t>率，确定资本化金额。资本化率根据一般借款的加权平均利率计算确定。</w:t>
      </w:r>
    </w:p>
    <w:p>
      <w:pPr>
        <w:pStyle w:val="BodyText"/>
        <w:spacing w:line="352" w:lineRule="auto" w:before="60"/>
        <w:ind w:left="593" w:right="1145"/>
        <w:jc w:val="left"/>
      </w:pPr>
      <w:r>
        <w:rPr>
          <w:spacing w:val="-3"/>
        </w:rPr>
        <w:t>资本化期间内，外币专门借款的汇兑差额全部予以资本化；外币一般借款的汇兑差额计入当期损益。</w:t>
      </w:r>
      <w:r>
        <w:rPr>
          <w:spacing w:val="37"/>
        </w:rPr>
        <w:t> </w:t>
      </w:r>
      <w:r>
        <w:rPr>
          <w:spacing w:val="37"/>
        </w:rPr>
      </w:r>
      <w:r>
        <w:rPr>
          <w:spacing w:val="-5"/>
          <w:w w:val="101"/>
        </w:rPr>
        <w:t>符合资本化条件的资产指需要经过相当长时间的购建或者生产活动才能达到预定可使用或可销售状态的固定资产、投资</w:t>
      </w:r>
      <w:r>
        <w:rPr>
          <w:spacing w:val="-5"/>
        </w:rPr>
      </w:r>
    </w:p>
    <w:p>
      <w:pPr>
        <w:pStyle w:val="BodyText"/>
        <w:spacing w:line="233" w:lineRule="exact" w:before="0"/>
        <w:ind w:left="233" w:right="0"/>
        <w:jc w:val="both"/>
      </w:pPr>
      <w:r>
        <w:rPr>
          <w:spacing w:val="-3"/>
        </w:rPr>
        <w:t>性房地产和存货等资产。</w:t>
      </w:r>
    </w:p>
    <w:p>
      <w:pPr>
        <w:pStyle w:val="BodyText"/>
        <w:spacing w:line="304" w:lineRule="auto" w:before="110"/>
        <w:ind w:left="233" w:right="1127" w:firstLine="360"/>
        <w:jc w:val="both"/>
      </w:pPr>
      <w:r>
        <w:rPr>
          <w:spacing w:val="-4"/>
        </w:rPr>
        <w:t>如果符合资本化条件的资产在购建或生产过程中发生非正常中断、并且中断时间连续超过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spacing w:val="-6"/>
        </w:rPr>
        <w:t>个月的，暂停借款费用的资</w:t>
      </w:r>
      <w:r>
        <w:rPr>
          <w:w w:val="101"/>
        </w:rPr>
        <w:t> </w:t>
      </w:r>
      <w:r>
        <w:rPr>
          <w:spacing w:val="-3"/>
        </w:rPr>
        <w:t>本化，直至资产的购建或生产活动重新开始。</w:t>
      </w:r>
    </w:p>
    <w:p>
      <w:pPr>
        <w:spacing w:line="240" w:lineRule="auto" w:before="12"/>
        <w:rPr>
          <w:rFonts w:ascii="宋体" w:hAnsi="宋体" w:cs="宋体" w:eastAsia="宋体" w:hint="default"/>
          <w:sz w:val="22"/>
          <w:szCs w:val="22"/>
        </w:rPr>
      </w:pPr>
    </w:p>
    <w:p>
      <w:pPr>
        <w:pStyle w:val="Heading3"/>
        <w:spacing w:line="240" w:lineRule="auto"/>
        <w:ind w:left="233" w:right="0"/>
        <w:jc w:val="both"/>
        <w:rPr>
          <w:b w:val="0"/>
          <w:bCs w:val="0"/>
        </w:rPr>
      </w:pPr>
      <w:bookmarkStart w:name="27、生物资产" w:id="203"/>
      <w:bookmarkEnd w:id="203"/>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33" w:right="0"/>
        <w:jc w:val="both"/>
        <w:rPr>
          <w:b w:val="0"/>
          <w:bCs w:val="0"/>
        </w:rPr>
      </w:pPr>
      <w:bookmarkStart w:name="28、油气资产" w:id="204"/>
      <w:bookmarkEnd w:id="204"/>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233" w:right="0"/>
        <w:jc w:val="both"/>
        <w:rPr>
          <w:b w:val="0"/>
          <w:bCs w:val="0"/>
        </w:rPr>
      </w:pPr>
      <w:bookmarkStart w:name="29、使用权资产" w:id="205"/>
      <w:bookmarkEnd w:id="205"/>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33" w:right="0"/>
        <w:jc w:val="both"/>
        <w:rPr>
          <w:b w:val="0"/>
          <w:bCs w:val="0"/>
        </w:rPr>
      </w:pPr>
      <w:bookmarkStart w:name="30、无形资产" w:id="206"/>
      <w:bookmarkEnd w:id="206"/>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33" w:right="0"/>
        <w:jc w:val="both"/>
        <w:rPr>
          <w:b w:val="0"/>
          <w:bCs w:val="0"/>
        </w:rPr>
      </w:pPr>
      <w:bookmarkStart w:name="（1）计价方法、使用寿命、减值测试" w:id="207"/>
      <w:bookmarkEnd w:id="20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left="233" w:right="1123" w:firstLine="422"/>
        <w:jc w:val="both"/>
      </w:pPr>
      <w:r>
        <w:rPr>
          <w:spacing w:val="-2"/>
        </w:rPr>
        <w:t>公司取得无形资产时按成本进行初始计量。外购无形资产的成本，包括购买价款、相关税费以及直接归属于使该项资</w:t>
      </w:r>
      <w:r>
        <w:rPr>
          <w:w w:val="101"/>
        </w:rPr>
        <w:t> </w:t>
      </w:r>
      <w:r>
        <w:rPr>
          <w:spacing w:val="-4"/>
        </w:rPr>
        <w:t>产达到预定用途所发生的其他支出。购买无形资产的价款超过正常信用条件延期支付，实质上具有融资性质的，无形资产的</w:t>
      </w:r>
      <w:r>
        <w:rPr>
          <w:spacing w:val="43"/>
        </w:rPr>
        <w:t> </w:t>
      </w:r>
      <w:r>
        <w:rPr>
          <w:spacing w:val="43"/>
        </w:rPr>
      </w:r>
      <w:r>
        <w:rPr>
          <w:spacing w:val="-4"/>
        </w:rPr>
        <w:t>成本以购买价款的现值为基础确定。债务重组取得债务人用以抵债的无形资产，以该无形资产的公允价值为基础确定其入账</w:t>
      </w:r>
      <w:r>
        <w:rPr>
          <w:spacing w:val="42"/>
        </w:rPr>
        <w:t> </w:t>
      </w:r>
      <w:r>
        <w:rPr>
          <w:spacing w:val="42"/>
        </w:rPr>
      </w:r>
      <w:r>
        <w:rPr>
          <w:spacing w:val="-4"/>
        </w:rPr>
        <w:t>价值，并将重组债务的账面价值与该用以抵债的无形资产公允价值之间的差额，计入当期损益。在非货币性资产交换具备商</w:t>
      </w:r>
      <w:r>
        <w:rPr>
          <w:spacing w:val="43"/>
        </w:rPr>
        <w:t> </w:t>
      </w:r>
      <w:r>
        <w:rPr>
          <w:spacing w:val="43"/>
        </w:rPr>
      </w:r>
      <w:r>
        <w:rPr>
          <w:spacing w:val="-4"/>
          <w:w w:val="101"/>
        </w:rPr>
        <w:t>业实质且换入资产或换出资产的公允价值能够可靠计量的前提下，非货币性资产交换换入的无形资产以换出资产的公允价值</w:t>
      </w:r>
      <w:r>
        <w:rPr>
          <w:w w:val="101"/>
        </w:rPr>
        <w:t> </w:t>
      </w:r>
      <w:r>
        <w:rPr>
          <w:spacing w:val="-4"/>
        </w:rPr>
        <w:t>为基础确定其入账价值，除非有确凿证据表明换入资产的公允价值更加可靠；不满足上述前提的非货币性资产交换，以换出</w:t>
      </w:r>
      <w:r>
        <w:rPr>
          <w:spacing w:val="43"/>
        </w:rPr>
        <w:t> </w:t>
      </w:r>
      <w:r>
        <w:rPr>
          <w:spacing w:val="43"/>
        </w:rPr>
      </w:r>
      <w:r>
        <w:rPr>
          <w:spacing w:val="-3"/>
        </w:rPr>
        <w:t>资产的账面价值和应支付的相关税费作为换入无形资产的成本，不确认损益。</w:t>
      </w:r>
    </w:p>
    <w:p>
      <w:pPr>
        <w:pStyle w:val="BodyText"/>
        <w:spacing w:line="319" w:lineRule="auto" w:before="19"/>
        <w:ind w:left="233" w:right="1124" w:firstLine="422"/>
        <w:jc w:val="both"/>
      </w:pPr>
      <w:r>
        <w:rPr>
          <w:spacing w:val="-2"/>
        </w:rPr>
        <w:t>对于使用寿命有限的无形资产，在为企业带来经济利益的期限内按直线法摊销；无法预见无形资产为企业带来经济利</w:t>
      </w:r>
      <w:r>
        <w:rPr>
          <w:w w:val="101"/>
        </w:rPr>
        <w:t> </w:t>
      </w:r>
      <w:r>
        <w:rPr>
          <w:spacing w:val="-3"/>
        </w:rPr>
        <w:t>益期限的，视为使用寿命不确定的无形资产，不予摊销。</w:t>
      </w:r>
    </w:p>
    <w:p>
      <w:pPr>
        <w:pStyle w:val="BodyText"/>
        <w:spacing w:line="240" w:lineRule="auto" w:before="17"/>
        <w:ind w:left="655" w:right="1145"/>
        <w:jc w:val="left"/>
      </w:pPr>
      <w:r>
        <w:rPr>
          <w:spacing w:val="-3"/>
        </w:rPr>
        <w:t>使用寿命有限的无形资产的使用寿命估计情况</w:t>
      </w:r>
    </w:p>
    <w:p>
      <w:pPr>
        <w:spacing w:line="240" w:lineRule="auto" w:before="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169"/>
        <w:gridCol w:w="3472"/>
        <w:gridCol w:w="3218"/>
      </w:tblGrid>
      <w:tr>
        <w:trPr>
          <w:trHeight w:val="322" w:hRule="exact"/>
        </w:trPr>
        <w:tc>
          <w:tcPr>
            <w:tcW w:w="31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预计使用寿命依据</w:t>
            </w:r>
          </w:p>
        </w:tc>
        <w:tc>
          <w:tcPr>
            <w:tcW w:w="32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22"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预计受益期限</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5-10</w:t>
            </w:r>
          </w:p>
        </w:tc>
      </w:tr>
      <w:tr>
        <w:trPr>
          <w:trHeight w:val="322"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预计受益期限</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10</w:t>
            </w:r>
          </w:p>
        </w:tc>
      </w:tr>
      <w:tr>
        <w:trPr>
          <w:trHeight w:val="322"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专利</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预计受益期限</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pStyle w:val="BodyText"/>
        <w:spacing w:line="316" w:lineRule="auto" w:before="10"/>
        <w:ind w:left="593" w:right="1145"/>
        <w:jc w:val="left"/>
      </w:pPr>
      <w:r>
        <w:rPr>
          <w:spacing w:val="-3"/>
        </w:rPr>
        <w:t>每期末，对使用寿命有限的无形资产的使用寿命及摊销方法进行复核。</w:t>
      </w:r>
      <w:r>
        <w:rPr>
          <w:spacing w:val="2"/>
        </w:rPr>
        <w:t> </w:t>
      </w:r>
      <w:r>
        <w:rPr>
          <w:spacing w:val="2"/>
        </w:rPr>
      </w:r>
      <w:r>
        <w:rPr>
          <w:spacing w:val="-3"/>
        </w:rPr>
        <w:t>经复核，本年期末无形资产的使用寿命及摊销方法与以前估计未有不同。</w:t>
      </w:r>
    </w:p>
    <w:p>
      <w:pPr>
        <w:spacing w:line="240" w:lineRule="auto" w:before="8"/>
        <w:rPr>
          <w:rFonts w:ascii="宋体" w:hAnsi="宋体" w:cs="宋体" w:eastAsia="宋体" w:hint="default"/>
          <w:sz w:val="22"/>
          <w:szCs w:val="22"/>
        </w:rPr>
      </w:pPr>
    </w:p>
    <w:p>
      <w:pPr>
        <w:pStyle w:val="Heading3"/>
        <w:spacing w:line="240" w:lineRule="auto"/>
        <w:ind w:left="233" w:right="1145"/>
        <w:jc w:val="left"/>
        <w:rPr>
          <w:b w:val="0"/>
          <w:bCs w:val="0"/>
        </w:rPr>
      </w:pPr>
      <w:bookmarkStart w:name="（2）内部研究开发支出会计政策" w:id="208"/>
      <w:bookmarkEnd w:id="20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left="655" w:right="1145"/>
        <w:jc w:val="left"/>
      </w:pPr>
      <w:r>
        <w:rPr>
          <w:spacing w:val="-3"/>
        </w:rPr>
        <w:t>本公司将内部研究开发项目的支出，区分为研究阶段支出和开发阶段支出。</w:t>
      </w:r>
      <w:r>
        <w:rPr>
          <w:spacing w:val="8"/>
        </w:rPr>
        <w:t> </w:t>
      </w:r>
      <w:r>
        <w:rPr>
          <w:spacing w:val="8"/>
        </w:rPr>
      </w:r>
      <w:r>
        <w:rPr>
          <w:spacing w:val="-3"/>
        </w:rPr>
        <w:t>研究阶段的支出，于发生时计入当期损益。</w:t>
      </w:r>
      <w:r>
        <w:rPr>
          <w:spacing w:val="-33"/>
        </w:rPr>
        <w:t> </w:t>
      </w:r>
      <w:r>
        <w:rPr>
          <w:spacing w:val="-33"/>
        </w:rPr>
      </w:r>
      <w:r>
        <w:rPr>
          <w:spacing w:val="-2"/>
        </w:rPr>
        <w:t>开发阶段的支出，同时满足下列条件的，才能予以资本化，即：完成该无形资产以使其能够使用或出售在技术上具有</w:t>
      </w:r>
    </w:p>
    <w:p>
      <w:pPr>
        <w:spacing w:after="0" w:line="316" w:lineRule="auto"/>
        <w:jc w:val="left"/>
        <w:sectPr>
          <w:pgSz w:w="11910" w:h="16840"/>
          <w:pgMar w:header="741" w:footer="979" w:top="1060" w:bottom="1160" w:left="900" w:right="0"/>
        </w:sectPr>
      </w:pPr>
    </w:p>
    <w:p>
      <w:pPr>
        <w:spacing w:line="240" w:lineRule="auto" w:before="1"/>
        <w:rPr>
          <w:rFonts w:ascii="宋体" w:hAnsi="宋体" w:cs="宋体" w:eastAsia="宋体" w:hint="default"/>
          <w:sz w:val="26"/>
          <w:szCs w:val="26"/>
        </w:rPr>
      </w:pPr>
    </w:p>
    <w:p>
      <w:pPr>
        <w:pStyle w:val="BodyText"/>
        <w:spacing w:line="319" w:lineRule="auto"/>
        <w:ind w:right="1123"/>
        <w:jc w:val="both"/>
      </w:pPr>
      <w:r>
        <w:rPr>
          <w:spacing w:val="-4"/>
        </w:rPr>
        <w:t>可行性；具有完成该无形资产并使用或出售的意图；无形资产产生经济利益的方式，包括能够证明运用该无形资产生产的产</w:t>
      </w:r>
      <w:r>
        <w:rPr>
          <w:spacing w:val="43"/>
        </w:rPr>
        <w:t> </w:t>
      </w:r>
      <w:r>
        <w:rPr>
          <w:spacing w:val="43"/>
        </w:rPr>
      </w:r>
      <w:r>
        <w:rPr>
          <w:spacing w:val="-4"/>
        </w:rPr>
        <w:t>品存在市场或无形资产自身存在市场，无形资产将在内部使用的，能够证明其有用性；有足够的技术、财务资源和其他资源</w:t>
      </w:r>
      <w:r>
        <w:rPr>
          <w:spacing w:val="41"/>
        </w:rPr>
        <w:t> </w:t>
      </w:r>
      <w:r>
        <w:rPr>
          <w:spacing w:val="41"/>
        </w:rPr>
      </w:r>
      <w:r>
        <w:rPr>
          <w:spacing w:val="-4"/>
        </w:rPr>
        <w:t>支持，以完成该无形资产的开发，并有能力使用或出售该无形资产；归属于该无形资产开发阶段的支出能够可靠地计量。不</w:t>
      </w:r>
      <w:r>
        <w:rPr>
          <w:spacing w:val="40"/>
        </w:rPr>
        <w:t> </w:t>
      </w:r>
      <w:r>
        <w:rPr>
          <w:spacing w:val="40"/>
        </w:rPr>
      </w:r>
      <w:r>
        <w:rPr>
          <w:spacing w:val="-3"/>
        </w:rPr>
        <w:t>满足上述条件的开发支出计入当期损益。</w:t>
      </w:r>
    </w:p>
    <w:p>
      <w:pPr>
        <w:pStyle w:val="BodyText"/>
        <w:spacing w:line="240" w:lineRule="auto" w:before="17"/>
        <w:ind w:left="575" w:right="0"/>
        <w:jc w:val="left"/>
      </w:pPr>
      <w:r>
        <w:rPr>
          <w:spacing w:val="-3"/>
        </w:rPr>
        <w:t>本公司相应项目在满足上述条件，通过技术可行性及经济可行性研究，形成项目立项后，进入开发阶段。</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31、长期资产减值" w:id="209"/>
      <w:bookmarkEnd w:id="209"/>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0" w:firstLine="422"/>
        <w:jc w:val="left"/>
      </w:pPr>
      <w:r>
        <w:rPr>
          <w:spacing w:val="-2"/>
        </w:rPr>
        <w:t>对于固定资产、在建工程、使用寿命有限的无形资产、以成本模式计量的投资性房地产及对子公司、合营企业、联营</w:t>
      </w:r>
      <w:r>
        <w:rPr>
          <w:w w:val="101"/>
        </w:rPr>
        <w:t> </w:t>
      </w:r>
      <w:r>
        <w:rPr>
          <w:spacing w:val="-4"/>
        </w:rPr>
        <w:t>企业的长期股权投资等非流动非金融资产，本公司于资产负债表日判断是否存在减值迹象。如存在减值迹象的，则估计其可</w:t>
      </w:r>
      <w:r>
        <w:rPr>
          <w:spacing w:val="45"/>
        </w:rPr>
        <w:t> </w:t>
      </w:r>
      <w:r>
        <w:rPr>
          <w:spacing w:val="45"/>
        </w:rPr>
      </w:r>
      <w:r>
        <w:rPr>
          <w:spacing w:val="-3"/>
        </w:rPr>
        <w:t>收回金额，进行减值测试。商誉、使用寿命不确定的无形资产和尚未达到可使用状态的无形资产，无论是否存在减值迹象，</w:t>
      </w:r>
      <w:r>
        <w:rPr>
          <w:spacing w:val="66"/>
        </w:rPr>
        <w:t> </w:t>
      </w:r>
      <w:r>
        <w:rPr>
          <w:spacing w:val="66"/>
        </w:rPr>
      </w:r>
      <w:r>
        <w:rPr/>
        <w:t>每年均进行减值测试。</w:t>
      </w:r>
    </w:p>
    <w:p>
      <w:pPr>
        <w:pStyle w:val="BodyText"/>
        <w:spacing w:line="316" w:lineRule="auto" w:before="17"/>
        <w:ind w:right="1122" w:firstLine="422"/>
        <w:jc w:val="both"/>
      </w:pPr>
      <w:r>
        <w:rPr>
          <w:spacing w:val="-2"/>
        </w:rPr>
        <w:t>减值测试结果表明资产的可收回金额低于其账面价值的，按其差额计提减值准备并计入减值损失。可收回金额为资产</w:t>
      </w:r>
      <w:r>
        <w:rPr>
          <w:w w:val="101"/>
        </w:rPr>
        <w:t> </w:t>
      </w:r>
      <w:r>
        <w:rPr>
          <w:spacing w:val="-4"/>
          <w:w w:val="101"/>
        </w:rPr>
        <w:t>的公允价值减去处置费用后的净额与资产预计未来现金流量的现值两者之间的较高者。资产的公允价值根据公平交易中销售</w:t>
      </w:r>
      <w:r>
        <w:rPr>
          <w:w w:val="101"/>
        </w:rPr>
        <w:t> </w:t>
      </w:r>
      <w:r>
        <w:rPr>
          <w:spacing w:val="-4"/>
        </w:rPr>
        <w:t>协议价格确定；不存在销售协议但存在资产活跃市场的，公允价值按照该资产的买方出价确定；不存在销售协议和资产活跃</w:t>
      </w:r>
      <w:r>
        <w:rPr>
          <w:spacing w:val="43"/>
        </w:rPr>
        <w:t> </w:t>
      </w:r>
      <w:r>
        <w:rPr>
          <w:spacing w:val="43"/>
        </w:rPr>
      </w:r>
      <w:r>
        <w:rPr>
          <w:spacing w:val="-4"/>
        </w:rPr>
        <w:t>市场的，则以可获取的最佳信息为基础估计资产的公允价值。处置费用包括与资产处置有关的法律费用、相关税费、搬运费</w:t>
      </w:r>
      <w:r>
        <w:rPr>
          <w:spacing w:val="41"/>
        </w:rPr>
        <w:t> </w:t>
      </w:r>
      <w:r>
        <w:rPr>
          <w:spacing w:val="41"/>
        </w:rPr>
      </w:r>
      <w:r>
        <w:rPr>
          <w:spacing w:val="-4"/>
        </w:rPr>
        <w:t>以及为使资产达到可销售状态所发生的直接费用。资产预计未来现金流量的现值，按照资产在持续使用过程中和最终处置时</w:t>
      </w:r>
      <w:r>
        <w:rPr>
          <w:spacing w:val="43"/>
        </w:rPr>
        <w:t> </w:t>
      </w:r>
      <w:r>
        <w:rPr>
          <w:spacing w:val="43"/>
        </w:rPr>
      </w:r>
      <w:r>
        <w:rPr>
          <w:spacing w:val="-4"/>
        </w:rPr>
        <w:t>所产生的预计未来现金流量，选择恰当的折现率对其进行折现后的金额加以确定。资产减值准备按单项资产为基础计算并确</w:t>
      </w:r>
      <w:r>
        <w:rPr>
          <w:spacing w:val="44"/>
        </w:rPr>
        <w:t> </w:t>
      </w:r>
      <w:r>
        <w:rPr>
          <w:spacing w:val="44"/>
        </w:rPr>
      </w:r>
      <w:r>
        <w:rPr>
          <w:spacing w:val="-4"/>
        </w:rPr>
        <w:t>认，如果难以对单项资产的可收回金额进行估计的，以该资产所属的资产组确定资产组的可收回金额。资产组是能够独立产</w:t>
      </w:r>
      <w:r>
        <w:rPr>
          <w:spacing w:val="43"/>
        </w:rPr>
        <w:t> </w:t>
      </w:r>
      <w:r>
        <w:rPr>
          <w:spacing w:val="43"/>
        </w:rPr>
      </w:r>
      <w:r>
        <w:rPr>
          <w:spacing w:val="-3"/>
        </w:rPr>
        <w:t>生现金流入的最小资产组合。</w:t>
      </w:r>
    </w:p>
    <w:p>
      <w:pPr>
        <w:pStyle w:val="BodyText"/>
        <w:spacing w:line="316" w:lineRule="auto" w:before="19"/>
        <w:ind w:right="1124" w:firstLine="422"/>
        <w:jc w:val="both"/>
      </w:pPr>
      <w:r>
        <w:rPr>
          <w:spacing w:val="-2"/>
        </w:rPr>
        <w:t>在财务报表中单独列示的商誉，在进行减值测试时，将商誉的账面价值分摊至预期从企业合并的协同效应中受益的资</w:t>
      </w:r>
      <w:r>
        <w:rPr>
          <w:w w:val="101"/>
        </w:rPr>
        <w:t> </w:t>
      </w:r>
      <w:r>
        <w:rPr>
          <w:spacing w:val="-4"/>
        </w:rPr>
        <w:t>产组或资产组组合。测试结果表明包含分摊的商誉的资产组或资产组组合的可收回金额低于其账面价值的，确认相应的减值</w:t>
      </w:r>
      <w:r>
        <w:rPr>
          <w:spacing w:val="43"/>
        </w:rPr>
        <w:t> </w:t>
      </w:r>
      <w:r>
        <w:rPr>
          <w:spacing w:val="43"/>
        </w:rPr>
      </w:r>
      <w:r>
        <w:rPr>
          <w:spacing w:val="-4"/>
        </w:rPr>
        <w:t>损失。减值损失金额先抵减分摊至该资产组或资产组组合的商誉的账面价值，再根据资产组或资产组组合中除商誉以外的其</w:t>
      </w:r>
      <w:r>
        <w:rPr>
          <w:spacing w:val="44"/>
        </w:rPr>
        <w:t> </w:t>
      </w:r>
      <w:r>
        <w:rPr>
          <w:spacing w:val="44"/>
        </w:rPr>
      </w:r>
      <w:r>
        <w:rPr>
          <w:spacing w:val="-3"/>
        </w:rPr>
        <w:t>他各项资产的账面价值所占比重，按比例抵减其他各项资产的账面价值。</w:t>
      </w:r>
    </w:p>
    <w:p>
      <w:pPr>
        <w:pStyle w:val="BodyText"/>
        <w:spacing w:line="240" w:lineRule="auto" w:before="19"/>
        <w:ind w:left="575" w:right="0"/>
        <w:jc w:val="left"/>
      </w:pPr>
      <w:r>
        <w:rPr>
          <w:spacing w:val="-3"/>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32、长期待摊费用" w:id="210"/>
      <w:bookmarkEnd w:id="210"/>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right="0" w:firstLine="360"/>
        <w:jc w:val="left"/>
      </w:pPr>
      <w:r>
        <w:rPr>
          <w:spacing w:val="-6"/>
          <w:w w:val="101"/>
        </w:rPr>
        <w:t>长期待摊费用按实际支出入账，在受益期或规定的期限内平均摊销。如果长期待摊的费用项目不能使以后会计期间受益，</w:t>
      </w:r>
      <w:r>
        <w:rPr>
          <w:w w:val="101"/>
        </w:rPr>
        <w:t> </w:t>
      </w:r>
      <w:r>
        <w:rPr>
          <w:spacing w:val="-3"/>
        </w:rPr>
        <w:t>则将尚未摊销的该项目的摊余价值全部转入当期损益。其中：</w:t>
      </w:r>
    </w:p>
    <w:p>
      <w:pPr>
        <w:pStyle w:val="BodyText"/>
        <w:spacing w:line="316" w:lineRule="auto" w:before="19"/>
        <w:ind w:left="513" w:right="0"/>
        <w:jc w:val="left"/>
      </w:pPr>
      <w:r>
        <w:rPr>
          <w:spacing w:val="-3"/>
        </w:rPr>
        <w:t>预付经营租入固定资产的租金，按租赁合同规定的期限平均摊销。</w:t>
      </w:r>
      <w:r>
        <w:rPr>
          <w:spacing w:val="-4"/>
        </w:rPr>
        <w:t> </w:t>
      </w:r>
      <w:r>
        <w:rPr>
          <w:spacing w:val="-4"/>
        </w:rPr>
      </w:r>
      <w:r>
        <w:rPr>
          <w:spacing w:val="-3"/>
        </w:rPr>
        <w:t>经营租赁方式租入的固定资产改良支出，按剩余租赁期与租赁资产尚可使用年限两者中较短的期限平均摊销。</w:t>
      </w:r>
      <w:r>
        <w:rPr>
          <w:spacing w:val="49"/>
        </w:rPr>
        <w:t> </w:t>
      </w:r>
      <w:r>
        <w:rPr>
          <w:spacing w:val="49"/>
        </w:rPr>
      </w:r>
      <w:r>
        <w:rPr>
          <w:spacing w:val="-4"/>
        </w:rPr>
        <w:t>融资租赁方式租入的固定资产符合资本化条件的装修费用，按两次装修间隔期间、剩余租赁期与固定资产尚可使用年限</w:t>
      </w:r>
    </w:p>
    <w:p>
      <w:pPr>
        <w:pStyle w:val="BodyText"/>
        <w:spacing w:line="240" w:lineRule="auto" w:before="19"/>
        <w:ind w:right="0"/>
        <w:jc w:val="both"/>
      </w:pPr>
      <w:r>
        <w:rPr>
          <w:spacing w:val="-3"/>
        </w:rPr>
        <w:t>三者中较短的期限平均摊销。</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33、合同负债" w:id="211"/>
      <w:bookmarkEnd w:id="211"/>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34、职工薪酬" w:id="212"/>
      <w:bookmarkEnd w:id="212"/>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213"/>
      <w:bookmarkEnd w:id="21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0" w:firstLine="360"/>
        <w:jc w:val="left"/>
      </w:pPr>
      <w:r>
        <w:rPr>
          <w:spacing w:val="-5"/>
        </w:rPr>
        <w:t>短期薪酬主要包括工资、奖金、津贴和补贴、职工福利费、医疗保险费、生育保险费、工伤保险费、住房公积金、工会</w:t>
      </w:r>
      <w:r>
        <w:rPr>
          <w:w w:val="101"/>
        </w:rPr>
        <w:t> </w:t>
      </w:r>
      <w:r>
        <w:rPr>
          <w:spacing w:val="-6"/>
          <w:w w:val="101"/>
        </w:rPr>
        <w:t>经费和职工教育经费、非货币性福利等。本公司在职工为本公司提供服务的会计期间将实际发生的短期职工薪酬确认为负债，</w:t>
      </w:r>
      <w:r>
        <w:rPr>
          <w:spacing w:val="-65"/>
          <w:w w:val="101"/>
        </w:rPr>
        <w:t> </w:t>
      </w:r>
      <w:r>
        <w:rPr>
          <w:spacing w:val="-65"/>
          <w:w w:val="101"/>
        </w:rPr>
      </w:r>
      <w:r>
        <w:rPr>
          <w:spacing w:val="-3"/>
        </w:rPr>
        <w:t>并计入当期损益或相关资产成本。其中非货币性福利按公允价值计量。</w:t>
      </w:r>
    </w:p>
    <w:p>
      <w:pPr>
        <w:spacing w:after="0" w:line="316"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离职后福利的会计处理方法" w:id="214"/>
      <w:bookmarkEnd w:id="21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0" w:firstLine="360"/>
        <w:jc w:val="left"/>
      </w:pPr>
      <w:r>
        <w:rPr>
          <w:spacing w:val="-4"/>
        </w:rPr>
        <w:t>离职后福利主要包括设定提存计划。其中设定提存计划主要包括基本养老保险、失业保险，相应的应缴存金额于发生时</w:t>
      </w:r>
      <w:r>
        <w:rPr>
          <w:w w:val="101"/>
        </w:rPr>
        <w:t> </w:t>
      </w:r>
      <w:r>
        <w:rPr>
          <w:spacing w:val="-3"/>
        </w:rPr>
        <w:t>计入相关资产成本或当期损益。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15"/>
      <w:bookmarkEnd w:id="21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0" w:firstLine="360"/>
        <w:jc w:val="left"/>
      </w:pPr>
      <w:r>
        <w:rPr>
          <w:spacing w:val="-4"/>
        </w:rPr>
        <w:t>在职工劳动合同到期之前解除与职工的劳动关系，或为鼓励职工自愿接受裁减而提出给予补偿的建议，在本公司不能单</w:t>
      </w:r>
      <w:r>
        <w:rPr>
          <w:w w:val="101"/>
        </w:rPr>
        <w:t> </w:t>
      </w:r>
      <w:r>
        <w:rPr>
          <w:spacing w:val="-4"/>
          <w:w w:val="101"/>
        </w:rPr>
        <w:t>方面撤回因解除劳动关系计划或裁减建议所提供的辞退福利时，和本公司确认与涉及支付辞退福利的重组相关的成本两者孰</w:t>
      </w:r>
      <w:r>
        <w:rPr>
          <w:w w:val="101"/>
        </w:rPr>
        <w:t> </w:t>
      </w:r>
      <w:r>
        <w:rPr>
          <w:spacing w:val="-6"/>
        </w:rPr>
        <w:t>早日，确认辞退福利产生的职工薪酬负债，并计入当期损益。但辞退福利预期在年度报告期结束后十二个月不能完全支付的，</w:t>
      </w:r>
      <w:r>
        <w:rPr>
          <w:spacing w:val="68"/>
        </w:rPr>
        <w:t> </w:t>
      </w:r>
      <w:r>
        <w:rPr>
          <w:spacing w:val="68"/>
        </w:rPr>
      </w:r>
      <w:r>
        <w:rPr>
          <w:spacing w:val="-3"/>
        </w:rPr>
        <w:t>按照其他长期职工薪酬处理。</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16"/>
      <w:bookmarkEnd w:id="21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0" w:firstLine="360"/>
        <w:jc w:val="left"/>
      </w:pPr>
      <w:r>
        <w:rPr>
          <w:spacing w:val="-4"/>
        </w:rPr>
        <w:t>本公司向职工提供的其他长期职工福利，符合设定提存计划的，按照设定提存计划进行会计处理，除此之外按照设定收</w:t>
      </w:r>
      <w:r>
        <w:rPr>
          <w:w w:val="101"/>
        </w:rPr>
        <w:t> </w:t>
      </w:r>
      <w:r>
        <w:rPr/>
        <w:t>益计划进行会计处理。</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35、租赁负债" w:id="217"/>
      <w:bookmarkEnd w:id="217"/>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6、预计负债" w:id="218"/>
      <w:bookmarkEnd w:id="218"/>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37、股份支付" w:id="219"/>
      <w:bookmarkEnd w:id="219"/>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8、优先股、永续债等其他金融工具" w:id="220"/>
      <w:bookmarkEnd w:id="220"/>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9、收入" w:id="221"/>
      <w:bookmarkEnd w:id="221"/>
      <w:r>
        <w:rPr>
          <w:b w:val="0"/>
          <w:bCs w:val="0"/>
        </w:rPr>
      </w:r>
      <w:r>
        <w:rPr>
          <w:rFonts w:ascii="Times New Roman" w:hAnsi="Times New Roman" w:cs="Times New Roman" w:eastAsia="Times New Roman" w:hint="default"/>
        </w:rPr>
        <w:t>39</w:t>
      </w:r>
      <w:r>
        <w:rPr/>
        <w:t>、收入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96"/>
        <w:ind w:left="575" w:right="1051"/>
        <w:jc w:val="left"/>
      </w:pPr>
      <w:r>
        <w:rPr>
          <w:rFonts w:ascii="Times New Roman" w:hAnsi="Times New Roman" w:cs="Times New Roman" w:eastAsia="Times New Roman" w:hint="default"/>
        </w:rPr>
        <w:t>(1)</w:t>
      </w:r>
      <w:r>
        <w:rPr/>
        <w:t>销售商品</w:t>
      </w:r>
      <w:r>
        <w:rPr>
          <w:spacing w:val="-85"/>
        </w:rPr>
        <w:t> </w:t>
      </w:r>
      <w:r>
        <w:rPr>
          <w:spacing w:val="-85"/>
        </w:rPr>
      </w:r>
      <w:r>
        <w:rPr>
          <w:spacing w:val="-4"/>
        </w:rPr>
        <w:t>商品销售收入同时满足下列条件时予以确认：</w:t>
      </w:r>
      <w:r>
        <w:rPr>
          <w:rFonts w:ascii="Times New Roman" w:hAnsi="Times New Roman" w:cs="Times New Roman" w:eastAsia="Times New Roman" w:hint="default"/>
          <w:spacing w:val="-4"/>
        </w:rPr>
        <w:t>1)</w:t>
      </w:r>
      <w:r>
        <w:rPr>
          <w:spacing w:val="-4"/>
        </w:rPr>
        <w:t>公司已将商品所有权上的主要风险和报酬转移给购买方；</w:t>
      </w:r>
      <w:r>
        <w:rPr>
          <w:rFonts w:ascii="Times New Roman" w:hAnsi="Times New Roman" w:cs="Times New Roman" w:eastAsia="Times New Roman" w:hint="default"/>
          <w:spacing w:val="-4"/>
        </w:rPr>
        <w:t>2)</w:t>
      </w:r>
      <w:r>
        <w:rPr>
          <w:spacing w:val="-4"/>
        </w:rPr>
        <w:t>公司既没有</w:t>
      </w:r>
    </w:p>
    <w:p>
      <w:pPr>
        <w:pStyle w:val="BodyText"/>
        <w:spacing w:line="300" w:lineRule="auto" w:before="13"/>
        <w:ind w:right="0"/>
        <w:jc w:val="left"/>
      </w:pPr>
      <w:r>
        <w:rPr>
          <w:spacing w:val="-3"/>
        </w:rPr>
        <w:t>保留与所有权相联系的继续管理权，也没有对已售出的商品实施有效控制；</w:t>
      </w:r>
      <w:r>
        <w:rPr>
          <w:rFonts w:ascii="Times New Roman" w:hAnsi="Times New Roman" w:cs="Times New Roman" w:eastAsia="Times New Roman" w:hint="default"/>
          <w:spacing w:val="-3"/>
        </w:rPr>
        <w:t>3)</w:t>
      </w:r>
      <w:r>
        <w:rPr>
          <w:spacing w:val="-3"/>
        </w:rPr>
        <w:t>收入的金额能够可靠地计量；</w:t>
      </w:r>
      <w:r>
        <w:rPr>
          <w:rFonts w:ascii="Times New Roman" w:hAnsi="Times New Roman" w:cs="Times New Roman" w:eastAsia="Times New Roman" w:hint="default"/>
          <w:spacing w:val="-3"/>
        </w:rPr>
        <w:t>4)</w:t>
      </w:r>
      <w:r>
        <w:rPr>
          <w:spacing w:val="-3"/>
        </w:rPr>
        <w:t>相关的经济利</w:t>
      </w:r>
      <w:r>
        <w:rPr>
          <w:spacing w:val="55"/>
        </w:rPr>
        <w:t> </w:t>
      </w:r>
      <w:r>
        <w:rPr>
          <w:spacing w:val="55"/>
        </w:rPr>
      </w:r>
      <w:r>
        <w:rPr>
          <w:spacing w:val="-3"/>
        </w:rPr>
        <w:t>益很可能流入企业；</w:t>
      </w:r>
      <w:r>
        <w:rPr>
          <w:rFonts w:ascii="Times New Roman" w:hAnsi="Times New Roman" w:cs="Times New Roman" w:eastAsia="Times New Roman" w:hint="default"/>
          <w:spacing w:val="-3"/>
        </w:rPr>
        <w:t>5)</w:t>
      </w:r>
      <w:r>
        <w:rPr>
          <w:spacing w:val="-3"/>
        </w:rPr>
        <w:t>相关的已发生或将发生的成本能够可靠地计量时。</w:t>
      </w:r>
    </w:p>
    <w:p>
      <w:pPr>
        <w:pStyle w:val="BodyText"/>
        <w:spacing w:line="300" w:lineRule="auto" w:before="13"/>
        <w:ind w:left="575" w:right="1051"/>
        <w:jc w:val="left"/>
      </w:pPr>
      <w:r>
        <w:rPr>
          <w:rFonts w:ascii="Times New Roman" w:hAnsi="Times New Roman" w:cs="Times New Roman" w:eastAsia="Times New Roman" w:hint="default"/>
        </w:rPr>
        <w:t>(2)</w:t>
      </w:r>
      <w:r>
        <w:rPr/>
        <w:t>提供劳务</w:t>
      </w:r>
      <w:r>
        <w:rPr>
          <w:spacing w:val="-85"/>
        </w:rPr>
        <w:t> </w:t>
      </w:r>
      <w:r>
        <w:rPr>
          <w:spacing w:val="-85"/>
        </w:rPr>
      </w:r>
      <w:r>
        <w:rPr/>
        <w:t>在资产负债表日提供劳务交易的结果能够可靠估计的</w:t>
      </w:r>
      <w:r>
        <w:rPr>
          <w:rFonts w:ascii="Times New Roman" w:hAnsi="Times New Roman" w:cs="Times New Roman" w:eastAsia="Times New Roman" w:hint="default"/>
        </w:rPr>
        <w:t>(</w:t>
      </w:r>
      <w:r>
        <w:rPr/>
        <w:t>同时满足收入的金额能够可靠地计量、相关经济利益很可能流</w:t>
      </w:r>
    </w:p>
    <w:p>
      <w:pPr>
        <w:pStyle w:val="BodyText"/>
        <w:spacing w:line="300" w:lineRule="auto" w:before="13"/>
        <w:ind w:right="0"/>
        <w:jc w:val="left"/>
      </w:pPr>
      <w:r>
        <w:rPr>
          <w:spacing w:val="-2"/>
        </w:rPr>
        <w:t>入、交易的完工进度能够可靠地确定、交易中已发生和将发生的成本能够可靠地计量</w:t>
      </w:r>
      <w:r>
        <w:rPr>
          <w:rFonts w:ascii="Times New Roman" w:hAnsi="Times New Roman" w:cs="Times New Roman" w:eastAsia="Times New Roman" w:hint="default"/>
          <w:spacing w:val="-2"/>
        </w:rPr>
        <w:t>)</w:t>
      </w:r>
      <w:r>
        <w:rPr>
          <w:spacing w:val="-2"/>
        </w:rPr>
        <w:t>，采用完工百分比法确认提供劳务收</w:t>
      </w:r>
      <w:r>
        <w:rPr>
          <w:spacing w:val="52"/>
        </w:rPr>
        <w:t> </w:t>
      </w:r>
      <w:r>
        <w:rPr>
          <w:spacing w:val="52"/>
        </w:rPr>
      </w:r>
      <w:r>
        <w:rPr>
          <w:spacing w:val="-3"/>
        </w:rPr>
        <w:t>入，并按已完工作的测量结果</w:t>
      </w:r>
    </w:p>
    <w:p>
      <w:pPr>
        <w:pStyle w:val="BodyText"/>
        <w:spacing w:line="316" w:lineRule="auto" w:before="31"/>
        <w:ind w:left="575" w:right="0"/>
        <w:jc w:val="left"/>
      </w:pPr>
      <w:r>
        <w:rPr>
          <w:spacing w:val="-3"/>
        </w:rPr>
        <w:t>已经发生的成本占估计总成本的比例确定提供劳务交易的完工进度。 </w:t>
      </w:r>
      <w:r>
        <w:rPr>
          <w:spacing w:val="-2"/>
        </w:rPr>
        <w:t>在资产负债表日提供劳务交易结果不能够可靠估计的，分别下列情况处理：若已经发生的劳务成本预计能够得到补偿</w:t>
      </w:r>
    </w:p>
    <w:p>
      <w:pPr>
        <w:pStyle w:val="BodyText"/>
        <w:spacing w:line="316" w:lineRule="auto" w:before="19"/>
        <w:ind w:right="0"/>
        <w:jc w:val="left"/>
      </w:pPr>
      <w:r>
        <w:rPr>
          <w:spacing w:val="-4"/>
        </w:rPr>
        <w:t>的，按照已经发生的劳务成本金额确认提供劳务收入，并按相同金额结转劳务成本；若已经发生的劳务成本预计不能够得到</w:t>
      </w:r>
      <w:r>
        <w:rPr>
          <w:spacing w:val="43"/>
        </w:rPr>
        <w:t> </w:t>
      </w:r>
      <w:r>
        <w:rPr>
          <w:spacing w:val="43"/>
        </w:rPr>
      </w:r>
      <w:r>
        <w:rPr>
          <w:spacing w:val="-3"/>
        </w:rPr>
        <w:t>补偿的，将已经发生的劳务成本计入当期损益，不确认提供劳务收入。</w:t>
      </w:r>
    </w:p>
    <w:p>
      <w:pPr>
        <w:pStyle w:val="BodyText"/>
        <w:spacing w:line="300" w:lineRule="auto" w:before="19"/>
        <w:ind w:left="575" w:right="0"/>
        <w:jc w:val="left"/>
      </w:pPr>
      <w:r>
        <w:rPr>
          <w:rFonts w:ascii="Times New Roman" w:hAnsi="Times New Roman" w:cs="Times New Roman" w:eastAsia="Times New Roman" w:hint="default"/>
        </w:rPr>
        <w:t>(3)</w:t>
      </w:r>
      <w:r>
        <w:rPr/>
        <w:t>让渡资产使用权</w:t>
      </w:r>
      <w:r>
        <w:rPr>
          <w:spacing w:val="-88"/>
        </w:rPr>
        <w:t> </w:t>
      </w:r>
      <w:r>
        <w:rPr>
          <w:spacing w:val="-88"/>
        </w:rPr>
      </w:r>
      <w:r>
        <w:rPr>
          <w:spacing w:val="-4"/>
        </w:rPr>
        <w:t>让渡资产使用权在同时满足相关的经济利益很可能流入、收入的金额能够可靠地计量时，确认让渡资产使用权的收入。</w:t>
      </w:r>
    </w:p>
    <w:p>
      <w:pPr>
        <w:pStyle w:val="BodyText"/>
        <w:spacing w:line="240" w:lineRule="auto" w:before="31"/>
        <w:ind w:right="0"/>
        <w:jc w:val="left"/>
      </w:pPr>
      <w:r>
        <w:rPr>
          <w:spacing w:val="-4"/>
        </w:rPr>
        <w:t>利息收入金额，按照他人使用本企业货币资金的时间和实际利率计算确定；使用费收入金额，按照有关合同或协议约定的收</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spacing w:val="-3"/>
        </w:rPr>
        <w:t>费时间和方法计算确定。</w:t>
      </w:r>
    </w:p>
    <w:p>
      <w:pPr>
        <w:pStyle w:val="BodyText"/>
        <w:spacing w:line="300" w:lineRule="auto" w:before="76"/>
        <w:ind w:left="575" w:right="1051"/>
        <w:jc w:val="left"/>
      </w:pPr>
      <w:r>
        <w:rPr>
          <w:rFonts w:ascii="Times New Roman" w:hAnsi="Times New Roman" w:cs="Times New Roman" w:eastAsia="Times New Roman" w:hint="default"/>
        </w:rPr>
        <w:t>(4)</w:t>
      </w:r>
      <w:r>
        <w:rPr/>
        <w:t>建造合同</w:t>
      </w:r>
      <w:r>
        <w:rPr>
          <w:spacing w:val="-85"/>
        </w:rPr>
        <w:t> </w:t>
      </w:r>
      <w:r>
        <w:rPr>
          <w:spacing w:val="-85"/>
        </w:rPr>
      </w:r>
      <w:r>
        <w:rPr>
          <w:rFonts w:ascii="Times New Roman" w:hAnsi="Times New Roman" w:cs="Times New Roman" w:eastAsia="Times New Roman" w:hint="default"/>
          <w:spacing w:val="-2"/>
        </w:rPr>
        <w:t>1)</w:t>
      </w:r>
      <w:r>
        <w:rPr>
          <w:spacing w:val="-2"/>
        </w:rPr>
        <w:t>建造合同的结果在资产负债表日能够可靠估计的，根据完工百分比法确认合同收入和合同费用。建造合同的结果在</w:t>
      </w:r>
    </w:p>
    <w:p>
      <w:pPr>
        <w:pStyle w:val="BodyText"/>
        <w:spacing w:line="316" w:lineRule="auto" w:before="13"/>
        <w:ind w:right="0"/>
        <w:jc w:val="left"/>
      </w:pPr>
      <w:r>
        <w:rPr>
          <w:spacing w:val="-4"/>
        </w:rPr>
        <w:t>资产负债表日不能够可靠估计的，若合同成本能够收回的，合同收入根据能够收回的实际合同成本予以确认，合同成本在其</w:t>
      </w:r>
      <w:r>
        <w:rPr>
          <w:spacing w:val="43"/>
        </w:rPr>
        <w:t> </w:t>
      </w:r>
      <w:r>
        <w:rPr>
          <w:spacing w:val="43"/>
        </w:rPr>
      </w:r>
      <w:r>
        <w:rPr>
          <w:spacing w:val="-3"/>
        </w:rPr>
        <w:t>发生的当期确认为合同费用；若合同成本不可能收回的，在发生时立即确认为合同费用，不确认合同收入。</w:t>
      </w:r>
    </w:p>
    <w:p>
      <w:pPr>
        <w:pStyle w:val="BodyText"/>
        <w:spacing w:line="312" w:lineRule="auto" w:before="19"/>
        <w:ind w:right="0" w:firstLine="422"/>
        <w:jc w:val="left"/>
      </w:pPr>
      <w:r>
        <w:rPr>
          <w:rFonts w:ascii="Times New Roman" w:hAnsi="Times New Roman" w:cs="Times New Roman" w:eastAsia="Times New Roman" w:hint="default"/>
        </w:rPr>
        <w:t>2)</w:t>
      </w:r>
      <w:r>
        <w:rPr/>
        <w:t>固定造价合同同时满足下列条件表明其结果能够可靠估计：合同总收入能够可靠计量、与合同相关的经济利益很可</w:t>
      </w:r>
      <w:r>
        <w:rPr>
          <w:w w:val="101"/>
        </w:rPr>
        <w:t> </w:t>
      </w:r>
      <w:r>
        <w:rPr>
          <w:spacing w:val="-3"/>
        </w:rPr>
        <w:t>能流入、实际发生的合同成本能够清楚地区分和可靠地计量、合同完工进度和为完成合同尚需发生的成本能够可靠地计量。</w:t>
      </w:r>
      <w:r>
        <w:rPr>
          <w:spacing w:val="66"/>
        </w:rPr>
        <w:t> </w:t>
      </w:r>
      <w:r>
        <w:rPr>
          <w:spacing w:val="66"/>
        </w:rPr>
      </w:r>
      <w:r>
        <w:rPr>
          <w:spacing w:val="-4"/>
        </w:rPr>
        <w:t>成本加成合同同时满足下列条件表明其结果能够可靠估计：与合同相关的经济利益很可能流入；实际发生的合同成本能够清</w:t>
      </w:r>
      <w:r>
        <w:rPr>
          <w:spacing w:val="43"/>
        </w:rPr>
        <w:t> </w:t>
      </w:r>
      <w:r>
        <w:rPr>
          <w:spacing w:val="43"/>
        </w:rPr>
      </w:r>
      <w:r>
        <w:rPr>
          <w:spacing w:val="-3"/>
        </w:rPr>
        <w:t>楚地区分和可靠地计量。</w:t>
      </w:r>
    </w:p>
    <w:p>
      <w:pPr>
        <w:pStyle w:val="BodyText"/>
        <w:spacing w:line="240" w:lineRule="auto" w:before="23"/>
        <w:ind w:left="575" w:right="0"/>
        <w:jc w:val="left"/>
      </w:pPr>
      <w:r>
        <w:rPr>
          <w:rFonts w:ascii="Times New Roman" w:hAnsi="Times New Roman" w:cs="Times New Roman" w:eastAsia="Times New Roman" w:hint="default"/>
          <w:spacing w:val="-3"/>
        </w:rPr>
        <w:t>3)</w:t>
      </w:r>
      <w:r>
        <w:rPr>
          <w:spacing w:val="-3"/>
        </w:rPr>
        <w:t>确定合同完工进度的方法为累计实际发生的合同成本占合同预计总成本的比例。</w:t>
      </w:r>
    </w:p>
    <w:p>
      <w:pPr>
        <w:pStyle w:val="BodyText"/>
        <w:spacing w:line="300" w:lineRule="auto" w:before="63"/>
        <w:ind w:right="0" w:firstLine="422"/>
        <w:jc w:val="left"/>
      </w:pPr>
      <w:r>
        <w:rPr>
          <w:rFonts w:ascii="Times New Roman" w:hAnsi="Times New Roman" w:cs="Times New Roman" w:eastAsia="Times New Roman" w:hint="default"/>
          <w:spacing w:val="-2"/>
        </w:rPr>
        <w:t>4)</w:t>
      </w:r>
      <w:r>
        <w:rPr>
          <w:spacing w:val="-2"/>
        </w:rPr>
        <w:t>资产负债表日，合同预计总成本超过合同总收入的，将预计损失确认为当期费用。执行中的建造合同，按其差额计</w:t>
      </w:r>
      <w:r>
        <w:rPr>
          <w:w w:val="101"/>
        </w:rPr>
        <w:t> </w:t>
      </w:r>
      <w:r>
        <w:rPr>
          <w:spacing w:val="-3"/>
        </w:rPr>
        <w:t>提存货跌价准备；待执行的亏损合同，按其差额确认预计负债。</w:t>
      </w:r>
    </w:p>
    <w:p>
      <w:pPr>
        <w:pStyle w:val="BodyText"/>
        <w:spacing w:line="300" w:lineRule="auto" w:before="31"/>
        <w:ind w:left="575" w:right="6287"/>
        <w:jc w:val="left"/>
      </w:pPr>
      <w:r>
        <w:rPr>
          <w:rFonts w:ascii="Times New Roman" w:hAnsi="Times New Roman" w:cs="Times New Roman" w:eastAsia="Times New Roman" w:hint="default"/>
          <w:spacing w:val="-3"/>
        </w:rPr>
        <w:t>2</w:t>
      </w:r>
      <w:r>
        <w:rPr>
          <w:spacing w:val="-3"/>
        </w:rPr>
        <w:t>．本公司收入的具体确认原则</w:t>
      </w:r>
      <w:r>
        <w:rPr>
          <w:spacing w:val="-46"/>
        </w:rPr>
        <w:t> </w:t>
      </w:r>
      <w:r>
        <w:rPr>
          <w:spacing w:val="-46"/>
        </w:rPr>
      </w:r>
      <w:r>
        <w:rPr>
          <w:rFonts w:ascii="Times New Roman" w:hAnsi="Times New Roman" w:cs="Times New Roman" w:eastAsia="Times New Roman" w:hint="default"/>
        </w:rPr>
        <w:t>(1)</w:t>
      </w:r>
      <w:r>
        <w:rPr/>
        <w:t>供应链业务收入的确认</w:t>
      </w:r>
    </w:p>
    <w:p>
      <w:pPr>
        <w:pStyle w:val="BodyText"/>
        <w:spacing w:line="316" w:lineRule="auto" w:before="13"/>
        <w:ind w:right="0" w:firstLine="422"/>
        <w:jc w:val="left"/>
      </w:pPr>
      <w:r>
        <w:rPr>
          <w:spacing w:val="-2"/>
        </w:rPr>
        <w:t>公司已根据合同约定将产品交付给购货方，已获取客户的签收或者验收回单，且产品销售收入金额已确定，已经收回</w:t>
      </w:r>
      <w:r>
        <w:rPr>
          <w:w w:val="101"/>
        </w:rPr>
        <w:t> </w:t>
      </w:r>
      <w:r>
        <w:rPr>
          <w:spacing w:val="-3"/>
        </w:rPr>
        <w:t>货款或取得了收款凭证且相关的经济利益很可能流入，产品相关的成本能够可靠地计量。</w:t>
      </w:r>
    </w:p>
    <w:p>
      <w:pPr>
        <w:pStyle w:val="BodyText"/>
        <w:spacing w:line="307" w:lineRule="auto" w:before="19"/>
        <w:ind w:left="575" w:right="0"/>
        <w:jc w:val="left"/>
      </w:pPr>
      <w:r>
        <w:rPr>
          <w:rFonts w:ascii="Times New Roman" w:hAnsi="Times New Roman" w:cs="Times New Roman" w:eastAsia="Times New Roman" w:hint="default"/>
          <w:spacing w:val="-3"/>
        </w:rPr>
        <w:t>(2)</w:t>
      </w:r>
      <w:r>
        <w:rPr>
          <w:spacing w:val="-3"/>
        </w:rPr>
        <w:t>第三方支付、信用卡推广、助贷等服务收入的确认</w:t>
      </w:r>
      <w:r>
        <w:rPr>
          <w:spacing w:val="-12"/>
        </w:rPr>
        <w:t> </w:t>
      </w:r>
      <w:r>
        <w:rPr>
          <w:spacing w:val="-12"/>
        </w:rPr>
      </w:r>
      <w:r>
        <w:rPr>
          <w:spacing w:val="-3"/>
        </w:rPr>
        <w:t>公司在已根据合同约定提供了相应服务，取得明确的收款证据，相关成本能够可靠地计量时，确认收入。</w:t>
      </w:r>
      <w:r>
        <w:rPr>
          <w:spacing w:val="43"/>
        </w:rPr>
        <w:t> </w:t>
      </w:r>
      <w:r>
        <w:rPr>
          <w:spacing w:val="43"/>
        </w:rPr>
      </w:r>
      <w:r>
        <w:rPr>
          <w:rFonts w:ascii="Times New Roman" w:hAnsi="Times New Roman" w:cs="Times New Roman" w:eastAsia="Times New Roman" w:hint="default"/>
          <w:spacing w:val="-3"/>
        </w:rPr>
        <w:t>(3)</w:t>
      </w:r>
      <w:r>
        <w:rPr>
          <w:spacing w:val="-3"/>
        </w:rPr>
        <w:t>保理业务、小额贷款业务等收入的确认</w:t>
      </w:r>
      <w:r>
        <w:rPr>
          <w:spacing w:val="-29"/>
        </w:rPr>
        <w:t> </w:t>
      </w:r>
      <w:r>
        <w:rPr>
          <w:spacing w:val="-29"/>
        </w:rPr>
      </w:r>
      <w:r>
        <w:rPr>
          <w:spacing w:val="-2"/>
        </w:rPr>
        <w:t>公司按照他人使用本公司货币资金的本金、时间和双方约定的实际利率计算确定；通过在一定期间内提供保理、贷款</w:t>
      </w:r>
    </w:p>
    <w:p>
      <w:pPr>
        <w:pStyle w:val="BodyText"/>
        <w:spacing w:line="240" w:lineRule="auto" w:before="26"/>
        <w:ind w:right="0"/>
        <w:jc w:val="left"/>
      </w:pPr>
      <w:r>
        <w:rPr>
          <w:spacing w:val="-3"/>
        </w:rPr>
        <w:t>收取的服务费在相应的服务期间内平均确认收入。</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0、政府补助" w:id="222"/>
      <w:bookmarkEnd w:id="222"/>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0" w:firstLine="422"/>
        <w:jc w:val="left"/>
      </w:pPr>
      <w:r>
        <w:rPr>
          <w:spacing w:val="-2"/>
        </w:rPr>
        <w:t>政府补助是指本公司从政府无偿取得货币性资产或非货币性资产，不包括政府以投资者身份并享有相应所有者权益而</w:t>
      </w:r>
      <w:r>
        <w:rPr>
          <w:w w:val="101"/>
        </w:rPr>
        <w:t> </w:t>
      </w:r>
      <w:r>
        <w:rPr>
          <w:spacing w:val="-6"/>
        </w:rPr>
        <w:t>投入的资本。政府补助为货币性资产的，按照收到或应收的金额计量。政府补助为非货币性资产的，应当按照公允价值计量；</w:t>
      </w:r>
      <w:r>
        <w:rPr>
          <w:spacing w:val="62"/>
        </w:rPr>
        <w:t> </w:t>
      </w:r>
      <w:r>
        <w:rPr>
          <w:spacing w:val="62"/>
        </w:rPr>
      </w:r>
      <w:r>
        <w:rPr>
          <w:spacing w:val="-3"/>
        </w:rPr>
        <w:t>公允价值不能可靠取得的，按照名义金额计量。按照名义金额计量的政府补助，直接计入当期损益。</w:t>
      </w:r>
    </w:p>
    <w:p>
      <w:pPr>
        <w:pStyle w:val="BodyText"/>
        <w:spacing w:line="316" w:lineRule="auto" w:before="17"/>
        <w:ind w:left="575" w:right="0"/>
        <w:jc w:val="left"/>
      </w:pPr>
      <w:r>
        <w:rPr>
          <w:spacing w:val="-3"/>
        </w:rPr>
        <w:t>当本公司能够满足政府补助所附条件，且能够收到政府补助时，才能确认政府补助。</w:t>
      </w:r>
      <w:r>
        <w:rPr>
          <w:spacing w:val="19"/>
        </w:rPr>
        <w:t> </w:t>
      </w:r>
      <w:r>
        <w:rPr>
          <w:spacing w:val="19"/>
        </w:rPr>
      </w:r>
      <w:r>
        <w:rPr>
          <w:spacing w:val="-2"/>
        </w:rPr>
        <w:t>政府补助分为与资产相关的政府补助和与收益相关的政府补助。与资产相关的政府补助，是指公司取得的、用于购建</w:t>
      </w:r>
    </w:p>
    <w:p>
      <w:pPr>
        <w:pStyle w:val="BodyText"/>
        <w:spacing w:line="319" w:lineRule="auto" w:before="19"/>
        <w:ind w:left="575" w:right="0" w:hanging="423"/>
        <w:jc w:val="left"/>
      </w:pPr>
      <w:r>
        <w:rPr>
          <w:spacing w:val="-3"/>
        </w:rPr>
        <w:t>或以其他方式形成长期资产的政府补助。与收益相关的政府补助，是指除与资产相关的政府补助之外的政府补助。</w:t>
      </w:r>
      <w:r>
        <w:rPr>
          <w:spacing w:val="54"/>
        </w:rPr>
        <w:t> </w:t>
      </w:r>
      <w:r>
        <w:rPr>
          <w:spacing w:val="54"/>
        </w:rPr>
      </w:r>
      <w:r>
        <w:rPr>
          <w:spacing w:val="-4"/>
        </w:rPr>
        <w:t>与资产相关的政府补助，采用总额法，确认为递延收益，在相关资产使用寿命内按照合理、系统的方法分期计入损益，</w:t>
      </w:r>
    </w:p>
    <w:p>
      <w:pPr>
        <w:pStyle w:val="BodyText"/>
        <w:spacing w:line="316" w:lineRule="auto" w:before="17"/>
        <w:ind w:right="0"/>
        <w:jc w:val="left"/>
      </w:pPr>
      <w:r>
        <w:rPr>
          <w:spacing w:val="-3"/>
        </w:rPr>
        <w:t>相关资产在使用寿命结束前被出售、转让、报废或发生毁损的，将尚未分配的相关递延收益余额转入资产处置当期的损益，</w:t>
      </w:r>
      <w:r>
        <w:rPr>
          <w:spacing w:val="66"/>
        </w:rPr>
        <w:t> </w:t>
      </w:r>
      <w:r>
        <w:rPr>
          <w:spacing w:val="66"/>
        </w:rPr>
      </w:r>
      <w:r>
        <w:rPr>
          <w:spacing w:val="-3"/>
        </w:rPr>
        <w:t>已确认的政府补助需要退回的，冲减相关递延收益账面余额，超出部分计入当期损益。</w:t>
      </w:r>
    </w:p>
    <w:p>
      <w:pPr>
        <w:pStyle w:val="BodyText"/>
        <w:spacing w:line="316" w:lineRule="auto" w:before="19"/>
        <w:ind w:right="0" w:firstLine="422"/>
        <w:jc w:val="left"/>
      </w:pPr>
      <w:r>
        <w:rPr>
          <w:spacing w:val="-2"/>
        </w:rPr>
        <w:t>与收益相关的政府补助，采用总额法，用于补偿公司已发生的相关成本费用或损失时，直接计入当期损益；用于补偿</w:t>
      </w:r>
      <w:r>
        <w:rPr>
          <w:w w:val="101"/>
        </w:rPr>
        <w:t> </w:t>
      </w:r>
      <w:r>
        <w:rPr>
          <w:spacing w:val="-3"/>
        </w:rPr>
        <w:t>以后期间的相关成本费用或损失时，确认为递延收益，并在确认相关成本费用或损失的期间，计入当期损益。</w:t>
      </w:r>
    </w:p>
    <w:p>
      <w:pPr>
        <w:pStyle w:val="BodyText"/>
        <w:spacing w:line="319" w:lineRule="auto" w:before="19"/>
        <w:ind w:right="0" w:firstLine="422"/>
        <w:jc w:val="left"/>
      </w:pPr>
      <w:r>
        <w:rPr>
          <w:spacing w:val="-2"/>
        </w:rPr>
        <w:t>对于同时包含与资产相关部分和与收益相关部分的政府补助，应当区分不同部分分别进行会计处理；难以区分的应当</w:t>
      </w:r>
      <w:r>
        <w:rPr>
          <w:w w:val="101"/>
        </w:rPr>
        <w:t> </w:t>
      </w:r>
      <w:r>
        <w:rPr>
          <w:spacing w:val="-3"/>
        </w:rPr>
        <w:t>整体归类为与收益相关的政府补助。</w:t>
      </w:r>
    </w:p>
    <w:p>
      <w:pPr>
        <w:pStyle w:val="BodyText"/>
        <w:spacing w:line="316" w:lineRule="auto" w:before="17"/>
        <w:ind w:right="0" w:firstLine="360"/>
        <w:jc w:val="left"/>
      </w:pPr>
      <w:r>
        <w:rPr>
          <w:spacing w:val="-4"/>
        </w:rPr>
        <w:t>与企业日常活动相关的政府补助，应当按照经济业务实质，计入其他收益或冲减相关成本费用。与企业日常活动无关的</w:t>
      </w:r>
      <w:r>
        <w:rPr>
          <w:w w:val="101"/>
        </w:rPr>
        <w:t> </w:t>
      </w:r>
      <w:r>
        <w:rPr>
          <w:spacing w:val="-3"/>
        </w:rPr>
        <w:t>政府补助，计入营业外收支。</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1、递延所得税资产/递延所得税负债" w:id="223"/>
      <w:bookmarkEnd w:id="223"/>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before="0"/>
        <w:ind w:right="1124" w:firstLine="422"/>
        <w:jc w:val="both"/>
      </w:pPr>
      <w:r>
        <w:rPr>
          <w:spacing w:val="-2"/>
        </w:rPr>
        <w:t>某些资产、负债项目的账面价值与其计税基础之间的差额，以及未作为资产和负债确认但按照税法规定可以确定其计</w:t>
      </w:r>
      <w:r>
        <w:rPr>
          <w:w w:val="101"/>
        </w:rPr>
        <w:t> </w:t>
      </w:r>
      <w:r>
        <w:rPr>
          <w:spacing w:val="-4"/>
          <w:w w:val="101"/>
        </w:rPr>
        <w:t>税基础的项目的账面价值与计税基础之间的差额产生的暂时性差异，采用资产负债表债务法确认递延所得税资产及递延所得</w:t>
      </w:r>
      <w:r>
        <w:rPr>
          <w:w w:val="101"/>
        </w:rPr>
        <w:t> </w:t>
      </w:r>
      <w:r>
        <w:rPr/>
        <w:t>税负债。</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ind w:right="1122" w:firstLine="422"/>
        <w:jc w:val="both"/>
      </w:pPr>
      <w:r>
        <w:rPr>
          <w:spacing w:val="-2"/>
        </w:rPr>
        <w:t>与商誉的初始确认有关，以及与既不是企业合并、发生时也不影响会计利润和应纳税所得额（或可抵扣亏损）的交易</w:t>
      </w:r>
      <w:r>
        <w:rPr>
          <w:w w:val="101"/>
        </w:rPr>
        <w:t> </w:t>
      </w:r>
      <w:r>
        <w:rPr>
          <w:spacing w:val="-4"/>
        </w:rPr>
        <w:t>中产生的资产或负债的初始确认有关的应纳税暂时性差异，不予确认有关的递延所得税负债。此外，对与子公司、联营企业</w:t>
      </w:r>
      <w:r>
        <w:rPr>
          <w:spacing w:val="40"/>
        </w:rPr>
        <w:t> </w:t>
      </w:r>
      <w:r>
        <w:rPr>
          <w:spacing w:val="40"/>
        </w:rPr>
      </w:r>
      <w:r>
        <w:rPr>
          <w:spacing w:val="-4"/>
        </w:rPr>
        <w:t>及合营企业投资相关的应纳税暂时性差异，如果本公司能够控制暂时性差异转回的时间，而且该暂时性差异在可预见的未来</w:t>
      </w:r>
      <w:r>
        <w:rPr>
          <w:spacing w:val="43"/>
        </w:rPr>
        <w:t> </w:t>
      </w:r>
      <w:r>
        <w:rPr>
          <w:spacing w:val="43"/>
        </w:rPr>
      </w:r>
      <w:r>
        <w:rPr>
          <w:spacing w:val="-4"/>
        </w:rPr>
        <w:t>很可能不会转回，也不予确认有关的递延所得税负债。除上述例外情况，本公司确认其他所有应纳税暂时性差异产生的递延</w:t>
      </w:r>
      <w:r>
        <w:rPr>
          <w:spacing w:val="44"/>
        </w:rPr>
        <w:t> </w:t>
      </w:r>
      <w:r>
        <w:rPr>
          <w:spacing w:val="44"/>
        </w:rPr>
      </w:r>
      <w:r>
        <w:rPr/>
        <w:t>所得税负债。</w:t>
      </w:r>
    </w:p>
    <w:p>
      <w:pPr>
        <w:pStyle w:val="BodyText"/>
        <w:spacing w:line="319" w:lineRule="auto" w:before="17"/>
        <w:ind w:right="1123" w:firstLine="422"/>
        <w:jc w:val="both"/>
      </w:pPr>
      <w:r>
        <w:rPr>
          <w:spacing w:val="-2"/>
        </w:rPr>
        <w:t>与既不是企业合并、发生时也不影响会计利润和应纳税所得额（或可抵扣亏损）的交易中产生的资产或负债的初始确</w:t>
      </w:r>
      <w:r>
        <w:rPr>
          <w:w w:val="101"/>
        </w:rPr>
        <w:t> </w:t>
      </w:r>
      <w:r>
        <w:rPr>
          <w:spacing w:val="-4"/>
        </w:rPr>
        <w:t>认有关的可抵扣暂时性差异，不予确认有关的递延所得税资产。此外，对与子公司、联营企业及合营企业投资相关的可抵扣</w:t>
      </w:r>
      <w:r>
        <w:rPr>
          <w:spacing w:val="40"/>
        </w:rPr>
        <w:t> </w:t>
      </w:r>
      <w:r>
        <w:rPr>
          <w:spacing w:val="40"/>
        </w:rPr>
      </w:r>
      <w:r>
        <w:rPr>
          <w:spacing w:val="-4"/>
        </w:rPr>
        <w:t>暂时性差异，如果暂时性差异在可预见的未来不是很可能转回，或者未来不是很可能获得用来抵扣可抵扣暂时性差异的应纳</w:t>
      </w:r>
      <w:r>
        <w:rPr>
          <w:spacing w:val="42"/>
        </w:rPr>
        <w:t> </w:t>
      </w:r>
      <w:r>
        <w:rPr>
          <w:spacing w:val="42"/>
        </w:rPr>
      </w:r>
      <w:r>
        <w:rPr>
          <w:spacing w:val="-4"/>
        </w:rPr>
        <w:t>税所得额，不予确认有关的递延所得税资产。除上述例外情况，本公司以很可能取得用来抵扣可抵扣暂时性差异的应纳税所</w:t>
      </w:r>
      <w:r>
        <w:rPr>
          <w:spacing w:val="43"/>
        </w:rPr>
        <w:t> </w:t>
      </w:r>
      <w:r>
        <w:rPr>
          <w:spacing w:val="43"/>
        </w:rPr>
      </w:r>
      <w:r>
        <w:rPr>
          <w:spacing w:val="-3"/>
        </w:rPr>
        <w:t>得额为限，确认其他可抵扣暂时性差异产生的递延所得税资产。</w:t>
      </w:r>
      <w:r>
        <w:rPr/>
      </w:r>
    </w:p>
    <w:p>
      <w:pPr>
        <w:pStyle w:val="BodyText"/>
        <w:spacing w:line="316" w:lineRule="auto" w:before="17"/>
        <w:ind w:right="1124" w:firstLine="422"/>
        <w:jc w:val="both"/>
      </w:pPr>
      <w:r>
        <w:rPr>
          <w:spacing w:val="-2"/>
        </w:rPr>
        <w:t>对于能够结转以后年度的可抵扣亏损和税款抵减，以很可能获得用来抵扣可抵扣亏损和税款抵减的未来应纳税所得额</w:t>
      </w:r>
      <w:r>
        <w:rPr>
          <w:w w:val="101"/>
        </w:rPr>
        <w:t> </w:t>
      </w:r>
      <w:r>
        <w:rPr>
          <w:spacing w:val="-3"/>
        </w:rPr>
        <w:t>为限，确认相应的递延所得税资产。</w:t>
      </w:r>
    </w:p>
    <w:p>
      <w:pPr>
        <w:pStyle w:val="BodyText"/>
        <w:spacing w:line="316" w:lineRule="auto" w:before="19"/>
        <w:ind w:right="1124" w:firstLine="422"/>
        <w:jc w:val="both"/>
      </w:pPr>
      <w:r>
        <w:rPr>
          <w:spacing w:val="-2"/>
        </w:rPr>
        <w:t>资产负债表日，对于递延所得税资产和递延所得税负债，根据税法规定，按照预期收回相关资产或清偿相关负债期间</w:t>
      </w:r>
      <w:r>
        <w:rPr>
          <w:w w:val="101"/>
        </w:rPr>
        <w:t> </w:t>
      </w:r>
      <w:r>
        <w:rPr/>
        <w:t>的适用税率计量。</w:t>
      </w:r>
    </w:p>
    <w:p>
      <w:pPr>
        <w:pStyle w:val="BodyText"/>
        <w:spacing w:line="316" w:lineRule="auto" w:before="19"/>
        <w:ind w:right="1124" w:firstLine="422"/>
        <w:jc w:val="both"/>
      </w:pPr>
      <w:r>
        <w:rPr>
          <w:spacing w:val="-2"/>
        </w:rPr>
        <w:t>于资产负债表日，对递延所得税资产的账面价值进行复核，如果未来很可能无法获得足够的应纳税所得额用以抵扣递</w:t>
      </w:r>
      <w:r>
        <w:rPr>
          <w:w w:val="101"/>
        </w:rPr>
        <w:t> </w:t>
      </w:r>
      <w:r>
        <w:rPr>
          <w:spacing w:val="-3"/>
        </w:rPr>
        <w:t>延所得税资产的利益，则减记递延所得税资产的账面价值。在很可能获得足够的应纳税所得额时，减记的金额予以转回。</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2、租赁" w:id="224"/>
      <w:bookmarkEnd w:id="224"/>
      <w:r>
        <w:rPr>
          <w:b w:val="0"/>
          <w:bCs w:val="0"/>
        </w:rPr>
      </w:r>
      <w:r>
        <w:rPr>
          <w:rFonts w:ascii="Times New Roman" w:hAnsi="Times New Roman" w:cs="Times New Roman" w:eastAsia="Times New Roman" w:hint="default"/>
        </w:rPr>
        <w:t>42</w:t>
      </w:r>
      <w:r>
        <w:rPr/>
        <w:t>、租赁</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25"/>
      <w:bookmarkEnd w:id="22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right="1124" w:firstLine="422"/>
        <w:jc w:val="both"/>
      </w:pPr>
      <w:r>
        <w:rPr>
          <w:spacing w:val="-2"/>
        </w:rPr>
        <w:t>公司租入资产所支付的租赁费，在不扣除免租期的整个租赁期内，按直线法进行分摊，计入当期费用。公司支付的与</w:t>
      </w:r>
      <w:r>
        <w:rPr>
          <w:w w:val="101"/>
        </w:rPr>
        <w:t> </w:t>
      </w:r>
      <w:r>
        <w:rPr>
          <w:spacing w:val="-4"/>
        </w:rPr>
        <w:t>租赁交易相关的初始直接费用，计入当期费用。资产出租方承担了应由公司承担的与租赁相关的费用时，公司将该部分费用</w:t>
      </w:r>
      <w:r>
        <w:rPr>
          <w:spacing w:val="43"/>
        </w:rPr>
        <w:t> </w:t>
      </w:r>
      <w:r>
        <w:rPr>
          <w:spacing w:val="43"/>
        </w:rPr>
      </w:r>
      <w:r>
        <w:rPr>
          <w:spacing w:val="-3"/>
        </w:rPr>
        <w:t>从租金总额中扣除，按扣除后的租金费用在租赁期内分摊，计入当期费用。</w:t>
      </w:r>
    </w:p>
    <w:p>
      <w:pPr>
        <w:pStyle w:val="BodyText"/>
        <w:spacing w:line="319" w:lineRule="auto" w:before="19"/>
        <w:ind w:right="1123" w:firstLine="360"/>
        <w:jc w:val="both"/>
      </w:pPr>
      <w:r>
        <w:rPr>
          <w:spacing w:val="-5"/>
        </w:rPr>
        <w:t>公司出租资产所收取的租赁费，在不扣除免租期的整个租赁期内，按直线法进行分摊，确认为租赁相关收入。公司支付</w:t>
      </w:r>
      <w:r>
        <w:rPr>
          <w:w w:val="101"/>
        </w:rPr>
        <w:t> </w:t>
      </w:r>
      <w:r>
        <w:rPr>
          <w:spacing w:val="-4"/>
        </w:rPr>
        <w:t>的与租赁交易相关的初始直接费用，计入当期费用；如金额较大的，则予以资本化，在整个租赁期间内按照与租赁相关收入</w:t>
      </w:r>
      <w:r>
        <w:rPr>
          <w:spacing w:val="40"/>
        </w:rPr>
        <w:t> </w:t>
      </w:r>
      <w:r>
        <w:rPr>
          <w:spacing w:val="40"/>
        </w:rPr>
      </w:r>
      <w:r>
        <w:rPr>
          <w:spacing w:val="-4"/>
        </w:rPr>
        <w:t>确认相同的基础分期计入当期收益。公司承担了应由承租方承担的与租赁相关的费用时，公司将该部分费用从租金收入总额</w:t>
      </w:r>
      <w:r>
        <w:rPr>
          <w:spacing w:val="42"/>
        </w:rPr>
        <w:t> </w:t>
      </w:r>
      <w:r>
        <w:rPr>
          <w:spacing w:val="42"/>
        </w:rPr>
      </w:r>
      <w:r>
        <w:rPr>
          <w:spacing w:val="-3"/>
        </w:rPr>
        <w:t>中扣除，按扣除后的租金费用在租赁期内分配。</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26"/>
      <w:bookmarkEnd w:id="22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034" w:firstLine="360"/>
        <w:jc w:val="both"/>
      </w:pPr>
      <w:r>
        <w:rPr>
          <w:spacing w:val="-6"/>
          <w:w w:val="101"/>
        </w:rPr>
        <w:t>融资租入资产：公司在承租开始日，将租赁资产公允价值与最低租赁付款额现值两者中较低者作为租入资产的入账价值，</w:t>
      </w:r>
      <w:r>
        <w:rPr>
          <w:w w:val="101"/>
        </w:rPr>
        <w:t> </w:t>
      </w:r>
      <w:r>
        <w:rPr>
          <w:spacing w:val="-3"/>
        </w:rPr>
        <w:t>将最低租赁付款额作为长期应付款的入账价值，其差额作为未确认的融资费用。公司采用实际利率法对未确认的融资费用，</w:t>
      </w:r>
      <w:r>
        <w:rPr>
          <w:spacing w:val="66"/>
        </w:rPr>
        <w:t> </w:t>
      </w:r>
      <w:r>
        <w:rPr>
          <w:spacing w:val="66"/>
        </w:rPr>
      </w:r>
      <w:r>
        <w:rPr>
          <w:spacing w:val="-3"/>
        </w:rPr>
        <w:t>在资产租赁期间内摊销，计入财务费用。公司发生的初始直接费用，计入租入资产价值。</w:t>
      </w:r>
    </w:p>
    <w:p>
      <w:pPr>
        <w:pStyle w:val="BodyText"/>
        <w:spacing w:line="319" w:lineRule="auto" w:before="19"/>
        <w:ind w:right="0" w:firstLine="360"/>
        <w:jc w:val="left"/>
      </w:pPr>
      <w:r>
        <w:rPr>
          <w:spacing w:val="-4"/>
        </w:rPr>
        <w:t>融资租出资产：公司在租赁开始日，将应收融资租赁款，未担保余值之和与其现值的差额确认为未实现融资收益，在将</w:t>
      </w:r>
      <w:r>
        <w:rPr>
          <w:w w:val="101"/>
        </w:rPr>
        <w:t> </w:t>
      </w:r>
      <w:r>
        <w:rPr>
          <w:spacing w:val="-3"/>
        </w:rPr>
        <w:t>来收到租金的各期间内确认为租赁收入。公司发生的与出租交易相关的初始直接费用，计入应收融资租赁款的初始计量中，</w:t>
      </w:r>
      <w:r>
        <w:rPr>
          <w:spacing w:val="66"/>
        </w:rPr>
        <w:t> </w:t>
      </w:r>
      <w:r>
        <w:rPr>
          <w:spacing w:val="66"/>
        </w:rPr>
      </w:r>
      <w:r>
        <w:rPr>
          <w:spacing w:val="-3"/>
        </w:rPr>
        <w:t>并减少租赁期内确认的收益金额。</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43、其他重要的会计政策和会计估计" w:id="227"/>
      <w:bookmarkEnd w:id="227"/>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300" w:lineRule="auto" w:before="0"/>
        <w:ind w:left="575" w:right="1051"/>
        <w:jc w:val="left"/>
      </w:pPr>
      <w:r>
        <w:rPr/>
        <w:t>（</w:t>
      </w:r>
      <w:r>
        <w:rPr>
          <w:rFonts w:ascii="Times New Roman" w:hAnsi="Times New Roman" w:cs="Times New Roman" w:eastAsia="Times New Roman" w:hint="default"/>
        </w:rPr>
        <w:t>1</w:t>
      </w:r>
      <w:r>
        <w:rPr/>
        <w:t>）终止经营</w:t>
      </w:r>
      <w:r>
        <w:rPr>
          <w:spacing w:val="-85"/>
        </w:rPr>
        <w:t> </w:t>
      </w:r>
      <w:r>
        <w:rPr>
          <w:spacing w:val="-85"/>
        </w:rPr>
      </w:r>
      <w:r>
        <w:rPr>
          <w:spacing w:val="-4"/>
        </w:rPr>
        <w:t>终止经营，是指企业满足下列条件之一的、能够单独区分的组成部分，且该组成部分已经处置或划分为持有待售类别：</w:t>
      </w:r>
    </w:p>
    <w:p>
      <w:pPr>
        <w:pStyle w:val="BodyText"/>
        <w:spacing w:line="240" w:lineRule="auto" w:before="31"/>
        <w:ind w:left="575" w:right="0"/>
        <w:jc w:val="left"/>
      </w:pPr>
      <w:r>
        <w:rPr>
          <w:spacing w:val="-3"/>
        </w:rPr>
        <w:t>①该组成部分代表一项独立的主要业务或一个单独的主要经营地区；</w:t>
      </w:r>
    </w:p>
    <w:p>
      <w:pPr>
        <w:pStyle w:val="BodyText"/>
        <w:spacing w:line="240" w:lineRule="auto" w:before="76"/>
        <w:ind w:left="575" w:right="0"/>
        <w:jc w:val="left"/>
      </w:pPr>
      <w:r>
        <w:rPr>
          <w:spacing w:val="-3"/>
        </w:rPr>
        <w:t>②该组成部分是拟对一项独立的主要业务或一个单独的主要经营地区进行处置的一项相关联计划的一部分；</w:t>
      </w:r>
    </w:p>
    <w:p>
      <w:pPr>
        <w:pStyle w:val="BodyText"/>
        <w:spacing w:line="240" w:lineRule="auto" w:before="76"/>
        <w:ind w:left="575" w:right="0"/>
        <w:jc w:val="left"/>
      </w:pPr>
      <w:r>
        <w:rPr>
          <w:spacing w:val="-3"/>
        </w:rPr>
        <w:t>③该组成部分是专为转售而取得的子公司。</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left="233" w:right="1145"/>
        <w:jc w:val="left"/>
        <w:rPr>
          <w:b w:val="0"/>
          <w:bCs w:val="0"/>
        </w:rPr>
      </w:pPr>
      <w:bookmarkStart w:name="44、重要会计政策和会计估计变更" w:id="228"/>
      <w:bookmarkEnd w:id="228"/>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233" w:right="1145"/>
        <w:jc w:val="left"/>
        <w:rPr>
          <w:b w:val="0"/>
          <w:bCs w:val="0"/>
        </w:rPr>
      </w:pPr>
      <w:bookmarkStart w:name="（1）重要会计政策变更" w:id="229"/>
      <w:bookmarkEnd w:id="22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left="233" w:right="114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228" w:type="dxa"/>
        <w:tblLayout w:type="fixed"/>
        <w:tblCellMar>
          <w:top w:w="0" w:type="dxa"/>
          <w:left w:w="0" w:type="dxa"/>
          <w:bottom w:w="0" w:type="dxa"/>
          <w:right w:w="0" w:type="dxa"/>
        </w:tblCellMar>
        <w:tblLook w:val="01E0"/>
      </w:tblPr>
      <w:tblGrid>
        <w:gridCol w:w="5248"/>
        <w:gridCol w:w="2977"/>
        <w:gridCol w:w="1349"/>
      </w:tblGrid>
      <w:tr>
        <w:trPr>
          <w:trHeight w:val="403" w:hRule="exact"/>
        </w:trPr>
        <w:tc>
          <w:tcPr>
            <w:tcW w:w="5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6"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5" w:hRule="exact"/>
        </w:trPr>
        <w:tc>
          <w:tcPr>
            <w:tcW w:w="5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46"/>
              <w:jc w:val="both"/>
              <w:rPr>
                <w:rFonts w:ascii="宋体" w:hAnsi="宋体" w:cs="宋体" w:eastAsia="宋体" w:hint="default"/>
                <w:sz w:val="18"/>
                <w:szCs w:val="18"/>
              </w:rPr>
            </w:pPr>
            <w:r>
              <w:rPr>
                <w:rFonts w:ascii="宋体" w:hAnsi="宋体" w:cs="宋体" w:eastAsia="宋体" w:hint="default"/>
                <w:sz w:val="18"/>
                <w:szCs w:val="18"/>
              </w:rPr>
              <w:t>执行财政部于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年发布修订后的《企业会计准则第</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72"/>
                <w:sz w:val="18"/>
                <w:szCs w:val="18"/>
              </w:rPr>
              <w:t> </w:t>
            </w:r>
            <w:r>
              <w:rPr>
                <w:rFonts w:ascii="宋体" w:hAnsi="宋体" w:cs="宋体" w:eastAsia="宋体" w:hint="default"/>
                <w:spacing w:val="-13"/>
                <w:w w:val="101"/>
                <w:sz w:val="18"/>
                <w:szCs w:val="18"/>
              </w:rPr>
              <w:t>工具确认和计量》、《企业会计准则第</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14"/>
                <w:w w:val="101"/>
                <w:sz w:val="18"/>
                <w:szCs w:val="18"/>
              </w:rPr>
              <w:t>23-</w:t>
            </w:r>
            <w:r>
              <w:rPr>
                <w:rFonts w:ascii="宋体" w:hAnsi="宋体" w:cs="宋体" w:eastAsia="宋体" w:hint="default"/>
                <w:spacing w:val="-14"/>
                <w:w w:val="101"/>
                <w:sz w:val="18"/>
                <w:szCs w:val="18"/>
              </w:rPr>
              <w:t>金融资产转移》、《企业会</w:t>
            </w:r>
            <w:r>
              <w:rPr>
                <w:rFonts w:ascii="宋体" w:hAnsi="宋体" w:cs="宋体" w:eastAsia="宋体" w:hint="default"/>
                <w:w w:val="101"/>
                <w:sz w:val="18"/>
                <w:szCs w:val="18"/>
              </w:rPr>
              <w:t> </w:t>
            </w:r>
            <w:r>
              <w:rPr>
                <w:rFonts w:ascii="宋体" w:hAnsi="宋体" w:cs="宋体" w:eastAsia="宋体" w:hint="default"/>
                <w:sz w:val="18"/>
                <w:szCs w:val="18"/>
              </w:rPr>
              <w:t>计准则第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套期会计》及《企业会计准则第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报》准则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pacing w:val="-3"/>
                <w:sz w:val="18"/>
                <w:szCs w:val="18"/>
              </w:rPr>
              <w:t>经第四届董事会第九次会议审议通过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3" w:hRule="exact"/>
        </w:trPr>
        <w:tc>
          <w:tcPr>
            <w:tcW w:w="5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执行《关于修订印发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年度一般企业财务报表格式的通知》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2"/>
              <w:jc w:val="center"/>
              <w:rPr>
                <w:rFonts w:ascii="宋体" w:hAnsi="宋体" w:cs="宋体" w:eastAsia="宋体" w:hint="default"/>
                <w:sz w:val="18"/>
                <w:szCs w:val="18"/>
              </w:rPr>
            </w:pPr>
            <w:r>
              <w:rPr>
                <w:rFonts w:ascii="宋体" w:hAnsi="宋体" w:cs="宋体" w:eastAsia="宋体" w:hint="default"/>
                <w:spacing w:val="-3"/>
                <w:sz w:val="18"/>
                <w:szCs w:val="18"/>
              </w:rPr>
              <w:t>经第四届董事会第十次会议审议通过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详见以下说明</w:t>
            </w:r>
          </w:p>
        </w:tc>
      </w:tr>
    </w:tbl>
    <w:p>
      <w:pPr>
        <w:spacing w:line="240" w:lineRule="auto" w:before="13"/>
        <w:rPr>
          <w:rFonts w:ascii="宋体" w:hAnsi="宋体" w:cs="宋体" w:eastAsia="宋体" w:hint="default"/>
          <w:sz w:val="8"/>
          <w:szCs w:val="8"/>
        </w:rPr>
      </w:pPr>
    </w:p>
    <w:p>
      <w:pPr>
        <w:pStyle w:val="BodyText"/>
        <w:spacing w:line="240" w:lineRule="auto"/>
        <w:ind w:left="593" w:right="1145"/>
        <w:jc w:val="left"/>
      </w:pPr>
      <w:r>
        <w:rPr>
          <w:spacing w:val="-3"/>
        </w:rPr>
        <w:t>（</w:t>
      </w:r>
      <w:r>
        <w:rPr>
          <w:rFonts w:ascii="Times New Roman" w:hAnsi="Times New Roman" w:cs="Times New Roman" w:eastAsia="Times New Roman" w:hint="default"/>
          <w:spacing w:val="-3"/>
        </w:rPr>
        <w:t>1</w:t>
      </w:r>
      <w:r>
        <w:rPr>
          <w:spacing w:val="-3"/>
        </w:rPr>
        <w:t>）执行新金融工具准则对本集团影响</w:t>
      </w:r>
    </w:p>
    <w:p>
      <w:pPr>
        <w:spacing w:line="240" w:lineRule="auto" w:before="12"/>
        <w:rPr>
          <w:rFonts w:ascii="宋体" w:hAnsi="宋体" w:cs="宋体" w:eastAsia="宋体" w:hint="default"/>
          <w:sz w:val="16"/>
          <w:szCs w:val="16"/>
        </w:rPr>
      </w:pPr>
    </w:p>
    <w:p>
      <w:pPr>
        <w:pStyle w:val="BodyText"/>
        <w:spacing w:line="307" w:lineRule="auto" w:before="0"/>
        <w:ind w:left="233" w:right="1124" w:firstLine="360"/>
        <w:jc w:val="both"/>
      </w:pPr>
      <w:r>
        <w:rPr>
          <w:spacing w:val="-3"/>
        </w:rPr>
        <w:t>本公司自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日起执行财政部于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月修订发布的《企业会计准则第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金融工具确认和计量》、《企</w:t>
      </w:r>
      <w:r>
        <w:rPr>
          <w:w w:val="101"/>
        </w:rPr>
        <w:t> </w:t>
      </w:r>
      <w:r>
        <w:rPr>
          <w:spacing w:val="-2"/>
        </w:rPr>
        <w:t>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金融工具列报》，以下</w:t>
      </w:r>
      <w:r>
        <w:rPr>
          <w:spacing w:val="61"/>
        </w:rPr>
        <w:t> </w:t>
      </w:r>
      <w:r>
        <w:rPr>
          <w:spacing w:val="61"/>
        </w:rPr>
      </w:r>
      <w:r>
        <w:rPr>
          <w:spacing w:val="-4"/>
        </w:rPr>
        <w:t>简称新金融工具准则，准则规定在准则实施日，企业应当按照规定对金融工具进行分类和计量。本公司原在可供出售金融资</w:t>
      </w:r>
      <w:r>
        <w:rPr>
          <w:spacing w:val="43"/>
        </w:rPr>
        <w:t> </w:t>
      </w:r>
      <w:r>
        <w:rPr>
          <w:spacing w:val="43"/>
        </w:rPr>
      </w:r>
      <w:r>
        <w:rPr>
          <w:spacing w:val="-3"/>
        </w:rPr>
        <w:t>产中核算的项目根据资产性质重分类为其他权益工具投资。 </w:t>
      </w:r>
      <w:r>
        <w:rPr>
          <w:spacing w:val="11"/>
        </w:rPr>
        <w:t> </w:t>
      </w:r>
      <w:r>
        <w:rPr>
          <w:spacing w:val="-3"/>
        </w:rPr>
        <w:t>合并资产负债表调整如下：</w:t>
      </w:r>
    </w:p>
    <w:p>
      <w:pPr>
        <w:spacing w:line="240" w:lineRule="auto" w:before="4"/>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2809"/>
        <w:gridCol w:w="2348"/>
        <w:gridCol w:w="2353"/>
        <w:gridCol w:w="2348"/>
      </w:tblGrid>
      <w:tr>
        <w:trPr>
          <w:trHeight w:val="634" w:hRule="exact"/>
        </w:trPr>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68" w:right="0"/>
              <w:jc w:val="left"/>
              <w:rPr>
                <w:rFonts w:ascii="宋体" w:hAnsi="宋体" w:cs="宋体" w:eastAsia="宋体" w:hint="default"/>
                <w:sz w:val="18"/>
                <w:szCs w:val="18"/>
              </w:rPr>
            </w:pPr>
            <w:r>
              <w:rPr>
                <w:rFonts w:ascii="宋体" w:hAnsi="宋体" w:cs="宋体" w:eastAsia="宋体" w:hint="default"/>
                <w:spacing w:val="-3"/>
                <w:sz w:val="18"/>
                <w:szCs w:val="18"/>
              </w:rPr>
              <w:t>资产负债表项目</w:t>
            </w:r>
          </w:p>
        </w:tc>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75" w:hRule="exact"/>
        </w:trPr>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78,000,000.00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-78,000,000.00</w:t>
            </w:r>
          </w:p>
        </w:tc>
      </w:tr>
      <w:tr>
        <w:trPr>
          <w:trHeight w:val="480" w:hRule="exact"/>
        </w:trPr>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78,000,000.00</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78,000,000.00</w:t>
            </w:r>
          </w:p>
        </w:tc>
      </w:tr>
      <w:tr>
        <w:trPr>
          <w:trHeight w:val="480" w:hRule="exact"/>
        </w:trPr>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32,003,317.52</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31,093,490.99</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-909,826.53</w:t>
            </w:r>
          </w:p>
        </w:tc>
      </w:tr>
      <w:tr>
        <w:trPr>
          <w:trHeight w:val="475" w:hRule="exact"/>
        </w:trPr>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343,829,641.52</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344,646,824.15</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817,182.63</w:t>
            </w:r>
          </w:p>
        </w:tc>
      </w:tr>
      <w:tr>
        <w:trPr>
          <w:trHeight w:val="480" w:hRule="exact"/>
        </w:trPr>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pacing w:val="-3"/>
                <w:sz w:val="18"/>
                <w:szCs w:val="18"/>
              </w:rPr>
              <w:t>发放贷款与垫款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8,073,237.03</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8,165,880.93</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92,643.90</w:t>
            </w:r>
          </w:p>
        </w:tc>
      </w:tr>
      <w:tr>
        <w:trPr>
          <w:trHeight w:val="475" w:hRule="exact"/>
        </w:trPr>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564,420,930.02</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562,712,975.08</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-1,707,954.94</w:t>
            </w:r>
          </w:p>
        </w:tc>
      </w:tr>
      <w:tr>
        <w:trPr>
          <w:trHeight w:val="481" w:hRule="exact"/>
        </w:trPr>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90,000,000.00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90,221,307.90</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221,307.90</w:t>
            </w:r>
          </w:p>
        </w:tc>
      </w:tr>
      <w:tr>
        <w:trPr>
          <w:trHeight w:val="475" w:hRule="exact"/>
        </w:trPr>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420,000,000.00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420,898,333.33</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898,333.33</w:t>
            </w:r>
          </w:p>
        </w:tc>
      </w:tr>
      <w:tr>
        <w:trPr>
          <w:trHeight w:val="480" w:hRule="exact"/>
        </w:trPr>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279,650,000.00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280,238,313.71</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588,313.71</w:t>
            </w:r>
          </w:p>
        </w:tc>
      </w:tr>
    </w:tbl>
    <w:p>
      <w:pPr>
        <w:spacing w:line="240" w:lineRule="auto" w:before="13"/>
        <w:rPr>
          <w:rFonts w:ascii="宋体" w:hAnsi="宋体" w:cs="宋体" w:eastAsia="宋体" w:hint="default"/>
          <w:sz w:val="8"/>
          <w:szCs w:val="8"/>
        </w:rPr>
      </w:pPr>
    </w:p>
    <w:p>
      <w:pPr>
        <w:pStyle w:val="BodyText"/>
        <w:spacing w:line="240" w:lineRule="auto"/>
        <w:ind w:left="593" w:right="1145"/>
        <w:jc w:val="left"/>
      </w:pPr>
      <w:r>
        <w:rPr>
          <w:spacing w:val="-3"/>
        </w:rPr>
        <w:t>（</w:t>
      </w:r>
      <w:r>
        <w:rPr>
          <w:rFonts w:ascii="Times New Roman" w:hAnsi="Times New Roman" w:cs="Times New Roman" w:eastAsia="Times New Roman" w:hint="default"/>
          <w:spacing w:val="-3"/>
        </w:rPr>
        <w:t>2</w:t>
      </w:r>
      <w:r>
        <w:rPr>
          <w:spacing w:val="-3"/>
        </w:rPr>
        <w:t>）执行《关于修订印发 </w:t>
      </w:r>
      <w:r>
        <w:rPr>
          <w:rFonts w:ascii="Times New Roman" w:hAnsi="Times New Roman" w:cs="Times New Roman" w:eastAsia="Times New Roman" w:hint="default"/>
        </w:rPr>
        <w:t>2019  </w:t>
      </w:r>
      <w:r>
        <w:rPr>
          <w:rFonts w:ascii="Times New Roman" w:hAnsi="Times New Roman" w:cs="Times New Roman" w:eastAsia="Times New Roman" w:hint="default"/>
          <w:spacing w:val="29"/>
        </w:rPr>
        <w:t> </w:t>
      </w:r>
      <w:r>
        <w:rPr>
          <w:spacing w:val="-3"/>
        </w:rPr>
        <w:t>年度一般企业财务报表格式的通知》对本集团影响如下：</w:t>
      </w:r>
    </w:p>
    <w:p>
      <w:pPr>
        <w:spacing w:line="240" w:lineRule="auto" w:before="12"/>
        <w:rPr>
          <w:rFonts w:ascii="宋体" w:hAnsi="宋体" w:cs="宋体" w:eastAsia="宋体" w:hint="default"/>
          <w:sz w:val="16"/>
          <w:szCs w:val="16"/>
        </w:rPr>
      </w:pPr>
    </w:p>
    <w:p>
      <w:pPr>
        <w:pStyle w:val="BodyText"/>
        <w:spacing w:line="240" w:lineRule="auto" w:before="0"/>
        <w:ind w:left="593" w:right="1145"/>
        <w:jc w:val="left"/>
      </w:pPr>
      <w:r>
        <w:rPr>
          <w:rFonts w:ascii="Times New Roman" w:hAnsi="Times New Roman" w:cs="Times New Roman" w:eastAsia="Times New Roman" w:hint="default"/>
        </w:rPr>
        <w:t>1</w:t>
      </w:r>
      <w:r>
        <w:rPr/>
        <w:t>）对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日合并资产负债表影响：</w:t>
      </w:r>
    </w:p>
    <w:p>
      <w:pPr>
        <w:spacing w:line="240" w:lineRule="auto" w:before="1"/>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1462"/>
        <w:gridCol w:w="4043"/>
        <w:gridCol w:w="4394"/>
      </w:tblGrid>
      <w:tr>
        <w:trPr>
          <w:trHeight w:val="634" w:hRule="exact"/>
        </w:trPr>
        <w:tc>
          <w:tcPr>
            <w:tcW w:w="1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0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18"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4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10"/>
              <w:ind w:left="1724" w:right="814" w:hanging="91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影响</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年度金额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519" w:hRule="exact"/>
        </w:trPr>
        <w:tc>
          <w:tcPr>
            <w:tcW w:w="14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0"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56" w:right="0"/>
              <w:jc w:val="left"/>
              <w:rPr>
                <w:rFonts w:ascii="Times New Roman" w:hAnsi="Times New Roman" w:cs="Times New Roman" w:eastAsia="Times New Roman" w:hint="default"/>
                <w:sz w:val="18"/>
                <w:szCs w:val="18"/>
              </w:rPr>
            </w:pPr>
            <w:r>
              <w:rPr>
                <w:rFonts w:ascii="Times New Roman"/>
                <w:sz w:val="18"/>
              </w:rPr>
              <w:t>-343,829,641.52</w:t>
            </w:r>
          </w:p>
        </w:tc>
      </w:tr>
      <w:tr>
        <w:trPr>
          <w:trHeight w:val="523" w:hRule="exact"/>
        </w:trPr>
        <w:tc>
          <w:tcPr>
            <w:tcW w:w="1462" w:type="dxa"/>
            <w:vMerge/>
            <w:tcBorders>
              <w:left w:val="single" w:sz="4" w:space="0" w:color="000000"/>
              <w:bottom w:val="single" w:sz="4" w:space="0" w:color="000000"/>
              <w:right w:val="single" w:sz="4" w:space="0" w:color="000000"/>
            </w:tcBorders>
            <w:shd w:val="clear" w:color="auto" w:fill="D9D9D9"/>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6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43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00" w:right="0"/>
        </w:sectPr>
      </w:pPr>
    </w:p>
    <w:p>
      <w:pPr>
        <w:spacing w:line="240" w:lineRule="auto" w:before="11"/>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462"/>
        <w:gridCol w:w="4043"/>
        <w:gridCol w:w="4394"/>
      </w:tblGrid>
      <w:tr>
        <w:trPr>
          <w:trHeight w:val="523" w:hRule="exact"/>
        </w:trPr>
        <w:tc>
          <w:tcPr>
            <w:tcW w:w="146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56" w:right="0"/>
              <w:jc w:val="left"/>
              <w:rPr>
                <w:rFonts w:ascii="Times New Roman" w:hAnsi="Times New Roman" w:cs="Times New Roman" w:eastAsia="Times New Roman" w:hint="default"/>
                <w:sz w:val="18"/>
                <w:szCs w:val="18"/>
              </w:rPr>
            </w:pPr>
            <w:r>
              <w:rPr>
                <w:rFonts w:ascii="Times New Roman"/>
                <w:sz w:val="18"/>
              </w:rPr>
              <w:t>+343,829,641.52</w:t>
            </w:r>
          </w:p>
        </w:tc>
      </w:tr>
      <w:tr>
        <w:trPr>
          <w:trHeight w:val="518" w:hRule="exact"/>
        </w:trPr>
        <w:tc>
          <w:tcPr>
            <w:tcW w:w="14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0"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56" w:right="0"/>
              <w:jc w:val="left"/>
              <w:rPr>
                <w:rFonts w:ascii="Times New Roman" w:hAnsi="Times New Roman" w:cs="Times New Roman" w:eastAsia="Times New Roman" w:hint="default"/>
                <w:sz w:val="18"/>
                <w:szCs w:val="18"/>
              </w:rPr>
            </w:pPr>
            <w:r>
              <w:rPr>
                <w:rFonts w:ascii="Times New Roman"/>
                <w:sz w:val="18"/>
              </w:rPr>
              <w:t>-21,461,997.10</w:t>
            </w:r>
          </w:p>
        </w:tc>
      </w:tr>
      <w:tr>
        <w:trPr>
          <w:trHeight w:val="524" w:hRule="exact"/>
        </w:trPr>
        <w:tc>
          <w:tcPr>
            <w:tcW w:w="1462" w:type="dxa"/>
            <w:vMerge/>
            <w:tcBorders>
              <w:left w:val="single" w:sz="4" w:space="0" w:color="000000"/>
              <w:right w:val="single" w:sz="4" w:space="0" w:color="000000"/>
            </w:tcBorders>
            <w:shd w:val="clear" w:color="auto" w:fill="D9D9D9"/>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6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394"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462" w:type="dxa"/>
            <w:vMerge/>
            <w:tcBorders>
              <w:left w:val="single" w:sz="4" w:space="0" w:color="000000"/>
              <w:bottom w:val="single" w:sz="4" w:space="0" w:color="000000"/>
              <w:right w:val="single" w:sz="4" w:space="0" w:color="000000"/>
            </w:tcBorders>
            <w:shd w:val="clear" w:color="auto" w:fill="D9D9D9"/>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56" w:right="0"/>
              <w:jc w:val="left"/>
              <w:rPr>
                <w:rFonts w:ascii="Times New Roman" w:hAnsi="Times New Roman" w:cs="Times New Roman" w:eastAsia="Times New Roman" w:hint="default"/>
                <w:sz w:val="18"/>
                <w:szCs w:val="18"/>
              </w:rPr>
            </w:pPr>
            <w:r>
              <w:rPr>
                <w:rFonts w:ascii="Times New Roman"/>
                <w:sz w:val="18"/>
              </w:rPr>
              <w:t>+21,461,997.10</w:t>
            </w:r>
          </w:p>
        </w:tc>
      </w:tr>
    </w:tbl>
    <w:p>
      <w:pPr>
        <w:spacing w:line="240" w:lineRule="auto" w:before="13"/>
        <w:rPr>
          <w:rFonts w:ascii="宋体" w:hAnsi="宋体" w:cs="宋体" w:eastAsia="宋体" w:hint="default"/>
          <w:sz w:val="8"/>
          <w:szCs w:val="8"/>
        </w:rPr>
      </w:pPr>
    </w:p>
    <w:p>
      <w:pPr>
        <w:pStyle w:val="BodyText"/>
        <w:spacing w:line="240" w:lineRule="auto"/>
        <w:ind w:left="573" w:right="0"/>
        <w:jc w:val="left"/>
      </w:pPr>
      <w:r>
        <w:rPr>
          <w:rFonts w:ascii="Times New Roman" w:hAnsi="Times New Roman" w:cs="Times New Roman" w:eastAsia="Times New Roman" w:hint="default"/>
        </w:rPr>
        <w:t>2</w:t>
      </w:r>
      <w:r>
        <w:rPr/>
        <w:t>）对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日母公司资产负债表影响：</w:t>
      </w:r>
    </w:p>
    <w:p>
      <w:pPr>
        <w:spacing w:line="240" w:lineRule="auto" w:before="1"/>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1462"/>
        <w:gridCol w:w="4043"/>
        <w:gridCol w:w="4394"/>
      </w:tblGrid>
      <w:tr>
        <w:trPr>
          <w:trHeight w:val="634" w:hRule="exact"/>
        </w:trPr>
        <w:tc>
          <w:tcPr>
            <w:tcW w:w="1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0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18"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4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11"/>
              <w:ind w:left="1724" w:right="814" w:hanging="91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影响</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年度金额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523" w:hRule="exact"/>
        </w:trPr>
        <w:tc>
          <w:tcPr>
            <w:tcW w:w="14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0"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56" w:right="0"/>
              <w:jc w:val="left"/>
              <w:rPr>
                <w:rFonts w:ascii="Times New Roman" w:hAnsi="Times New Roman" w:cs="Times New Roman" w:eastAsia="Times New Roman" w:hint="default"/>
                <w:sz w:val="18"/>
                <w:szCs w:val="18"/>
              </w:rPr>
            </w:pPr>
            <w:r>
              <w:rPr>
                <w:rFonts w:ascii="Times New Roman"/>
                <w:sz w:val="18"/>
              </w:rPr>
              <w:t>-24,450.00</w:t>
            </w:r>
          </w:p>
        </w:tc>
      </w:tr>
      <w:tr>
        <w:trPr>
          <w:trHeight w:val="523" w:hRule="exact"/>
        </w:trPr>
        <w:tc>
          <w:tcPr>
            <w:tcW w:w="1462" w:type="dxa"/>
            <w:vMerge/>
            <w:tcBorders>
              <w:left w:val="single" w:sz="4" w:space="0" w:color="000000"/>
              <w:right w:val="single" w:sz="4" w:space="0" w:color="000000"/>
            </w:tcBorders>
            <w:shd w:val="clear" w:color="auto" w:fill="D9D9D9"/>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394" w:type="dxa"/>
            <w:tcBorders>
              <w:top w:val="single" w:sz="4" w:space="0" w:color="000000"/>
              <w:left w:val="single" w:sz="4" w:space="0" w:color="000000"/>
              <w:bottom w:val="single" w:sz="4" w:space="0" w:color="000000"/>
              <w:right w:val="single" w:sz="4" w:space="0" w:color="000000"/>
            </w:tcBorders>
          </w:tcPr>
          <w:p>
            <w:pPr/>
          </w:p>
        </w:tc>
      </w:tr>
      <w:tr>
        <w:trPr>
          <w:trHeight w:val="519" w:hRule="exact"/>
        </w:trPr>
        <w:tc>
          <w:tcPr>
            <w:tcW w:w="1462" w:type="dxa"/>
            <w:vMerge/>
            <w:tcBorders>
              <w:left w:val="single" w:sz="4" w:space="0" w:color="000000"/>
              <w:bottom w:val="single" w:sz="4" w:space="0" w:color="000000"/>
              <w:right w:val="single" w:sz="4" w:space="0" w:color="000000"/>
            </w:tcBorders>
            <w:shd w:val="clear" w:color="auto" w:fill="D9D9D9"/>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6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56" w:right="0"/>
              <w:jc w:val="left"/>
              <w:rPr>
                <w:rFonts w:ascii="Times New Roman" w:hAnsi="Times New Roman" w:cs="Times New Roman" w:eastAsia="Times New Roman" w:hint="default"/>
                <w:sz w:val="18"/>
                <w:szCs w:val="18"/>
              </w:rPr>
            </w:pPr>
            <w:r>
              <w:rPr>
                <w:rFonts w:ascii="Times New Roman"/>
                <w:sz w:val="18"/>
              </w:rPr>
              <w:t>+24,450.00</w:t>
            </w:r>
          </w:p>
        </w:tc>
      </w:tr>
    </w:tbl>
    <w:p>
      <w:pPr>
        <w:pStyle w:val="BodyText"/>
        <w:spacing w:line="240" w:lineRule="auto" w:before="53"/>
        <w:ind w:left="573" w:right="0"/>
        <w:jc w:val="left"/>
      </w:pPr>
      <w:r>
        <w:rPr>
          <w:rFonts w:ascii="Times New Roman" w:hAnsi="Times New Roman" w:cs="Times New Roman" w:eastAsia="Times New Roman" w:hint="default"/>
          <w:spacing w:val="3"/>
        </w:rPr>
        <w:t>3</w:t>
      </w:r>
      <w:r>
        <w:rPr>
          <w:spacing w:val="3"/>
        </w:rPr>
        <w:t>）利润表中</w:t>
      </w:r>
      <w:r>
        <w:rPr>
          <w:rFonts w:ascii="Times New Roman" w:hAnsi="Times New Roman" w:cs="Times New Roman" w:eastAsia="Times New Roman" w:hint="default"/>
          <w:spacing w:val="3"/>
        </w:rPr>
        <w:t>“</w:t>
      </w:r>
      <w:r>
        <w:rPr>
          <w:spacing w:val="3"/>
        </w:rPr>
        <w:t>资产减值损失</w:t>
      </w:r>
      <w:r>
        <w:rPr>
          <w:rFonts w:ascii="Times New Roman" w:hAnsi="Times New Roman" w:cs="Times New Roman" w:eastAsia="Times New Roman" w:hint="default"/>
          <w:spacing w:val="3"/>
        </w:rPr>
        <w:t>”</w:t>
      </w:r>
      <w:r>
        <w:rPr>
          <w:spacing w:val="3"/>
        </w:rPr>
        <w:t>会计科目调整为</w:t>
      </w:r>
      <w:r>
        <w:rPr>
          <w:rFonts w:ascii="Times New Roman" w:hAnsi="Times New Roman" w:cs="Times New Roman" w:eastAsia="Times New Roman" w:hint="default"/>
          <w:spacing w:val="3"/>
        </w:rPr>
        <w:t>“</w:t>
      </w:r>
      <w:r>
        <w:rPr>
          <w:spacing w:val="3"/>
        </w:rPr>
        <w:t>资产减值损失（损失以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号填列）</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2018</w:t>
      </w:r>
      <w:r>
        <w:rPr>
          <w:spacing w:val="3"/>
        </w:rPr>
        <w:t>年年度合并资产减值损失</w:t>
      </w:r>
    </w:p>
    <w:p>
      <w:pPr>
        <w:pStyle w:val="BodyText"/>
        <w:spacing w:line="240" w:lineRule="auto" w:before="67"/>
        <w:ind w:left="213" w:right="0"/>
        <w:jc w:val="left"/>
      </w:pPr>
      <w:r>
        <w:rPr>
          <w:rFonts w:ascii="Times New Roman" w:hAnsi="Times New Roman" w:cs="Times New Roman" w:eastAsia="Times New Roman" w:hint="default"/>
        </w:rPr>
        <w:t>1,248,189.62</w:t>
      </w:r>
      <w:r>
        <w:rPr/>
        <w:t>元，调整为</w:t>
      </w:r>
      <w:r>
        <w:rPr>
          <w:rFonts w:ascii="Times New Roman" w:hAnsi="Times New Roman" w:cs="Times New Roman" w:eastAsia="Times New Roman" w:hint="default"/>
        </w:rPr>
        <w:t>-1,248,189.62</w:t>
      </w:r>
      <w:r>
        <w:rPr/>
        <w:t>元，母公司资产减值损失</w:t>
      </w:r>
      <w:r>
        <w:rPr>
          <w:rFonts w:ascii="Times New Roman" w:hAnsi="Times New Roman" w:cs="Times New Roman" w:eastAsia="Times New Roman" w:hint="default"/>
        </w:rPr>
        <w:t>1,044,342.60</w:t>
      </w:r>
      <w:r>
        <w:rPr/>
        <w:t>元，调整为</w:t>
      </w:r>
      <w:r>
        <w:rPr>
          <w:rFonts w:ascii="Times New Roman" w:hAnsi="Times New Roman" w:cs="Times New Roman" w:eastAsia="Times New Roman" w:hint="default"/>
        </w:rPr>
        <w:t>-1,044,342.60</w:t>
      </w:r>
      <w:r>
        <w:rPr/>
        <w:t>元。</w:t>
      </w:r>
    </w:p>
    <w:p>
      <w:pPr>
        <w:spacing w:line="240" w:lineRule="auto" w:before="3"/>
        <w:rPr>
          <w:rFonts w:ascii="宋体" w:hAnsi="宋体" w:cs="宋体" w:eastAsia="宋体" w:hint="default"/>
          <w:sz w:val="25"/>
          <w:szCs w:val="25"/>
        </w:rPr>
      </w:pPr>
    </w:p>
    <w:p>
      <w:pPr>
        <w:pStyle w:val="Heading3"/>
        <w:spacing w:line="240" w:lineRule="auto"/>
        <w:ind w:left="213" w:right="0"/>
        <w:jc w:val="left"/>
        <w:rPr>
          <w:b w:val="0"/>
          <w:bCs w:val="0"/>
        </w:rPr>
      </w:pPr>
      <w:bookmarkStart w:name="（2）重要会计估计变更" w:id="230"/>
      <w:bookmarkEnd w:id="23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left="21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left="213" w:right="0"/>
        <w:jc w:val="left"/>
        <w:rPr>
          <w:b w:val="0"/>
          <w:bCs w:val="0"/>
        </w:rPr>
      </w:pPr>
      <w:bookmarkStart w:name="（3）2019年起执行新金融工具准则、新收入准则或新租赁准则调整执行当年年初财务" w:id="231"/>
      <w:bookmarkEnd w:id="231"/>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20" w:right="0"/>
        </w:sectPr>
      </w:pPr>
    </w:p>
    <w:p>
      <w:pPr>
        <w:pStyle w:val="BodyText"/>
        <w:spacing w:line="343" w:lineRule="auto"/>
        <w:ind w:left="21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213" w:right="0"/>
        <w:jc w:val="left"/>
      </w:pPr>
      <w:r>
        <w:rPr/>
        <w:t>单位：元</w:t>
      </w:r>
    </w:p>
    <w:p>
      <w:pPr>
        <w:spacing w:after="0" w:line="240" w:lineRule="auto"/>
        <w:jc w:val="left"/>
        <w:sectPr>
          <w:type w:val="continuous"/>
          <w:pgSz w:w="11910" w:h="16840"/>
          <w:pgMar w:top="1060" w:bottom="1160" w:left="920" w:right="0"/>
          <w:cols w:num="2" w:equalWidth="0">
            <w:col w:w="1597" w:space="7325"/>
            <w:col w:w="2068"/>
          </w:cols>
        </w:sectPr>
      </w:pPr>
    </w:p>
    <w:p>
      <w:pPr>
        <w:spacing w:line="240" w:lineRule="auto" w:before="8"/>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631,564,027.25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631,564,027.25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343,829,641.52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344,646,824.15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13" w:right="0"/>
              <w:jc w:val="left"/>
              <w:rPr>
                <w:rFonts w:ascii="Times New Roman" w:hAnsi="Times New Roman" w:cs="Times New Roman" w:eastAsia="Times New Roman" w:hint="default"/>
                <w:sz w:val="18"/>
                <w:szCs w:val="18"/>
              </w:rPr>
            </w:pPr>
            <w:r>
              <w:rPr>
                <w:rFonts w:ascii="Times New Roman"/>
                <w:sz w:val="18"/>
              </w:rPr>
              <w:t>817,182.63</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3,577,720.23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3,577,720.23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32,003,317.52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31,093,490.99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-909,826.53</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909,826.53</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-909,826.53</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16,185.15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16,185.15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63,394,685.76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63,394,685.76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2,537,379,692.82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2,537,379,692.82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3,611,765,270.25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3,611,672,626.35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8,073,237.03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8,165,880.93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92,643.90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78,000,000.00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-78,000,000.00</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32,449,065.47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32,449,065.47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78,000,000.00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78,000,000.00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5,923,984.80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5,923,984.80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38,331,855.25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38,331,855.25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998,642,311.55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998,642,311.55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1"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2,403,907.07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2,403,907.07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154,191.08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154,191.08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239,990,332.08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239,990,332.08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1,403,968,884.33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1,404,061,528.23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5,015,734,154.58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5,015,734,154.58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90,221,307.90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221,307.90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21,461,997.10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21,461,997.10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778,764.34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778,764.34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11,384,393.96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11,384,393.96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11,384,393.96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18,229,973.00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18,229,973.00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564,420,930.02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562,712,975.08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-1,707,954.94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1,867,454.94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159,500.00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-1,707,954.94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279,650,000.00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280,238,313.71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588,313.71</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2,601,585,025.87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2,601,585,025.87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3,587,511,084.29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3,586,612,750.96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6"/>
          <w:pgSz w:w="11910" w:h="16840"/>
          <w:pgMar w:footer="979" w:header="741"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420,898,333.33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13" w:right="0"/>
              <w:jc w:val="left"/>
              <w:rPr>
                <w:rFonts w:ascii="Times New Roman" w:hAnsi="Times New Roman" w:cs="Times New Roman" w:eastAsia="Times New Roman" w:hint="default"/>
                <w:sz w:val="18"/>
                <w:szCs w:val="18"/>
              </w:rPr>
            </w:pPr>
            <w:r>
              <w:rPr>
                <w:rFonts w:ascii="Times New Roman"/>
                <w:sz w:val="18"/>
              </w:rPr>
              <w:t>898,333.33</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5,029,561.66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5,029,561.66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425,029,561.66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425,927,894.99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4,012,540,645.95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4,012,540,645.95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559,936,650.00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559,936,650.00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191,142,018.58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191,142,018.58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-9,132.84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-9,132.84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43,544,814.66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43,544,814.66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3,773.16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3,773.16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174,119,931.13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174,119,931.13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8"/>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968,738,054.69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968,738,054.69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34,455,453.94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34,455,453.94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1,003,193,508.63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1,003,193,508.63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5,015,734,154.58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5,015,734,154.58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调整情况说明</w:t>
      </w:r>
    </w:p>
    <w:p>
      <w:pPr>
        <w:pStyle w:val="BodyText"/>
        <w:spacing w:line="300" w:lineRule="auto" w:before="110"/>
        <w:ind w:right="0" w:firstLine="36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月，财政部发布了《关于印发修订〈企业会计准则第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金融工具确认和计量〉的通知》、《关于印发修</w:t>
      </w:r>
      <w:r>
        <w:rPr>
          <w:w w:val="101"/>
        </w:rPr>
        <w:t> </w:t>
      </w:r>
      <w:r>
        <w:rPr>
          <w:spacing w:val="-3"/>
        </w:rPr>
        <w:t>订〈企业会计准则第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金融资产转移〉的通知》、《关于印发修订〈企业会计准则第</w:t>
      </w:r>
      <w:r>
        <w:rPr>
          <w:rFonts w:ascii="Times New Roman" w:hAnsi="Times New Roman" w:cs="Times New Roman" w:eastAsia="Times New Roman" w:hint="default"/>
          <w:spacing w:val="-3"/>
        </w:rPr>
        <w:t>24</w:t>
      </w:r>
      <w:r>
        <w:rPr>
          <w:spacing w:val="-3"/>
        </w:rPr>
        <w:t>号</w:t>
      </w:r>
      <w:r>
        <w:rPr>
          <w:rFonts w:ascii="Times New Roman" w:hAnsi="Times New Roman" w:cs="Times New Roman" w:eastAsia="Times New Roman" w:hint="default"/>
          <w:spacing w:val="-3"/>
        </w:rPr>
        <w:t>——</w:t>
      </w:r>
      <w:r>
        <w:rPr>
          <w:spacing w:val="-3"/>
        </w:rPr>
        <w:t>套期会计〉的通知》；</w:t>
      </w:r>
      <w:r>
        <w:rPr>
          <w:spacing w:val="72"/>
        </w:rPr>
        <w:t> </w:t>
      </w:r>
      <w:r>
        <w:rPr>
          <w:spacing w:val="72"/>
        </w:rPr>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w:t>
      </w:r>
      <w:r>
        <w:rPr>
          <w:spacing w:val="-3"/>
        </w:rPr>
        <w:t>日，财政部发布了《关于印发修订〈企业会计准则第</w:t>
      </w:r>
      <w:r>
        <w:rPr>
          <w:rFonts w:ascii="Times New Roman" w:hAnsi="Times New Roman" w:cs="Times New Roman" w:eastAsia="Times New Roman" w:hint="default"/>
          <w:spacing w:val="-3"/>
        </w:rPr>
        <w:t>37</w:t>
      </w:r>
      <w:r>
        <w:rPr>
          <w:spacing w:val="-3"/>
        </w:rPr>
        <w:t>号</w:t>
      </w:r>
      <w:r>
        <w:rPr>
          <w:rFonts w:ascii="Times New Roman" w:hAnsi="Times New Roman" w:cs="Times New Roman" w:eastAsia="Times New Roman" w:hint="default"/>
          <w:spacing w:val="-3"/>
        </w:rPr>
        <w:t>——</w:t>
      </w:r>
      <w:r>
        <w:rPr>
          <w:spacing w:val="-3"/>
        </w:rPr>
        <w:t>金融工具列报〉的通知》，并要求</w:t>
      </w:r>
      <w:r>
        <w:rPr>
          <w:rFonts w:ascii="Times New Roman" w:hAnsi="Times New Roman" w:cs="Times New Roman" w:eastAsia="Times New Roman" w:hint="default"/>
          <w:spacing w:val="-3"/>
        </w:rPr>
        <w:t>A</w:t>
      </w:r>
      <w:r>
        <w:rPr>
          <w:spacing w:val="-3"/>
        </w:rPr>
        <w:t>股上市企业自</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ind w:right="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日起施行。准则规定，在准则实施日，企业应当按照规定对金融工具进行分类和计量，涉及前期比较财务报表数</w:t>
      </w:r>
      <w:r>
        <w:rPr>
          <w:spacing w:val="52"/>
        </w:rPr>
        <w:t> </w:t>
      </w:r>
      <w:r>
        <w:rPr>
          <w:spacing w:val="52"/>
        </w:rPr>
      </w:r>
      <w:r>
        <w:rPr>
          <w:spacing w:val="-3"/>
        </w:rPr>
        <w:t>据与本准则要求不一致的，无需进行追溯调整。</w:t>
      </w:r>
    </w:p>
    <w:p>
      <w:pPr>
        <w:pStyle w:val="BodyText"/>
        <w:spacing w:line="240" w:lineRule="auto" w:before="74"/>
        <w:ind w:right="0"/>
        <w:jc w:val="left"/>
      </w:pPr>
      <w:r>
        <w:rPr/>
        <w:t>母公司资产负债表</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8,084,534.08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8,084,534.08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1,835,967.48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1,835,967.48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943,780,892.53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943,780,892.53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329,660.92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329,660.92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954,031,055.01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954,031,055.01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5,051,695,990.00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5,051,695,990.00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253,826.72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253,826.72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512,955.26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512,955.26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5,052,462,771.98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5,052,462,771.98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6,006,493,826.99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6,006,493,826.99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24,450.00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390,118.41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390,118.41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97,438.19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97,438.19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4,436,328,437.05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4,436,328,437.05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1,421,343.83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1,421,343.83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79,650,000.00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79,650,000.00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4,606,490,443.65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4,606,490,443.65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0"/>
        <w:gridCol w:w="2471"/>
        <w:gridCol w:w="2454"/>
        <w:gridCol w:w="2453"/>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5,026,490,443.65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5,026,490,443.65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559,936,650.00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559,936,650.00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309,684,562.96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309,684,562.96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43,544,814.66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43,544,814.66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66,837,355.72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66,837,355.72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980,003,383.34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66,837,355.72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6,006,493,826.99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6,006,493,826.99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调整情况说明</w:t>
      </w:r>
    </w:p>
    <w:p>
      <w:pPr>
        <w:pStyle w:val="BodyText"/>
        <w:spacing w:line="300" w:lineRule="auto" w:before="115"/>
        <w:ind w:right="0" w:firstLine="36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月，财政部发布了《关于印发修订〈企业会计准则第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金融工具确认和计量〉的通知》、《关于印发修</w:t>
      </w:r>
      <w:r>
        <w:rPr>
          <w:w w:val="101"/>
        </w:rPr>
        <w:t> </w:t>
      </w:r>
      <w:r>
        <w:rPr>
          <w:spacing w:val="-3"/>
        </w:rPr>
        <w:t>订〈企业会计准则第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金融资产转移〉的通知》、《关于印发修订〈企业会计准则第</w:t>
      </w:r>
      <w:r>
        <w:rPr>
          <w:rFonts w:ascii="Times New Roman" w:hAnsi="Times New Roman" w:cs="Times New Roman" w:eastAsia="Times New Roman" w:hint="default"/>
          <w:spacing w:val="-3"/>
        </w:rPr>
        <w:t>24</w:t>
      </w:r>
      <w:r>
        <w:rPr>
          <w:spacing w:val="-3"/>
        </w:rPr>
        <w:t>号</w:t>
      </w:r>
      <w:r>
        <w:rPr>
          <w:rFonts w:ascii="Times New Roman" w:hAnsi="Times New Roman" w:cs="Times New Roman" w:eastAsia="Times New Roman" w:hint="default"/>
          <w:spacing w:val="-3"/>
        </w:rPr>
        <w:t>——</w:t>
      </w:r>
      <w:r>
        <w:rPr>
          <w:spacing w:val="-3"/>
        </w:rPr>
        <w:t>套期会计〉的通知》；</w:t>
      </w:r>
      <w:r>
        <w:rPr>
          <w:spacing w:val="73"/>
        </w:rPr>
        <w:t> </w:t>
      </w:r>
      <w:r>
        <w:rPr>
          <w:spacing w:val="73"/>
        </w:rPr>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w:t>
      </w:r>
      <w:r>
        <w:rPr>
          <w:spacing w:val="-3"/>
        </w:rPr>
        <w:t>日，财政部发布了《关于印发修订〈企业会计准则第</w:t>
      </w:r>
      <w:r>
        <w:rPr>
          <w:rFonts w:ascii="Times New Roman" w:hAnsi="Times New Roman" w:cs="Times New Roman" w:eastAsia="Times New Roman" w:hint="default"/>
          <w:spacing w:val="-3"/>
        </w:rPr>
        <w:t>37</w:t>
      </w:r>
      <w:r>
        <w:rPr>
          <w:spacing w:val="-3"/>
        </w:rPr>
        <w:t>号</w:t>
      </w:r>
      <w:r>
        <w:rPr>
          <w:rFonts w:ascii="Times New Roman" w:hAnsi="Times New Roman" w:cs="Times New Roman" w:eastAsia="Times New Roman" w:hint="default"/>
          <w:spacing w:val="-3"/>
        </w:rPr>
        <w:t>——</w:t>
      </w:r>
      <w:r>
        <w:rPr>
          <w:spacing w:val="-3"/>
        </w:rPr>
        <w:t>金融工具列报〉的通知》，并要求</w:t>
      </w:r>
      <w:r>
        <w:rPr>
          <w:rFonts w:ascii="Times New Roman" w:hAnsi="Times New Roman" w:cs="Times New Roman" w:eastAsia="Times New Roman" w:hint="default"/>
          <w:spacing w:val="-3"/>
        </w:rPr>
        <w:t>A</w:t>
      </w:r>
      <w:r>
        <w:rPr>
          <w:spacing w:val="-3"/>
        </w:rPr>
        <w:t>股上市企业自</w:t>
      </w:r>
    </w:p>
    <w:p>
      <w:pPr>
        <w:pStyle w:val="BodyText"/>
        <w:spacing w:line="300" w:lineRule="auto" w:before="13"/>
        <w:ind w:right="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日起施行。准则规定，在准则实施日，企业应当按照规定对金融工具进行分类和计量，涉及前期比较财务报表数</w:t>
      </w:r>
      <w:r>
        <w:rPr>
          <w:spacing w:val="52"/>
        </w:rPr>
        <w:t> </w:t>
      </w:r>
      <w:r>
        <w:rPr>
          <w:spacing w:val="52"/>
        </w:rPr>
      </w:r>
      <w:r>
        <w:rPr>
          <w:spacing w:val="-3"/>
        </w:rPr>
        <w:t>据与本准则要求不一致的，无需进行追溯调整。</w:t>
      </w:r>
    </w:p>
    <w:p>
      <w:pPr>
        <w:spacing w:after="0" w:line="30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4）2019年起执行新金融工具准则或新租赁准则追溯调整前期比较数据说明" w:id="232"/>
      <w:bookmarkEnd w:id="232"/>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年起执行新金融工具准则或新租赁准则追溯调整前期比较数据说明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spacing w:line="487" w:lineRule="auto" w:before="0"/>
        <w:ind w:left="153" w:right="8964" w:firstLine="0"/>
        <w:jc w:val="left"/>
        <w:rPr>
          <w:rFonts w:ascii="宋体" w:hAnsi="宋体" w:cs="宋体" w:eastAsia="宋体" w:hint="default"/>
          <w:sz w:val="21"/>
          <w:szCs w:val="21"/>
        </w:rPr>
      </w:pPr>
      <w:bookmarkStart w:name="45、其他" w:id="233"/>
      <w:bookmarkEnd w:id="233"/>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六、税项" w:id="234"/>
      <w:bookmarkEnd w:id="234"/>
      <w:r>
        <w:rPr>
          <w:rFonts w:ascii="宋体" w:hAnsi="宋体" w:cs="宋体" w:eastAsia="宋体" w:hint="default"/>
          <w:b/>
          <w:bCs/>
          <w:spacing w:val="-104"/>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5"/>
      <w:bookmarkEnd w:id="23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3"/>
        <w:ind w:right="0"/>
        <w:jc w:val="left"/>
      </w:pPr>
      <w:r>
        <w:rPr>
          <w:spacing w:val="-3"/>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税收优惠" w:id="236"/>
      <w:bookmarkEnd w:id="23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0"/>
        <w:jc w:val="left"/>
      </w:pPr>
      <w:r>
        <w:rPr>
          <w:spacing w:val="-3"/>
        </w:rPr>
        <w:t>本公司之子公司广州合利宝支付科技有限公司被认定为高新技术企业</w:t>
      </w:r>
      <w:r>
        <w:rPr>
          <w:rFonts w:ascii="Times New Roman" w:hAnsi="Times New Roman" w:cs="Times New Roman" w:eastAsia="Times New Roman" w:hint="default"/>
          <w:spacing w:val="-3"/>
        </w:rPr>
        <w:t>(</w:t>
      </w:r>
      <w:r>
        <w:rPr>
          <w:spacing w:val="-3"/>
        </w:rPr>
        <w:t>证书编号： </w:t>
      </w:r>
      <w:r>
        <w:rPr>
          <w:rFonts w:ascii="Times New Roman" w:hAnsi="Times New Roman" w:cs="Times New Roman" w:eastAsia="Times New Roman" w:hint="default"/>
        </w:rPr>
        <w:t>GR201744001270)</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spacing w:val="-76"/>
        </w:rPr>
        <w:t> </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日期间享受国家高新技术企业</w:t>
      </w:r>
      <w:r>
        <w:rPr>
          <w:rFonts w:ascii="Times New Roman" w:hAnsi="Times New Roman" w:cs="Times New Roman" w:eastAsia="Times New Roman" w:hint="default"/>
          <w:spacing w:val="-3"/>
        </w:rPr>
        <w:t>15%</w:t>
      </w:r>
      <w:r>
        <w:rPr>
          <w:spacing w:val="-3"/>
        </w:rPr>
        <w:t>的企业所得税税率。</w:t>
      </w:r>
    </w:p>
    <w:p>
      <w:pPr>
        <w:spacing w:line="240" w:lineRule="auto" w:before="2"/>
        <w:rPr>
          <w:rFonts w:ascii="宋体" w:hAnsi="宋体" w:cs="宋体" w:eastAsia="宋体" w:hint="default"/>
          <w:sz w:val="22"/>
          <w:szCs w:val="22"/>
        </w:rPr>
      </w:pPr>
    </w:p>
    <w:p>
      <w:pPr>
        <w:spacing w:line="484" w:lineRule="auto" w:before="0"/>
        <w:ind w:left="153" w:right="7859" w:firstLine="0"/>
        <w:jc w:val="left"/>
        <w:rPr>
          <w:rFonts w:ascii="宋体" w:hAnsi="宋体" w:cs="宋体" w:eastAsia="宋体" w:hint="default"/>
          <w:sz w:val="21"/>
          <w:szCs w:val="21"/>
        </w:rPr>
      </w:pPr>
      <w:bookmarkStart w:name="3、其他" w:id="237"/>
      <w:bookmarkEnd w:id="2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8"/>
      <w:bookmarkEnd w:id="238"/>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9"/>
      <w:bookmarkEnd w:id="23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17"/>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89,105,876.87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493,423,800.43</w:t>
            </w:r>
          </w:p>
        </w:tc>
      </w:tr>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1,341,209,846.92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138,133,526.82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1,430,315,992.53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631,564,027.25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501,757.05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180,787.29</w:t>
            </w:r>
          </w:p>
        </w:tc>
      </w:tr>
      <w:tr>
        <w:trPr>
          <w:trHeight w:val="716"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80" w:firstLine="720"/>
              <w:jc w:val="left"/>
              <w:rPr>
                <w:rFonts w:ascii="宋体" w:hAnsi="宋体" w:cs="宋体" w:eastAsia="宋体" w:hint="default"/>
                <w:sz w:val="18"/>
                <w:szCs w:val="18"/>
              </w:rPr>
            </w:pPr>
            <w:r>
              <w:rPr>
                <w:rFonts w:ascii="宋体" w:hAnsi="宋体" w:cs="宋体" w:eastAsia="宋体" w:hint="default"/>
                <w:spacing w:val="-3"/>
                <w:sz w:val="18"/>
                <w:szCs w:val="18"/>
              </w:rPr>
              <w:t>因抵押、质押或冻结等对使用</w:t>
            </w:r>
            <w:r>
              <w:rPr>
                <w:rFonts w:ascii="宋体" w:hAnsi="宋体" w:cs="宋体" w:eastAsia="宋体" w:hint="default"/>
                <w:w w:val="101"/>
                <w:sz w:val="18"/>
                <w:szCs w:val="18"/>
              </w:rPr>
              <w:t> </w:t>
            </w:r>
            <w:r>
              <w:rPr>
                <w:rFonts w:ascii="宋体" w:hAnsi="宋体" w:cs="宋体" w:eastAsia="宋体" w:hint="default"/>
                <w:sz w:val="18"/>
                <w:szCs w:val="18"/>
              </w:rPr>
              <w:t>有限制的款项总额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1,341,209,846.92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138,133,526.82</w:t>
            </w:r>
          </w:p>
        </w:tc>
      </w:tr>
    </w:tbl>
    <w:p>
      <w:pPr>
        <w:pStyle w:val="BodyText"/>
        <w:spacing w:line="352" w:lineRule="auto" w:before="53"/>
        <w:ind w:right="2443"/>
        <w:jc w:val="left"/>
      </w:pPr>
      <w:r>
        <w:rPr/>
        <w:t>其他说明</w:t>
      </w:r>
      <w:r>
        <w:rPr>
          <w:spacing w:val="-86"/>
        </w:rPr>
        <w:t> </w:t>
      </w:r>
      <w:r>
        <w:rPr>
          <w:spacing w:val="-86"/>
        </w:rPr>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日，受限资金为</w:t>
      </w:r>
      <w:r>
        <w:rPr>
          <w:rFonts w:ascii="Times New Roman" w:hAnsi="Times New Roman" w:cs="Times New Roman" w:eastAsia="Times New Roman" w:hint="default"/>
          <w:spacing w:val="-2"/>
        </w:rPr>
        <w:t>1,341,209,846.92</w:t>
      </w:r>
      <w:r>
        <w:rPr>
          <w:spacing w:val="-2"/>
        </w:rPr>
        <w:t>元，主要是客户备付金、保证金及风险准备金。</w:t>
      </w:r>
    </w:p>
    <w:p>
      <w:pPr>
        <w:spacing w:after="0" w:line="352"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交易性金融资产" w:id="240"/>
      <w:bookmarkEnd w:id="240"/>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41"/>
      <w:bookmarkEnd w:id="24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应收票据" w:id="242"/>
      <w:bookmarkEnd w:id="242"/>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43"/>
      <w:bookmarkEnd w:id="24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403"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left"/>
      </w:pPr>
      <w:r>
        <w:rPr/>
        <w:t>按单项计提坏账准备：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4"/>
        <w:ind w:right="0"/>
        <w:jc w:val="left"/>
      </w:pPr>
      <w:r>
        <w:rPr/>
        <w:t>按组合计提坏账准备：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4"/>
        <w:ind w:right="0"/>
        <w:jc w:val="left"/>
      </w:pPr>
      <w:r>
        <w:rPr>
          <w:spacing w:val="-3"/>
        </w:rPr>
        <w:t>确定该组合依据的说明：</w:t>
      </w:r>
      <w:r>
        <w:rPr>
          <w:spacing w:val="-56"/>
        </w:rPr>
        <w:t> </w:t>
      </w:r>
      <w:r>
        <w:rPr>
          <w:spacing w:val="-56"/>
        </w:rPr>
      </w:r>
      <w:r>
        <w:rPr>
          <w:spacing w:val="-3"/>
        </w:rPr>
        <w:t>如是按照预期信用损失一般模型计提应收票据坏账准备，请参照其他应收款的披露方式披露坏账准备的相关信息：</w:t>
      </w:r>
    </w:p>
    <w:p>
      <w:pPr>
        <w:pStyle w:val="BodyText"/>
        <w:spacing w:line="240" w:lineRule="auto" w:before="23"/>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本期计提、收回或转回的坏账准备情况" w:id="244"/>
      <w:bookmarkEnd w:id="2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期末公司已质押的应收票据" w:id="245"/>
      <w:bookmarkEnd w:id="245"/>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期末公司已背书或贴现且在资产负债表日尚未到期的应收票据" w:id="246"/>
      <w:bookmarkEnd w:id="246"/>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期末公司因出票人未履约而将其转应收账款的票据" w:id="247"/>
      <w:bookmarkEnd w:id="247"/>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6）本期实际核销的应收票据情况" w:id="248"/>
      <w:bookmarkEnd w:id="248"/>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3"/>
        <w:ind w:right="0"/>
        <w:jc w:val="left"/>
      </w:pPr>
      <w:r>
        <w:rPr>
          <w:spacing w:val="-3"/>
        </w:rPr>
        <w:t>其中重要的应收票据核销情况：</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pStyle w:val="BodyText"/>
        <w:spacing w:line="240" w:lineRule="auto" w:before="53"/>
        <w:ind w:right="0"/>
        <w:jc w:val="left"/>
      </w:pPr>
      <w:r>
        <w:rPr>
          <w:spacing w:val="-3"/>
        </w:rPr>
        <w:t>应收票据核销说明：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5、应收账款" w:id="249"/>
      <w:bookmarkEnd w:id="24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50"/>
      <w:bookmarkEnd w:id="25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37" w:type="dxa"/>
            <w:vMerge/>
            <w:tcBorders>
              <w:left w:val="single" w:sz="4" w:space="0" w:color="000000"/>
              <w:bottom w:val="nil" w:sz="6" w:space="0" w:color="auto"/>
              <w:right w:val="single" w:sz="4" w:space="0" w:color="000000"/>
            </w:tcBorders>
            <w:shd w:val="clear" w:color="auto" w:fill="D2D2D2"/>
          </w:tcPr>
          <w:p>
            <w:pP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37" w:type="dxa"/>
            <w:vMerge/>
            <w:tcBorders>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7" w:type="dxa"/>
            <w:vMerge w:val="restart"/>
            <w:tcBorders>
              <w:top w:val="single" w:sz="4" w:space="0" w:color="FFFFFF"/>
              <w:left w:val="single" w:sz="4" w:space="0" w:color="000000"/>
              <w:right w:val="single" w:sz="4" w:space="0" w:color="000000"/>
            </w:tcBorders>
            <w:shd w:val="clear" w:color="auto" w:fill="D2D2D2"/>
          </w:tcPr>
          <w:p>
            <w:pP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7"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407,390,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618.34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7,876,98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6.02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399,513,6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32.32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345,290,5</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96.12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643,771.9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344,646,82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4.15</w:t>
            </w:r>
          </w:p>
        </w:tc>
      </w:tr>
      <w:tr>
        <w:trPr>
          <w:trHeight w:val="399"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50,390,6</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18.34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12.37%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1,096,98</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6.02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49,293,63</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2.32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42,300,56</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6.27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643,771.9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41,656,794.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30</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保理业务组合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357,000,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87.63%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6,780,00</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350,220,0</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302,990,0</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29.85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302,990,02</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9.85</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407,390,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618.34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7,876,98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6.02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399,513,6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32.32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345,290,5</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96.12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643,771.9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344,646,82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4.15</w:t>
            </w:r>
          </w:p>
        </w:tc>
      </w:tr>
    </w:tbl>
    <w:p>
      <w:pPr>
        <w:pStyle w:val="BodyText"/>
        <w:spacing w:line="240" w:lineRule="auto" w:before="53"/>
        <w:ind w:right="0"/>
        <w:jc w:val="left"/>
      </w:pPr>
      <w:r>
        <w:rPr/>
        <w:t>按单项计提坏账准备：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3"/>
        <w:ind w:right="0"/>
        <w:jc w:val="left"/>
      </w:pPr>
      <w:r>
        <w:rPr>
          <w:spacing w:val="-3"/>
        </w:rPr>
        <w:t>按组合计提坏账准备：账龄组合</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46,616,758.28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699,251.39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8,737.73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3,661,275.00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366,127.50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103,574.77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31,072.43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272.56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50,390,618.34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1,096,986.02</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362" w:lineRule="auto" w:before="53"/>
        <w:ind w:right="0"/>
        <w:jc w:val="left"/>
      </w:pPr>
      <w:r>
        <w:rPr>
          <w:spacing w:val="-3"/>
        </w:rPr>
        <w:t>确定该组合依据的说明：</w:t>
      </w:r>
      <w:r>
        <w:rPr>
          <w:spacing w:val="-56"/>
        </w:rPr>
        <w:t> </w:t>
      </w:r>
      <w:r>
        <w:rPr>
          <w:spacing w:val="-56"/>
        </w:rPr>
      </w:r>
      <w:r>
        <w:rPr>
          <w:spacing w:val="-3"/>
        </w:rPr>
        <w:t>按组合计提坏账准备：保理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2319" w:space="651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7169"/>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131,000,000.00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226,000,000.00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6,780,000.00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6,780,000.00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362" w:lineRule="auto" w:before="53"/>
        <w:ind w:right="0"/>
        <w:jc w:val="left"/>
      </w:pPr>
      <w:r>
        <w:rPr>
          <w:spacing w:val="-3"/>
        </w:rPr>
        <w:t>确定该组合依据的说明：</w:t>
      </w:r>
      <w:r>
        <w:rPr>
          <w:spacing w:val="-61"/>
        </w:rPr>
        <w:t> </w:t>
      </w:r>
      <w:r>
        <w:rPr>
          <w:spacing w:val="-61"/>
        </w:rPr>
      </w: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2132" w:space="6699"/>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38" w:lineRule="auto" w:before="23"/>
        <w:ind w:right="885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177,625,496.01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229,661,275.00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103,574.77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272.56</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272.56</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407,390,618.34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251"/>
      <w:bookmarkEnd w:id="25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应收账款坏账准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643,771.97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7,233,214.05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7,876,986.02</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643,771.97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7,233,214.05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7,876,986.02</w:t>
            </w: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3）本期实际核销的应收账款情况" w:id="252"/>
      <w:bookmarkEnd w:id="25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3"/>
        <w:ind w:right="0"/>
        <w:jc w:val="left"/>
      </w:pPr>
      <w:r>
        <w:rPr>
          <w:spacing w:val="-3"/>
        </w:rPr>
        <w:t>其中重要的应收账款核销情况：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pStyle w:val="BodyText"/>
        <w:spacing w:line="240" w:lineRule="auto" w:before="53"/>
        <w:ind w:right="0"/>
        <w:jc w:val="left"/>
      </w:pPr>
      <w:r>
        <w:rPr>
          <w:spacing w:val="-3"/>
        </w:rPr>
        <w:t>应收账款核销说明：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253"/>
      <w:bookmarkEnd w:id="25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0"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120,000,000.00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29.46%</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86,000,000.00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3"/>
                <w:sz w:val="18"/>
              </w:rPr>
              <w:t>21.11%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2,580,000.00</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81,000,000.00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19.88%</w:t>
            </w:r>
          </w:p>
        </w:tc>
        <w:tc>
          <w:tcPr>
            <w:tcW w:w="253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8.59%</w:t>
            </w:r>
          </w:p>
        </w:tc>
        <w:tc>
          <w:tcPr>
            <w:tcW w:w="2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25,329,029.60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6.22%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379,935.44</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347,329,029.60</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85.26%</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因金融资产转移而终止确认的应收账款" w:id="254"/>
      <w:bookmarkEnd w:id="25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255"/>
      <w:bookmarkEnd w:id="25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6、应收款项融资" w:id="256"/>
      <w:bookmarkEnd w:id="256"/>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6"/>
        <w:ind w:right="0"/>
        <w:jc w:val="left"/>
      </w:pPr>
      <w:r>
        <w:rPr>
          <w:spacing w:val="-3"/>
        </w:rPr>
        <w:t>应收款项融资本期增减变动及公允价值变动情况</w:t>
      </w:r>
    </w:p>
    <w:p>
      <w:pPr>
        <w:pStyle w:val="BodyText"/>
        <w:spacing w:line="343" w:lineRule="auto" w:before="115"/>
        <w:ind w:right="105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如是按照预期信用损失一般模型计提应收款项融资减值准备，请参照其他应收款的披露方式披露减值准备的相关信息：</w:t>
      </w:r>
    </w:p>
    <w:p>
      <w:pPr>
        <w:pStyle w:val="BodyText"/>
        <w:spacing w:line="338" w:lineRule="auto" w:before="37"/>
        <w:ind w:right="885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after="0" w:line="338"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left="233" w:right="1145"/>
        <w:jc w:val="left"/>
        <w:rPr>
          <w:b w:val="0"/>
          <w:bCs w:val="0"/>
        </w:rPr>
      </w:pPr>
      <w:bookmarkStart w:name="7、预付款项" w:id="257"/>
      <w:bookmarkEnd w:id="257"/>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33" w:right="1145"/>
        <w:jc w:val="left"/>
        <w:rPr>
          <w:b w:val="0"/>
          <w:bCs w:val="0"/>
        </w:rPr>
      </w:pPr>
      <w:bookmarkStart w:name="（1）预付款项按账龄列示" w:id="258"/>
      <w:bookmarkEnd w:id="25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23,000,367.57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3,552,134.90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99.28%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832,489.14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25,585.33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8,650.30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23,841,507.01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3,577,720.23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left="233" w:right="1145"/>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spacing w:line="240" w:lineRule="auto" w:before="8"/>
        <w:rPr>
          <w:rFonts w:ascii="宋体" w:hAnsi="宋体" w:cs="宋体" w:eastAsia="宋体" w:hint="default"/>
          <w:sz w:val="25"/>
          <w:szCs w:val="25"/>
        </w:rPr>
      </w:pPr>
    </w:p>
    <w:p>
      <w:pPr>
        <w:pStyle w:val="Heading3"/>
        <w:spacing w:line="240" w:lineRule="auto"/>
        <w:ind w:left="233" w:right="1145"/>
        <w:jc w:val="left"/>
        <w:rPr>
          <w:b w:val="0"/>
          <w:bCs w:val="0"/>
        </w:rPr>
      </w:pPr>
      <w:bookmarkStart w:name="（2）按预付对象归集的期末余额前五名的预付款情况" w:id="259"/>
      <w:bookmarkEnd w:id="25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1671"/>
        <w:gridCol w:w="1594"/>
        <w:gridCol w:w="1657"/>
        <w:gridCol w:w="1685"/>
        <w:gridCol w:w="1205"/>
        <w:gridCol w:w="2046"/>
      </w:tblGrid>
      <w:tr>
        <w:trPr>
          <w:trHeight w:val="634" w:hRule="exact"/>
        </w:trPr>
        <w:tc>
          <w:tcPr>
            <w:tcW w:w="16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66"/>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566" w:right="108" w:hanging="452"/>
              <w:jc w:val="left"/>
              <w:rPr>
                <w:rFonts w:ascii="Times New Roman" w:hAnsi="Times New Roman" w:cs="Times New Roman" w:eastAsia="Times New Roman" w:hint="default"/>
                <w:sz w:val="18"/>
                <w:szCs w:val="18"/>
              </w:rPr>
            </w:pPr>
            <w:r>
              <w:rPr>
                <w:rFonts w:ascii="宋体" w:hAnsi="宋体" w:cs="宋体" w:eastAsia="宋体" w:hint="default"/>
                <w:b/>
                <w:bCs/>
                <w:spacing w:val="-2"/>
                <w:sz w:val="18"/>
                <w:szCs w:val="18"/>
              </w:rPr>
              <w:t>占预付账款总额的</w:t>
            </w:r>
            <w:r>
              <w:rPr>
                <w:rFonts w:ascii="宋体" w:hAnsi="宋体" w:cs="宋体" w:eastAsia="宋体" w:hint="default"/>
                <w:b/>
                <w:bCs/>
                <w:spacing w:val="-72"/>
                <w:sz w:val="18"/>
                <w:szCs w:val="18"/>
              </w:rPr>
              <w:t> </w:t>
            </w:r>
            <w:r>
              <w:rPr>
                <w:rFonts w:ascii="宋体" w:hAnsi="宋体" w:cs="宋体" w:eastAsia="宋体" w:hint="default"/>
                <w:b/>
                <w:bCs/>
                <w:spacing w:val="-72"/>
                <w:sz w:val="18"/>
                <w:szCs w:val="18"/>
              </w:rPr>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322" w:hRule="exact"/>
        </w:trPr>
        <w:tc>
          <w:tcPr>
            <w:tcW w:w="16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7" w:right="0"/>
              <w:jc w:val="left"/>
              <w:rPr>
                <w:rFonts w:ascii="Times New Roman" w:hAnsi="Times New Roman" w:cs="Times New Roman" w:eastAsia="Times New Roman" w:hint="default"/>
                <w:sz w:val="18"/>
                <w:szCs w:val="18"/>
              </w:rPr>
            </w:pPr>
            <w:r>
              <w:rPr>
                <w:rFonts w:ascii="Times New Roman"/>
                <w:sz w:val="18"/>
              </w:rPr>
              <w:t>19,490,664.00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81.75%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pacing w:val="-3"/>
                <w:sz w:val="18"/>
                <w:szCs w:val="18"/>
              </w:rPr>
              <w:t>未达到结算条件</w:t>
            </w:r>
          </w:p>
        </w:tc>
      </w:tr>
      <w:tr>
        <w:trPr>
          <w:trHeight w:val="322" w:hRule="exact"/>
        </w:trPr>
        <w:tc>
          <w:tcPr>
            <w:tcW w:w="16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1" w:right="0"/>
              <w:jc w:val="left"/>
              <w:rPr>
                <w:rFonts w:ascii="Times New Roman" w:hAnsi="Times New Roman" w:cs="Times New Roman" w:eastAsia="Times New Roman" w:hint="default"/>
                <w:sz w:val="18"/>
                <w:szCs w:val="18"/>
              </w:rPr>
            </w:pPr>
            <w:r>
              <w:rPr>
                <w:rFonts w:ascii="Times New Roman"/>
                <w:sz w:val="18"/>
              </w:rPr>
              <w:t>1,830,759.80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7.68%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pacing w:val="-3"/>
                <w:sz w:val="18"/>
                <w:szCs w:val="18"/>
              </w:rPr>
              <w:t>未达到结算条件</w:t>
            </w:r>
          </w:p>
        </w:tc>
      </w:tr>
      <w:tr>
        <w:trPr>
          <w:trHeight w:val="322" w:hRule="exact"/>
        </w:trPr>
        <w:tc>
          <w:tcPr>
            <w:tcW w:w="16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8" w:right="0"/>
              <w:jc w:val="left"/>
              <w:rPr>
                <w:rFonts w:ascii="Times New Roman" w:hAnsi="Times New Roman" w:cs="Times New Roman" w:eastAsia="Times New Roman" w:hint="default"/>
                <w:sz w:val="18"/>
                <w:szCs w:val="18"/>
              </w:rPr>
            </w:pPr>
            <w:r>
              <w:rPr>
                <w:rFonts w:ascii="Times New Roman"/>
                <w:sz w:val="18"/>
              </w:rPr>
              <w:t>649,615.36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2.72%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pacing w:val="-3"/>
                <w:sz w:val="18"/>
                <w:szCs w:val="18"/>
              </w:rPr>
              <w:t>未达到结算条件</w:t>
            </w:r>
          </w:p>
        </w:tc>
      </w:tr>
      <w:tr>
        <w:trPr>
          <w:trHeight w:val="322" w:hRule="exact"/>
        </w:trPr>
        <w:tc>
          <w:tcPr>
            <w:tcW w:w="16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8" w:right="0"/>
              <w:jc w:val="left"/>
              <w:rPr>
                <w:rFonts w:ascii="Times New Roman" w:hAnsi="Times New Roman" w:cs="Times New Roman" w:eastAsia="Times New Roman" w:hint="default"/>
                <w:sz w:val="18"/>
                <w:szCs w:val="18"/>
              </w:rPr>
            </w:pPr>
            <w:r>
              <w:rPr>
                <w:rFonts w:ascii="Times New Roman"/>
                <w:sz w:val="18"/>
              </w:rPr>
              <w:t>490,566.03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2.06%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pacing w:val="-3"/>
                <w:sz w:val="18"/>
                <w:szCs w:val="18"/>
              </w:rPr>
              <w:t>未达到结算条件</w:t>
            </w:r>
          </w:p>
        </w:tc>
      </w:tr>
      <w:tr>
        <w:trPr>
          <w:trHeight w:val="326" w:hRule="exact"/>
        </w:trPr>
        <w:tc>
          <w:tcPr>
            <w:tcW w:w="16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18" w:right="0"/>
              <w:jc w:val="left"/>
              <w:rPr>
                <w:rFonts w:ascii="Times New Roman" w:hAnsi="Times New Roman" w:cs="Times New Roman" w:eastAsia="Times New Roman" w:hint="default"/>
                <w:sz w:val="18"/>
                <w:szCs w:val="18"/>
              </w:rPr>
            </w:pPr>
            <w:r>
              <w:rPr>
                <w:rFonts w:ascii="Times New Roman"/>
                <w:sz w:val="18"/>
              </w:rPr>
              <w:t>566,037.72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2.37%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0"/>
              <w:jc w:val="center"/>
              <w:rPr>
                <w:rFonts w:ascii="宋体" w:hAnsi="宋体" w:cs="宋体" w:eastAsia="宋体" w:hint="default"/>
                <w:sz w:val="18"/>
                <w:szCs w:val="18"/>
              </w:rPr>
            </w:pPr>
            <w:r>
              <w:rPr>
                <w:rFonts w:ascii="宋体" w:hAnsi="宋体" w:cs="宋体" w:eastAsia="宋体" w:hint="default"/>
                <w:spacing w:val="-3"/>
                <w:sz w:val="18"/>
                <w:szCs w:val="18"/>
              </w:rPr>
              <w:t>未达到结算条件</w:t>
            </w:r>
          </w:p>
        </w:tc>
      </w:tr>
      <w:tr>
        <w:trPr>
          <w:trHeight w:val="322" w:hRule="exact"/>
        </w:trPr>
        <w:tc>
          <w:tcPr>
            <w:tcW w:w="16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6"/>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7" w:right="0"/>
              <w:jc w:val="left"/>
              <w:rPr>
                <w:rFonts w:ascii="Times New Roman" w:hAnsi="Times New Roman" w:cs="Times New Roman" w:eastAsia="Times New Roman" w:hint="default"/>
                <w:sz w:val="18"/>
                <w:szCs w:val="18"/>
              </w:rPr>
            </w:pPr>
            <w:r>
              <w:rPr>
                <w:rFonts w:ascii="Times New Roman"/>
                <w:b/>
                <w:sz w:val="18"/>
              </w:rPr>
              <w:t>23,027,642.91</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b/>
                <w:sz w:val="18"/>
              </w:rPr>
              <w:t>96.59%</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left="233" w:right="1145"/>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left="233" w:right="1145"/>
        <w:jc w:val="left"/>
        <w:rPr>
          <w:b w:val="0"/>
          <w:bCs w:val="0"/>
        </w:rPr>
      </w:pPr>
      <w:bookmarkStart w:name="8、其他应收款" w:id="260"/>
      <w:bookmarkEnd w:id="260"/>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3167"/>
        <w:gridCol w:w="3203"/>
        <w:gridCol w:w="3193"/>
      </w:tblGrid>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15,286,464.24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31,093,490.99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15,286,464.24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31,093,490.99</w:t>
            </w:r>
          </w:p>
        </w:tc>
      </w:tr>
    </w:tbl>
    <w:p>
      <w:pPr>
        <w:spacing w:line="240" w:lineRule="auto" w:before="3"/>
        <w:rPr>
          <w:rFonts w:ascii="宋体" w:hAnsi="宋体" w:cs="宋体" w:eastAsia="宋体" w:hint="default"/>
          <w:sz w:val="19"/>
          <w:szCs w:val="19"/>
        </w:rPr>
      </w:pPr>
    </w:p>
    <w:p>
      <w:pPr>
        <w:pStyle w:val="Heading3"/>
        <w:spacing w:line="240" w:lineRule="auto" w:before="36"/>
        <w:ind w:left="233" w:right="1145"/>
        <w:jc w:val="left"/>
        <w:rPr>
          <w:b w:val="0"/>
          <w:bCs w:val="0"/>
        </w:rPr>
      </w:pPr>
      <w:bookmarkStart w:name="（1）应收利息" w:id="261"/>
      <w:bookmarkEnd w:id="26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233" w:right="1145"/>
        <w:jc w:val="left"/>
        <w:rPr>
          <w:b w:val="0"/>
          <w:bCs w:val="0"/>
        </w:rPr>
      </w:pPr>
      <w:bookmarkStart w:name="1）应收利息分类" w:id="262"/>
      <w:bookmarkEnd w:id="262"/>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0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重要逾期利息" w:id="263"/>
      <w:bookmarkEnd w:id="263"/>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坏账准备计提情况" w:id="264"/>
      <w:bookmarkEnd w:id="26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52"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7"/>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6"/>
        <w:ind w:right="0"/>
        <w:jc w:val="left"/>
      </w:pPr>
      <w:r>
        <w:rPr>
          <w:spacing w:val="-3"/>
        </w:rPr>
        <w:t>损失准备本期变动金额重大的账面余额变动情况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应收股利" w:id="265"/>
      <w:bookmarkEnd w:id="26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股利分类" w:id="266"/>
      <w:bookmarkEnd w:id="266"/>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的账龄超过1年的应收股利" w:id="267"/>
      <w:bookmarkEnd w:id="267"/>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坏账准备计提情况" w:id="268"/>
      <w:bookmarkEnd w:id="26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85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其他应收款" w:id="269"/>
      <w:bookmarkEnd w:id="26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270"/>
      <w:bookmarkEnd w:id="270"/>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14,611,279.13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25,310,904.99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应收资产处置款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622,190.81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522,921.06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64,318.76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17,921.69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22,797,788.70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33,351,747.74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271"/>
      <w:bookmarkEnd w:id="27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3"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7"/>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2,258,256.75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2,258,256.75</w:t>
            </w:r>
          </w:p>
        </w:tc>
      </w:tr>
      <w:tr>
        <w:trPr>
          <w:trHeight w:val="161"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6"/>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-2,250,000.00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2,250,000.00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11,076.33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5,253,360.00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5,264,436.33</w:t>
            </w: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8,008.62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8,008.62</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3,360.00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3,360.00</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11,324.46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7,511,324.46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19"/>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6,208,132.17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5,487,311.82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1,485,494.20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9,616,850.51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9,616,850.51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22,797,788.70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272"/>
      <w:bookmarkEnd w:id="272"/>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pPr>
      <w:r>
        <w:rPr>
          <w:spacing w:val="-3"/>
        </w:rPr>
        <w:t>本期计提坏账准备情况：</w:t>
      </w:r>
    </w:p>
    <w:p>
      <w:pPr>
        <w:pStyle w:val="BodyText"/>
        <w:spacing w:line="240" w:lineRule="auto" w:before="119"/>
        <w:ind w:left="0" w:right="1122"/>
        <w:jc w:val="right"/>
      </w:pPr>
      <w:r>
        <w:rPr/>
        <w:t>单位：</w:t>
      </w:r>
      <w:r>
        <w:rPr>
          <w:spacing w:val="5"/>
        </w:rPr>
        <w:t> </w:t>
      </w:r>
      <w:r>
        <w:rPr/>
        <w:t>元</w:t>
      </w:r>
    </w:p>
    <w:p>
      <w:pPr>
        <w:spacing w:after="0" w:line="240" w:lineRule="auto"/>
        <w:jc w:val="right"/>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191"/>
        <w:gridCol w:w="1306"/>
        <w:gridCol w:w="1090"/>
        <w:gridCol w:w="1738"/>
        <w:gridCol w:w="1728"/>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18"/>
              <w:jc w:val="left"/>
              <w:rPr>
                <w:rFonts w:ascii="宋体" w:hAnsi="宋体" w:cs="宋体" w:eastAsia="宋体" w:hint="default"/>
                <w:sz w:val="18"/>
                <w:szCs w:val="18"/>
              </w:rPr>
            </w:pPr>
            <w:r>
              <w:rPr>
                <w:rFonts w:ascii="宋体" w:hAnsi="宋体" w:cs="宋体" w:eastAsia="宋体" w:hint="default"/>
                <w:spacing w:val="-3"/>
                <w:sz w:val="18"/>
                <w:szCs w:val="18"/>
              </w:rPr>
              <w:t>其他应收款坏账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2,258,256.75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5,264,436.33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8,008.62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3,360.00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7,511,324.46</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2,258,256.75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5,264,436.33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8,008.62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3,360.00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7,511,324.46</w:t>
            </w:r>
          </w:p>
        </w:tc>
      </w:tr>
    </w:tbl>
    <w:p>
      <w:pPr>
        <w:pStyle w:val="BodyText"/>
        <w:spacing w:line="240" w:lineRule="auto" w:before="53"/>
        <w:ind w:right="0"/>
        <w:jc w:val="left"/>
      </w:pPr>
      <w:r>
        <w:rPr>
          <w:spacing w:val="-3"/>
        </w:rPr>
        <w:t>其中本期坏账准备转回或收回金额重要的：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本期实际核销的其他应收款情况" w:id="273"/>
      <w:bookmarkEnd w:id="273"/>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3"/>
        <w:ind w:right="0"/>
        <w:jc w:val="left"/>
      </w:pPr>
      <w:r>
        <w:rPr>
          <w:spacing w:val="-3"/>
        </w:rPr>
        <w:t>其中重要的其他应收款核销情况：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pStyle w:val="BodyText"/>
        <w:spacing w:line="240" w:lineRule="auto" w:before="53"/>
        <w:ind w:right="0"/>
        <w:jc w:val="left"/>
      </w:pPr>
      <w:r>
        <w:rPr/>
        <w:t>其他应收款核销说明：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5）按欠款方归集的期末余额前五名的其他应收款情况" w:id="274"/>
      <w:bookmarkEnd w:id="274"/>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应收资产处置款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3,997,868.40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14.48%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17,337,868.40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275"/>
      <w:bookmarkEnd w:id="275"/>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86" w:right="46" w:hanging="634"/>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7）因金融资产转移而终止确认的其他应收款" w:id="276"/>
      <w:bookmarkEnd w:id="276"/>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77"/>
      <w:bookmarkEnd w:id="277"/>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9、存货" w:id="278"/>
      <w:bookmarkEnd w:id="278"/>
      <w:r>
        <w:rPr>
          <w:b w:val="0"/>
          <w:bCs w:val="0"/>
        </w:rPr>
      </w:r>
      <w:r>
        <w:rPr>
          <w:rFonts w:ascii="Times New Roman" w:hAnsi="Times New Roman" w:cs="Times New Roman" w:eastAsia="Times New Roman" w:hint="default"/>
        </w:rPr>
        <w:t>9</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存货分类" w:id="279"/>
      <w:bookmarkEnd w:id="27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9"/>
        <w:gridCol w:w="1368"/>
        <w:gridCol w:w="1364"/>
        <w:gridCol w:w="1369"/>
        <w:gridCol w:w="1369"/>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4"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68,534.68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68,534.68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16,185.15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16,185.15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68,534.68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68,534.68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16,185.15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16,185.15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 w:id="280"/>
      <w:bookmarkEnd w:id="28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存货期末余额含有借款费用资本化金额的说明" w:id="281"/>
      <w:bookmarkEnd w:id="28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82"/>
      <w:bookmarkEnd w:id="28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10、合同资产" w:id="283"/>
      <w:bookmarkEnd w:id="283"/>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1196"/>
        <w:gridCol w:w="1330"/>
        <w:gridCol w:w="1196"/>
        <w:gridCol w:w="1195"/>
        <w:gridCol w:w="1201"/>
        <w:gridCol w:w="1323"/>
      </w:tblGrid>
      <w:tr>
        <w:trPr>
          <w:trHeight w:val="403"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4"/>
        <w:ind w:right="0"/>
        <w:jc w:val="left"/>
      </w:pPr>
      <w:r>
        <w:rPr>
          <w:spacing w:val="-3"/>
        </w:rPr>
        <w:t>合同资产的账面价值在本期内发生的重大变动金额和原因：</w:t>
      </w:r>
    </w:p>
    <w:p>
      <w:pPr>
        <w:pStyle w:val="BodyText"/>
        <w:spacing w:line="240" w:lineRule="auto" w:before="114"/>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4"/>
        <w:gridCol w:w="2420"/>
        <w:gridCol w:w="4945"/>
      </w:tblGrid>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ind w:right="0"/>
        <w:jc w:val="left"/>
      </w:pPr>
      <w:r>
        <w:rPr>
          <w:spacing w:val="-3"/>
        </w:rPr>
        <w:t>如是按照预期信用损失一般模型计提合同资产坏账准备，请参照其他应收款的披露方式披露坏账准备的相关信息：</w:t>
      </w:r>
    </w:p>
    <w:p>
      <w:pPr>
        <w:pStyle w:val="BodyText"/>
        <w:spacing w:line="343" w:lineRule="auto" w:before="115"/>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本期合同资产计提减值准备情况</w:t>
      </w:r>
    </w:p>
    <w:p>
      <w:pPr>
        <w:pStyle w:val="BodyText"/>
        <w:spacing w:line="240" w:lineRule="auto" w:before="38"/>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9" w:right="0"/>
              <w:jc w:val="left"/>
              <w:rPr>
                <w:rFonts w:ascii="宋体" w:hAnsi="宋体" w:cs="宋体" w:eastAsia="宋体" w:hint="default"/>
                <w:sz w:val="18"/>
                <w:szCs w:val="18"/>
              </w:rPr>
            </w:pPr>
            <w:r>
              <w:rPr>
                <w:rFonts w:ascii="宋体" w:hAnsi="宋体" w:cs="宋体" w:eastAsia="宋体" w:hint="default"/>
                <w:spacing w:val="-3"/>
                <w:sz w:val="18"/>
                <w:szCs w:val="18"/>
              </w:rPr>
              <w:t>本期转销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核销</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1、持有待售资产" w:id="284"/>
      <w:bookmarkEnd w:id="284"/>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4"/>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85"/>
      <w:bookmarkEnd w:id="285"/>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一年内到期的长期应收款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130,891,664.03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63,394,685.76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130,891,664.03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63,394,685.76</w:t>
            </w:r>
          </w:p>
        </w:tc>
      </w:tr>
    </w:tbl>
    <w:p>
      <w:pPr>
        <w:pStyle w:val="BodyText"/>
        <w:spacing w:line="240" w:lineRule="auto" w:before="53"/>
        <w:ind w:right="0"/>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352" w:lineRule="auto" w:before="53"/>
        <w:ind w:right="6995"/>
        <w:jc w:val="left"/>
        <w:rPr>
          <w:rFonts w:ascii="Times New Roman" w:hAnsi="Times New Roman" w:cs="Times New Roman" w:eastAsia="Times New Roman" w:hint="default"/>
        </w:rPr>
      </w:pPr>
      <w:r>
        <w:rPr/>
        <w:t>其他说明：</w:t>
      </w:r>
      <w:r>
        <w:rPr>
          <w:w w:val="101"/>
        </w:rPr>
        <w:t> </w:t>
      </w:r>
      <w:r>
        <w:rPr>
          <w:spacing w:val="-3"/>
        </w:rPr>
        <w:t>一年内到期的长期应收款详见附注七、</w:t>
      </w:r>
      <w:r>
        <w:rPr>
          <w:rFonts w:ascii="Times New Roman" w:hAnsi="Times New Roman" w:cs="Times New Roman" w:eastAsia="Times New Roman" w:hint="default"/>
          <w:spacing w:val="-3"/>
        </w:rPr>
        <w:t>16</w:t>
      </w:r>
    </w:p>
    <w:p>
      <w:pPr>
        <w:spacing w:line="240" w:lineRule="auto" w:before="5"/>
        <w:rPr>
          <w:rFonts w:ascii="Times New Roman" w:hAnsi="Times New Roman" w:cs="Times New Roman" w:eastAsia="Times New Roman" w:hint="default"/>
          <w:sz w:val="21"/>
          <w:szCs w:val="21"/>
        </w:rPr>
      </w:pPr>
    </w:p>
    <w:p>
      <w:pPr>
        <w:pStyle w:val="Heading3"/>
        <w:spacing w:line="240" w:lineRule="auto"/>
        <w:ind w:right="0"/>
        <w:jc w:val="left"/>
        <w:rPr>
          <w:b w:val="0"/>
          <w:bCs w:val="0"/>
        </w:rPr>
      </w:pPr>
      <w:bookmarkStart w:name="13、其他流动资产" w:id="286"/>
      <w:bookmarkEnd w:id="286"/>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预缴或留抵的税费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23,337,910.11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9,470,085.65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第三方支付业务代垫款项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23,820,558.69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第三方支付业务待清算款项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2,502,766,239.47</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备付金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512,902.67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1,322,809.01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23,850,840.34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2,537,379,692.82</w:t>
            </w:r>
          </w:p>
        </w:tc>
      </w:tr>
    </w:tbl>
    <w:p>
      <w:pPr>
        <w:pStyle w:val="BodyText"/>
        <w:spacing w:line="240" w:lineRule="auto" w:before="53"/>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left="233" w:right="1145"/>
        <w:jc w:val="left"/>
        <w:rPr>
          <w:b w:val="0"/>
          <w:bCs w:val="0"/>
        </w:rPr>
      </w:pPr>
      <w:bookmarkStart w:name="14、发放贷款及垫款" w:id="287"/>
      <w:bookmarkEnd w:id="287"/>
      <w:r>
        <w:rPr>
          <w:b w:val="0"/>
          <w:bCs w:val="0"/>
        </w:rPr>
      </w:r>
      <w:r>
        <w:rPr>
          <w:rFonts w:ascii="Times New Roman" w:hAnsi="Times New Roman" w:cs="Times New Roman" w:eastAsia="Times New Roman" w:hint="default"/>
        </w:rPr>
        <w:t>14</w:t>
      </w:r>
      <w:r>
        <w:rPr/>
        <w:t>、发放贷款及垫款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33" w:right="1145"/>
        <w:jc w:val="left"/>
        <w:rPr>
          <w:b w:val="0"/>
          <w:bCs w:val="0"/>
        </w:rPr>
      </w:pPr>
      <w:bookmarkStart w:name="（1）明细情况" w:id="288"/>
      <w:bookmarkEnd w:id="288"/>
      <w:r>
        <w:rPr>
          <w:b w:val="0"/>
          <w:bCs w:val="0"/>
        </w:rPr>
      </w:r>
      <w:r>
        <w:rPr/>
        <w:t>（</w:t>
      </w:r>
      <w:r>
        <w:rPr>
          <w:rFonts w:ascii="Times New Roman" w:hAnsi="Times New Roman" w:cs="Times New Roman" w:eastAsia="Times New Roman" w:hint="default"/>
        </w:rPr>
        <w:t>1</w:t>
      </w:r>
      <w:r>
        <w:rPr/>
        <w:t>）明细情况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1493"/>
        <w:gridCol w:w="1426"/>
        <w:gridCol w:w="1301"/>
        <w:gridCol w:w="1354"/>
        <w:gridCol w:w="1234"/>
        <w:gridCol w:w="1383"/>
        <w:gridCol w:w="1277"/>
      </w:tblGrid>
      <w:tr>
        <w:trPr>
          <w:trHeight w:val="403" w:hRule="exact"/>
        </w:trPr>
        <w:tc>
          <w:tcPr>
            <w:tcW w:w="149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08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8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9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78"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806" w:hRule="exact"/>
        </w:trPr>
        <w:tc>
          <w:tcPr>
            <w:tcW w:w="1493" w:type="dxa"/>
            <w:vMerge/>
            <w:tcBorders>
              <w:left w:val="single" w:sz="4" w:space="0" w:color="000000"/>
              <w:bottom w:val="single" w:sz="4" w:space="0" w:color="000000"/>
              <w:right w:val="single" w:sz="4" w:space="0" w:color="000000"/>
            </w:tcBorders>
            <w:shd w:val="clear" w:color="auto" w:fill="D9D9D9"/>
          </w:tcPr>
          <w:p>
            <w:pPr/>
          </w:p>
        </w:tc>
        <w:tc>
          <w:tcPr>
            <w:tcW w:w="1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贷款损失准备</w:t>
            </w:r>
            <w:r>
              <w:rPr>
                <w:rFonts w:ascii="宋体" w:hAnsi="宋体" w:cs="宋体" w:eastAsia="宋体" w:hint="default"/>
                <w:sz w:val="18"/>
                <w:szCs w:val="18"/>
              </w:rPr>
            </w:r>
          </w:p>
        </w:tc>
        <w:tc>
          <w:tcPr>
            <w:tcW w:w="1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贷款损失准备</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贷款本金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50,990,472.77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3,025,741.61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47,964,731.16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8,308,647.05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235,410.02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8,073,237.03</w:t>
            </w:r>
          </w:p>
        </w:tc>
      </w:tr>
      <w:tr>
        <w:trPr>
          <w:trHeight w:val="557"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贷款利息</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424,759.50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112,210.44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312,549.06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95,573.05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2,929.15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92,643.90</w:t>
            </w:r>
          </w:p>
        </w:tc>
      </w:tr>
      <w:tr>
        <w:trPr>
          <w:trHeight w:val="562"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tabs>
                <w:tab w:pos="456" w:val="left" w:leader="none"/>
              </w:tabs>
              <w:spacing w:line="240" w:lineRule="auto" w:before="135"/>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51,415,232.27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3,137,952.05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48,277,280.22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8,404,220.10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238,339.17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8,165,880.93</w:t>
            </w:r>
          </w:p>
        </w:tc>
      </w:tr>
    </w:tbl>
    <w:p>
      <w:pPr>
        <w:spacing w:line="240" w:lineRule="auto" w:before="3"/>
        <w:rPr>
          <w:rFonts w:ascii="宋体" w:hAnsi="宋体" w:cs="宋体" w:eastAsia="宋体" w:hint="default"/>
          <w:b/>
          <w:bCs/>
          <w:sz w:val="19"/>
          <w:szCs w:val="19"/>
        </w:rPr>
      </w:pPr>
    </w:p>
    <w:p>
      <w:pPr>
        <w:pStyle w:val="Heading3"/>
        <w:spacing w:line="240" w:lineRule="auto" w:before="36"/>
        <w:ind w:left="233" w:right="1145"/>
        <w:jc w:val="left"/>
        <w:rPr>
          <w:b w:val="0"/>
          <w:bCs w:val="0"/>
        </w:rPr>
      </w:pPr>
      <w:bookmarkStart w:name="（2）风险分类情况" w:id="289"/>
      <w:bookmarkEnd w:id="289"/>
      <w:r>
        <w:rPr>
          <w:b w:val="0"/>
          <w:bCs w:val="0"/>
        </w:rPr>
      </w:r>
      <w:r>
        <w:rPr/>
        <w:t>（</w:t>
      </w:r>
      <w:r>
        <w:rPr>
          <w:rFonts w:ascii="Times New Roman" w:hAnsi="Times New Roman" w:cs="Times New Roman" w:eastAsia="Times New Roman" w:hint="default"/>
        </w:rPr>
        <w:t>2</w:t>
      </w:r>
      <w:r>
        <w:rPr/>
        <w:t>）风险分类情况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233" w:right="1145"/>
        <w:jc w:val="left"/>
        <w:rPr>
          <w:b w:val="0"/>
          <w:bCs w:val="0"/>
        </w:rPr>
      </w:pPr>
      <w:bookmarkStart w:name="1）贷款本金" w:id="290"/>
      <w:bookmarkEnd w:id="290"/>
      <w:r>
        <w:rPr>
          <w:b w:val="0"/>
          <w:bCs w:val="0"/>
        </w:rPr>
      </w:r>
      <w:r>
        <w:rPr>
          <w:rFonts w:ascii="Times New Roman" w:hAnsi="Times New Roman" w:cs="Times New Roman" w:eastAsia="Times New Roman" w:hint="default"/>
        </w:rPr>
        <w:t>1</w:t>
      </w:r>
      <w:r>
        <w:rPr/>
        <w:t>）贷款本金</w:t>
      </w:r>
      <w:r>
        <w:rPr>
          <w:b w:val="0"/>
          <w:bCs w:val="0"/>
        </w:rPr>
      </w:r>
    </w:p>
    <w:p>
      <w:pPr>
        <w:spacing w:line="240" w:lineRule="auto" w:before="11"/>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3193"/>
        <w:gridCol w:w="2819"/>
        <w:gridCol w:w="3121"/>
      </w:tblGrid>
      <w:tr>
        <w:trPr>
          <w:trHeight w:val="567"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35"/>
              <w:ind w:left="14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35"/>
              <w:ind w:left="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2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0"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406"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8" w:right="0"/>
              <w:jc w:val="center"/>
              <w:rPr>
                <w:rFonts w:ascii="Times New Roman" w:hAnsi="Times New Roman" w:cs="Times New Roman" w:eastAsia="Times New Roman" w:hint="default"/>
                <w:sz w:val="18"/>
                <w:szCs w:val="18"/>
              </w:rPr>
            </w:pPr>
            <w:r>
              <w:rPr>
                <w:rFonts w:ascii="Times New Roman"/>
                <w:sz w:val="18"/>
              </w:rPr>
              <w:t>46,356,164.86</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1074"/>
              <w:jc w:val="right"/>
              <w:rPr>
                <w:rFonts w:ascii="Times New Roman" w:hAnsi="Times New Roman" w:cs="Times New Roman" w:eastAsia="Times New Roman" w:hint="default"/>
                <w:sz w:val="18"/>
                <w:szCs w:val="18"/>
              </w:rPr>
            </w:pPr>
            <w:r>
              <w:rPr>
                <w:rFonts w:ascii="Times New Roman"/>
                <w:spacing w:val="-1"/>
                <w:sz w:val="18"/>
              </w:rPr>
              <w:t>6,931,584.83</w:t>
            </w:r>
          </w:p>
        </w:tc>
      </w:tr>
      <w:tr>
        <w:trPr>
          <w:trHeight w:val="485"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406"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171,565.66</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1074"/>
              <w:jc w:val="right"/>
              <w:rPr>
                <w:rFonts w:ascii="Times New Roman" w:hAnsi="Times New Roman" w:cs="Times New Roman" w:eastAsia="Times New Roman" w:hint="default"/>
                <w:sz w:val="18"/>
                <w:szCs w:val="18"/>
              </w:rPr>
            </w:pPr>
            <w:r>
              <w:rPr>
                <w:rFonts w:ascii="Times New Roman"/>
                <w:spacing w:val="-1"/>
                <w:sz w:val="18"/>
              </w:rPr>
              <w:t>1,043,268.22</w:t>
            </w:r>
          </w:p>
        </w:tc>
      </w:tr>
      <w:tr>
        <w:trPr>
          <w:trHeight w:val="490"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1406"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1,535,062.62</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1141"/>
              <w:jc w:val="right"/>
              <w:rPr>
                <w:rFonts w:ascii="Times New Roman" w:hAnsi="Times New Roman" w:cs="Times New Roman" w:eastAsia="Times New Roman" w:hint="default"/>
                <w:sz w:val="18"/>
                <w:szCs w:val="18"/>
              </w:rPr>
            </w:pPr>
            <w:r>
              <w:rPr>
                <w:rFonts w:ascii="Times New Roman"/>
                <w:spacing w:val="-1"/>
                <w:sz w:val="18"/>
              </w:rPr>
              <w:t>333,794.00</w:t>
            </w:r>
          </w:p>
        </w:tc>
      </w:tr>
      <w:tr>
        <w:trPr>
          <w:trHeight w:val="490"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406"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4" w:right="0"/>
              <w:jc w:val="center"/>
              <w:rPr>
                <w:rFonts w:ascii="Times New Roman" w:hAnsi="Times New Roman" w:cs="Times New Roman" w:eastAsia="Times New Roman" w:hint="default"/>
                <w:sz w:val="18"/>
                <w:szCs w:val="18"/>
              </w:rPr>
            </w:pPr>
            <w:r>
              <w:rPr>
                <w:rFonts w:ascii="Times New Roman"/>
                <w:sz w:val="18"/>
              </w:rPr>
              <w:t>2,657,365.62</w:t>
            </w:r>
          </w:p>
        </w:tc>
        <w:tc>
          <w:tcPr>
            <w:tcW w:w="3121"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406"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270,314.01</w:t>
            </w:r>
          </w:p>
        </w:tc>
        <w:tc>
          <w:tcPr>
            <w:tcW w:w="3121" w:type="dxa"/>
            <w:tcBorders>
              <w:top w:val="single" w:sz="8" w:space="0" w:color="000000"/>
              <w:left w:val="single" w:sz="8" w:space="0" w:color="000000"/>
              <w:bottom w:val="single" w:sz="8" w:space="0" w:color="000000"/>
              <w:right w:val="single" w:sz="8" w:space="0" w:color="000000"/>
            </w:tcBorders>
          </w:tcPr>
          <w:p>
            <w:pPr/>
          </w:p>
        </w:tc>
      </w:tr>
      <w:tr>
        <w:trPr>
          <w:trHeight w:val="490"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14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8" w:right="0"/>
              <w:jc w:val="center"/>
              <w:rPr>
                <w:rFonts w:ascii="Times New Roman" w:hAnsi="Times New Roman" w:cs="Times New Roman" w:eastAsia="Times New Roman" w:hint="default"/>
                <w:sz w:val="18"/>
                <w:szCs w:val="18"/>
              </w:rPr>
            </w:pPr>
            <w:r>
              <w:rPr>
                <w:rFonts w:ascii="Times New Roman"/>
                <w:sz w:val="18"/>
              </w:rPr>
              <w:t>50,990,472.77</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1074"/>
              <w:jc w:val="right"/>
              <w:rPr>
                <w:rFonts w:ascii="Times New Roman" w:hAnsi="Times New Roman" w:cs="Times New Roman" w:eastAsia="Times New Roman" w:hint="default"/>
                <w:sz w:val="18"/>
                <w:szCs w:val="18"/>
              </w:rPr>
            </w:pPr>
            <w:r>
              <w:rPr>
                <w:rFonts w:ascii="Times New Roman"/>
                <w:spacing w:val="-1"/>
                <w:sz w:val="18"/>
              </w:rPr>
              <w:t>8,308,647.05</w:t>
            </w:r>
          </w:p>
        </w:tc>
      </w:tr>
    </w:tbl>
    <w:p>
      <w:pPr>
        <w:spacing w:line="240" w:lineRule="auto" w:before="3"/>
        <w:rPr>
          <w:rFonts w:ascii="宋体" w:hAnsi="宋体" w:cs="宋体" w:eastAsia="宋体" w:hint="default"/>
          <w:b/>
          <w:bCs/>
          <w:sz w:val="19"/>
          <w:szCs w:val="19"/>
        </w:rPr>
      </w:pPr>
    </w:p>
    <w:p>
      <w:pPr>
        <w:pStyle w:val="Heading3"/>
        <w:spacing w:line="240" w:lineRule="auto" w:before="36"/>
        <w:ind w:left="233" w:right="1145"/>
        <w:jc w:val="left"/>
        <w:rPr>
          <w:b w:val="0"/>
          <w:bCs w:val="0"/>
        </w:rPr>
      </w:pPr>
      <w:bookmarkStart w:name="2）贷款利息" w:id="291"/>
      <w:bookmarkEnd w:id="291"/>
      <w:r>
        <w:rPr>
          <w:b w:val="0"/>
          <w:bCs w:val="0"/>
        </w:rPr>
      </w:r>
      <w:r>
        <w:rPr>
          <w:rFonts w:ascii="Times New Roman" w:hAnsi="Times New Roman" w:cs="Times New Roman" w:eastAsia="Times New Roman" w:hint="default"/>
        </w:rPr>
        <w:t>2</w:t>
      </w:r>
      <w:r>
        <w:rPr/>
        <w:t>）贷款利息</w:t>
      </w:r>
      <w:r>
        <w:rPr>
          <w:b w:val="0"/>
          <w:bCs w:val="0"/>
        </w:rPr>
      </w:r>
    </w:p>
    <w:p>
      <w:pPr>
        <w:spacing w:line="240" w:lineRule="auto" w:before="7"/>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3193"/>
        <w:gridCol w:w="2819"/>
        <w:gridCol w:w="3121"/>
      </w:tblGrid>
      <w:tr>
        <w:trPr>
          <w:trHeight w:val="490"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14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2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0"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406"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234,998.53</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57,733.64</w:t>
            </w:r>
          </w:p>
        </w:tc>
      </w:tr>
      <w:tr>
        <w:trPr>
          <w:trHeight w:val="485"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406"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9" w:right="0"/>
              <w:jc w:val="center"/>
              <w:rPr>
                <w:rFonts w:ascii="Times New Roman" w:hAnsi="Times New Roman" w:cs="Times New Roman" w:eastAsia="Times New Roman" w:hint="default"/>
                <w:sz w:val="18"/>
                <w:szCs w:val="18"/>
              </w:rPr>
            </w:pPr>
            <w:r>
              <w:rPr>
                <w:rFonts w:ascii="Times New Roman"/>
                <w:sz w:val="18"/>
              </w:rPr>
              <w:t>4,119.03</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4" w:right="0"/>
              <w:jc w:val="center"/>
              <w:rPr>
                <w:rFonts w:ascii="Times New Roman" w:hAnsi="Times New Roman" w:cs="Times New Roman" w:eastAsia="Times New Roman" w:hint="default"/>
                <w:sz w:val="18"/>
                <w:szCs w:val="18"/>
              </w:rPr>
            </w:pPr>
            <w:r>
              <w:rPr>
                <w:rFonts w:ascii="Times New Roman"/>
                <w:sz w:val="18"/>
              </w:rPr>
              <w:t>34,402.51</w:t>
            </w:r>
          </w:p>
        </w:tc>
      </w:tr>
      <w:tr>
        <w:trPr>
          <w:trHeight w:val="490"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1406"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 w:right="0"/>
              <w:jc w:val="center"/>
              <w:rPr>
                <w:rFonts w:ascii="Times New Roman" w:hAnsi="Times New Roman" w:cs="Times New Roman" w:eastAsia="Times New Roman" w:hint="default"/>
                <w:sz w:val="18"/>
                <w:szCs w:val="18"/>
              </w:rPr>
            </w:pPr>
            <w:r>
              <w:rPr>
                <w:rFonts w:ascii="Times New Roman"/>
                <w:sz w:val="18"/>
              </w:rPr>
              <w:t>36,215.44</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3,436.90</w:t>
            </w:r>
          </w:p>
        </w:tc>
      </w:tr>
      <w:tr>
        <w:trPr>
          <w:trHeight w:val="490"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406"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129,323.11</w:t>
            </w:r>
          </w:p>
        </w:tc>
        <w:tc>
          <w:tcPr>
            <w:tcW w:w="3121"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406"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20,103.39</w:t>
            </w:r>
          </w:p>
        </w:tc>
        <w:tc>
          <w:tcPr>
            <w:tcW w:w="3121" w:type="dxa"/>
            <w:tcBorders>
              <w:top w:val="single" w:sz="8" w:space="0" w:color="000000"/>
              <w:left w:val="single" w:sz="8" w:space="0" w:color="000000"/>
              <w:bottom w:val="single" w:sz="8" w:space="0" w:color="000000"/>
              <w:right w:val="single" w:sz="8" w:space="0" w:color="000000"/>
            </w:tcBorders>
          </w:tcPr>
          <w:p>
            <w:pPr/>
          </w:p>
        </w:tc>
      </w:tr>
      <w:tr>
        <w:trPr>
          <w:trHeight w:val="490" w:hRule="exact"/>
        </w:trPr>
        <w:tc>
          <w:tcPr>
            <w:tcW w:w="3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14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424,759.50</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95,573.05</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00" w:right="0"/>
        </w:sectPr>
      </w:pPr>
    </w:p>
    <w:p>
      <w:pPr>
        <w:spacing w:line="240" w:lineRule="auto" w:before="4"/>
        <w:rPr>
          <w:rFonts w:ascii="宋体" w:hAnsi="宋体" w:cs="宋体" w:eastAsia="宋体" w:hint="default"/>
          <w:b/>
          <w:bCs/>
          <w:sz w:val="25"/>
          <w:szCs w:val="25"/>
        </w:rPr>
      </w:pPr>
    </w:p>
    <w:p>
      <w:pPr>
        <w:pStyle w:val="Heading3"/>
        <w:spacing w:line="240" w:lineRule="auto" w:before="36"/>
        <w:ind w:left="253" w:right="0"/>
        <w:jc w:val="left"/>
        <w:rPr>
          <w:b w:val="0"/>
          <w:bCs w:val="0"/>
        </w:rPr>
      </w:pPr>
      <w:bookmarkStart w:name="（3）贷款损失准备情况" w:id="292"/>
      <w:bookmarkEnd w:id="292"/>
      <w:r>
        <w:rPr>
          <w:b w:val="0"/>
          <w:bCs w:val="0"/>
        </w:rPr>
      </w:r>
      <w:r>
        <w:rPr/>
        <w:t>（</w:t>
      </w:r>
      <w:r>
        <w:rPr>
          <w:rFonts w:ascii="Times New Roman" w:hAnsi="Times New Roman" w:cs="Times New Roman" w:eastAsia="Times New Roman" w:hint="default"/>
        </w:rPr>
        <w:t>3</w:t>
      </w:r>
      <w:r>
        <w:rPr/>
        <w:t>）贷款损失准备情况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253" w:right="0"/>
        <w:jc w:val="left"/>
        <w:rPr>
          <w:b w:val="0"/>
          <w:bCs w:val="0"/>
        </w:rPr>
      </w:pPr>
      <w:bookmarkStart w:name="1）贷款本金" w:id="293"/>
      <w:bookmarkEnd w:id="293"/>
      <w:r>
        <w:rPr>
          <w:b w:val="0"/>
          <w:bCs w:val="0"/>
        </w:rPr>
      </w:r>
      <w:r>
        <w:rPr>
          <w:rFonts w:ascii="Times New Roman" w:hAnsi="Times New Roman" w:cs="Times New Roman" w:eastAsia="Times New Roman" w:hint="default"/>
        </w:rPr>
        <w:t>1</w:t>
      </w:r>
      <w:r>
        <w:rPr/>
        <w:t>）贷款本金</w:t>
      </w:r>
      <w:r>
        <w:rPr>
          <w:b w:val="0"/>
          <w:bCs w:val="0"/>
        </w:rPr>
      </w:r>
    </w:p>
    <w:p>
      <w:pPr>
        <w:spacing w:line="240" w:lineRule="auto" w:before="12"/>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1808"/>
        <w:gridCol w:w="2137"/>
        <w:gridCol w:w="1316"/>
        <w:gridCol w:w="1796"/>
        <w:gridCol w:w="1921"/>
      </w:tblGrid>
      <w:tr>
        <w:trPr>
          <w:trHeight w:val="475" w:hRule="exact"/>
        </w:trPr>
        <w:tc>
          <w:tcPr>
            <w:tcW w:w="1808"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分类</w:t>
            </w:r>
            <w:r>
              <w:rPr>
                <w:rFonts w:ascii="宋体" w:hAnsi="宋体" w:cs="宋体" w:eastAsia="宋体" w:hint="default"/>
                <w:sz w:val="18"/>
                <w:szCs w:val="18"/>
              </w:rPr>
            </w:r>
          </w:p>
        </w:tc>
        <w:tc>
          <w:tcPr>
            <w:tcW w:w="7169" w:type="dxa"/>
            <w:gridSpan w:val="4"/>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965" w:hRule="exact"/>
        </w:trPr>
        <w:tc>
          <w:tcPr>
            <w:tcW w:w="1808" w:type="dxa"/>
            <w:vMerge/>
            <w:tcBorders>
              <w:left w:val="single" w:sz="8" w:space="0" w:color="000000"/>
              <w:bottom w:val="single" w:sz="8" w:space="0" w:color="000000"/>
              <w:right w:val="single" w:sz="8" w:space="0" w:color="000000"/>
            </w:tcBorders>
            <w:shd w:val="clear" w:color="auto" w:fill="D9D9D9"/>
          </w:tcPr>
          <w:p>
            <w:pPr/>
          </w:p>
        </w:tc>
        <w:tc>
          <w:tcPr>
            <w:tcW w:w="21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1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9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贷款损失准备</w:t>
            </w:r>
            <w:r>
              <w:rPr>
                <w:rFonts w:ascii="宋体" w:hAnsi="宋体" w:cs="宋体" w:eastAsia="宋体" w:hint="default"/>
                <w:sz w:val="18"/>
                <w:szCs w:val="18"/>
              </w:rPr>
            </w:r>
          </w:p>
        </w:tc>
        <w:tc>
          <w:tcPr>
            <w:tcW w:w="192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b/>
                <w:bCs/>
                <w:sz w:val="18"/>
                <w:szCs w:val="18"/>
              </w:rPr>
              <w:t>整个存续期预期信用</w:t>
            </w:r>
            <w:r>
              <w:rPr>
                <w:rFonts w:ascii="宋体" w:hAnsi="宋体" w:cs="宋体" w:eastAsia="宋体" w:hint="default"/>
                <w:sz w:val="18"/>
                <w:szCs w:val="18"/>
              </w:rPr>
            </w: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损失率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90" w:hRule="exact"/>
        </w:trPr>
        <w:tc>
          <w:tcPr>
            <w:tcW w:w="18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8" w:right="0"/>
              <w:jc w:val="center"/>
              <w:rPr>
                <w:rFonts w:ascii="Times New Roman" w:hAnsi="Times New Roman" w:cs="Times New Roman" w:eastAsia="Times New Roman" w:hint="default"/>
                <w:sz w:val="18"/>
                <w:szCs w:val="18"/>
              </w:rPr>
            </w:pPr>
            <w:r>
              <w:rPr>
                <w:rFonts w:ascii="Times New Roman"/>
                <w:sz w:val="18"/>
              </w:rPr>
              <w:t>46,356,164.86</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90.91</w:t>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 w:right="0"/>
              <w:jc w:val="center"/>
              <w:rPr>
                <w:rFonts w:ascii="Times New Roman" w:hAnsi="Times New Roman" w:cs="Times New Roman" w:eastAsia="Times New Roman" w:hint="default"/>
                <w:sz w:val="18"/>
                <w:szCs w:val="18"/>
              </w:rPr>
            </w:pPr>
            <w:r>
              <w:rPr>
                <w:rFonts w:ascii="Times New Roman"/>
                <w:sz w:val="18"/>
              </w:rPr>
              <w:t>695,342.47</w:t>
            </w:r>
          </w:p>
        </w:tc>
        <w:tc>
          <w:tcPr>
            <w:tcW w:w="19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1.50</w:t>
            </w:r>
          </w:p>
        </w:tc>
      </w:tr>
      <w:tr>
        <w:trPr>
          <w:trHeight w:val="490" w:hRule="exact"/>
        </w:trPr>
        <w:tc>
          <w:tcPr>
            <w:tcW w:w="18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171,565.66</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0.34</w:t>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5,146.97</w:t>
            </w:r>
          </w:p>
        </w:tc>
        <w:tc>
          <w:tcPr>
            <w:tcW w:w="19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3.00</w:t>
            </w:r>
          </w:p>
        </w:tc>
      </w:tr>
      <w:tr>
        <w:trPr>
          <w:trHeight w:val="485" w:hRule="exact"/>
        </w:trPr>
        <w:tc>
          <w:tcPr>
            <w:tcW w:w="18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1,535,062.62</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3.01</w:t>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460,518.79</w:t>
            </w:r>
          </w:p>
        </w:tc>
        <w:tc>
          <w:tcPr>
            <w:tcW w:w="19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30.00</w:t>
            </w:r>
          </w:p>
        </w:tc>
      </w:tr>
      <w:tr>
        <w:trPr>
          <w:trHeight w:val="490" w:hRule="exact"/>
        </w:trPr>
        <w:tc>
          <w:tcPr>
            <w:tcW w:w="18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4" w:right="0"/>
              <w:jc w:val="center"/>
              <w:rPr>
                <w:rFonts w:ascii="Times New Roman" w:hAnsi="Times New Roman" w:cs="Times New Roman" w:eastAsia="Times New Roman" w:hint="default"/>
                <w:sz w:val="18"/>
                <w:szCs w:val="18"/>
              </w:rPr>
            </w:pPr>
            <w:r>
              <w:rPr>
                <w:rFonts w:ascii="Times New Roman"/>
                <w:sz w:val="18"/>
              </w:rPr>
              <w:t>2,657,365.62</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4" w:right="0"/>
              <w:jc w:val="center"/>
              <w:rPr>
                <w:rFonts w:ascii="Times New Roman" w:hAnsi="Times New Roman" w:cs="Times New Roman" w:eastAsia="Times New Roman" w:hint="default"/>
                <w:sz w:val="18"/>
                <w:szCs w:val="18"/>
              </w:rPr>
            </w:pPr>
            <w:r>
              <w:rPr>
                <w:rFonts w:ascii="Times New Roman"/>
                <w:sz w:val="18"/>
              </w:rPr>
              <w:t>5.21</w:t>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8" w:right="0"/>
              <w:jc w:val="center"/>
              <w:rPr>
                <w:rFonts w:ascii="Times New Roman" w:hAnsi="Times New Roman" w:cs="Times New Roman" w:eastAsia="Times New Roman" w:hint="default"/>
                <w:sz w:val="18"/>
                <w:szCs w:val="18"/>
              </w:rPr>
            </w:pPr>
            <w:r>
              <w:rPr>
                <w:rFonts w:ascii="Times New Roman"/>
                <w:sz w:val="18"/>
              </w:rPr>
              <w:t>1,594,419.37</w:t>
            </w:r>
          </w:p>
        </w:tc>
        <w:tc>
          <w:tcPr>
            <w:tcW w:w="19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4" w:right="0"/>
              <w:jc w:val="center"/>
              <w:rPr>
                <w:rFonts w:ascii="Times New Roman" w:hAnsi="Times New Roman" w:cs="Times New Roman" w:eastAsia="Times New Roman" w:hint="default"/>
                <w:sz w:val="18"/>
                <w:szCs w:val="18"/>
              </w:rPr>
            </w:pPr>
            <w:r>
              <w:rPr>
                <w:rFonts w:ascii="Times New Roman"/>
                <w:sz w:val="18"/>
              </w:rPr>
              <w:t>60.00</w:t>
            </w:r>
          </w:p>
        </w:tc>
      </w:tr>
      <w:tr>
        <w:trPr>
          <w:trHeight w:val="490" w:hRule="exact"/>
        </w:trPr>
        <w:tc>
          <w:tcPr>
            <w:tcW w:w="18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270,314.01</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0.53</w:t>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270,314.01</w:t>
            </w:r>
          </w:p>
        </w:tc>
        <w:tc>
          <w:tcPr>
            <w:tcW w:w="19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100.00</w:t>
            </w:r>
          </w:p>
        </w:tc>
      </w:tr>
      <w:tr>
        <w:trPr>
          <w:trHeight w:val="490" w:hRule="exact"/>
        </w:trPr>
        <w:tc>
          <w:tcPr>
            <w:tcW w:w="18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8" w:right="0"/>
              <w:jc w:val="center"/>
              <w:rPr>
                <w:rFonts w:ascii="Times New Roman" w:hAnsi="Times New Roman" w:cs="Times New Roman" w:eastAsia="Times New Roman" w:hint="default"/>
                <w:sz w:val="18"/>
                <w:szCs w:val="18"/>
              </w:rPr>
            </w:pPr>
            <w:r>
              <w:rPr>
                <w:rFonts w:ascii="Times New Roman"/>
                <w:sz w:val="18"/>
              </w:rPr>
              <w:t>50,990,472.77</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100.00</w:t>
            </w:r>
          </w:p>
        </w:tc>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8" w:right="0"/>
              <w:jc w:val="center"/>
              <w:rPr>
                <w:rFonts w:ascii="Times New Roman" w:hAnsi="Times New Roman" w:cs="Times New Roman" w:eastAsia="Times New Roman" w:hint="default"/>
                <w:sz w:val="18"/>
                <w:szCs w:val="18"/>
              </w:rPr>
            </w:pPr>
            <w:r>
              <w:rPr>
                <w:rFonts w:ascii="Times New Roman"/>
                <w:sz w:val="18"/>
              </w:rPr>
              <w:t>3,025,741.61</w:t>
            </w:r>
          </w:p>
        </w:tc>
        <w:tc>
          <w:tcPr>
            <w:tcW w:w="192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left="253" w:right="0"/>
        <w:jc w:val="left"/>
        <w:rPr>
          <w:b w:val="0"/>
          <w:bCs w:val="0"/>
        </w:rPr>
      </w:pPr>
      <w:bookmarkStart w:name="2）贷款利息" w:id="294"/>
      <w:bookmarkEnd w:id="294"/>
      <w:r>
        <w:rPr>
          <w:b w:val="0"/>
          <w:bCs w:val="0"/>
        </w:rPr>
      </w:r>
      <w:r>
        <w:rPr>
          <w:rFonts w:ascii="Times New Roman" w:hAnsi="Times New Roman" w:cs="Times New Roman" w:eastAsia="Times New Roman" w:hint="default"/>
        </w:rPr>
        <w:t>2</w:t>
      </w:r>
      <w:r>
        <w:rPr/>
        <w:t>）贷款利息</w:t>
      </w:r>
      <w:r>
        <w:rPr>
          <w:b w:val="0"/>
          <w:bCs w:val="0"/>
        </w:rPr>
      </w:r>
    </w:p>
    <w:p>
      <w:pPr>
        <w:spacing w:line="240" w:lineRule="auto" w:before="7"/>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810"/>
        <w:gridCol w:w="2137"/>
        <w:gridCol w:w="1316"/>
        <w:gridCol w:w="1863"/>
        <w:gridCol w:w="1921"/>
      </w:tblGrid>
      <w:tr>
        <w:trPr>
          <w:trHeight w:val="475" w:hRule="exact"/>
        </w:trPr>
        <w:tc>
          <w:tcPr>
            <w:tcW w:w="1810" w:type="dxa"/>
            <w:tcBorders>
              <w:top w:val="single" w:sz="4" w:space="0" w:color="000000"/>
              <w:left w:val="single" w:sz="4" w:space="0" w:color="000000"/>
              <w:bottom w:val="nil" w:sz="6" w:space="0" w:color="auto"/>
              <w:right w:val="single" w:sz="4" w:space="0" w:color="000000"/>
            </w:tcBorders>
            <w:shd w:val="clear" w:color="auto" w:fill="D9D9D9"/>
          </w:tcPr>
          <w:p>
            <w:pPr/>
          </w:p>
        </w:tc>
        <w:tc>
          <w:tcPr>
            <w:tcW w:w="7236"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946" w:hRule="exact"/>
        </w:trPr>
        <w:tc>
          <w:tcPr>
            <w:tcW w:w="1810"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b/>
                <w:bCs/>
                <w:sz w:val="18"/>
                <w:szCs w:val="18"/>
              </w:rPr>
              <w:t>分类</w:t>
            </w:r>
            <w:r>
              <w:rPr>
                <w:rFonts w:ascii="宋体" w:hAnsi="宋体" w:cs="宋体" w:eastAsia="宋体" w:hint="default"/>
                <w:sz w:val="18"/>
                <w:szCs w:val="18"/>
              </w:rPr>
            </w:r>
          </w:p>
        </w:tc>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贷款损失准备</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9" w:right="0"/>
              <w:jc w:val="center"/>
              <w:rPr>
                <w:rFonts w:ascii="宋体" w:hAnsi="宋体" w:cs="宋体" w:eastAsia="宋体" w:hint="default"/>
                <w:sz w:val="18"/>
                <w:szCs w:val="18"/>
              </w:rPr>
            </w:pPr>
            <w:r>
              <w:rPr>
                <w:rFonts w:ascii="宋体" w:hAnsi="宋体" w:cs="宋体" w:eastAsia="宋体" w:hint="default"/>
                <w:b/>
                <w:bCs/>
                <w:sz w:val="18"/>
                <w:szCs w:val="18"/>
              </w:rPr>
              <w:t>整个存续期预期信用</w:t>
            </w:r>
            <w:r>
              <w:rPr>
                <w:rFonts w:ascii="宋体" w:hAnsi="宋体" w:cs="宋体" w:eastAsia="宋体" w:hint="default"/>
                <w:sz w:val="18"/>
                <w:szCs w:val="18"/>
              </w:rPr>
            </w: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损失率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80" w:hRule="exact"/>
        </w:trPr>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234,998.53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55.33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9" w:right="0"/>
              <w:jc w:val="center"/>
              <w:rPr>
                <w:rFonts w:ascii="Times New Roman" w:hAnsi="Times New Roman" w:cs="Times New Roman" w:eastAsia="Times New Roman" w:hint="default"/>
                <w:sz w:val="18"/>
                <w:szCs w:val="18"/>
              </w:rPr>
            </w:pPr>
            <w:r>
              <w:rPr>
                <w:rFonts w:ascii="Times New Roman"/>
                <w:sz w:val="18"/>
              </w:rPr>
              <w:t>3,524.98</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1.50</w:t>
            </w:r>
          </w:p>
        </w:tc>
      </w:tr>
      <w:tr>
        <w:trPr>
          <w:trHeight w:val="480" w:hRule="exact"/>
        </w:trPr>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4,119.03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0.97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 w:right="0"/>
              <w:jc w:val="center"/>
              <w:rPr>
                <w:rFonts w:ascii="Times New Roman" w:hAnsi="Times New Roman" w:cs="Times New Roman" w:eastAsia="Times New Roman" w:hint="default"/>
                <w:sz w:val="18"/>
                <w:szCs w:val="18"/>
              </w:rPr>
            </w:pPr>
            <w:r>
              <w:rPr>
                <w:rFonts w:ascii="Times New Roman"/>
                <w:sz w:val="18"/>
              </w:rPr>
              <w:t>123.57</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3.00</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36,215.44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8.53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10,864.63</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30.00</w:t>
            </w:r>
          </w:p>
        </w:tc>
      </w:tr>
      <w:tr>
        <w:trPr>
          <w:trHeight w:val="481" w:hRule="exact"/>
        </w:trPr>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 w:right="0"/>
              <w:jc w:val="center"/>
              <w:rPr>
                <w:rFonts w:ascii="Times New Roman" w:hAnsi="Times New Roman" w:cs="Times New Roman" w:eastAsia="Times New Roman" w:hint="default"/>
                <w:sz w:val="18"/>
                <w:szCs w:val="18"/>
              </w:rPr>
            </w:pPr>
            <w:r>
              <w:rPr>
                <w:rFonts w:ascii="Times New Roman"/>
                <w:sz w:val="18"/>
              </w:rPr>
              <w:t>129,323.11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 w:right="0"/>
              <w:jc w:val="center"/>
              <w:rPr>
                <w:rFonts w:ascii="Times New Roman" w:hAnsi="Times New Roman" w:cs="Times New Roman" w:eastAsia="Times New Roman" w:hint="default"/>
                <w:sz w:val="18"/>
                <w:szCs w:val="18"/>
              </w:rPr>
            </w:pPr>
            <w:r>
              <w:rPr>
                <w:rFonts w:ascii="Times New Roman"/>
                <w:sz w:val="18"/>
              </w:rPr>
              <w:t>30.45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 w:right="0"/>
              <w:jc w:val="center"/>
              <w:rPr>
                <w:rFonts w:ascii="Times New Roman" w:hAnsi="Times New Roman" w:cs="Times New Roman" w:eastAsia="Times New Roman" w:hint="default"/>
                <w:sz w:val="18"/>
                <w:szCs w:val="18"/>
              </w:rPr>
            </w:pPr>
            <w:r>
              <w:rPr>
                <w:rFonts w:ascii="Times New Roman"/>
                <w:sz w:val="18"/>
              </w:rPr>
              <w:t>77,593.87</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 w:right="0"/>
              <w:jc w:val="center"/>
              <w:rPr>
                <w:rFonts w:ascii="Times New Roman" w:hAnsi="Times New Roman" w:cs="Times New Roman" w:eastAsia="Times New Roman" w:hint="default"/>
                <w:sz w:val="18"/>
                <w:szCs w:val="18"/>
              </w:rPr>
            </w:pPr>
            <w:r>
              <w:rPr>
                <w:rFonts w:ascii="Times New Roman"/>
                <w:sz w:val="18"/>
              </w:rPr>
              <w:t>60.00</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20,103.39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4.72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20,103.39</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100.00</w:t>
            </w:r>
          </w:p>
        </w:tc>
      </w:tr>
      <w:tr>
        <w:trPr>
          <w:trHeight w:val="480" w:hRule="exact"/>
        </w:trPr>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424,759.50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9" w:right="0"/>
              <w:jc w:val="center"/>
              <w:rPr>
                <w:rFonts w:ascii="Times New Roman" w:hAnsi="Times New Roman" w:cs="Times New Roman" w:eastAsia="Times New Roman" w:hint="default"/>
                <w:sz w:val="18"/>
                <w:szCs w:val="18"/>
              </w:rPr>
            </w:pPr>
            <w:r>
              <w:rPr>
                <w:rFonts w:ascii="Times New Roman"/>
                <w:sz w:val="18"/>
              </w:rPr>
              <w:t>100.00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9" w:right="0"/>
              <w:jc w:val="center"/>
              <w:rPr>
                <w:rFonts w:ascii="Times New Roman" w:hAnsi="Times New Roman" w:cs="Times New Roman" w:eastAsia="Times New Roman" w:hint="default"/>
                <w:sz w:val="18"/>
                <w:szCs w:val="18"/>
              </w:rPr>
            </w:pPr>
            <w:r>
              <w:rPr>
                <w:rFonts w:ascii="Times New Roman"/>
                <w:sz w:val="18"/>
              </w:rPr>
              <w:t>112,210.44</w:t>
            </w:r>
          </w:p>
        </w:tc>
        <w:tc>
          <w:tcPr>
            <w:tcW w:w="19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left="253" w:right="0"/>
        <w:jc w:val="left"/>
      </w:pPr>
      <w:r>
        <w:rPr/>
        <w:t>续前表：</w:t>
      </w:r>
    </w:p>
    <w:p>
      <w:pPr>
        <w:spacing w:line="240" w:lineRule="auto" w:before="9"/>
        <w:rPr>
          <w:rFonts w:ascii="宋体" w:hAnsi="宋体" w:cs="宋体" w:eastAsia="宋体" w:hint="default"/>
          <w:sz w:val="26"/>
          <w:szCs w:val="26"/>
        </w:rPr>
      </w:pPr>
    </w:p>
    <w:p>
      <w:pPr>
        <w:pStyle w:val="Heading3"/>
        <w:spacing w:line="240" w:lineRule="auto"/>
        <w:ind w:left="253" w:right="0"/>
        <w:jc w:val="left"/>
        <w:rPr>
          <w:b w:val="0"/>
          <w:bCs w:val="0"/>
        </w:rPr>
      </w:pPr>
      <w:r>
        <w:rPr>
          <w:rFonts w:ascii="宋体" w:hAnsi="宋体" w:cs="宋体" w:eastAsia="宋体" w:hint="default"/>
        </w:rPr>
        <w:t>1</w:t>
      </w:r>
      <w:r>
        <w:rPr/>
        <w:t>）贷款本金</w:t>
      </w:r>
      <w:r>
        <w:rPr>
          <w:b w:val="0"/>
          <w:bCs w:val="0"/>
        </w:rPr>
      </w:r>
    </w:p>
    <w:p>
      <w:pPr>
        <w:spacing w:line="240" w:lineRule="auto" w:before="12"/>
        <w:rPr>
          <w:rFonts w:ascii="宋体" w:hAnsi="宋体" w:cs="宋体" w:eastAsia="宋体" w:hint="default"/>
          <w:b/>
          <w:bCs/>
          <w:sz w:val="26"/>
          <w:szCs w:val="26"/>
        </w:rPr>
      </w:pPr>
    </w:p>
    <w:tbl>
      <w:tblPr>
        <w:tblW w:w="0" w:type="auto"/>
        <w:jc w:val="left"/>
        <w:tblInd w:w="102" w:type="dxa"/>
        <w:tblLayout w:type="fixed"/>
        <w:tblCellMar>
          <w:top w:w="0" w:type="dxa"/>
          <w:left w:w="0" w:type="dxa"/>
          <w:bottom w:w="0" w:type="dxa"/>
          <w:right w:w="0" w:type="dxa"/>
        </w:tblCellMar>
        <w:tblLook w:val="01E0"/>
      </w:tblPr>
      <w:tblGrid>
        <w:gridCol w:w="1841"/>
        <w:gridCol w:w="2137"/>
        <w:gridCol w:w="1316"/>
        <w:gridCol w:w="1863"/>
        <w:gridCol w:w="1921"/>
      </w:tblGrid>
      <w:tr>
        <w:trPr>
          <w:trHeight w:val="478" w:hRule="exact"/>
        </w:trPr>
        <w:tc>
          <w:tcPr>
            <w:tcW w:w="1841"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b/>
                <w:bCs/>
                <w:sz w:val="18"/>
                <w:szCs w:val="18"/>
              </w:rPr>
              <w:t>分类</w:t>
            </w:r>
            <w:r>
              <w:rPr>
                <w:rFonts w:ascii="宋体" w:hAnsi="宋体" w:cs="宋体" w:eastAsia="宋体" w:hint="default"/>
                <w:sz w:val="18"/>
                <w:szCs w:val="18"/>
              </w:rPr>
            </w:r>
          </w:p>
        </w:tc>
        <w:tc>
          <w:tcPr>
            <w:tcW w:w="7236" w:type="dxa"/>
            <w:gridSpan w:val="4"/>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4"/>
              <w:ind w:left="4"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500" w:hRule="exact"/>
        </w:trPr>
        <w:tc>
          <w:tcPr>
            <w:tcW w:w="1841" w:type="dxa"/>
            <w:vMerge/>
            <w:tcBorders>
              <w:left w:val="single" w:sz="8" w:space="0" w:color="000000"/>
              <w:bottom w:val="single" w:sz="8" w:space="0" w:color="000000"/>
              <w:right w:val="single" w:sz="8" w:space="0" w:color="000000"/>
            </w:tcBorders>
            <w:shd w:val="clear" w:color="auto" w:fill="D9D9D9"/>
          </w:tcPr>
          <w:p>
            <w:pPr/>
          </w:p>
        </w:tc>
        <w:tc>
          <w:tcPr>
            <w:tcW w:w="21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1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left="4"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6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left="4" w:right="0"/>
              <w:jc w:val="center"/>
              <w:rPr>
                <w:rFonts w:ascii="宋体" w:hAnsi="宋体" w:cs="宋体" w:eastAsia="宋体" w:hint="default"/>
                <w:sz w:val="18"/>
                <w:szCs w:val="18"/>
              </w:rPr>
            </w:pPr>
            <w:r>
              <w:rPr>
                <w:rFonts w:ascii="宋体" w:hAnsi="宋体" w:cs="宋体" w:eastAsia="宋体" w:hint="default"/>
                <w:b/>
                <w:bCs/>
                <w:sz w:val="18"/>
                <w:szCs w:val="18"/>
              </w:rPr>
              <w:t>贷款损失准备</w:t>
            </w:r>
            <w:r>
              <w:rPr>
                <w:rFonts w:ascii="宋体" w:hAnsi="宋体" w:cs="宋体" w:eastAsia="宋体" w:hint="default"/>
                <w:sz w:val="18"/>
                <w:szCs w:val="18"/>
              </w:rPr>
            </w:r>
          </w:p>
        </w:tc>
        <w:tc>
          <w:tcPr>
            <w:tcW w:w="192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left="5"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90" w:hRule="exact"/>
        </w:trPr>
        <w:tc>
          <w:tcPr>
            <w:tcW w:w="18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6"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6,931,584.83</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83.42</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103,973.77</w:t>
            </w:r>
          </w:p>
        </w:tc>
        <w:tc>
          <w:tcPr>
            <w:tcW w:w="19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1.50</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880" w:right="0"/>
        </w:sectPr>
      </w:pPr>
    </w:p>
    <w:p>
      <w:pPr>
        <w:spacing w:line="240" w:lineRule="auto" w:before="11"/>
        <w:rPr>
          <w:rFonts w:ascii="宋体" w:hAnsi="宋体" w:cs="宋体" w:eastAsia="宋体" w:hint="default"/>
          <w:b/>
          <w:bCs/>
          <w:sz w:val="28"/>
          <w:szCs w:val="28"/>
        </w:rPr>
      </w:pPr>
    </w:p>
    <w:tbl>
      <w:tblPr>
        <w:tblW w:w="0" w:type="auto"/>
        <w:jc w:val="left"/>
        <w:tblInd w:w="102" w:type="dxa"/>
        <w:tblLayout w:type="fixed"/>
        <w:tblCellMar>
          <w:top w:w="0" w:type="dxa"/>
          <w:left w:w="0" w:type="dxa"/>
          <w:bottom w:w="0" w:type="dxa"/>
          <w:right w:w="0" w:type="dxa"/>
        </w:tblCellMar>
        <w:tblLook w:val="01E0"/>
      </w:tblPr>
      <w:tblGrid>
        <w:gridCol w:w="1841"/>
        <w:gridCol w:w="2137"/>
        <w:gridCol w:w="1316"/>
        <w:gridCol w:w="1863"/>
        <w:gridCol w:w="1921"/>
      </w:tblGrid>
      <w:tr>
        <w:trPr>
          <w:trHeight w:val="490" w:hRule="exact"/>
        </w:trPr>
        <w:tc>
          <w:tcPr>
            <w:tcW w:w="18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right="723"/>
              <w:jc w:val="right"/>
              <w:rPr>
                <w:rFonts w:ascii="宋体" w:hAnsi="宋体" w:cs="宋体" w:eastAsia="宋体" w:hint="default"/>
                <w:sz w:val="18"/>
                <w:szCs w:val="18"/>
              </w:rPr>
            </w:pPr>
            <w:r>
              <w:rPr>
                <w:rFonts w:ascii="宋体" w:hAnsi="宋体" w:cs="宋体" w:eastAsia="宋体" w:hint="default"/>
                <w:sz w:val="18"/>
                <w:szCs w:val="18"/>
              </w:rPr>
              <w:t>关注</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1,043,268.22</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12.56</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561" w:right="0"/>
              <w:jc w:val="left"/>
              <w:rPr>
                <w:rFonts w:ascii="Times New Roman" w:hAnsi="Times New Roman" w:cs="Times New Roman" w:eastAsia="Times New Roman" w:hint="default"/>
                <w:sz w:val="18"/>
                <w:szCs w:val="18"/>
              </w:rPr>
            </w:pPr>
            <w:r>
              <w:rPr>
                <w:rFonts w:ascii="Times New Roman"/>
                <w:sz w:val="18"/>
              </w:rPr>
              <w:t>31,298.05</w:t>
            </w:r>
          </w:p>
        </w:tc>
        <w:tc>
          <w:tcPr>
            <w:tcW w:w="19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792" w:right="0"/>
              <w:jc w:val="left"/>
              <w:rPr>
                <w:rFonts w:ascii="Times New Roman" w:hAnsi="Times New Roman" w:cs="Times New Roman" w:eastAsia="Times New Roman" w:hint="default"/>
                <w:sz w:val="18"/>
                <w:szCs w:val="18"/>
              </w:rPr>
            </w:pPr>
            <w:r>
              <w:rPr>
                <w:rFonts w:ascii="Times New Roman"/>
                <w:sz w:val="18"/>
              </w:rPr>
              <w:t>3.00</w:t>
            </w:r>
          </w:p>
        </w:tc>
      </w:tr>
      <w:tr>
        <w:trPr>
          <w:trHeight w:val="485" w:hRule="exact"/>
        </w:trPr>
        <w:tc>
          <w:tcPr>
            <w:tcW w:w="18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right="723"/>
              <w:jc w:val="right"/>
              <w:rPr>
                <w:rFonts w:ascii="宋体" w:hAnsi="宋体" w:cs="宋体" w:eastAsia="宋体" w:hint="default"/>
                <w:sz w:val="18"/>
                <w:szCs w:val="18"/>
              </w:rPr>
            </w:pPr>
            <w:r>
              <w:rPr>
                <w:rFonts w:ascii="宋体" w:hAnsi="宋体" w:cs="宋体" w:eastAsia="宋体" w:hint="default"/>
                <w:sz w:val="18"/>
                <w:szCs w:val="18"/>
              </w:rPr>
              <w:t>次级</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333,794.00</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4.02</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518" w:right="0"/>
              <w:jc w:val="left"/>
              <w:rPr>
                <w:rFonts w:ascii="Times New Roman" w:hAnsi="Times New Roman" w:cs="Times New Roman" w:eastAsia="Times New Roman" w:hint="default"/>
                <w:sz w:val="18"/>
                <w:szCs w:val="18"/>
              </w:rPr>
            </w:pPr>
            <w:r>
              <w:rPr>
                <w:rFonts w:ascii="Times New Roman"/>
                <w:sz w:val="18"/>
              </w:rPr>
              <w:t>100,138.20</w:t>
            </w:r>
          </w:p>
        </w:tc>
        <w:tc>
          <w:tcPr>
            <w:tcW w:w="19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749" w:right="0"/>
              <w:jc w:val="left"/>
              <w:rPr>
                <w:rFonts w:ascii="Times New Roman" w:hAnsi="Times New Roman" w:cs="Times New Roman" w:eastAsia="Times New Roman" w:hint="default"/>
                <w:sz w:val="18"/>
                <w:szCs w:val="18"/>
              </w:rPr>
            </w:pPr>
            <w:r>
              <w:rPr>
                <w:rFonts w:ascii="Times New Roman"/>
                <w:sz w:val="18"/>
              </w:rPr>
              <w:t>30.00</w:t>
            </w:r>
          </w:p>
        </w:tc>
      </w:tr>
      <w:tr>
        <w:trPr>
          <w:trHeight w:val="490" w:hRule="exact"/>
        </w:trPr>
        <w:tc>
          <w:tcPr>
            <w:tcW w:w="18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right="723"/>
              <w:jc w:val="right"/>
              <w:rPr>
                <w:rFonts w:ascii="宋体" w:hAnsi="宋体" w:cs="宋体" w:eastAsia="宋体" w:hint="default"/>
                <w:sz w:val="18"/>
                <w:szCs w:val="18"/>
              </w:rPr>
            </w:pPr>
            <w:r>
              <w:rPr>
                <w:rFonts w:ascii="宋体" w:hAnsi="宋体" w:cs="宋体" w:eastAsia="宋体" w:hint="default"/>
                <w:sz w:val="18"/>
                <w:szCs w:val="18"/>
              </w:rPr>
              <w:t>可疑</w:t>
            </w:r>
          </w:p>
        </w:tc>
        <w:tc>
          <w:tcPr>
            <w:tcW w:w="2137"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c>
          <w:tcPr>
            <w:tcW w:w="1863" w:type="dxa"/>
            <w:tcBorders>
              <w:top w:val="single" w:sz="8" w:space="0" w:color="000000"/>
              <w:left w:val="single" w:sz="8" w:space="0" w:color="000000"/>
              <w:bottom w:val="single" w:sz="8" w:space="0" w:color="000000"/>
              <w:right w:val="single" w:sz="8" w:space="0" w:color="000000"/>
            </w:tcBorders>
          </w:tcPr>
          <w:p>
            <w:pPr/>
          </w:p>
        </w:tc>
        <w:tc>
          <w:tcPr>
            <w:tcW w:w="1921" w:type="dxa"/>
            <w:tcBorders>
              <w:top w:val="single" w:sz="8" w:space="0" w:color="000000"/>
              <w:left w:val="single" w:sz="8" w:space="0" w:color="000000"/>
              <w:bottom w:val="single" w:sz="8" w:space="0" w:color="000000"/>
              <w:right w:val="single" w:sz="8" w:space="0" w:color="000000"/>
            </w:tcBorders>
          </w:tcPr>
          <w:p>
            <w:pPr/>
          </w:p>
        </w:tc>
      </w:tr>
      <w:tr>
        <w:trPr>
          <w:trHeight w:val="490" w:hRule="exact"/>
        </w:trPr>
        <w:tc>
          <w:tcPr>
            <w:tcW w:w="18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right="723"/>
              <w:jc w:val="right"/>
              <w:rPr>
                <w:rFonts w:ascii="宋体" w:hAnsi="宋体" w:cs="宋体" w:eastAsia="宋体" w:hint="default"/>
                <w:sz w:val="18"/>
                <w:szCs w:val="18"/>
              </w:rPr>
            </w:pPr>
            <w:r>
              <w:rPr>
                <w:rFonts w:ascii="宋体" w:hAnsi="宋体" w:cs="宋体" w:eastAsia="宋体" w:hint="default"/>
                <w:sz w:val="18"/>
                <w:szCs w:val="18"/>
              </w:rPr>
              <w:t>损失</w:t>
            </w:r>
          </w:p>
        </w:tc>
        <w:tc>
          <w:tcPr>
            <w:tcW w:w="2137"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c>
          <w:tcPr>
            <w:tcW w:w="1863" w:type="dxa"/>
            <w:tcBorders>
              <w:top w:val="single" w:sz="8" w:space="0" w:color="000000"/>
              <w:left w:val="single" w:sz="8" w:space="0" w:color="000000"/>
              <w:bottom w:val="single" w:sz="8" w:space="0" w:color="000000"/>
              <w:right w:val="single" w:sz="8" w:space="0" w:color="000000"/>
            </w:tcBorders>
          </w:tcPr>
          <w:p>
            <w:pPr/>
          </w:p>
        </w:tc>
        <w:tc>
          <w:tcPr>
            <w:tcW w:w="1921"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18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right="72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8,308,647.05</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100.00</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518" w:right="0"/>
              <w:jc w:val="left"/>
              <w:rPr>
                <w:rFonts w:ascii="Times New Roman" w:hAnsi="Times New Roman" w:cs="Times New Roman" w:eastAsia="Times New Roman" w:hint="default"/>
                <w:sz w:val="18"/>
                <w:szCs w:val="18"/>
              </w:rPr>
            </w:pPr>
            <w:r>
              <w:rPr>
                <w:rFonts w:ascii="Times New Roman"/>
                <w:sz w:val="18"/>
              </w:rPr>
              <w:t>235,410.02</w:t>
            </w:r>
          </w:p>
        </w:tc>
        <w:tc>
          <w:tcPr>
            <w:tcW w:w="192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11"/>
        <w:rPr>
          <w:rFonts w:ascii="宋体" w:hAnsi="宋体" w:cs="宋体" w:eastAsia="宋体" w:hint="default"/>
          <w:b/>
          <w:bCs/>
          <w:sz w:val="18"/>
          <w:szCs w:val="18"/>
        </w:rPr>
      </w:pPr>
    </w:p>
    <w:p>
      <w:pPr>
        <w:pStyle w:val="Heading3"/>
        <w:spacing w:line="240" w:lineRule="auto" w:before="36"/>
        <w:ind w:left="253" w:right="0"/>
        <w:jc w:val="left"/>
        <w:rPr>
          <w:b w:val="0"/>
          <w:bCs w:val="0"/>
        </w:rPr>
      </w:pPr>
      <w:r>
        <w:rPr>
          <w:rFonts w:ascii="宋体" w:hAnsi="宋体" w:cs="宋体" w:eastAsia="宋体" w:hint="default"/>
        </w:rPr>
        <w:t>2</w:t>
      </w:r>
      <w:r>
        <w:rPr/>
        <w:t>）贷款利息</w:t>
      </w:r>
      <w:r>
        <w:rPr>
          <w:b w:val="0"/>
          <w:bCs w:val="0"/>
        </w:rPr>
      </w:r>
    </w:p>
    <w:p>
      <w:pPr>
        <w:spacing w:line="240" w:lineRule="auto" w:before="4"/>
        <w:rPr>
          <w:rFonts w:ascii="宋体" w:hAnsi="宋体" w:cs="宋体" w:eastAsia="宋体" w:hint="default"/>
          <w:b/>
          <w:bCs/>
          <w:sz w:val="27"/>
          <w:szCs w:val="27"/>
        </w:rPr>
      </w:pPr>
    </w:p>
    <w:tbl>
      <w:tblPr>
        <w:tblW w:w="0" w:type="auto"/>
        <w:jc w:val="left"/>
        <w:tblInd w:w="133" w:type="dxa"/>
        <w:tblLayout w:type="fixed"/>
        <w:tblCellMar>
          <w:top w:w="0" w:type="dxa"/>
          <w:left w:w="0" w:type="dxa"/>
          <w:bottom w:w="0" w:type="dxa"/>
          <w:right w:w="0" w:type="dxa"/>
        </w:tblCellMar>
        <w:tblLook w:val="01E0"/>
      </w:tblPr>
      <w:tblGrid>
        <w:gridCol w:w="1810"/>
        <w:gridCol w:w="2137"/>
        <w:gridCol w:w="1316"/>
        <w:gridCol w:w="1863"/>
        <w:gridCol w:w="1921"/>
      </w:tblGrid>
      <w:tr>
        <w:trPr>
          <w:trHeight w:val="478" w:hRule="exact"/>
        </w:trPr>
        <w:tc>
          <w:tcPr>
            <w:tcW w:w="1810"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分类</w:t>
            </w:r>
            <w:r>
              <w:rPr>
                <w:rFonts w:ascii="宋体" w:hAnsi="宋体" w:cs="宋体" w:eastAsia="宋体" w:hint="default"/>
                <w:sz w:val="18"/>
                <w:szCs w:val="18"/>
              </w:rPr>
            </w:r>
          </w:p>
        </w:tc>
        <w:tc>
          <w:tcPr>
            <w:tcW w:w="7236" w:type="dxa"/>
            <w:gridSpan w:val="4"/>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4"/>
              <w:ind w:left="4"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9" w:hRule="exact"/>
        </w:trPr>
        <w:tc>
          <w:tcPr>
            <w:tcW w:w="1810" w:type="dxa"/>
            <w:vMerge/>
            <w:tcBorders>
              <w:left w:val="single" w:sz="8" w:space="0" w:color="000000"/>
              <w:bottom w:val="single" w:sz="8" w:space="0" w:color="000000"/>
              <w:right w:val="single" w:sz="8" w:space="0" w:color="000000"/>
            </w:tcBorders>
            <w:shd w:val="clear" w:color="auto" w:fill="D9D9D9"/>
          </w:tcPr>
          <w:p>
            <w:pPr/>
          </w:p>
        </w:tc>
        <w:tc>
          <w:tcPr>
            <w:tcW w:w="21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1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1"/>
              <w:ind w:left="37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6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b/>
                <w:bCs/>
                <w:sz w:val="18"/>
                <w:szCs w:val="18"/>
              </w:rPr>
              <w:t>贷款损失准备</w:t>
            </w:r>
            <w:r>
              <w:rPr>
                <w:rFonts w:ascii="宋体" w:hAnsi="宋体" w:cs="宋体" w:eastAsia="宋体" w:hint="default"/>
                <w:sz w:val="18"/>
                <w:szCs w:val="18"/>
              </w:rPr>
            </w:r>
          </w:p>
        </w:tc>
        <w:tc>
          <w:tcPr>
            <w:tcW w:w="192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1"/>
              <w:ind w:left="5"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85" w:hRule="exact"/>
        </w:trPr>
        <w:tc>
          <w:tcPr>
            <w:tcW w:w="18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9" w:right="0"/>
              <w:jc w:val="center"/>
              <w:rPr>
                <w:rFonts w:ascii="Times New Roman" w:hAnsi="Times New Roman" w:cs="Times New Roman" w:eastAsia="Times New Roman" w:hint="default"/>
                <w:sz w:val="18"/>
                <w:szCs w:val="18"/>
              </w:rPr>
            </w:pPr>
            <w:r>
              <w:rPr>
                <w:rFonts w:ascii="Times New Roman"/>
                <w:sz w:val="18"/>
              </w:rPr>
              <w:t>57,733.64</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369" w:right="0"/>
              <w:jc w:val="left"/>
              <w:rPr>
                <w:rFonts w:ascii="Times New Roman" w:hAnsi="Times New Roman" w:cs="Times New Roman" w:eastAsia="Times New Roman" w:hint="default"/>
                <w:sz w:val="18"/>
                <w:szCs w:val="18"/>
              </w:rPr>
            </w:pPr>
            <w:r>
              <w:rPr>
                <w:rFonts w:ascii="Times New Roman"/>
                <w:sz w:val="18"/>
              </w:rPr>
              <w:t>60.41%</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10" w:right="0"/>
              <w:jc w:val="center"/>
              <w:rPr>
                <w:rFonts w:ascii="Times New Roman" w:hAnsi="Times New Roman" w:cs="Times New Roman" w:eastAsia="Times New Roman" w:hint="default"/>
                <w:sz w:val="18"/>
                <w:szCs w:val="18"/>
              </w:rPr>
            </w:pPr>
            <w:r>
              <w:rPr>
                <w:rFonts w:ascii="Times New Roman"/>
                <w:sz w:val="18"/>
              </w:rPr>
              <w:t>866.00</w:t>
            </w:r>
          </w:p>
        </w:tc>
        <w:tc>
          <w:tcPr>
            <w:tcW w:w="19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4" w:right="0"/>
              <w:jc w:val="center"/>
              <w:rPr>
                <w:rFonts w:ascii="Times New Roman" w:hAnsi="Times New Roman" w:cs="Times New Roman" w:eastAsia="Times New Roman" w:hint="default"/>
                <w:sz w:val="18"/>
                <w:szCs w:val="18"/>
              </w:rPr>
            </w:pPr>
            <w:r>
              <w:rPr>
                <w:rFonts w:ascii="Times New Roman"/>
                <w:sz w:val="18"/>
              </w:rPr>
              <w:t>1.50</w:t>
            </w:r>
          </w:p>
        </w:tc>
      </w:tr>
      <w:tr>
        <w:trPr>
          <w:trHeight w:val="490" w:hRule="exact"/>
        </w:trPr>
        <w:tc>
          <w:tcPr>
            <w:tcW w:w="18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 w:right="0"/>
              <w:jc w:val="center"/>
              <w:rPr>
                <w:rFonts w:ascii="Times New Roman" w:hAnsi="Times New Roman" w:cs="Times New Roman" w:eastAsia="Times New Roman" w:hint="default"/>
                <w:sz w:val="18"/>
                <w:szCs w:val="18"/>
              </w:rPr>
            </w:pPr>
            <w:r>
              <w:rPr>
                <w:rFonts w:ascii="Times New Roman"/>
                <w:sz w:val="18"/>
              </w:rPr>
              <w:t>34,402.51</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369" w:right="0"/>
              <w:jc w:val="left"/>
              <w:rPr>
                <w:rFonts w:ascii="Times New Roman" w:hAnsi="Times New Roman" w:cs="Times New Roman" w:eastAsia="Times New Roman" w:hint="default"/>
                <w:sz w:val="18"/>
                <w:szCs w:val="18"/>
              </w:rPr>
            </w:pPr>
            <w:r>
              <w:rPr>
                <w:rFonts w:ascii="Times New Roman"/>
                <w:sz w:val="18"/>
              </w:rPr>
              <w:t>36.00%</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 w:right="0"/>
              <w:jc w:val="center"/>
              <w:rPr>
                <w:rFonts w:ascii="Times New Roman" w:hAnsi="Times New Roman" w:cs="Times New Roman" w:eastAsia="Times New Roman" w:hint="default"/>
                <w:sz w:val="18"/>
                <w:szCs w:val="18"/>
              </w:rPr>
            </w:pPr>
            <w:r>
              <w:rPr>
                <w:rFonts w:ascii="Times New Roman"/>
                <w:sz w:val="18"/>
              </w:rPr>
              <w:t>1,032.08</w:t>
            </w:r>
          </w:p>
        </w:tc>
        <w:tc>
          <w:tcPr>
            <w:tcW w:w="19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3.00</w:t>
            </w:r>
          </w:p>
        </w:tc>
      </w:tr>
      <w:tr>
        <w:trPr>
          <w:trHeight w:val="490" w:hRule="exact"/>
        </w:trPr>
        <w:tc>
          <w:tcPr>
            <w:tcW w:w="18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3,436.90</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417" w:right="0"/>
              <w:jc w:val="left"/>
              <w:rPr>
                <w:rFonts w:ascii="Times New Roman" w:hAnsi="Times New Roman" w:cs="Times New Roman" w:eastAsia="Times New Roman" w:hint="default"/>
                <w:sz w:val="18"/>
                <w:szCs w:val="18"/>
              </w:rPr>
            </w:pPr>
            <w:r>
              <w:rPr>
                <w:rFonts w:ascii="Times New Roman"/>
                <w:sz w:val="18"/>
              </w:rPr>
              <w:t>3.60%</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 w:right="0"/>
              <w:jc w:val="center"/>
              <w:rPr>
                <w:rFonts w:ascii="Times New Roman" w:hAnsi="Times New Roman" w:cs="Times New Roman" w:eastAsia="Times New Roman" w:hint="default"/>
                <w:sz w:val="18"/>
                <w:szCs w:val="18"/>
              </w:rPr>
            </w:pPr>
            <w:r>
              <w:rPr>
                <w:rFonts w:ascii="Times New Roman"/>
                <w:sz w:val="18"/>
              </w:rPr>
              <w:t>1,031.07</w:t>
            </w:r>
          </w:p>
        </w:tc>
        <w:tc>
          <w:tcPr>
            <w:tcW w:w="19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30.00</w:t>
            </w:r>
          </w:p>
        </w:tc>
      </w:tr>
      <w:tr>
        <w:trPr>
          <w:trHeight w:val="485" w:hRule="exact"/>
        </w:trPr>
        <w:tc>
          <w:tcPr>
            <w:tcW w:w="18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2137"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c>
          <w:tcPr>
            <w:tcW w:w="1863" w:type="dxa"/>
            <w:tcBorders>
              <w:top w:val="single" w:sz="8" w:space="0" w:color="000000"/>
              <w:left w:val="single" w:sz="8" w:space="0" w:color="000000"/>
              <w:bottom w:val="single" w:sz="8" w:space="0" w:color="000000"/>
              <w:right w:val="single" w:sz="8" w:space="0" w:color="000000"/>
            </w:tcBorders>
          </w:tcPr>
          <w:p>
            <w:pPr/>
          </w:p>
        </w:tc>
        <w:tc>
          <w:tcPr>
            <w:tcW w:w="1921" w:type="dxa"/>
            <w:tcBorders>
              <w:top w:val="single" w:sz="8" w:space="0" w:color="000000"/>
              <w:left w:val="single" w:sz="8" w:space="0" w:color="000000"/>
              <w:bottom w:val="single" w:sz="8" w:space="0" w:color="000000"/>
              <w:right w:val="single" w:sz="8" w:space="0" w:color="000000"/>
            </w:tcBorders>
          </w:tcPr>
          <w:p>
            <w:pPr/>
          </w:p>
        </w:tc>
      </w:tr>
      <w:tr>
        <w:trPr>
          <w:trHeight w:val="490" w:hRule="exact"/>
        </w:trPr>
        <w:tc>
          <w:tcPr>
            <w:tcW w:w="18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2137" w:type="dxa"/>
            <w:tcBorders>
              <w:top w:val="single" w:sz="8" w:space="0" w:color="000000"/>
              <w:left w:val="single" w:sz="8" w:space="0" w:color="000000"/>
              <w:bottom w:val="single" w:sz="8" w:space="0" w:color="000000"/>
              <w:right w:val="single" w:sz="8" w:space="0" w:color="000000"/>
            </w:tcBorders>
          </w:tcPr>
          <w:p>
            <w:pPr/>
          </w:p>
        </w:tc>
        <w:tc>
          <w:tcPr>
            <w:tcW w:w="1316" w:type="dxa"/>
            <w:tcBorders>
              <w:top w:val="single" w:sz="8" w:space="0" w:color="000000"/>
              <w:left w:val="single" w:sz="8" w:space="0" w:color="000000"/>
              <w:bottom w:val="single" w:sz="8" w:space="0" w:color="000000"/>
              <w:right w:val="single" w:sz="8" w:space="0" w:color="000000"/>
            </w:tcBorders>
          </w:tcPr>
          <w:p>
            <w:pPr/>
          </w:p>
        </w:tc>
        <w:tc>
          <w:tcPr>
            <w:tcW w:w="1863" w:type="dxa"/>
            <w:tcBorders>
              <w:top w:val="single" w:sz="8" w:space="0" w:color="000000"/>
              <w:left w:val="single" w:sz="8" w:space="0" w:color="000000"/>
              <w:bottom w:val="single" w:sz="8" w:space="0" w:color="000000"/>
              <w:right w:val="single" w:sz="8" w:space="0" w:color="000000"/>
            </w:tcBorders>
          </w:tcPr>
          <w:p>
            <w:pPr/>
          </w:p>
        </w:tc>
        <w:tc>
          <w:tcPr>
            <w:tcW w:w="1921" w:type="dxa"/>
            <w:tcBorders>
              <w:top w:val="single" w:sz="8" w:space="0" w:color="000000"/>
              <w:left w:val="single" w:sz="8" w:space="0" w:color="000000"/>
              <w:bottom w:val="single" w:sz="8" w:space="0" w:color="000000"/>
              <w:right w:val="single" w:sz="8" w:space="0" w:color="000000"/>
            </w:tcBorders>
          </w:tcPr>
          <w:p>
            <w:pPr/>
          </w:p>
        </w:tc>
      </w:tr>
      <w:tr>
        <w:trPr>
          <w:trHeight w:val="490" w:hRule="exact"/>
        </w:trPr>
        <w:tc>
          <w:tcPr>
            <w:tcW w:w="18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 w:right="0"/>
              <w:jc w:val="center"/>
              <w:rPr>
                <w:rFonts w:ascii="Times New Roman" w:hAnsi="Times New Roman" w:cs="Times New Roman" w:eastAsia="Times New Roman" w:hint="default"/>
                <w:sz w:val="18"/>
                <w:szCs w:val="18"/>
              </w:rPr>
            </w:pPr>
            <w:r>
              <w:rPr>
                <w:rFonts w:ascii="Times New Roman"/>
                <w:sz w:val="18"/>
              </w:rPr>
              <w:t>95,573.05</w:t>
            </w:r>
          </w:p>
        </w:tc>
        <w:tc>
          <w:tcPr>
            <w:tcW w:w="1316" w:type="dxa"/>
            <w:tcBorders>
              <w:top w:val="single" w:sz="8" w:space="0" w:color="000000"/>
              <w:left w:val="single" w:sz="8" w:space="0" w:color="000000"/>
              <w:bottom w:val="single" w:sz="8" w:space="0" w:color="000000"/>
              <w:right w:val="single" w:sz="8" w:space="0" w:color="000000"/>
            </w:tcBorders>
          </w:tcPr>
          <w:p>
            <w:pP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 w:right="0"/>
              <w:jc w:val="center"/>
              <w:rPr>
                <w:rFonts w:ascii="Times New Roman" w:hAnsi="Times New Roman" w:cs="Times New Roman" w:eastAsia="Times New Roman" w:hint="default"/>
                <w:sz w:val="18"/>
                <w:szCs w:val="18"/>
              </w:rPr>
            </w:pPr>
            <w:r>
              <w:rPr>
                <w:rFonts w:ascii="Times New Roman"/>
                <w:sz w:val="18"/>
              </w:rPr>
              <w:t>2,929.15</w:t>
            </w:r>
          </w:p>
        </w:tc>
        <w:tc>
          <w:tcPr>
            <w:tcW w:w="192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left="253" w:right="0"/>
        <w:jc w:val="left"/>
        <w:rPr>
          <w:b w:val="0"/>
          <w:bCs w:val="0"/>
        </w:rPr>
      </w:pPr>
      <w:bookmarkStart w:name="15、其他债权投资" w:id="295"/>
      <w:bookmarkEnd w:id="295"/>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1297"/>
        <w:gridCol w:w="1037"/>
        <w:gridCol w:w="1033"/>
        <w:gridCol w:w="1032"/>
        <w:gridCol w:w="1037"/>
        <w:gridCol w:w="1032"/>
        <w:gridCol w:w="1037"/>
        <w:gridCol w:w="1032"/>
        <w:gridCol w:w="1037"/>
      </w:tblGrid>
      <w:tr>
        <w:trPr>
          <w:trHeight w:val="1335" w:hRule="exact"/>
        </w:trPr>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4" w:right="55" w:hanging="183"/>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值变动</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4" w:right="60" w:hanging="183"/>
              <w:jc w:val="left"/>
              <w:rPr>
                <w:rFonts w:ascii="宋体" w:hAnsi="宋体" w:cs="宋体" w:eastAsia="宋体" w:hint="default"/>
                <w:sz w:val="18"/>
                <w:szCs w:val="18"/>
              </w:rPr>
            </w:pPr>
            <w:r>
              <w:rPr>
                <w:rFonts w:ascii="宋体" w:hAnsi="宋体" w:cs="宋体" w:eastAsia="宋体" w:hint="default"/>
                <w:spacing w:val="-2"/>
                <w:sz w:val="18"/>
                <w:szCs w:val="18"/>
              </w:rPr>
              <w:t>累计公允价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值变动</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5"/>
              <w:jc w:val="center"/>
              <w:rPr>
                <w:rFonts w:ascii="宋体" w:hAnsi="宋体" w:cs="宋体" w:eastAsia="宋体" w:hint="default"/>
                <w:sz w:val="18"/>
                <w:szCs w:val="18"/>
              </w:rPr>
            </w:pPr>
            <w:r>
              <w:rPr>
                <w:rFonts w:ascii="宋体" w:hAnsi="宋体" w:cs="宋体" w:eastAsia="宋体" w:hint="default"/>
                <w:spacing w:val="-2"/>
                <w:sz w:val="18"/>
                <w:szCs w:val="18"/>
              </w:rPr>
              <w:t>累计在其他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综合收益中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确认的损失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3"/>
        <w:ind w:left="253" w:right="0"/>
        <w:jc w:val="left"/>
      </w:pPr>
      <w:r>
        <w:rPr>
          <w:spacing w:val="-3"/>
        </w:rPr>
        <w:t>重要的其他债权投资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3"/>
        <w:ind w:left="253" w:right="0"/>
        <w:jc w:val="left"/>
      </w:pPr>
      <w:r>
        <w:rPr/>
        <w:t>减值准备计提情况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552"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8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left"/>
      </w:pPr>
      <w:r>
        <w:rPr>
          <w:spacing w:val="-3"/>
        </w:rPr>
        <w:t>损失准备本期变动金额重大的账面余额变动情况</w:t>
      </w:r>
    </w:p>
    <w:p>
      <w:pPr>
        <w:pStyle w:val="BodyText"/>
        <w:spacing w:line="338" w:lineRule="auto" w:before="119"/>
        <w:ind w:right="885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spacing w:val="-3"/>
        </w:rPr>
        <w:t>适用</w:t>
      </w:r>
      <w:r>
        <w:rPr>
          <w:spacing w:val="3"/>
        </w:rPr>
        <w:t>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spacing w:val="-87"/>
        </w:rPr>
        <w:t> </w:t>
      </w:r>
      <w:r>
        <w:rPr>
          <w:spacing w:val="-87"/>
        </w:rPr>
      </w:r>
      <w:r>
        <w:rPr/>
        <w:t>其他说明：</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16、长期应收款" w:id="296"/>
      <w:bookmarkEnd w:id="296"/>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97"/>
      <w:bookmarkEnd w:id="29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206" w:hRule="exact"/>
        </w:trPr>
        <w:tc>
          <w:tcPr>
            <w:tcW w:w="14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vMerge/>
            <w:tcBorders>
              <w:left w:val="single" w:sz="4" w:space="0" w:color="000000"/>
              <w:bottom w:val="single" w:sz="4" w:space="0" w:color="000000"/>
              <w:right w:val="single" w:sz="4" w:space="0" w:color="000000"/>
            </w:tcBorders>
            <w:shd w:val="clear" w:color="auto" w:fill="D2D2D2"/>
          </w:tcPr>
          <w:p>
            <w:pPr/>
          </w:p>
        </w:tc>
        <w:tc>
          <w:tcPr>
            <w:tcW w:w="3501" w:type="dxa"/>
            <w:gridSpan w:val="3"/>
            <w:vMerge/>
            <w:tcBorders>
              <w:left w:val="single" w:sz="4" w:space="0" w:color="000000"/>
              <w:bottom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7" w:hRule="exact"/>
        </w:trPr>
        <w:tc>
          <w:tcPr>
            <w:tcW w:w="1402"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4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8"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134,459,013.5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72" w:type="dxa"/>
            <w:vMerge w:val="restart"/>
            <w:tcBorders>
              <w:top w:val="single" w:sz="4" w:space="0" w:color="000000"/>
              <w:left w:val="single" w:sz="4" w:space="0" w:color="000000"/>
              <w:right w:val="single" w:sz="4" w:space="0" w:color="000000"/>
            </w:tcBorders>
          </w:tcPr>
          <w:p>
            <w:pP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134,459,013.5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95,843,751.23</w:t>
            </w:r>
          </w:p>
        </w:tc>
        <w:tc>
          <w:tcPr>
            <w:tcW w:w="1167" w:type="dxa"/>
            <w:vMerge w:val="restart"/>
            <w:tcBorders>
              <w:top w:val="single" w:sz="4" w:space="0" w:color="000000"/>
              <w:left w:val="single" w:sz="4" w:space="0" w:color="000000"/>
              <w:right w:val="single" w:sz="4" w:space="0" w:color="000000"/>
            </w:tcBorders>
          </w:tcPr>
          <w:p>
            <w:pP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95,843,751.23</w:t>
            </w:r>
          </w:p>
        </w:tc>
        <w:tc>
          <w:tcPr>
            <w:tcW w:w="1167" w:type="dxa"/>
            <w:vMerge w:val="restart"/>
            <w:tcBorders>
              <w:top w:val="single" w:sz="4" w:space="0" w:color="000000"/>
              <w:left w:val="single" w:sz="4" w:space="0" w:color="000000"/>
              <w:right w:val="single" w:sz="4" w:space="0" w:color="000000"/>
            </w:tcBorders>
          </w:tcPr>
          <w:p>
            <w:pPr/>
          </w:p>
        </w:tc>
      </w:tr>
      <w:tr>
        <w:trPr>
          <w:trHeight w:val="394" w:hRule="exact"/>
        </w:trPr>
        <w:tc>
          <w:tcPr>
            <w:tcW w:w="14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7" w:type="dxa"/>
            <w:vMerge/>
            <w:tcBorders>
              <w:left w:val="single" w:sz="8" w:space="0" w:color="D2D2D2"/>
              <w:right w:val="single" w:sz="4" w:space="0" w:color="000000"/>
            </w:tcBorders>
          </w:tcPr>
          <w:p>
            <w:pPr/>
          </w:p>
        </w:tc>
        <w:tc>
          <w:tcPr>
            <w:tcW w:w="1172"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r>
      <w:tr>
        <w:trPr>
          <w:trHeight w:val="158" w:hRule="exact"/>
        </w:trPr>
        <w:tc>
          <w:tcPr>
            <w:tcW w:w="14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8" w:space="0" w:color="D2D2D2"/>
              <w:bottom w:val="single" w:sz="4" w:space="0" w:color="000000"/>
              <w:right w:val="single" w:sz="4" w:space="0" w:color="000000"/>
            </w:tcBorders>
          </w:tcPr>
          <w:p>
            <w:pPr/>
          </w:p>
        </w:tc>
        <w:tc>
          <w:tcPr>
            <w:tcW w:w="1172"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r>
      <w:tr>
        <w:trPr>
          <w:trHeight w:val="715"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04" w:firstLine="360"/>
              <w:jc w:val="left"/>
              <w:rPr>
                <w:rFonts w:ascii="宋体" w:hAnsi="宋体" w:cs="宋体" w:eastAsia="宋体" w:hint="default"/>
                <w:sz w:val="18"/>
                <w:szCs w:val="18"/>
              </w:rPr>
            </w:pPr>
            <w:r>
              <w:rPr>
                <w:rFonts w:ascii="宋体" w:hAnsi="宋体" w:cs="宋体" w:eastAsia="宋体" w:hint="default"/>
                <w:spacing w:val="-2"/>
                <w:sz w:val="18"/>
                <w:szCs w:val="18"/>
              </w:rPr>
              <w:t>其中：未实</w:t>
            </w:r>
            <w:r>
              <w:rPr>
                <w:rFonts w:ascii="宋体" w:hAnsi="宋体" w:cs="宋体" w:eastAsia="宋体" w:hint="default"/>
                <w:w w:val="101"/>
                <w:sz w:val="18"/>
                <w:szCs w:val="18"/>
              </w:rPr>
              <w:t> </w:t>
            </w:r>
            <w:r>
              <w:rPr>
                <w:rFonts w:ascii="宋体" w:hAnsi="宋体" w:cs="宋体" w:eastAsia="宋体" w:hint="default"/>
                <w:sz w:val="18"/>
                <w:szCs w:val="18"/>
              </w:rPr>
              <w:t>现融资收益</w:t>
            </w:r>
          </w:p>
        </w:tc>
        <w:tc>
          <w:tcPr>
            <w:tcW w:w="11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9,484,408.82</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9,484,408.82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7,634,131.40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7,634,131.40</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3"/>
              <w:jc w:val="both"/>
              <w:rPr>
                <w:rFonts w:ascii="宋体" w:hAnsi="宋体" w:cs="宋体" w:eastAsia="宋体" w:hint="default"/>
                <w:sz w:val="18"/>
                <w:szCs w:val="18"/>
              </w:rPr>
            </w:pPr>
            <w:r>
              <w:rPr>
                <w:rFonts w:ascii="宋体" w:hAnsi="宋体" w:cs="宋体" w:eastAsia="宋体" w:hint="default"/>
                <w:spacing w:val="-3"/>
                <w:sz w:val="18"/>
                <w:szCs w:val="18"/>
              </w:rPr>
              <w:t>重分类至一年内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到期的非流动资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-130,891,664.0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-130,891,664.0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-63,394,685.76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-63,394,685.76</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3,567,349.53</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3,567,349.53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Times New Roman" w:hAnsi="Times New Roman" w:cs="Times New Roman" w:eastAsia="Times New Roman" w:hint="default"/>
                <w:sz w:val="18"/>
                <w:szCs w:val="18"/>
              </w:rPr>
            </w:pPr>
            <w:r>
              <w:rPr>
                <w:rFonts w:ascii="Times New Roman"/>
                <w:sz w:val="18"/>
              </w:rPr>
              <w:t>32,449,065.47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32,449,065.47</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坏账准备减值情况</w:t>
      </w:r>
    </w:p>
    <w:p>
      <w:pPr>
        <w:pStyle w:val="BodyText"/>
        <w:spacing w:line="240" w:lineRule="auto" w:before="119"/>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52"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3"/>
        <w:ind w:right="0"/>
        <w:jc w:val="left"/>
      </w:pPr>
      <w:r>
        <w:rPr>
          <w:spacing w:val="-3"/>
        </w:rPr>
        <w:t>损失准备本期变动金额重大的账面余额变动情况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因金融资产转移而终止确认的长期应收款" w:id="298"/>
      <w:bookmarkEnd w:id="29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99"/>
      <w:bookmarkEnd w:id="29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300"/>
      <w:bookmarkEnd w:id="300"/>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6386"/>
        <w:gridCol w:w="797"/>
        <w:gridCol w:w="797"/>
      </w:tblGrid>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97"/>
        <w:gridCol w:w="773"/>
        <w:gridCol w:w="809"/>
        <w:gridCol w:w="809"/>
        <w:gridCol w:w="788"/>
        <w:gridCol w:w="800"/>
        <w:gridCol w:w="797"/>
        <w:gridCol w:w="800"/>
        <w:gridCol w:w="785"/>
        <w:gridCol w:w="811"/>
        <w:gridCol w:w="797"/>
        <w:gridCol w:w="797"/>
      </w:tblGrid>
      <w:tr>
        <w:trPr>
          <w:trHeight w:val="16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22"/>
              <w:jc w:val="center"/>
              <w:rPr>
                <w:rFonts w:ascii="宋体" w:hAnsi="宋体" w:cs="宋体" w:eastAsia="宋体" w:hint="default"/>
                <w:sz w:val="18"/>
                <w:szCs w:val="18"/>
              </w:rPr>
            </w:pPr>
            <w:r>
              <w:rPr>
                <w:rFonts w:ascii="宋体" w:hAnsi="宋体" w:cs="宋体" w:eastAsia="宋体" w:hint="default"/>
                <w:w w:val="101"/>
                <w:sz w:val="18"/>
                <w:szCs w:val="18"/>
              </w:rPr>
              <w:t>位</w:t>
            </w:r>
            <w:r>
              <w:rPr>
                <w:rFonts w:ascii="宋体" w:hAnsi="宋体" w:cs="宋体" w:eastAsia="宋体" w:hint="default"/>
                <w:sz w:val="18"/>
                <w:szCs w:val="18"/>
              </w:rPr>
            </w:r>
          </w:p>
        </w:tc>
        <w:tc>
          <w:tcPr>
            <w:tcW w:w="773"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10"/>
              <w:ind w:left="261" w:right="77" w:hanging="1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809" w:type="dxa"/>
            <w:vMerge w:val="restart"/>
            <w:tcBorders>
              <w:top w:val="single" w:sz="4" w:space="0" w:color="000000"/>
              <w:left w:val="single" w:sz="4" w:space="0" w:color="000000"/>
              <w:right w:val="single" w:sz="4" w:space="0" w:color="000000"/>
            </w:tcBorders>
            <w:shd w:val="clear" w:color="auto" w:fill="D2D2D2"/>
          </w:tcPr>
          <w:p>
            <w:pPr/>
          </w:p>
        </w:tc>
        <w:tc>
          <w:tcPr>
            <w:tcW w:w="809" w:type="dxa"/>
            <w:vMerge w:val="restart"/>
            <w:tcBorders>
              <w:top w:val="single" w:sz="4" w:space="0" w:color="000000"/>
              <w:left w:val="single" w:sz="4" w:space="0" w:color="000000"/>
              <w:right w:val="single" w:sz="4" w:space="0" w:color="000000"/>
            </w:tcBorders>
            <w:shd w:val="clear" w:color="auto" w:fill="D2D2D2"/>
          </w:tcPr>
          <w:p>
            <w:pP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1" w:right="29"/>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3" w:right="29"/>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304" w:lineRule="auto" w:before="10"/>
              <w:ind w:left="266" w:right="84" w:hanging="17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3" w:hRule="exact"/>
        </w:trPr>
        <w:tc>
          <w:tcPr>
            <w:tcW w:w="797" w:type="dxa"/>
            <w:vMerge/>
            <w:tcBorders>
              <w:left w:val="single" w:sz="4" w:space="0" w:color="000000"/>
              <w:bottom w:val="nil" w:sz="6" w:space="0" w:color="auto"/>
              <w:right w:val="single" w:sz="4" w:space="0" w:color="000000"/>
            </w:tcBorders>
            <w:shd w:val="clear" w:color="auto" w:fill="D2D2D2"/>
          </w:tcPr>
          <w:p>
            <w:pPr/>
          </w:p>
        </w:tc>
        <w:tc>
          <w:tcPr>
            <w:tcW w:w="773" w:type="dxa"/>
            <w:vMerge/>
            <w:tcBorders>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31"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800" w:type="dxa"/>
            <w:vMerge/>
            <w:tcBorders>
              <w:left w:val="single" w:sz="4" w:space="0" w:color="000000"/>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13" w:right="1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1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384" w:hRule="exact"/>
        </w:trPr>
        <w:tc>
          <w:tcPr>
            <w:tcW w:w="797" w:type="dxa"/>
            <w:vMerge w:val="restart"/>
            <w:tcBorders>
              <w:top w:val="nil" w:sz="6" w:space="0" w:color="auto"/>
              <w:left w:val="single" w:sz="4" w:space="0" w:color="000000"/>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4"/>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88"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54" w:hRule="exact"/>
        </w:trPr>
        <w:tc>
          <w:tcPr>
            <w:tcW w:w="797" w:type="dxa"/>
            <w:vMerge/>
            <w:tcBorders>
              <w:left w:val="single" w:sz="4" w:space="0" w:color="000000"/>
              <w:right w:val="single" w:sz="4" w:space="0" w:color="000000"/>
            </w:tcBorders>
            <w:shd w:val="clear" w:color="auto" w:fill="D2D2D2"/>
          </w:tcPr>
          <w:p>
            <w:pPr/>
          </w:p>
        </w:tc>
        <w:tc>
          <w:tcPr>
            <w:tcW w:w="773" w:type="dxa"/>
            <w:vMerge w:val="restart"/>
            <w:tcBorders>
              <w:top w:val="nil" w:sz="6" w:space="0" w:color="auto"/>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73"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8、其他权益工具投资" w:id="301"/>
      <w:bookmarkEnd w:id="301"/>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深圳锦城长久资本管理有限公司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上海蔚洁信息科技服务有限公司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北京海淀科技金融资本控股集团股份有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长治银行股份有限公司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239,085,000.00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462,085,000.00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78,000,000.00</w:t>
            </w:r>
          </w:p>
        </w:tc>
      </w:tr>
    </w:tbl>
    <w:p>
      <w:pPr>
        <w:pStyle w:val="BodyText"/>
        <w:spacing w:line="240" w:lineRule="auto" w:before="53"/>
        <w:ind w:right="0"/>
        <w:jc w:val="left"/>
      </w:pPr>
      <w:r>
        <w:rPr>
          <w:spacing w:val="-3"/>
        </w:rPr>
        <w:t>分项披露本期非交易性权益工具投资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34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3"/>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7" w:right="41"/>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北京海淀科技金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融资本控股集团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股份有限公司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长期持有为投资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目标的权益投资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长治银行股份有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11,385,000.00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11,385,000.00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长期持有为投资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目标的权益投资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上海蔚洁信息科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技服务有限公司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5,401,800.00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长期持有为投资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目标的权益投资</w:t>
            </w: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19、其他非流动金融资产" w:id="302"/>
      <w:bookmarkEnd w:id="302"/>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4"/>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0、投资性房地产" w:id="303"/>
      <w:bookmarkEnd w:id="303"/>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304"/>
      <w:bookmarkEnd w:id="30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305"/>
      <w:bookmarkEnd w:id="30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306"/>
      <w:bookmarkEnd w:id="30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1、固定资产" w:id="307"/>
      <w:bookmarkEnd w:id="307"/>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4,718,403.41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5,923,984.80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4,718,403.41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5,923,984.80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固定资产情况" w:id="308"/>
      <w:bookmarkEnd w:id="30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2406"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4,201,074.17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10,270,652.54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14,471,726.71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1,097,151.74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781,867.27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1,879,019.01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1,097,151.74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781,867.27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1,879,019.01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4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2406"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4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2406"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06"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76,666.12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76,666.12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406"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76,666.12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76,666.12</w:t>
            </w: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5,298,225.91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10,975,853.69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16,274,079.60</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406"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1,883,806.56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6,663,935.35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8,547,741.91</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866,061.00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2,194,545.85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3,060,606.85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866,061.00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2,194,545.85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3,060,606.85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52,672.57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52,672.57</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4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52,672.57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52,672.57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2,749,867.56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8,805,808.63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11,555,676.19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4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2,548,358.35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2,170,045.06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4,718,403.41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2,317,267.61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3,606,717.19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5,923,984.80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暂时闲置的固定资产情况" w:id="309"/>
      <w:bookmarkEnd w:id="30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bookmarkStart w:name="（3）通过融资租赁租入的固定资产情况" w:id="310"/>
      <w:bookmarkEnd w:id="31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通过经营租赁租出的固定资产" w:id="311"/>
      <w:bookmarkEnd w:id="31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5）未办妥产权证书的固定资产情况" w:id="312"/>
      <w:bookmarkEnd w:id="31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6）固定资产清理" w:id="313"/>
      <w:bookmarkEnd w:id="31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2、在建工程" w:id="314"/>
      <w:bookmarkEnd w:id="314"/>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在建工程情况" w:id="315"/>
      <w:bookmarkEnd w:id="31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在建工程项目本期变动情况" w:id="316"/>
      <w:bookmarkEnd w:id="31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340"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在建工程减值准备情况" w:id="317"/>
      <w:bookmarkEnd w:id="31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6"/>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工程物资" w:id="318"/>
      <w:bookmarkEnd w:id="318"/>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3856"/>
        <w:gridCol w:w="3582"/>
      </w:tblGrid>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2"/>
        <w:gridCol w:w="1330"/>
        <w:gridCol w:w="1330"/>
        <w:gridCol w:w="1196"/>
        <w:gridCol w:w="1196"/>
        <w:gridCol w:w="1196"/>
        <w:gridCol w:w="1190"/>
      </w:tblGrid>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319"/>
      <w:bookmarkEnd w:id="31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320"/>
      <w:bookmarkEnd w:id="32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321"/>
      <w:bookmarkEnd w:id="32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4、油气资产" w:id="322"/>
      <w:bookmarkEnd w:id="32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5、使用权资产" w:id="323"/>
      <w:bookmarkEnd w:id="323"/>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6、无形资产" w:id="324"/>
      <w:bookmarkEnd w:id="324"/>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325"/>
      <w:bookmarkEnd w:id="32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9"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5" w:right="0"/>
              <w:jc w:val="left"/>
              <w:rPr>
                <w:rFonts w:ascii="Times New Roman" w:hAnsi="Times New Roman" w:cs="Times New Roman" w:eastAsia="Times New Roman" w:hint="default"/>
                <w:sz w:val="18"/>
                <w:szCs w:val="18"/>
              </w:rPr>
            </w:pPr>
            <w:r>
              <w:rPr>
                <w:rFonts w:ascii="Times New Roman"/>
                <w:sz w:val="18"/>
              </w:rPr>
              <w:t>93,396.21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56,621,305.89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5" w:right="0"/>
              <w:jc w:val="left"/>
              <w:rPr>
                <w:rFonts w:ascii="Times New Roman" w:hAnsi="Times New Roman" w:cs="Times New Roman" w:eastAsia="Times New Roman" w:hint="default"/>
                <w:sz w:val="18"/>
                <w:szCs w:val="18"/>
              </w:rPr>
            </w:pPr>
            <w:r>
              <w:rPr>
                <w:rFonts w:ascii="Times New Roman"/>
                <w:sz w:val="18"/>
              </w:rPr>
              <w:t>28,400.00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56,743,102.10</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613,100.70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613,100.70</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）购置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613,100.70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613,100.70</w:t>
            </w:r>
          </w:p>
        </w:tc>
      </w:tr>
      <w:tr>
        <w:trPr>
          <w:trHeight w:val="71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5"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 w:firstLine="52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）企业</w:t>
            </w:r>
            <w:r>
              <w:rPr>
                <w:rFonts w:ascii="宋体" w:hAnsi="宋体" w:cs="宋体" w:eastAsia="宋体" w:hint="default"/>
                <w:w w:val="101"/>
                <w:sz w:val="18"/>
                <w:szCs w:val="18"/>
              </w:rPr>
              <w:t> </w:t>
            </w:r>
            <w:r>
              <w:rPr>
                <w:rFonts w:ascii="宋体" w:hAnsi="宋体" w:cs="宋体" w:eastAsia="宋体" w:hint="default"/>
                <w:sz w:val="18"/>
                <w:szCs w:val="18"/>
              </w:rPr>
              <w:t>合并增加</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93,396.21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57,234,406.59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57,356,202.80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18,883.65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17,238,070.58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6,153.42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17,263,107.65</w:t>
            </w: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18,679.15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7,347,284.95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2,840.04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7,368,804.14</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18,679.15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7,347,284.95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2,840.04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7,368,804.14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37,562.80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24,585,355.53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8,993.46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24,631,911.79</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1,148,139.20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1,148,139.20</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1,148,139.20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1,148,139.20</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55,833.41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31,500,911.86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19,406.54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31,576,151.81</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74,512.56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38,235,096.11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22,246.58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38,331,855.25</w:t>
            </w:r>
          </w:p>
        </w:tc>
      </w:tr>
    </w:tbl>
    <w:p>
      <w:pPr>
        <w:pStyle w:val="BodyText"/>
        <w:spacing w:line="240" w:lineRule="auto" w:before="53"/>
        <w:ind w:right="0"/>
        <w:jc w:val="left"/>
      </w:pPr>
      <w:r>
        <w:rPr>
          <w:spacing w:val="-3"/>
        </w:rPr>
        <w:t>本期末通过公司内部研发形成的无形资产占无形资产余额的比例</w:t>
      </w:r>
      <w:r>
        <w:rPr>
          <w:spacing w:val="37"/>
        </w:rPr>
        <w:t> </w:t>
      </w:r>
      <w:r>
        <w:rPr>
          <w:rFonts w:ascii="Times New Roman" w:hAnsi="Times New Roman" w:cs="Times New Roman" w:eastAsia="Times New Roman" w:hint="default"/>
        </w:rPr>
        <w:t>2.72%</w:t>
      </w:r>
      <w:r>
        <w:rPr/>
        <w:t>。</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326"/>
      <w:bookmarkEnd w:id="32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7、开发支出" w:id="327"/>
      <w:bookmarkEnd w:id="327"/>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0"/>
        <w:gridCol w:w="1076"/>
        <w:gridCol w:w="1061"/>
        <w:gridCol w:w="1066"/>
        <w:gridCol w:w="1061"/>
        <w:gridCol w:w="1066"/>
        <w:gridCol w:w="1061"/>
        <w:gridCol w:w="1066"/>
        <w:gridCol w:w="1061"/>
      </w:tblGrid>
      <w:tr>
        <w:trPr>
          <w:trHeight w:val="404"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40"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0" w:type="dxa"/>
            <w:vMerge w:val="restart"/>
            <w:tcBorders>
              <w:top w:val="nil" w:sz="6" w:space="0" w:color="auto"/>
              <w:left w:val="single" w:sz="4" w:space="0" w:color="000000"/>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040"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13"/>
              <w:jc w:val="both"/>
              <w:rPr>
                <w:rFonts w:ascii="宋体" w:hAnsi="宋体" w:cs="宋体" w:eastAsia="宋体" w:hint="default"/>
                <w:sz w:val="18"/>
                <w:szCs w:val="18"/>
              </w:rPr>
            </w:pPr>
            <w:r>
              <w:rPr>
                <w:rFonts w:ascii="宋体" w:hAnsi="宋体" w:cs="宋体" w:eastAsia="宋体" w:hint="default"/>
                <w:spacing w:val="-2"/>
                <w:sz w:val="18"/>
                <w:szCs w:val="18"/>
              </w:rPr>
              <w:t>合利宝跨境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支付系统升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级开发</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4,226,817.95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4,226,817.95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13"/>
              <w:jc w:val="both"/>
              <w:rPr>
                <w:rFonts w:ascii="宋体" w:hAnsi="宋体" w:cs="宋体" w:eastAsia="宋体" w:hint="default"/>
                <w:sz w:val="18"/>
                <w:szCs w:val="18"/>
              </w:rPr>
            </w:pPr>
            <w:r>
              <w:rPr>
                <w:rFonts w:ascii="宋体" w:hAnsi="宋体" w:cs="宋体" w:eastAsia="宋体" w:hint="default"/>
                <w:spacing w:val="-2"/>
                <w:sz w:val="18"/>
                <w:szCs w:val="18"/>
              </w:rPr>
              <w:t>合利宝移动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收付款应用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软件升级开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5,979,394.72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5,979,394.72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13"/>
              <w:jc w:val="both"/>
              <w:rPr>
                <w:rFonts w:ascii="宋体" w:hAnsi="宋体" w:cs="宋体" w:eastAsia="宋体" w:hint="default"/>
                <w:sz w:val="18"/>
                <w:szCs w:val="18"/>
              </w:rPr>
            </w:pPr>
            <w:r>
              <w:rPr>
                <w:rFonts w:ascii="宋体" w:hAnsi="宋体" w:cs="宋体" w:eastAsia="宋体" w:hint="default"/>
                <w:spacing w:val="-2"/>
                <w:sz w:val="18"/>
                <w:szCs w:val="18"/>
              </w:rPr>
              <w:t>教育培训机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构专业账务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及收缴费管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理平台开发</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3,741,503.06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3,741,503.06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13"/>
              <w:jc w:val="both"/>
              <w:rPr>
                <w:rFonts w:ascii="宋体" w:hAnsi="宋体" w:cs="宋体" w:eastAsia="宋体" w:hint="default"/>
                <w:sz w:val="18"/>
                <w:szCs w:val="18"/>
              </w:rPr>
            </w:pPr>
            <w:r>
              <w:rPr>
                <w:rFonts w:ascii="宋体" w:hAnsi="宋体" w:cs="宋体" w:eastAsia="宋体" w:hint="default"/>
                <w:spacing w:val="-2"/>
                <w:sz w:val="18"/>
                <w:szCs w:val="18"/>
              </w:rPr>
              <w:t>合利宝反洗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钱风控系统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升级开发</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4,530,640.31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4,530,640.31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3"/>
              <w:jc w:val="left"/>
              <w:rPr>
                <w:rFonts w:ascii="宋体" w:hAnsi="宋体" w:cs="宋体" w:eastAsia="宋体" w:hint="default"/>
                <w:sz w:val="18"/>
                <w:szCs w:val="18"/>
              </w:rPr>
            </w:pPr>
            <w:r>
              <w:rPr>
                <w:rFonts w:ascii="宋体" w:hAnsi="宋体" w:cs="宋体" w:eastAsia="宋体" w:hint="default"/>
                <w:spacing w:val="-2"/>
                <w:sz w:val="18"/>
                <w:szCs w:val="18"/>
              </w:rPr>
              <w:t>智能分账系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统开发</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3,163,178.03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3,163,178.03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13"/>
              <w:jc w:val="both"/>
              <w:rPr>
                <w:rFonts w:ascii="宋体" w:hAnsi="宋体" w:cs="宋体" w:eastAsia="宋体" w:hint="default"/>
                <w:sz w:val="18"/>
                <w:szCs w:val="18"/>
              </w:rPr>
            </w:pPr>
            <w:r>
              <w:rPr>
                <w:rFonts w:ascii="宋体" w:hAnsi="宋体" w:cs="宋体" w:eastAsia="宋体" w:hint="default"/>
                <w:spacing w:val="-2"/>
                <w:sz w:val="18"/>
                <w:szCs w:val="18"/>
              </w:rPr>
              <w:t>合利宝交易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反欺诈系统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开发</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2,958,401.97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2,958,401.97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1" w:right="50"/>
              <w:jc w:val="left"/>
              <w:rPr>
                <w:rFonts w:ascii="宋体" w:hAnsi="宋体" w:cs="宋体" w:eastAsia="宋体" w:hint="default"/>
                <w:sz w:val="18"/>
                <w:szCs w:val="18"/>
              </w:rPr>
            </w:pPr>
            <w:r>
              <w:rPr>
                <w:rFonts w:ascii="宋体" w:hAnsi="宋体" w:cs="宋体" w:eastAsia="宋体" w:hint="default"/>
                <w:sz w:val="18"/>
                <w:szCs w:val="18"/>
              </w:rPr>
              <w:t>一种基于互</w:t>
            </w:r>
            <w:r>
              <w:rPr>
                <w:rFonts w:ascii="宋体" w:hAnsi="宋体" w:cs="宋体" w:eastAsia="宋体" w:hint="default"/>
                <w:w w:val="101"/>
                <w:sz w:val="18"/>
                <w:szCs w:val="18"/>
              </w:rPr>
              <w:t> </w:t>
            </w:r>
            <w:r>
              <w:rPr>
                <w:rFonts w:ascii="宋体" w:hAnsi="宋体" w:cs="宋体" w:eastAsia="宋体" w:hint="default"/>
                <w:sz w:val="18"/>
                <w:szCs w:val="18"/>
              </w:rPr>
              <w:t>联网和云智</w:t>
            </w:r>
            <w:r>
              <w:rPr>
                <w:rFonts w:ascii="宋体" w:hAnsi="宋体" w:cs="宋体" w:eastAsia="宋体" w:hint="default"/>
                <w:w w:val="101"/>
                <w:sz w:val="18"/>
                <w:szCs w:val="18"/>
              </w:rPr>
              <w:t> </w:t>
            </w:r>
            <w:r>
              <w:rPr>
                <w:rFonts w:ascii="宋体" w:hAnsi="宋体" w:cs="宋体" w:eastAsia="宋体" w:hint="default"/>
                <w:sz w:val="18"/>
                <w:szCs w:val="18"/>
              </w:rPr>
              <w:t>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w:t>
            </w:r>
            <w:r>
              <w:rPr>
                <w:rFonts w:ascii="宋体" w:hAnsi="宋体" w:cs="宋体" w:eastAsia="宋体" w:hint="default"/>
                <w:w w:val="101"/>
                <w:sz w:val="18"/>
                <w:szCs w:val="18"/>
              </w:rPr>
              <w:t> </w:t>
            </w:r>
            <w:r>
              <w:rPr>
                <w:rFonts w:ascii="宋体" w:hAnsi="宋体" w:cs="宋体" w:eastAsia="宋体" w:hint="default"/>
                <w:sz w:val="18"/>
                <w:szCs w:val="18"/>
              </w:rPr>
              <w:t>端开发</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6,461,559.98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6,461,559.98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3"/>
              <w:jc w:val="left"/>
              <w:rPr>
                <w:rFonts w:ascii="宋体" w:hAnsi="宋体" w:cs="宋体" w:eastAsia="宋体" w:hint="default"/>
                <w:sz w:val="18"/>
                <w:szCs w:val="18"/>
              </w:rPr>
            </w:pPr>
            <w:r>
              <w:rPr>
                <w:rFonts w:ascii="宋体" w:hAnsi="宋体" w:cs="宋体" w:eastAsia="宋体" w:hint="default"/>
                <w:spacing w:val="-2"/>
                <w:sz w:val="18"/>
                <w:szCs w:val="18"/>
              </w:rPr>
              <w:t>多渠道收单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系统</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6,318,436.21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6,318,436.21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13"/>
              <w:jc w:val="both"/>
              <w:rPr>
                <w:rFonts w:ascii="宋体" w:hAnsi="宋体" w:cs="宋体" w:eastAsia="宋体" w:hint="default"/>
                <w:sz w:val="18"/>
                <w:szCs w:val="18"/>
              </w:rPr>
            </w:pPr>
            <w:r>
              <w:rPr>
                <w:rFonts w:ascii="宋体" w:hAnsi="宋体" w:cs="宋体" w:eastAsia="宋体" w:hint="default"/>
                <w:spacing w:val="-2"/>
                <w:sz w:val="18"/>
                <w:szCs w:val="18"/>
              </w:rPr>
              <w:t>合利宝快捷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支付系统升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级开发</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5,478,368.52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5,478,368.52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13"/>
              <w:jc w:val="left"/>
              <w:rPr>
                <w:rFonts w:ascii="宋体" w:hAnsi="宋体" w:cs="宋体" w:eastAsia="宋体" w:hint="default"/>
                <w:sz w:val="18"/>
                <w:szCs w:val="18"/>
              </w:rPr>
            </w:pPr>
            <w:r>
              <w:rPr>
                <w:rFonts w:ascii="宋体" w:hAnsi="宋体" w:cs="宋体" w:eastAsia="宋体" w:hint="default"/>
                <w:spacing w:val="-2"/>
                <w:sz w:val="18"/>
                <w:szCs w:val="18"/>
              </w:rPr>
              <w:t>电商平台商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户管理系统</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4,526,938.80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4,526,938.80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vMerge w:val="restart"/>
            <w:tcBorders>
              <w:top w:val="single" w:sz="4" w:space="0" w:color="000000"/>
              <w:left w:val="single" w:sz="10" w:space="0" w:color="D2D2D2"/>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47,385,239.5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47,385,239.5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r>
      <w:tr>
        <w:trPr>
          <w:trHeight w:val="389"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3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63"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8、商誉" w:id="328"/>
      <w:bookmarkEnd w:id="328"/>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329"/>
      <w:bookmarkEnd w:id="32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8"/>
              <w:jc w:val="left"/>
              <w:rPr>
                <w:rFonts w:ascii="宋体" w:hAnsi="宋体" w:cs="宋体" w:eastAsia="宋体" w:hint="default"/>
                <w:sz w:val="18"/>
                <w:szCs w:val="18"/>
              </w:rPr>
            </w:pPr>
            <w:r>
              <w:rPr>
                <w:rFonts w:ascii="宋体" w:hAnsi="宋体" w:cs="宋体" w:eastAsia="宋体" w:hint="default"/>
                <w:spacing w:val="-3"/>
                <w:sz w:val="18"/>
                <w:szCs w:val="18"/>
              </w:rPr>
              <w:t>广东合利金融科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技服务有限公司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1,193,892,400.51</w:t>
            </w:r>
          </w:p>
        </w:tc>
        <w:tc>
          <w:tcPr>
            <w:tcW w:w="1364" w:type="dxa"/>
            <w:tcBorders>
              <w:top w:val="single" w:sz="46" w:space="0" w:color="D2D2D2"/>
              <w:left w:val="single" w:sz="4" w:space="0" w:color="000000"/>
              <w:bottom w:val="single" w:sz="4" w:space="0" w:color="000000"/>
              <w:right w:val="single" w:sz="4" w:space="0" w:color="000000"/>
            </w:tcBorders>
          </w:tcPr>
          <w:p>
            <w:pPr/>
          </w:p>
        </w:tc>
        <w:tc>
          <w:tcPr>
            <w:tcW w:w="1368" w:type="dxa"/>
            <w:tcBorders>
              <w:top w:val="single" w:sz="46" w:space="0" w:color="D2D2D2"/>
              <w:left w:val="single" w:sz="4" w:space="0" w:color="000000"/>
              <w:bottom w:val="single" w:sz="4" w:space="0" w:color="000000"/>
              <w:right w:val="single" w:sz="4" w:space="0" w:color="000000"/>
            </w:tcBorders>
          </w:tcPr>
          <w:p>
            <w:pPr/>
          </w:p>
        </w:tc>
        <w:tc>
          <w:tcPr>
            <w:tcW w:w="1368" w:type="dxa"/>
            <w:tcBorders>
              <w:top w:val="single" w:sz="46" w:space="0" w:color="D2D2D2"/>
              <w:left w:val="single" w:sz="4" w:space="0" w:color="000000"/>
              <w:bottom w:val="single" w:sz="4" w:space="0" w:color="000000"/>
              <w:right w:val="single" w:sz="4" w:space="0" w:color="000000"/>
            </w:tcBorders>
          </w:tcPr>
          <w:p>
            <w:pPr/>
          </w:p>
        </w:tc>
        <w:tc>
          <w:tcPr>
            <w:tcW w:w="1369" w:type="dxa"/>
            <w:tcBorders>
              <w:top w:val="single" w:sz="46"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1,193,892,400.51</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民盛友联金融有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602,997.90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602,997.90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1,194,495,398.41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1,194,495,398.41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商誉减值准备" w:id="330"/>
      <w:bookmarkEnd w:id="33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0"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广东合利金融科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技服务有限公司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195,250,088.96</w:t>
            </w:r>
          </w:p>
        </w:tc>
        <w:tc>
          <w:tcPr>
            <w:tcW w:w="1364"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195,250,088.96</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民盛友联金融有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602,997.90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602,997.90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195,853,086.86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195,853,086.86</w:t>
            </w:r>
          </w:p>
        </w:tc>
      </w:tr>
    </w:tbl>
    <w:p>
      <w:pPr>
        <w:pStyle w:val="BodyText"/>
        <w:spacing w:line="240" w:lineRule="auto" w:before="53"/>
        <w:ind w:right="0"/>
        <w:jc w:val="left"/>
      </w:pPr>
      <w:r>
        <w:rPr>
          <w:spacing w:val="-3"/>
        </w:rPr>
        <w:t>商誉所在资产组或资产组组合的相关信息</w:t>
      </w:r>
    </w:p>
    <w:p>
      <w:pPr>
        <w:pStyle w:val="BodyText"/>
        <w:spacing w:line="300" w:lineRule="auto" w:before="110"/>
        <w:ind w:right="0" w:firstLine="360"/>
        <w:jc w:val="left"/>
      </w:pPr>
      <w:r>
        <w:rPr>
          <w:spacing w:val="-3"/>
        </w:rPr>
        <w:t>根据中联资产评估集团有限公司 </w:t>
      </w:r>
      <w:r>
        <w:rPr>
          <w:rFonts w:ascii="Times New Roman" w:hAnsi="Times New Roman" w:cs="Times New Roman" w:eastAsia="Times New Roman" w:hint="default"/>
        </w:rPr>
        <w:t>2020</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37"/>
        </w:rPr>
        <w:t> </w:t>
      </w:r>
      <w:r>
        <w:rPr>
          <w:spacing w:val="-4"/>
        </w:rPr>
        <w:t>月</w:t>
      </w:r>
      <w:r>
        <w:rPr>
          <w:rFonts w:ascii="Times New Roman" w:hAnsi="Times New Roman" w:cs="Times New Roman" w:eastAsia="Times New Roman" w:hint="default"/>
          <w:spacing w:val="-4"/>
        </w:rPr>
        <w:t>20</w:t>
      </w:r>
      <w:r>
        <w:rPr>
          <w:spacing w:val="-4"/>
        </w:rPr>
        <w:t>日出具的《仁东控股股份有限公司拟对合并广东合利金融科技服务有限</w:t>
      </w:r>
      <w:r>
        <w:rPr>
          <w:w w:val="101"/>
        </w:rPr>
        <w:t> </w:t>
      </w:r>
      <w:r>
        <w:rPr>
          <w:spacing w:val="-3"/>
        </w:rPr>
        <w:t>公司形成的商誉进行减值测试项目资产评估报告》（中联评报字</w:t>
      </w:r>
      <w:r>
        <w:rPr>
          <w:rFonts w:ascii="Times New Roman" w:hAnsi="Times New Roman" w:cs="Times New Roman" w:eastAsia="Times New Roman" w:hint="default"/>
          <w:spacing w:val="-3"/>
        </w:rPr>
        <w:t>[2020]</w:t>
      </w:r>
      <w:r>
        <w:rPr>
          <w:spacing w:val="-3"/>
        </w:rPr>
        <w:t>第</w:t>
      </w:r>
      <w:r>
        <w:rPr>
          <w:rFonts w:ascii="Times New Roman" w:hAnsi="Times New Roman" w:cs="Times New Roman" w:eastAsia="Times New Roman" w:hint="default"/>
          <w:spacing w:val="-3"/>
        </w:rPr>
        <w:t>579</w:t>
      </w:r>
      <w:r>
        <w:rPr>
          <w:spacing w:val="-3"/>
        </w:rPr>
        <w:t>号），仁东控股股份有限公司于评估基准日的</w:t>
      </w:r>
      <w:r>
        <w:rPr>
          <w:spacing w:val="79"/>
        </w:rPr>
        <w:t> </w:t>
      </w:r>
      <w:r>
        <w:rPr>
          <w:spacing w:val="79"/>
        </w:rPr>
      </w:r>
      <w:r>
        <w:rPr>
          <w:spacing w:val="-3"/>
        </w:rPr>
        <w:t>评估范围，是形成商誉的资产组所涉及的资产，即为广东合利宝支付科技有限公司。</w:t>
      </w:r>
    </w:p>
    <w:p>
      <w:pPr>
        <w:pStyle w:val="BodyText"/>
        <w:spacing w:line="321" w:lineRule="auto" w:before="74"/>
        <w:ind w:right="0"/>
        <w:jc w:val="left"/>
      </w:pPr>
      <w:r>
        <w:rPr>
          <w:spacing w:val="-4"/>
        </w:rPr>
        <w:t>说明商誉减值测试过程、关键参数（如预计未来现金流量现值时的预测期增长率、稳定期增长率、利润率、折现率、预测期</w:t>
      </w:r>
      <w:r>
        <w:rPr>
          <w:spacing w:val="40"/>
        </w:rPr>
        <w:t> </w:t>
      </w:r>
      <w:r>
        <w:rPr>
          <w:spacing w:val="40"/>
        </w:rPr>
      </w:r>
      <w:r>
        <w:rPr>
          <w:spacing w:val="-3"/>
        </w:rPr>
        <w:t>等）及商誉减值损失的确认方法：</w:t>
      </w:r>
    </w:p>
    <w:p>
      <w:pPr>
        <w:pStyle w:val="BodyText"/>
        <w:spacing w:line="304" w:lineRule="auto" w:before="49"/>
        <w:ind w:right="1117" w:firstLine="360"/>
        <w:jc w:val="left"/>
      </w:pPr>
      <w:r>
        <w:rPr>
          <w:spacing w:val="-3"/>
        </w:rPr>
        <w:t>根据中联资产评估集团有限公司 </w:t>
      </w:r>
      <w:r>
        <w:rPr>
          <w:rFonts w:ascii="Times New Roman" w:hAnsi="Times New Roman" w:cs="Times New Roman" w:eastAsia="Times New Roman" w:hint="default"/>
        </w:rPr>
        <w:t>2020</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38"/>
        </w:rPr>
        <w:t> </w:t>
      </w:r>
      <w:r>
        <w:rPr>
          <w:spacing w:val="-4"/>
        </w:rPr>
        <w:t>月</w:t>
      </w:r>
      <w:r>
        <w:rPr>
          <w:rFonts w:ascii="Times New Roman" w:hAnsi="Times New Roman" w:cs="Times New Roman" w:eastAsia="Times New Roman" w:hint="default"/>
          <w:spacing w:val="-4"/>
        </w:rPr>
        <w:t>20</w:t>
      </w:r>
      <w:r>
        <w:rPr>
          <w:spacing w:val="-4"/>
        </w:rPr>
        <w:t>日出具的《仁东控股股份有限公司拟对合并广东合利金融科技服务有限</w:t>
      </w:r>
      <w:r>
        <w:rPr>
          <w:w w:val="101"/>
        </w:rPr>
        <w:t> </w:t>
      </w:r>
      <w:r>
        <w:rPr>
          <w:spacing w:val="-3"/>
        </w:rPr>
        <w:t>公司形成的商誉进行减值测试项目资产评估报告》（中联评报字</w:t>
      </w:r>
      <w:r>
        <w:rPr>
          <w:rFonts w:ascii="Times New Roman" w:hAnsi="Times New Roman" w:cs="Times New Roman" w:eastAsia="Times New Roman" w:hint="default"/>
          <w:spacing w:val="-3"/>
        </w:rPr>
        <w:t>[2020]</w:t>
      </w:r>
      <w:r>
        <w:rPr>
          <w:spacing w:val="-3"/>
        </w:rPr>
        <w:t>第</w:t>
      </w:r>
      <w:r>
        <w:rPr>
          <w:rFonts w:ascii="Times New Roman" w:hAnsi="Times New Roman" w:cs="Times New Roman" w:eastAsia="Times New Roman" w:hint="default"/>
          <w:spacing w:val="-3"/>
        </w:rPr>
        <w:t>579</w:t>
      </w:r>
      <w:r>
        <w:rPr>
          <w:spacing w:val="-3"/>
        </w:rPr>
        <w:t>号）的评估结果，与商誉相关的广东合利金融</w:t>
      </w:r>
      <w:r>
        <w:rPr>
          <w:spacing w:val="79"/>
        </w:rPr>
        <w:t> </w:t>
      </w:r>
      <w:r>
        <w:rPr>
          <w:spacing w:val="79"/>
        </w:rPr>
      </w:r>
      <w:r>
        <w:rPr>
          <w:spacing w:val="-4"/>
          <w:w w:val="101"/>
        </w:rPr>
        <w:t>科技服务有限公司资产组广东合利宝支付科技有限公司的可收回金额采用收益法预测现金流量现值；采用未来现金流量折现</w:t>
      </w:r>
      <w:r>
        <w:rPr>
          <w:w w:val="101"/>
        </w:rPr>
        <w:t> </w:t>
      </w:r>
      <w:r>
        <w:rPr>
          <w:spacing w:val="-3"/>
        </w:rPr>
        <w:t>方法的主要假设，折现率</w:t>
      </w:r>
      <w:r>
        <w:rPr>
          <w:rFonts w:ascii="Times New Roman" w:hAnsi="Times New Roman" w:cs="Times New Roman" w:eastAsia="Times New Roman" w:hint="default"/>
          <w:spacing w:val="-3"/>
        </w:rPr>
        <w:t>13.72%</w:t>
      </w:r>
      <w:r>
        <w:rPr>
          <w:spacing w:val="-3"/>
        </w:rPr>
        <w:t>；与商誉相关的广东合利宝支付科技有限公司资产组的可收回金额为</w:t>
      </w:r>
      <w:r>
        <w:rPr>
          <w:rFonts w:ascii="Times New Roman" w:hAnsi="Times New Roman" w:cs="Times New Roman" w:eastAsia="Times New Roman" w:hint="default"/>
          <w:spacing w:val="-3"/>
        </w:rPr>
        <w:t>133,481.65</w:t>
      </w:r>
      <w:r>
        <w:rPr>
          <w:spacing w:val="-3"/>
        </w:rPr>
        <w:t>万元，高于</w:t>
      </w:r>
      <w:r>
        <w:rPr>
          <w:spacing w:val="83"/>
        </w:rPr>
        <w:t> </w:t>
      </w:r>
      <w:r>
        <w:rPr>
          <w:spacing w:val="83"/>
        </w:rPr>
      </w:r>
      <w:r>
        <w:rPr/>
        <w:t>于资产组账面价值</w:t>
      </w:r>
      <w:r>
        <w:rPr>
          <w:rFonts w:ascii="Times New Roman" w:hAnsi="Times New Roman" w:cs="Times New Roman" w:eastAsia="Times New Roman" w:hint="default"/>
        </w:rPr>
        <w:t>3,294.75</w:t>
      </w:r>
      <w:r>
        <w:rPr/>
        <w:t>万元及折算</w:t>
      </w:r>
      <w:r>
        <w:rPr>
          <w:rFonts w:ascii="Times New Roman" w:hAnsi="Times New Roman" w:cs="Times New Roman" w:eastAsia="Times New Roman" w:hint="default"/>
        </w:rPr>
        <w:t>100%</w:t>
      </w:r>
      <w:r>
        <w:rPr/>
        <w:t>商誉价值</w:t>
      </w:r>
      <w:r>
        <w:rPr>
          <w:rFonts w:ascii="Times New Roman" w:hAnsi="Times New Roman" w:cs="Times New Roman" w:eastAsia="Times New Roman" w:hint="default"/>
        </w:rPr>
        <w:t>116,800.27</w:t>
      </w:r>
      <w:r>
        <w:rPr/>
        <w:t>万元之和</w:t>
      </w:r>
      <w:r>
        <w:rPr>
          <w:rFonts w:ascii="Times New Roman" w:hAnsi="Times New Roman" w:cs="Times New Roman" w:eastAsia="Times New Roman" w:hint="default"/>
        </w:rPr>
        <w:t>120,095.02</w:t>
      </w:r>
      <w:r>
        <w:rPr/>
        <w:t>万元，不需计提商誉减值准备。</w:t>
      </w:r>
    </w:p>
    <w:p>
      <w:pPr>
        <w:pStyle w:val="BodyText"/>
        <w:spacing w:line="357" w:lineRule="auto" w:before="52"/>
        <w:ind w:left="513" w:right="1051" w:hanging="360"/>
        <w:jc w:val="left"/>
        <w:rPr>
          <w:rFonts w:ascii="Times New Roman" w:hAnsi="Times New Roman" w:cs="Times New Roman" w:eastAsia="Times New Roman" w:hint="default"/>
        </w:rPr>
      </w:pPr>
      <w:r>
        <w:rPr>
          <w:spacing w:val="-3"/>
        </w:rPr>
        <w:t>商誉减值测试的影响</w:t>
      </w:r>
      <w:r>
        <w:rPr>
          <w:spacing w:val="-62"/>
        </w:rPr>
        <w:t> </w:t>
      </w:r>
      <w:r>
        <w:rPr>
          <w:spacing w:val="-62"/>
        </w:rPr>
      </w:r>
      <w:r>
        <w:rPr>
          <w:spacing w:val="-4"/>
        </w:rPr>
        <w:t>针对广东合利金融科技服务有限公司收购事项，大股东北京仁东信息技术有限公司作出业绩补偿承诺，要求</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2018</w:t>
      </w:r>
    </w:p>
    <w:p>
      <w:pPr>
        <w:pStyle w:val="BodyText"/>
        <w:spacing w:line="215" w:lineRule="exact" w:before="0"/>
        <w:ind w:right="0"/>
        <w:jc w:val="left"/>
      </w:pPr>
      <w:r>
        <w:rPr>
          <w:spacing w:val="-3"/>
        </w:rPr>
        <w:t>年广东合利金融科技服务有限公司扣除非经常性损益后的归母净利润分别为  </w:t>
      </w:r>
      <w:r>
        <w:rPr>
          <w:rFonts w:ascii="Times New Roman" w:hAnsi="Times New Roman" w:cs="Times New Roman" w:eastAsia="Times New Roman" w:hint="default"/>
          <w:spacing w:val="-3"/>
        </w:rPr>
        <w:t>11,400.00</w:t>
      </w:r>
      <w:r>
        <w:rPr>
          <w:spacing w:val="-3"/>
        </w:rPr>
        <w:t>万元、</w:t>
      </w:r>
      <w:r>
        <w:rPr>
          <w:rFonts w:ascii="Times New Roman" w:hAnsi="Times New Roman" w:cs="Times New Roman" w:eastAsia="Times New Roman" w:hint="default"/>
          <w:spacing w:val="-3"/>
        </w:rPr>
        <w:t>21,800.00 </w:t>
      </w:r>
      <w:r>
        <w:rPr>
          <w:rFonts w:ascii="Times New Roman" w:hAnsi="Times New Roman" w:cs="Times New Roman" w:eastAsia="Times New Roman" w:hint="default"/>
          <w:spacing w:val="37"/>
        </w:rPr>
        <w:t> </w:t>
      </w:r>
      <w:r>
        <w:rPr>
          <w:spacing w:val="-5"/>
        </w:rPr>
        <w:t>万元。按照收购时的</w:t>
      </w:r>
    </w:p>
    <w:p>
      <w:pPr>
        <w:pStyle w:val="BodyText"/>
        <w:spacing w:line="300" w:lineRule="auto" w:before="62"/>
        <w:ind w:right="0"/>
        <w:jc w:val="left"/>
      </w:pPr>
      <w:r>
        <w:rPr>
          <w:spacing w:val="-3"/>
        </w:rPr>
        <w:t>合并口径，</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2018</w:t>
      </w:r>
      <w:r>
        <w:rPr>
          <w:spacing w:val="-3"/>
        </w:rPr>
        <w:t>年广东合利金融科技服务有限公司扣非归母净利润分别为</w:t>
      </w:r>
      <w:r>
        <w:rPr>
          <w:rFonts w:ascii="Times New Roman" w:hAnsi="Times New Roman" w:cs="Times New Roman" w:eastAsia="Times New Roman" w:hint="default"/>
          <w:spacing w:val="-3"/>
        </w:rPr>
        <w:t>6,280.21 </w:t>
      </w:r>
      <w:r>
        <w:rPr>
          <w:spacing w:val="-4"/>
        </w:rPr>
        <w:t>万、</w:t>
      </w:r>
      <w:r>
        <w:rPr>
          <w:rFonts w:ascii="Times New Roman" w:hAnsi="Times New Roman" w:cs="Times New Roman" w:eastAsia="Times New Roman" w:hint="default"/>
          <w:spacing w:val="-4"/>
        </w:rPr>
        <w:t>13,005.40</w:t>
      </w:r>
      <w:r>
        <w:rPr>
          <w:spacing w:val="-4"/>
        </w:rPr>
        <w:t>万。</w:t>
      </w:r>
      <w:r>
        <w:rPr>
          <w:rFonts w:ascii="Times New Roman" w:hAnsi="Times New Roman" w:cs="Times New Roman" w:eastAsia="Times New Roman" w:hint="default"/>
          <w:spacing w:val="-4"/>
        </w:rPr>
        <w:t>2018</w:t>
      </w:r>
      <w:r>
        <w:rPr>
          <w:spacing w:val="-4"/>
        </w:rPr>
        <w:t>年已收到业</w:t>
      </w:r>
      <w:r>
        <w:rPr>
          <w:spacing w:val="-66"/>
        </w:rPr>
        <w:t> </w:t>
      </w:r>
      <w:r>
        <w:rPr>
          <w:spacing w:val="-66"/>
        </w:rPr>
      </w:r>
      <w:r>
        <w:rPr/>
        <w:t>绩补偿款</w:t>
      </w:r>
      <w:r>
        <w:rPr>
          <w:rFonts w:ascii="Times New Roman" w:hAnsi="Times New Roman" w:cs="Times New Roman" w:eastAsia="Times New Roman" w:hint="default"/>
        </w:rPr>
        <w:t>13,950.24</w:t>
      </w:r>
      <w:r>
        <w:rPr/>
        <w:t>万，本年无需对业绩进行补偿。</w:t>
      </w:r>
    </w:p>
    <w:p>
      <w:pPr>
        <w:spacing w:after="0" w:line="30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ind w:right="0"/>
        <w:jc w:val="left"/>
      </w:pPr>
      <w:r>
        <w:rPr/>
        <w:t>其他说明</w:t>
      </w:r>
    </w:p>
    <w:p>
      <w:pPr>
        <w:pStyle w:val="BodyText"/>
        <w:spacing w:line="316" w:lineRule="auto" w:before="110"/>
        <w:ind w:right="0" w:firstLine="360"/>
        <w:jc w:val="left"/>
      </w:pPr>
      <w:r>
        <w:rPr>
          <w:spacing w:val="-4"/>
        </w:rPr>
        <w:t>因民盛友联金融有限公司经营情况不佳，未来盈利能力不确定性，公司基于财务报表谨慎性考虑，对收购民盛友联金融</w:t>
      </w:r>
      <w:r>
        <w:rPr>
          <w:w w:val="101"/>
        </w:rPr>
        <w:t> </w:t>
      </w:r>
      <w:r>
        <w:rPr/>
        <w:t>有限公司形成的商誉</w:t>
      </w:r>
      <w:r>
        <w:rPr>
          <w:rFonts w:ascii="Times New Roman" w:hAnsi="Times New Roman" w:cs="Times New Roman" w:eastAsia="Times New Roman" w:hint="default"/>
        </w:rPr>
        <w:t>602,997.90</w:t>
      </w:r>
      <w:r>
        <w:rPr/>
        <w:t>元，在</w:t>
      </w:r>
      <w:r>
        <w:rPr>
          <w:rFonts w:ascii="Times New Roman" w:hAnsi="Times New Roman" w:cs="Times New Roman" w:eastAsia="Times New Roman" w:hint="default"/>
        </w:rPr>
        <w:t>2017</w:t>
      </w:r>
      <w:r>
        <w:rPr/>
        <w:t>年度全额计提商誉减值准备。</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9、长期待摊费用" w:id="331"/>
      <w:bookmarkEnd w:id="331"/>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2,403,907.07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2,793,258.63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1,435,351.62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3,761,814.08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2,403,907.07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2,793,258.63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1,435,351.62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3,761,814.08</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0、递延所得税资产/递延所得税负债" w:id="332"/>
      <w:bookmarkEnd w:id="33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33"/>
      <w:bookmarkEnd w:id="33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FFFFFF"/>
            </w:tcBorders>
            <w:shd w:val="clear" w:color="auto" w:fill="D2D2D2"/>
          </w:tcPr>
          <w:p>
            <w:pPr/>
          </w:p>
        </w:tc>
        <w:tc>
          <w:tcPr>
            <w:tcW w:w="3832" w:type="dxa"/>
            <w:gridSpan w:val="2"/>
            <w:vMerge w:val="restart"/>
            <w:tcBorders>
              <w:top w:val="single" w:sz="4" w:space="0" w:color="000000"/>
              <w:left w:val="single" w:sz="4" w:space="0" w:color="FFFFFF"/>
              <w:right w:val="single" w:sz="4" w:space="0" w:color="FFFFFF"/>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FFFFFF"/>
              <w:bottom w:val="single" w:sz="4" w:space="0" w:color="000000"/>
              <w:right w:val="single" w:sz="4" w:space="0" w:color="FFFFFF"/>
            </w:tcBorders>
            <w:shd w:val="clear" w:color="auto" w:fill="D2D2D2"/>
          </w:tcPr>
          <w:p>
            <w:pPr/>
          </w:p>
        </w:tc>
        <w:tc>
          <w:tcPr>
            <w:tcW w:w="3832" w:type="dxa"/>
            <w:gridSpan w:val="2"/>
            <w:vMerge/>
            <w:tcBorders>
              <w:left w:val="single" w:sz="4" w:space="0" w:color="FFFFFF"/>
              <w:bottom w:val="single" w:sz="4" w:space="0" w:color="000000"/>
              <w:right w:val="single" w:sz="4" w:space="0" w:color="000000"/>
            </w:tcBorders>
            <w:shd w:val="clear" w:color="auto" w:fill="D2D2D2"/>
          </w:tcPr>
          <w:p>
            <w:pPr/>
          </w:p>
        </w:tc>
      </w:tr>
      <w:tr>
        <w:trPr>
          <w:trHeight w:val="202" w:hRule="exact"/>
        </w:trPr>
        <w:tc>
          <w:tcPr>
            <w:tcW w:w="1911" w:type="dxa"/>
            <w:vMerge/>
            <w:tcBorders>
              <w:left w:val="single" w:sz="4" w:space="0" w:color="000000"/>
              <w:bottom w:val="nil" w:sz="6" w:space="0" w:color="auto"/>
              <w:right w:val="single" w:sz="4" w:space="0" w:color="FFFFFF"/>
            </w:tcBorders>
            <w:shd w:val="clear" w:color="auto" w:fill="D2D2D2"/>
          </w:tcPr>
          <w:p>
            <w:pPr/>
          </w:p>
        </w:tc>
        <w:tc>
          <w:tcPr>
            <w:tcW w:w="1921"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9"/>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9"/>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2" w:hRule="exact"/>
        </w:trPr>
        <w:tc>
          <w:tcPr>
            <w:tcW w:w="1911" w:type="dxa"/>
            <w:tcBorders>
              <w:top w:val="nil" w:sz="6" w:space="0" w:color="auto"/>
              <w:left w:val="single" w:sz="4" w:space="0" w:color="000000"/>
              <w:bottom w:val="single" w:sz="4" w:space="0" w:color="000000"/>
              <w:right w:val="single" w:sz="4" w:space="0" w:color="FFFFFF"/>
            </w:tcBorders>
            <w:shd w:val="clear" w:color="auto" w:fill="D2D2D2"/>
          </w:tcPr>
          <w:p>
            <w:pPr/>
          </w:p>
        </w:tc>
        <w:tc>
          <w:tcPr>
            <w:tcW w:w="1921" w:type="dxa"/>
            <w:vMerge/>
            <w:tcBorders>
              <w:left w:val="single" w:sz="4" w:space="0" w:color="FFFFFF"/>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FFFFFF"/>
            </w:tcBorders>
            <w:shd w:val="clear" w:color="auto" w:fill="D2D2D2"/>
          </w:tcPr>
          <w:p>
            <w:pPr/>
          </w:p>
        </w:tc>
        <w:tc>
          <w:tcPr>
            <w:tcW w:w="1916" w:type="dxa"/>
            <w:vMerge/>
            <w:tcBorders>
              <w:left w:val="single" w:sz="4" w:space="0" w:color="FFFFFF"/>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4" w:space="0" w:color="FFFFFF"/>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649,881.45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154,191.08</w:t>
            </w:r>
          </w:p>
        </w:tc>
      </w:tr>
      <w:tr>
        <w:trPr>
          <w:trHeight w:val="403" w:hRule="exact"/>
        </w:trPr>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2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7,507,858.05</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1,859,548.42</w:t>
            </w:r>
          </w:p>
        </w:tc>
        <w:tc>
          <w:tcPr>
            <w:tcW w:w="1916" w:type="dxa"/>
            <w:tcBorders>
              <w:top w:val="single" w:sz="4" w:space="0" w:color="000000"/>
              <w:left w:val="single" w:sz="4" w:space="0" w:color="FFFFFF"/>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7,507,858.05</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1,859,548.42</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649,881.45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154,191.08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经抵销的递延所得税负债" w:id="334"/>
      <w:bookmarkEnd w:id="33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9"/>
        <w:gridCol w:w="1921"/>
        <w:gridCol w:w="1911"/>
        <w:gridCol w:w="1916"/>
        <w:gridCol w:w="1916"/>
      </w:tblGrid>
      <w:tr>
        <w:trPr>
          <w:trHeight w:val="206" w:hRule="exact"/>
        </w:trPr>
        <w:tc>
          <w:tcPr>
            <w:tcW w:w="18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99"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06" w:hRule="exact"/>
        </w:trPr>
        <w:tc>
          <w:tcPr>
            <w:tcW w:w="18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70"/>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27,232,740.00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4,086,851.66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33,515,580.00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5,029,561.66</w:t>
            </w:r>
          </w:p>
        </w:tc>
      </w:tr>
      <w:tr>
        <w:trPr>
          <w:trHeight w:val="398" w:hRule="exact"/>
        </w:trPr>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27,232,740.00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4,086,851.66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33,515,580.00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5,029,561.66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335"/>
      <w:bookmarkEnd w:id="33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163"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413"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413"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89" w:hRule="exact"/>
        </w:trPr>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vMerge/>
            <w:tcBorders>
              <w:left w:val="single" w:sz="4" w:space="0" w:color="000000"/>
              <w:right w:val="single" w:sz="4" w:space="0" w:color="000000"/>
            </w:tcBorders>
            <w:shd w:val="clear" w:color="auto" w:fill="D2D2D2"/>
          </w:tcPr>
          <w:p>
            <w:pPr/>
          </w:p>
        </w:tc>
        <w:tc>
          <w:tcPr>
            <w:tcW w:w="1911"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4"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1,859,548.42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154,191.08</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4,086,851.66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5,029,561.66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4）未确认递延所得税资产明细" w:id="336"/>
      <w:bookmarkEnd w:id="33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10,511,202.90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3,638,625.64</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311,385,337.03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65,470,857.04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321,896,539.93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69,109,482.68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确认递延所得税资产的可抵扣亏损将于以下年度到期" w:id="337"/>
      <w:bookmarkEnd w:id="33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0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982,123.26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0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659,361.03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659,361.03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0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3,782,828.70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3,782,828.70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09"/>
              <w:jc w:val="righ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106,648,771.60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32,906,484.72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09"/>
              <w:jc w:val="righ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95,354,014.15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27,140,059.33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09"/>
              <w:jc w:val="righ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104,940,361.55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311,385,337.03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65,470,857.04</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31、其他非流动资产" w:id="338"/>
      <w:bookmarkEnd w:id="338"/>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预付股权款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239,085,000.00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905,332.08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905,332.08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905,332.08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239,990,332.08</w:t>
            </w:r>
          </w:p>
        </w:tc>
      </w:tr>
    </w:tbl>
    <w:p>
      <w:pPr>
        <w:pStyle w:val="BodyText"/>
        <w:spacing w:line="240" w:lineRule="auto" w:before="54"/>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2、短期借款" w:id="339"/>
      <w:bookmarkEnd w:id="339"/>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40"/>
      <w:bookmarkEnd w:id="34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89,900,000.00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865,723.60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221,307.90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440,765,723.60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90,221,307.90</w:t>
            </w:r>
          </w:p>
        </w:tc>
      </w:tr>
    </w:tbl>
    <w:p>
      <w:pPr>
        <w:pStyle w:val="BodyText"/>
        <w:spacing w:line="240" w:lineRule="auto" w:before="53"/>
        <w:ind w:right="0"/>
        <w:jc w:val="left"/>
      </w:pPr>
      <w:r>
        <w:rPr/>
        <w:t>短期借款分类的说明：</w:t>
      </w:r>
    </w:p>
    <w:p>
      <w:pPr>
        <w:pStyle w:val="BodyText"/>
        <w:spacing w:line="240" w:lineRule="auto" w:before="115"/>
        <w:ind w:left="566" w:right="0"/>
        <w:jc w:val="left"/>
      </w:pPr>
      <w:r>
        <w:rPr>
          <w:spacing w:val="-3"/>
        </w:rPr>
        <w:t>（</w:t>
      </w:r>
      <w:r>
        <w:rPr>
          <w:rFonts w:ascii="Times New Roman" w:hAnsi="Times New Roman" w:cs="Times New Roman" w:eastAsia="Times New Roman" w:hint="default"/>
          <w:spacing w:val="-3"/>
        </w:rPr>
        <w:t>1</w:t>
      </w:r>
      <w:r>
        <w:rPr>
          <w:spacing w:val="-3"/>
        </w:rPr>
        <w:t>）母公司仁东控股股份有限公司保证借款</w:t>
      </w:r>
      <w:r>
        <w:rPr>
          <w:rFonts w:ascii="Times New Roman" w:hAnsi="Times New Roman" w:cs="Times New Roman" w:eastAsia="Times New Roman" w:hint="default"/>
          <w:spacing w:val="-3"/>
        </w:rPr>
        <w:t>89,900,000.00</w:t>
      </w:r>
      <w:r>
        <w:rPr>
          <w:spacing w:val="-3"/>
        </w:rPr>
        <w:t>元，由北京仁东信息技术有限公司提供担保。</w:t>
      </w:r>
    </w:p>
    <w:p>
      <w:pPr>
        <w:pStyle w:val="BodyText"/>
        <w:spacing w:line="300" w:lineRule="auto" w:before="63"/>
        <w:ind w:right="1122" w:firstLine="412"/>
        <w:jc w:val="both"/>
      </w:pPr>
      <w:r>
        <w:rPr>
          <w:spacing w:val="-4"/>
        </w:rPr>
        <w:t>（</w:t>
      </w:r>
      <w:r>
        <w:rPr>
          <w:rFonts w:ascii="Times New Roman" w:hAnsi="Times New Roman" w:cs="Times New Roman" w:eastAsia="Times New Roman" w:hint="default"/>
          <w:spacing w:val="-4"/>
        </w:rPr>
        <w:t>2</w:t>
      </w:r>
      <w:r>
        <w:rPr>
          <w:spacing w:val="-4"/>
        </w:rPr>
        <w:t>）母公司仁东控股股份有限公司质押借款</w:t>
      </w:r>
      <w:r>
        <w:rPr>
          <w:rFonts w:ascii="Times New Roman" w:hAnsi="Times New Roman" w:cs="Times New Roman" w:eastAsia="Times New Roman" w:hint="default"/>
          <w:spacing w:val="-4"/>
        </w:rPr>
        <w:t>350,000,000.00</w:t>
      </w:r>
      <w:r>
        <w:rPr>
          <w:spacing w:val="-4"/>
        </w:rPr>
        <w:t>元，由广东合利金融科技服务有限公司、霍东提供担保，由</w:t>
      </w:r>
      <w:r>
        <w:rPr>
          <w:w w:val="101"/>
        </w:rPr>
        <w:t> </w:t>
      </w:r>
      <w:r>
        <w:rPr>
          <w:spacing w:val="-3"/>
        </w:rPr>
        <w:t>北京仁东信息技术有限公司提供质押担保</w:t>
      </w:r>
      <w:r>
        <w:rPr>
          <w:rFonts w:ascii="Times New Roman" w:hAnsi="Times New Roman" w:cs="Times New Roman" w:eastAsia="Times New Roman" w:hint="default"/>
          <w:spacing w:val="-3"/>
        </w:rPr>
        <w:t>,</w:t>
      </w:r>
      <w:r>
        <w:rPr>
          <w:spacing w:val="-3"/>
        </w:rPr>
        <w:t>质押物为北京仁东信息技术有限公司持有的仁东控股股份有限公司</w:t>
      </w:r>
      <w:r>
        <w:rPr>
          <w:rFonts w:ascii="Times New Roman" w:hAnsi="Times New Roman" w:cs="Times New Roman" w:eastAsia="Times New Roman" w:hint="default"/>
          <w:spacing w:val="-3"/>
        </w:rPr>
        <w:t>916.833</w:t>
      </w:r>
      <w:r>
        <w:rPr>
          <w:spacing w:val="-3"/>
        </w:rPr>
        <w:t>万股股</w:t>
      </w:r>
      <w:r>
        <w:rPr>
          <w:spacing w:val="6"/>
        </w:rPr>
        <w:t> </w:t>
      </w:r>
      <w:r>
        <w:rPr>
          <w:spacing w:val="6"/>
        </w:rPr>
      </w:r>
      <w:r>
        <w:rPr/>
        <w:t>票。</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已逾期未偿还的短期借款情况" w:id="341"/>
      <w:bookmarkEnd w:id="34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pPr>
      <w:r>
        <w:rPr>
          <w:spacing w:val="-3"/>
        </w:rPr>
        <w:t>本期末已逾期未偿还的短期借款总额为元，其中重要的已逾期未偿还的短期借款情况如下：</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6"/>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3、交易性金融负债" w:id="342"/>
      <w:bookmarkEnd w:id="342"/>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4、衍生金融负债" w:id="343"/>
      <w:bookmarkEnd w:id="343"/>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6"/>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5、应付票据" w:id="344"/>
      <w:bookmarkEnd w:id="344"/>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spacing w:val="-3"/>
        </w:rPr>
        <w:t>本期末已到期未支付的应付票据总额为元。</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36、应付账款" w:id="345"/>
      <w:bookmarkEnd w:id="345"/>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46"/>
      <w:bookmarkEnd w:id="34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应付库存商品款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211,105.99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409,918.30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应付中介服务机构款项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1,551,053.51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144,451.00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应付分润款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23,973,265.74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8,648,244.90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49,408,527.80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11,511,982.90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935,379.67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309,900.00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747,400.00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76,389,232.71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21,461,997.10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347"/>
      <w:bookmarkEnd w:id="347"/>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7、预收款项" w:id="348"/>
      <w:bookmarkEnd w:id="348"/>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预收款项列示" w:id="349"/>
      <w:bookmarkEnd w:id="34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顾问咨询费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555,936.17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4,864.68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16,404.62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110,450.00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148,914.46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206,423.55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264,229.14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778,764.34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预收款项" w:id="350"/>
      <w:bookmarkEnd w:id="350"/>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3）期末建造合同形成的已结算未完工项目情况" w:id="351"/>
      <w:bookmarkEnd w:id="35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8、合同负债" w:id="352"/>
      <w:bookmarkEnd w:id="352"/>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spacing w:val="-3"/>
        </w:rPr>
        <w:t>报告期内账面价值发生重大变动的金额和原因</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4"/>
        <w:gridCol w:w="2420"/>
        <w:gridCol w:w="4945"/>
      </w:tblGrid>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bookmarkStart w:name="39、应付职工薪酬" w:id="353"/>
      <w:bookmarkEnd w:id="353"/>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54"/>
      <w:bookmarkEnd w:id="35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11,257,425.40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94,042,481.35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90,376,587.79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14,923,318.96</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126,968.56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4,399,267.13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4,224,044.97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302,190.72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382,087.00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382,087.00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11,384,393.96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98,823,835.48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94,982,719.76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15,225,509.68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355"/>
      <w:bookmarkEnd w:id="35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11,160,102.35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85,161,719.15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81,623,114.67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14,698,706.83</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1,214,161.41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1,214,161.41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71,311.05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2,776,579.15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2,662,648.07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185,242.13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64,805.60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2,472,272.17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2,369,638.17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167,439.60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1,310.86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58,580.99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55,495.71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4,396.14</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5,194.59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245,725.99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237,514.19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13,406.39</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26,012.00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4,760,580.48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4,747,222.48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39,370.00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129,441.16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129,441.16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862" w:right="0"/>
              <w:jc w:val="left"/>
              <w:rPr>
                <w:rFonts w:ascii="Times New Roman" w:hAnsi="Times New Roman" w:cs="Times New Roman" w:eastAsia="Times New Roman" w:hint="default"/>
                <w:sz w:val="18"/>
                <w:szCs w:val="18"/>
              </w:rPr>
            </w:pPr>
            <w:r>
              <w:rPr>
                <w:rFonts w:ascii="Times New Roman"/>
                <w:sz w:val="18"/>
              </w:rPr>
              <w:t>11,257,425.40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94,042,481.35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90,376,587.79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14,923,318.96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356"/>
      <w:bookmarkEnd w:id="35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121,809.16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4,250,369.84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4,082,906.20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289,272.80</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5,159.40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148,897.29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141,138.77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12,917.92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126,968.56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4,399,267.13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4,224,044.97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302,190.72</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0、应交税费" w:id="357"/>
      <w:bookmarkEnd w:id="357"/>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6,031,868.85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4,773,001.22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7,782,088.91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12,691,445.90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749,698.22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151,188.49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133,676.07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341,881.20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95,482.90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244,200.79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22,416.34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25,470.66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2,784.74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14,815,231.29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18,229,973.00</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1、其他应付款" w:id="358"/>
      <w:bookmarkEnd w:id="35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24,166.67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159,500.00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182,406,849.02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562,553,475.08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182,431,015.69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562,712,975.08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付利息" w:id="359"/>
      <w:bookmarkEnd w:id="35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应付股东利息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24,166.67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159,500.00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24,166.67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159,500.00</w:t>
            </w:r>
          </w:p>
        </w:tc>
      </w:tr>
    </w:tbl>
    <w:p>
      <w:pPr>
        <w:pStyle w:val="BodyText"/>
        <w:spacing w:line="240" w:lineRule="auto" w:before="53"/>
        <w:ind w:right="0"/>
        <w:jc w:val="left"/>
      </w:pPr>
      <w:r>
        <w:rPr>
          <w:spacing w:val="-3"/>
        </w:rPr>
        <w:t>重要的已逾期未支付的利息情况：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应付股利" w:id="360"/>
      <w:bookmarkEnd w:id="36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4"/>
        <w:ind w:right="0"/>
        <w:jc w:val="left"/>
      </w:pPr>
      <w:r>
        <w:rPr>
          <w:spacing w:val="-3"/>
        </w:rPr>
        <w:t>其他说明，包括重要的超过 </w:t>
      </w: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spacing w:val="-3"/>
        </w:rPr>
        <w:t>年未支付的应付股利，应披露未支付原因：</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其他应付款" w:id="361"/>
      <w:bookmarkEnd w:id="36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62"/>
      <w:bookmarkEnd w:id="362"/>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未付股权收购款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156,413,266.24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156,413,266.24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21,000,346.25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1,800,658.72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应付控股股东借款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938,483.24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361,058.12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161,058.12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3,693,695.17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4,178,492.00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182,406,849.02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562,553,475.08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363"/>
      <w:bookmarkEnd w:id="363"/>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张军红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156,413,266.24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未付股权收购款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156,413,266.24</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2、持有待售负债" w:id="364"/>
      <w:bookmarkEnd w:id="364"/>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spacing w:val="-4"/>
        </w:rPr>
        <w:t>其他说明：</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65"/>
      <w:bookmarkEnd w:id="36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279,650,000.00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397,719.29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588,313.71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180,397,719.29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280,238,313.71</w:t>
            </w:r>
          </w:p>
        </w:tc>
      </w:tr>
    </w:tbl>
    <w:p>
      <w:pPr>
        <w:pStyle w:val="BodyText"/>
        <w:spacing w:line="357" w:lineRule="auto" w:before="53"/>
        <w:ind w:right="8854"/>
        <w:jc w:val="left"/>
        <w:rPr>
          <w:rFonts w:ascii="Times New Roman" w:hAnsi="Times New Roman" w:cs="Times New Roman" w:eastAsia="Times New Roman" w:hint="default"/>
        </w:rPr>
      </w:pPr>
      <w:r>
        <w:rPr/>
        <w:t>其他说明：</w:t>
      </w:r>
      <w:r>
        <w:rPr>
          <w:w w:val="101"/>
        </w:rPr>
        <w:t> </w:t>
      </w:r>
      <w:r>
        <w:rPr/>
        <w:t>详见附注七</w:t>
      </w:r>
      <w:r>
        <w:rPr>
          <w:rFonts w:ascii="Times New Roman" w:hAnsi="Times New Roman" w:cs="Times New Roman" w:eastAsia="Times New Roman" w:hint="default"/>
        </w:rPr>
        <w:t>.45</w:t>
      </w:r>
    </w:p>
    <w:p>
      <w:pPr>
        <w:spacing w:line="240" w:lineRule="auto" w:before="1"/>
        <w:rPr>
          <w:rFonts w:ascii="Times New Roman" w:hAnsi="Times New Roman" w:cs="Times New Roman" w:eastAsia="Times New Roman" w:hint="default"/>
          <w:sz w:val="21"/>
          <w:szCs w:val="21"/>
        </w:rPr>
      </w:pPr>
    </w:p>
    <w:p>
      <w:pPr>
        <w:pStyle w:val="Heading3"/>
        <w:spacing w:line="240" w:lineRule="auto"/>
        <w:ind w:right="0"/>
        <w:jc w:val="left"/>
        <w:rPr>
          <w:b w:val="0"/>
          <w:bCs w:val="0"/>
        </w:rPr>
      </w:pPr>
      <w:bookmarkStart w:name="44、其他流动负债" w:id="366"/>
      <w:bookmarkEnd w:id="36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第三方支付业务代垫款项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1,003,961,310.50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23,820,558.69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第三方支付业务结存客户备付金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219,993,721.46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2,577,763,537.59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929.59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1,223,955,031.96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2,601,585,025.87</w:t>
            </w:r>
          </w:p>
        </w:tc>
      </w:tr>
    </w:tbl>
    <w:p>
      <w:pPr>
        <w:pStyle w:val="BodyText"/>
        <w:spacing w:line="240" w:lineRule="auto" w:before="53"/>
        <w:ind w:right="0"/>
        <w:jc w:val="left"/>
      </w:pPr>
      <w:r>
        <w:rPr>
          <w:spacing w:val="-3"/>
        </w:rPr>
        <w:t>短期应付债券的增减变动：</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71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4" w:right="27" w:hanging="92"/>
              <w:jc w:val="left"/>
              <w:rPr>
                <w:rFonts w:ascii="宋体" w:hAnsi="宋体" w:cs="宋体" w:eastAsia="宋体" w:hint="default"/>
                <w:sz w:val="18"/>
                <w:szCs w:val="18"/>
              </w:rPr>
            </w:pPr>
            <w:r>
              <w:rPr>
                <w:rFonts w:ascii="宋体" w:hAnsi="宋体" w:cs="宋体" w:eastAsia="宋体" w:hint="default"/>
                <w:sz w:val="18"/>
                <w:szCs w:val="18"/>
              </w:rPr>
              <w:t>按面值计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07" w:right="27"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5、长期借款" w:id="367"/>
      <w:bookmarkEnd w:id="36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68"/>
      <w:bookmarkEnd w:id="36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620,000,000.00</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79,650,000.00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减：一年内到期的长期借款</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-279,650,000.00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1,285,358.18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1,486,647.04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减：一年内到期的长期借款应付利息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-397,719.29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-588,313.71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415,887,638.89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420,898,333.33</w:t>
            </w:r>
          </w:p>
        </w:tc>
      </w:tr>
    </w:tbl>
    <w:p>
      <w:pPr>
        <w:pStyle w:val="BodyText"/>
        <w:spacing w:line="240" w:lineRule="auto" w:before="53"/>
        <w:ind w:right="0"/>
        <w:jc w:val="left"/>
      </w:pPr>
      <w:r>
        <w:rPr/>
        <w:t>长期借款分类的说明：</w:t>
      </w:r>
    </w:p>
    <w:p>
      <w:pPr>
        <w:pStyle w:val="BodyText"/>
        <w:spacing w:line="300" w:lineRule="auto" w:before="115"/>
        <w:ind w:left="556" w:right="0"/>
        <w:jc w:val="left"/>
      </w:pPr>
      <w:r>
        <w:rPr>
          <w:rFonts w:ascii="Times New Roman" w:hAnsi="Times New Roman" w:cs="Times New Roman" w:eastAsia="Times New Roman" w:hint="default"/>
        </w:rPr>
        <w:t>180,000,000.00</w:t>
      </w:r>
      <w:r>
        <w:rPr/>
        <w:t>元质押借款期末重分类至一年内到期的非流动负债。</w:t>
      </w:r>
      <w:r>
        <w:rPr>
          <w:w w:val="101"/>
        </w:rPr>
        <w:t> </w:t>
      </w:r>
      <w:r>
        <w:rPr>
          <w:spacing w:val="-3"/>
        </w:rPr>
        <w:t>重分类至一年内到期的非流动负债</w:t>
      </w:r>
      <w:r>
        <w:rPr>
          <w:rFonts w:ascii="Times New Roman" w:hAnsi="Times New Roman" w:cs="Times New Roman" w:eastAsia="Times New Roman" w:hint="default"/>
          <w:spacing w:val="-3"/>
        </w:rPr>
        <w:t>1.8</w:t>
      </w:r>
      <w:r>
        <w:rPr>
          <w:spacing w:val="-3"/>
        </w:rPr>
        <w:t>亿借款既为质押借款也为保证借款，质押物为广东合利金融科技服务有限公司持</w:t>
      </w:r>
    </w:p>
    <w:p>
      <w:pPr>
        <w:pStyle w:val="BodyText"/>
        <w:spacing w:line="300" w:lineRule="auto" w:before="13"/>
        <w:ind w:right="0"/>
        <w:jc w:val="left"/>
      </w:pPr>
      <w:r>
        <w:rPr>
          <w:spacing w:val="-1"/>
        </w:rPr>
        <w:t>有的</w:t>
      </w:r>
      <w:r>
        <w:rPr>
          <w:rFonts w:ascii="Times New Roman" w:hAnsi="Times New Roman" w:cs="Times New Roman" w:eastAsia="Times New Roman" w:hint="default"/>
          <w:spacing w:val="-1"/>
        </w:rPr>
        <w:t>100%</w:t>
      </w:r>
      <w:r>
        <w:rPr>
          <w:spacing w:val="-1"/>
        </w:rPr>
        <w:t>深圳前海合利商业保理有限公司股权以及天津民盛金科信息技术有限公司持有的长治银行股份有限公司</w:t>
      </w:r>
      <w:r>
        <w:rPr>
          <w:rFonts w:ascii="Times New Roman" w:hAnsi="Times New Roman" w:cs="Times New Roman" w:eastAsia="Times New Roman" w:hint="default"/>
          <w:spacing w:val="-1"/>
        </w:rPr>
        <w:t>11,385</w:t>
      </w:r>
      <w:r>
        <w:rPr>
          <w:spacing w:val="-1"/>
        </w:rPr>
        <w:t>万</w:t>
      </w:r>
      <w:r>
        <w:rPr>
          <w:spacing w:val="55"/>
        </w:rPr>
        <w:t> </w:t>
      </w:r>
      <w:r>
        <w:rPr>
          <w:spacing w:val="-3"/>
        </w:rPr>
        <w:t>股股份。北京仁东信息技术有限公司、仁东控股股份有限公司、霍东提供连带责任保证。</w:t>
      </w:r>
    </w:p>
    <w:p>
      <w:pPr>
        <w:pStyle w:val="BodyText"/>
        <w:spacing w:line="300" w:lineRule="auto" w:before="32"/>
        <w:ind w:right="1103" w:firstLine="403"/>
        <w:jc w:val="both"/>
      </w:pPr>
      <w:r>
        <w:rPr>
          <w:spacing w:val="-2"/>
        </w:rPr>
        <w:t>对中信银行深圳西乡支行</w:t>
      </w:r>
      <w:r>
        <w:rPr>
          <w:rFonts w:ascii="Times New Roman" w:hAnsi="Times New Roman" w:cs="Times New Roman" w:eastAsia="Times New Roman" w:hint="default"/>
          <w:spacing w:val="-2"/>
        </w:rPr>
        <w:t>415,000,000.00</w:t>
      </w:r>
      <w:r>
        <w:rPr>
          <w:spacing w:val="-2"/>
        </w:rPr>
        <w:t>元借款，由天津和柚技术有限公司、郝江波及配偶田文军、张永东及其配偶黎</w:t>
      </w:r>
      <w:r>
        <w:rPr>
          <w:w w:val="101"/>
        </w:rPr>
        <w:t> </w:t>
      </w:r>
      <w:r>
        <w:rPr>
          <w:spacing w:val="-4"/>
          <w:w w:val="101"/>
        </w:rPr>
        <w:t>碧提供担保，广东合利金融科技服务有限公司（质押其拥有的广州合利宝支付科技有限公司</w:t>
      </w:r>
      <w:r>
        <w:rPr>
          <w:rFonts w:ascii="Times New Roman" w:hAnsi="Times New Roman" w:cs="Times New Roman" w:eastAsia="Times New Roman" w:hint="default"/>
          <w:spacing w:val="-4"/>
          <w:w w:val="101"/>
        </w:rPr>
        <w:t>95%</w:t>
      </w:r>
      <w:r>
        <w:rPr>
          <w:spacing w:val="-4"/>
          <w:w w:val="101"/>
        </w:rPr>
        <w:t>股权）、仁东控股股份有限</w:t>
      </w:r>
      <w:r>
        <w:rPr>
          <w:spacing w:val="-56"/>
          <w:w w:val="101"/>
        </w:rPr>
        <w:t> </w:t>
      </w:r>
      <w:r>
        <w:rPr>
          <w:spacing w:val="-56"/>
          <w:w w:val="101"/>
        </w:rPr>
      </w:r>
      <w:r>
        <w:rPr>
          <w:spacing w:val="-4"/>
          <w:w w:val="101"/>
        </w:rPr>
        <w:t>公司（质押广东合利金融科技服务有限公司</w:t>
      </w:r>
      <w:r>
        <w:rPr>
          <w:rFonts w:ascii="Times New Roman" w:hAnsi="Times New Roman" w:cs="Times New Roman" w:eastAsia="Times New Roman" w:hint="default"/>
          <w:spacing w:val="-4"/>
          <w:w w:val="101"/>
        </w:rPr>
        <w:t>90%</w:t>
      </w:r>
      <w:r>
        <w:rPr>
          <w:spacing w:val="-4"/>
          <w:w w:val="101"/>
        </w:rPr>
        <w:t>股权）、郝江波提供（拥有的天津和柚技术有限公司</w:t>
      </w:r>
      <w:r>
        <w:rPr>
          <w:rFonts w:ascii="Times New Roman" w:hAnsi="Times New Roman" w:cs="Times New Roman" w:eastAsia="Times New Roman" w:hint="default"/>
          <w:spacing w:val="-4"/>
          <w:w w:val="101"/>
        </w:rPr>
        <w:t>100%</w:t>
      </w:r>
      <w:r>
        <w:rPr>
          <w:spacing w:val="-4"/>
          <w:w w:val="101"/>
        </w:rPr>
        <w:t>股权）质押担保。</w:t>
      </w:r>
      <w:r>
        <w:rPr>
          <w:spacing w:val="-4"/>
        </w:rPr>
      </w:r>
    </w:p>
    <w:p>
      <w:pPr>
        <w:pStyle w:val="BodyText"/>
        <w:spacing w:line="240" w:lineRule="auto" w:before="56"/>
        <w:ind w:right="0"/>
        <w:jc w:val="left"/>
      </w:pPr>
      <w:r>
        <w:rPr>
          <w:spacing w:val="-3"/>
        </w:rPr>
        <w:t>其他说明，包括利率区间：</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6、应付债券" w:id="369"/>
      <w:bookmarkEnd w:id="36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70"/>
      <w:bookmarkEnd w:id="37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bookmarkStart w:name="（2）应付债券的增减变动（不包括划分为金融负债的优先股、永续债等其他金融工具）" w:id="371"/>
      <w:bookmarkEnd w:id="37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88"/>
        <w:gridCol w:w="811"/>
        <w:gridCol w:w="797"/>
        <w:gridCol w:w="797"/>
        <w:gridCol w:w="797"/>
        <w:gridCol w:w="802"/>
        <w:gridCol w:w="797"/>
        <w:gridCol w:w="797"/>
        <w:gridCol w:w="797"/>
        <w:gridCol w:w="802"/>
        <w:gridCol w:w="797"/>
        <w:gridCol w:w="797"/>
      </w:tblGrid>
      <w:tr>
        <w:trPr>
          <w:trHeight w:val="164"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124" w:right="27" w:hanging="92"/>
              <w:jc w:val="left"/>
              <w:rPr>
                <w:rFonts w:ascii="宋体" w:hAnsi="宋体" w:cs="宋体" w:eastAsia="宋体" w:hint="default"/>
                <w:sz w:val="18"/>
                <w:szCs w:val="18"/>
              </w:rPr>
            </w:pPr>
            <w:r>
              <w:rPr>
                <w:rFonts w:ascii="宋体" w:hAnsi="宋体" w:cs="宋体" w:eastAsia="宋体" w:hint="default"/>
                <w:sz w:val="18"/>
                <w:szCs w:val="18"/>
              </w:rPr>
              <w:t>按面值计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提利息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307" w:right="27"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3"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1"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13" w:space="0" w:color="D2D2D2"/>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可转换公司债券的转股条件、转股时间说明" w:id="372"/>
      <w:bookmarkEnd w:id="37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73"/>
      <w:bookmarkEnd w:id="37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357" w:lineRule="auto"/>
        <w:ind w:right="0"/>
        <w:jc w:val="left"/>
      </w:pPr>
      <w:r>
        <w:rPr>
          <w:spacing w:val="-3"/>
        </w:rPr>
        <w:t>期末发行在外的优先股、永续债等其他金融工具基本情况</w:t>
      </w:r>
      <w:r>
        <w:rPr>
          <w:spacing w:val="-15"/>
        </w:rPr>
        <w:t> </w:t>
      </w:r>
      <w:r>
        <w:rPr>
          <w:spacing w:val="-15"/>
        </w:rPr>
      </w:r>
      <w:r>
        <w:rPr>
          <w:spacing w:val="-3"/>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4657" w:space="4174"/>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398"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2" w:lineRule="auto" w:before="54"/>
        <w:ind w:right="6995"/>
        <w:jc w:val="left"/>
      </w:pPr>
      <w:r>
        <w:rPr>
          <w:spacing w:val="-3"/>
        </w:rPr>
        <w:t>其他金融工具划分为金融负债的依据说明</w:t>
      </w:r>
      <w:r>
        <w:rPr>
          <w:spacing w:val="-33"/>
        </w:rPr>
        <w:t> </w:t>
      </w:r>
      <w:r>
        <w:rPr>
          <w:spacing w:val="-33"/>
        </w:rPr>
      </w:r>
      <w:r>
        <w:rPr/>
        <w:t>其他说明</w:t>
      </w:r>
    </w:p>
    <w:p>
      <w:pPr>
        <w:spacing w:after="0" w:line="362" w:lineRule="auto"/>
        <w:jc w:val="left"/>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47、租赁负债" w:id="374"/>
      <w:bookmarkEnd w:id="374"/>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spacing w:val="-2"/>
        </w:rPr>
        <w:t>单位：</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8、长期应付款" w:id="375"/>
      <w:bookmarkEnd w:id="375"/>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按款项性质列示长期应付款" w:id="376"/>
      <w:bookmarkEnd w:id="37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专项应付款" w:id="377"/>
      <w:bookmarkEnd w:id="377"/>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9、长期应付职工薪酬" w:id="378"/>
      <w:bookmarkEnd w:id="378"/>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79"/>
      <w:bookmarkEnd w:id="37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设定受益计划变动情况" w:id="380"/>
      <w:bookmarkEnd w:id="38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spacing w:val="-3"/>
        </w:rPr>
        <w:t>设定受益计划义务现值：</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t>计划资产：</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spacing w:val="-3"/>
        </w:rPr>
        <w:t>设定受益计划净负债（净资产）</w:t>
      </w:r>
    </w:p>
    <w:p>
      <w:pPr>
        <w:pStyle w:val="BodyText"/>
        <w:spacing w:line="240" w:lineRule="auto" w:before="119"/>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3"/>
        <w:ind w:right="0"/>
        <w:jc w:val="left"/>
      </w:pPr>
      <w:r>
        <w:rPr>
          <w:spacing w:val="-3"/>
        </w:rPr>
        <w:t>设定受益计划的内容及与之相关风险、对公司未来现金流量、时间和不确定性的影响说明：</w:t>
      </w:r>
      <w:r>
        <w:rPr>
          <w:spacing w:val="26"/>
        </w:rPr>
        <w:t> </w:t>
      </w:r>
      <w:r>
        <w:rPr>
          <w:spacing w:val="26"/>
        </w:rPr>
      </w:r>
      <w:r>
        <w:rPr>
          <w:spacing w:val="-3"/>
        </w:rPr>
        <w:t>设定受益计划重大精算假设及敏感性分析结果说明：</w:t>
      </w:r>
    </w:p>
    <w:p>
      <w:pPr>
        <w:pStyle w:val="BodyText"/>
        <w:spacing w:line="240" w:lineRule="auto" w:before="32"/>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0、预计负债" w:id="381"/>
      <w:bookmarkEnd w:id="38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3"/>
        <w:ind w:right="0"/>
        <w:jc w:val="left"/>
      </w:pPr>
      <w:r>
        <w:rPr>
          <w:spacing w:val="-3"/>
        </w:rPr>
        <w:t>其他说明，包括重要预计负债的相关重要假设、估计说明：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51、递延收益" w:id="382"/>
      <w:bookmarkEnd w:id="38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4"/>
        <w:ind w:right="0"/>
        <w:jc w:val="left"/>
      </w:pPr>
      <w:r>
        <w:rPr/>
        <w:t>涉及政府补助的项目：</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0" w:right="41"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8"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bl>
    <w:p>
      <w:pPr>
        <w:pStyle w:val="BodyText"/>
        <w:spacing w:line="240" w:lineRule="auto" w:before="56"/>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83"/>
      <w:bookmarkEnd w:id="38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240" w:lineRule="auto"/>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53、股本" w:id="384"/>
      <w:bookmarkEnd w:id="384"/>
      <w:r>
        <w:rPr>
          <w:b w:val="0"/>
          <w:bCs w:val="0"/>
        </w:rPr>
      </w:r>
      <w:r>
        <w:rPr>
          <w:rFonts w:ascii="Times New Roman" w:hAnsi="Times New Roman" w:cs="Times New Roman" w:eastAsia="Times New Roman" w:hint="default"/>
        </w:rPr>
        <w:t>53</w:t>
      </w:r>
      <w:r>
        <w:rPr/>
        <w:t>、股本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559,936,650.00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559,936,650.00</w:t>
            </w:r>
          </w:p>
        </w:tc>
      </w:tr>
    </w:tbl>
    <w:p>
      <w:pPr>
        <w:pStyle w:val="BodyText"/>
        <w:spacing w:line="240" w:lineRule="auto" w:before="53"/>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54、其他权益工具" w:id="385"/>
      <w:bookmarkEnd w:id="38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86"/>
      <w:bookmarkEnd w:id="38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87"/>
      <w:bookmarkEnd w:id="38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398"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2" w:lineRule="auto" w:before="53"/>
        <w:ind w:right="4465"/>
        <w:jc w:val="left"/>
      </w:pPr>
      <w:r>
        <w:rPr>
          <w:spacing w:val="-3"/>
        </w:rPr>
        <w:t>其他权益工具本期增减变动情况、变动原因说明，以及相关会计处理的依据：</w:t>
      </w:r>
      <w:r>
        <w:rPr>
          <w:spacing w:val="8"/>
        </w:rPr>
        <w:t> </w:t>
      </w:r>
      <w:r>
        <w:rPr>
          <w:spacing w:val="8"/>
        </w:rPr>
      </w:r>
      <w:r>
        <w:rPr/>
        <w:t>其他说明：</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55、资本公积" w:id="388"/>
      <w:bookmarkEnd w:id="38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40,760,485.01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40,760,485.01</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150,381,533.57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150,381,533.57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191,142,018.58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191,142,018.58</w:t>
            </w:r>
          </w:p>
        </w:tc>
      </w:tr>
    </w:tbl>
    <w:p>
      <w:pPr>
        <w:pStyle w:val="BodyText"/>
        <w:spacing w:line="240" w:lineRule="auto" w:before="53"/>
        <w:ind w:right="0"/>
        <w:jc w:val="left"/>
      </w:pPr>
      <w:r>
        <w:rPr>
          <w:spacing w:val="-3"/>
        </w:rPr>
        <w:t>其他说明，包括本期增减变动情况、变动原因说明：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6、库存股" w:id="389"/>
      <w:bookmarkEnd w:id="38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39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3"/>
        <w:ind w:right="0"/>
        <w:jc w:val="left"/>
      </w:pPr>
      <w:r>
        <w:rPr>
          <w:spacing w:val="-3"/>
        </w:rPr>
        <w:t>其他说明，包括本期增减变动情况、变动原因说明：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57、其他综合收益" w:id="390"/>
      <w:bookmarkEnd w:id="39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47"/>
        <w:gridCol w:w="975"/>
        <w:gridCol w:w="850"/>
        <w:gridCol w:w="1052"/>
        <w:gridCol w:w="850"/>
        <w:gridCol w:w="855"/>
        <w:gridCol w:w="854"/>
        <w:gridCol w:w="850"/>
        <w:gridCol w:w="725"/>
      </w:tblGrid>
      <w:tr>
        <w:trPr>
          <w:trHeight w:val="398" w:hRule="exact"/>
        </w:trPr>
        <w:tc>
          <w:tcPr>
            <w:tcW w:w="2547"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
        </w:tc>
      </w:tr>
      <w:tr>
        <w:trPr>
          <w:trHeight w:val="168"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62" w:right="51"/>
              <w:jc w:val="both"/>
              <w:rPr>
                <w:rFonts w:ascii="宋体" w:hAnsi="宋体" w:cs="宋体" w:eastAsia="宋体" w:hint="default"/>
                <w:sz w:val="18"/>
                <w:szCs w:val="18"/>
              </w:rPr>
            </w:pPr>
            <w:r>
              <w:rPr>
                <w:rFonts w:ascii="宋体" w:hAnsi="宋体" w:cs="宋体" w:eastAsia="宋体" w:hint="default"/>
                <w:sz w:val="18"/>
                <w:szCs w:val="18"/>
              </w:rPr>
              <w:t>减：前期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计入其他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当期转入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855" w:type="dxa"/>
            <w:vMerge w:val="restart"/>
            <w:tcBorders>
              <w:top w:val="single" w:sz="4" w:space="0" w:color="000000"/>
              <w:left w:val="single" w:sz="4" w:space="0" w:color="000000"/>
              <w:right w:val="single" w:sz="4" w:space="0" w:color="000000"/>
            </w:tcBorders>
            <w:shd w:val="clear" w:color="auto" w:fill="D2D2D2"/>
          </w:tcPr>
          <w:p>
            <w:pPr/>
          </w:p>
        </w:tc>
        <w:tc>
          <w:tcPr>
            <w:tcW w:w="85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43"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23" w:right="17"/>
              <w:jc w:val="center"/>
              <w:rPr>
                <w:rFonts w:ascii="宋体" w:hAnsi="宋体" w:cs="宋体" w:eastAsia="宋体" w:hint="default"/>
                <w:sz w:val="18"/>
                <w:szCs w:val="18"/>
              </w:rPr>
            </w:pPr>
            <w:r>
              <w:rPr>
                <w:rFonts w:ascii="宋体" w:hAnsi="宋体" w:cs="宋体" w:eastAsia="宋体" w:hint="default"/>
                <w:spacing w:val="-16"/>
                <w:w w:val="101"/>
                <w:sz w:val="18"/>
                <w:szCs w:val="18"/>
              </w:rPr>
              <w:t>减：前期计入</w:t>
            </w:r>
            <w:r>
              <w:rPr>
                <w:rFonts w:ascii="宋体" w:hAnsi="宋体" w:cs="宋体" w:eastAsia="宋体" w:hint="default"/>
                <w:w w:val="101"/>
                <w:sz w:val="18"/>
                <w:szCs w:val="18"/>
              </w:rPr>
              <w:t> </w:t>
            </w:r>
            <w:r>
              <w:rPr>
                <w:rFonts w:ascii="宋体" w:hAnsi="宋体" w:cs="宋体" w:eastAsia="宋体" w:hint="default"/>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益当期转入</w:t>
            </w:r>
            <w:r>
              <w:rPr>
                <w:rFonts w:ascii="宋体" w:hAnsi="宋体" w:cs="宋体" w:eastAsia="宋体" w:hint="default"/>
                <w:w w:val="101"/>
                <w:sz w:val="18"/>
                <w:szCs w:val="18"/>
              </w:rPr>
              <w:t> </w:t>
            </w:r>
            <w:r>
              <w:rPr>
                <w:rFonts w:ascii="宋体" w:hAnsi="宋体" w:cs="宋体" w:eastAsia="宋体" w:hint="default"/>
                <w:sz w:val="18"/>
                <w:szCs w:val="18"/>
              </w:rPr>
              <w:t>损益</w:t>
            </w: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17" w:space="0" w:color="FFFFFF"/>
              <w:right w:val="single" w:sz="4" w:space="0" w:color="000000"/>
            </w:tcBorders>
            <w:shd w:val="clear" w:color="auto" w:fill="D2D2D2"/>
          </w:tcPr>
          <w:p>
            <w:pPr/>
          </w:p>
        </w:tc>
        <w:tc>
          <w:tcPr>
            <w:tcW w:w="725" w:type="dxa"/>
            <w:vMerge/>
            <w:tcBorders>
              <w:left w:val="single" w:sz="4" w:space="0" w:color="000000"/>
              <w:bottom w:val="single" w:sz="17" w:space="0" w:color="FFFFFF"/>
              <w:right w:val="single" w:sz="4" w:space="0" w:color="000000"/>
            </w:tcBorders>
            <w:shd w:val="clear" w:color="auto" w:fill="D2D2D2"/>
          </w:tcPr>
          <w:p>
            <w:pPr/>
          </w:p>
        </w:tc>
      </w:tr>
      <w:tr>
        <w:trPr>
          <w:trHeight w:val="145" w:hRule="exact"/>
        </w:trPr>
        <w:tc>
          <w:tcPr>
            <w:tcW w:w="2547"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62" w:right="50"/>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before="43"/>
              <w:ind w:left="62" w:right="51"/>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25"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ind w:left="268" w:right="7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370"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8"/>
              <w:ind w:left="153" w:right="56" w:hanging="92"/>
              <w:jc w:val="left"/>
              <w:rPr>
                <w:rFonts w:ascii="宋体" w:hAnsi="宋体" w:cs="宋体" w:eastAsia="宋体" w:hint="default"/>
                <w:sz w:val="18"/>
                <w:szCs w:val="18"/>
              </w:rPr>
            </w:pPr>
            <w:r>
              <w:rPr>
                <w:rFonts w:ascii="宋体" w:hAnsi="宋体" w:cs="宋体" w:eastAsia="宋体" w:hint="default"/>
                <w:sz w:val="18"/>
                <w:szCs w:val="18"/>
              </w:rPr>
              <w:t>减：所得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税费用</w:t>
            </w: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8"/>
              <w:ind w:left="62" w:right="55"/>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4" w:hRule="exact"/>
        </w:trPr>
        <w:tc>
          <w:tcPr>
            <w:tcW w:w="2547"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
        </w:tc>
        <w:tc>
          <w:tcPr>
            <w:tcW w:w="85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4"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63" w:hRule="exact"/>
        </w:trPr>
        <w:tc>
          <w:tcPr>
            <w:tcW w:w="2547"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-9,132.84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3,298.10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3,298.10</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-5,834.7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58" w:hRule="exact"/>
        </w:trPr>
        <w:tc>
          <w:tcPr>
            <w:tcW w:w="2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3"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-9,132.84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3,298.10</w:t>
            </w:r>
          </w:p>
        </w:tc>
        <w:tc>
          <w:tcPr>
            <w:tcW w:w="10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3,298.10</w:t>
            </w:r>
          </w:p>
        </w:tc>
        <w:tc>
          <w:tcPr>
            <w:tcW w:w="85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-5,834.7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394"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外币财务报表折算差额</w:t>
            </w:r>
          </w:p>
        </w:tc>
        <w:tc>
          <w:tcPr>
            <w:tcW w:w="975" w:type="dxa"/>
            <w:vMerge/>
            <w:tcBorders>
              <w:left w:val="single" w:sz="13"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r>
      <w:tr>
        <w:trPr>
          <w:trHeight w:val="158" w:hRule="exact"/>
        </w:trPr>
        <w:tc>
          <w:tcPr>
            <w:tcW w:w="2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3"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9"/>
        <w:gridCol w:w="975"/>
        <w:gridCol w:w="850"/>
        <w:gridCol w:w="1052"/>
        <w:gridCol w:w="850"/>
        <w:gridCol w:w="855"/>
        <w:gridCol w:w="854"/>
        <w:gridCol w:w="850"/>
        <w:gridCol w:w="725"/>
      </w:tblGrid>
      <w:tr>
        <w:trPr>
          <w:trHeight w:val="715"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-9,132.84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3,298.10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3,298.10</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-5,834.7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bl>
    <w:p>
      <w:pPr>
        <w:pStyle w:val="BodyText"/>
        <w:spacing w:line="240" w:lineRule="auto" w:before="53"/>
        <w:ind w:right="0"/>
        <w:jc w:val="left"/>
      </w:pPr>
      <w:r>
        <w:rPr>
          <w:spacing w:val="-3"/>
        </w:rPr>
        <w:t>其他说明，包括对现金流量套期损益的有效部分转为被套期项目初始确认金额调整：</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8、一般风险准备" w:id="391"/>
      <w:bookmarkEnd w:id="391"/>
      <w:r>
        <w:rPr>
          <w:b w:val="0"/>
          <w:bCs w:val="0"/>
        </w:rPr>
      </w:r>
      <w:r>
        <w:rPr>
          <w:rFonts w:ascii="Times New Roman" w:hAnsi="Times New Roman" w:cs="Times New Roman" w:eastAsia="Times New Roman" w:hint="default"/>
        </w:rPr>
        <w:t>58</w:t>
      </w:r>
      <w:r>
        <w:rPr/>
        <w:t>、一般风险准备</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3,773.16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3,573,773.16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3,773.16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3,573,773.16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9、盈余公积" w:id="392"/>
      <w:bookmarkEnd w:id="39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43,544,814.66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43,544,814.66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43,544,814.66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43,544,814.66</w:t>
            </w:r>
          </w:p>
        </w:tc>
      </w:tr>
    </w:tbl>
    <w:p>
      <w:pPr>
        <w:pStyle w:val="BodyText"/>
        <w:spacing w:line="240" w:lineRule="auto" w:before="54"/>
        <w:ind w:right="0"/>
        <w:jc w:val="left"/>
      </w:pPr>
      <w:r>
        <w:rPr>
          <w:spacing w:val="-3"/>
        </w:rPr>
        <w:t>盈余公积说明，包括本期增减变动情况、变动原因说明：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60、未分配利润" w:id="393"/>
      <w:bookmarkEnd w:id="39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174,119,931.13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121,132,981.40</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174,119,931.13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121,132,981.40</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29,899,681.04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52,986,949.73</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11,198,733.00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189,550,879.17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174,119,931.13</w:t>
            </w:r>
          </w:p>
        </w:tc>
      </w:tr>
    </w:tbl>
    <w:p>
      <w:pPr>
        <w:pStyle w:val="BodyText"/>
        <w:spacing w:line="240" w:lineRule="auto" w:before="53"/>
        <w:ind w:right="0"/>
        <w:jc w:val="left"/>
      </w:pPr>
      <w:r>
        <w:rPr>
          <w:spacing w:val="-3"/>
        </w:rPr>
        <w:t>调整期初未分配利润明细：</w:t>
      </w:r>
    </w:p>
    <w:p>
      <w:pPr>
        <w:pStyle w:val="BodyText"/>
        <w:spacing w:line="240" w:lineRule="auto" w:before="120"/>
        <w:ind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5"/>
        </w:rPr>
        <w:t>元。</w:t>
      </w:r>
      <w:r>
        <w:rPr/>
      </w:r>
    </w:p>
    <w:p>
      <w:pPr>
        <w:pStyle w:val="BodyText"/>
        <w:spacing w:line="240" w:lineRule="auto" w:before="101"/>
        <w:ind w:right="0"/>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t>元。</w:t>
      </w:r>
    </w:p>
    <w:p>
      <w:pPr>
        <w:pStyle w:val="BodyText"/>
        <w:spacing w:line="240" w:lineRule="auto" w:before="101"/>
        <w:ind w:right="0"/>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8"/>
        </w:rPr>
        <w:t> </w:t>
      </w:r>
      <w:r>
        <w:rPr/>
        <w:t>元。</w:t>
      </w:r>
    </w:p>
    <w:p>
      <w:pPr>
        <w:pStyle w:val="BodyText"/>
        <w:spacing w:line="240" w:lineRule="auto" w:before="106"/>
        <w:ind w:right="0"/>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61、营业收入和营业成本" w:id="394"/>
      <w:bookmarkEnd w:id="39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1,823,357,216.40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1,539,121,621.37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1,484,741,817.75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1,206,693,303.02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7,461,091.28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227,223.22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1,188,163.26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201,888.57</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1,830,818,307.68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1,539,348,844.59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1,485,929,981.01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1,206,895,191.59</w:t>
            </w:r>
          </w:p>
        </w:tc>
      </w:tr>
    </w:tbl>
    <w:p>
      <w:pPr>
        <w:pStyle w:val="BodyText"/>
        <w:spacing w:line="240" w:lineRule="auto" w:before="53"/>
        <w:ind w:right="0"/>
        <w:jc w:val="left"/>
      </w:pPr>
      <w:r>
        <w:rPr/>
        <w:t>是否已执行新收入准则</w:t>
      </w:r>
    </w:p>
    <w:p>
      <w:pPr>
        <w:pStyle w:val="BodyText"/>
        <w:spacing w:line="338" w:lineRule="auto" w:before="119"/>
        <w:ind w:right="986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5"/>
        </w:rPr>
        <w:t> </w:t>
      </w:r>
      <w:r>
        <w:rPr/>
        <w:t>其他说明</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62、税金及附加" w:id="395"/>
      <w:bookmarkEnd w:id="395"/>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1,157,539.71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1,651,348.13</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826,776.95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1,179,534.39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3,020.00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3,120.00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463,731.78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422,806.34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2,451,068.44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3,256,808.86</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63、销售费用" w:id="396"/>
      <w:bookmarkEnd w:id="39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工资福利保险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29,095,338.88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21,925,795.85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交通差旅运输费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1,678,219.16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1,153,268.62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2,026,523.74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1,263,485.94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14,723.85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23,170.35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116,653.60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35,601.16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493,213.99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1,755,117.25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1,217,981.42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2,122,244.09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36,716.74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14,201.97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3,014,329.15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154,486.78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112,970.91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252,781.97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37,806,671.44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28,700,153.98</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64、管理费用" w:id="397"/>
      <w:bookmarkEnd w:id="39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50,793,839.72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37,920,859.67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1,467,372.17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1,035,064.96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3,432,221.48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2,334,621.59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582,591.68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381,743.10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5,965,367.37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3,505,511.49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中介机构服务费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10,043,380.05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6,244,316.10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摊销、折旧费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8,648,651.97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8,171,102.43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水电物业费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155,447.00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142,410.16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16,365,528.80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13,444,496.89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2,473,727.90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1,238,817.35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装修与维修费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1,493,620.53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905,981.98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1,320,328.30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446,650.13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577,710.80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1,267,502.78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1,004,513.57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474,548.43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104,324,301.34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77,513,627.06</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65、研发费用" w:id="398"/>
      <w:bookmarkEnd w:id="398"/>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18,980,422.48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22,062,235.76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折旧费与摊销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1,780,759.02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2,656,409.74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366,681.91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1,238,132.55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网络服务</w:t>
            </w:r>
            <w:r>
              <w:rPr>
                <w:rFonts w:ascii="宋体" w:hAnsi="宋体" w:cs="宋体" w:eastAsia="宋体" w:hint="default"/>
                <w:spacing w:val="3"/>
                <w:sz w:val="18"/>
                <w:szCs w:val="18"/>
              </w:rPr>
              <w:t> </w:t>
            </w:r>
            <w:r>
              <w:rPr>
                <w:rFonts w:ascii="宋体" w:hAnsi="宋体" w:cs="宋体" w:eastAsia="宋体" w:hint="default"/>
                <w:sz w:val="18"/>
                <w:szCs w:val="18"/>
              </w:rPr>
              <w:t>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2,298,047.03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749,638.11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20,337,240.37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4,829,453.96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3,622,088.74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3,434,688.98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47,385,239.55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34,970,559.10</w:t>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66、财务费用" w:id="399"/>
      <w:bookmarkEnd w:id="399"/>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54,637,319.11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56,592,764.69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贴现利息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844,878.77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3,473,661.33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1,218,577.59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4,758.25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238,346.00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241,407.45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51,402,003.78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56,455,715.07</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67、其他收益" w:id="400"/>
      <w:bookmarkEnd w:id="400"/>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广州市市场监督管理局专利补助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广州市科技创新委员会高新财政补贴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广州市财政局国库高新技术企业认定通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过奖励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广州市科技创新委员会补贴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90,400.00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南沙区财政局高企认定补贴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天津东疆管委会促进产业发展资金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576,006.80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园区企业房租补助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147,854.00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89"/>
              <w:jc w:val="left"/>
              <w:rPr>
                <w:rFonts w:ascii="宋体" w:hAnsi="宋体" w:cs="宋体" w:eastAsia="宋体" w:hint="default"/>
                <w:sz w:val="18"/>
                <w:szCs w:val="18"/>
              </w:rPr>
            </w:pPr>
            <w:r>
              <w:rPr>
                <w:rFonts w:ascii="宋体" w:hAnsi="宋体" w:cs="宋体" w:eastAsia="宋体" w:hint="default"/>
                <w:spacing w:val="-3"/>
                <w:sz w:val="18"/>
                <w:szCs w:val="18"/>
              </w:rPr>
              <w:t>商务发展专项资金电子商务与商贸物流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事项扶持资金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广州市知识产权局专利资助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研发经费补助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90,400.00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中国制造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2025”</w:t>
            </w:r>
            <w:r>
              <w:rPr>
                <w:rFonts w:ascii="宋体" w:hAnsi="宋体" w:cs="宋体" w:eastAsia="宋体" w:hint="default"/>
                <w:sz w:val="18"/>
                <w:szCs w:val="18"/>
              </w:rPr>
              <w:t>产业发展资金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广州市知识产权局专利资助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南沙区政府专利补贴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企业研究开发省级财政补助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361,600.00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金融工作局财局补贴款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32,557.29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1,753.24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中新天津生态城管理委员会产业扶持专</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297,112.72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工业经济奖励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27,000.93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70,753.12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3,290,316.17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4,456,635.19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2,913,019.08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8、投资收益" w:id="401"/>
      <w:bookmarkEnd w:id="40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8"/>
        <w:gridCol w:w="3200"/>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20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7,532,617.13</w:t>
            </w:r>
          </w:p>
        </w:tc>
      </w:tr>
      <w:tr>
        <w:trPr>
          <w:trHeight w:val="71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69"/>
              <w:jc w:val="left"/>
              <w:rPr>
                <w:rFonts w:ascii="宋体" w:hAnsi="宋体" w:cs="宋体" w:eastAsia="宋体" w:hint="default"/>
                <w:sz w:val="18"/>
                <w:szCs w:val="18"/>
              </w:rPr>
            </w:pPr>
            <w:r>
              <w:rPr>
                <w:rFonts w:ascii="宋体" w:hAnsi="宋体" w:cs="宋体" w:eastAsia="宋体" w:hint="default"/>
                <w:spacing w:val="-3"/>
                <w:sz w:val="18"/>
                <w:szCs w:val="18"/>
              </w:rPr>
              <w:t>其他权益工具投资在持有期间取得的股利</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收入</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11,385,000.00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11,385,000.00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7,532,617.13</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69、净敞口套期收益" w:id="402"/>
      <w:bookmarkEnd w:id="402"/>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70、公允价值变动收益" w:id="403"/>
      <w:bookmarkEnd w:id="403"/>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71、信用减值损失" w:id="404"/>
      <w:bookmarkEnd w:id="404"/>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-5,256,427.71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应收账款信用减值损失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-7,233,214.05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贷款减值坏账损失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-2,790,331.59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应收利息坏账损失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-109,281.29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-15,389,254.64</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72、资产减值损失" w:id="405"/>
      <w:bookmarkEnd w:id="405"/>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131,609.60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十二、无形资产减值损失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-1,148,139.20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-231,660.02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-1,248,189.62</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73、资产处置收益" w:id="406"/>
      <w:bookmarkEnd w:id="406"/>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非流动资产处置利得合计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-21,225.61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其中：固定资产处置利得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-21,225.61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-21,225.61</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4、营业外收入" w:id="407"/>
      <w:bookmarkEnd w:id="407"/>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3"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89"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5,401,800.00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5,401,800.00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0.36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6,901,800.36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300,625.66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6,901,800.36</w:t>
            </w:r>
          </w:p>
        </w:tc>
      </w:tr>
    </w:tbl>
    <w:p>
      <w:pPr>
        <w:pStyle w:val="BodyText"/>
        <w:spacing w:line="240" w:lineRule="auto" w:before="54"/>
        <w:ind w:right="0"/>
        <w:jc w:val="left"/>
      </w:pPr>
      <w:r>
        <w:rPr>
          <w:spacing w:val="-3"/>
        </w:rPr>
        <w:t>计入当期损益的政府补助：</w:t>
      </w:r>
    </w:p>
    <w:p>
      <w:pPr>
        <w:pStyle w:val="BodyText"/>
        <w:spacing w:line="240" w:lineRule="auto" w:before="115"/>
        <w:ind w:left="0" w:right="1122"/>
        <w:jc w:val="right"/>
      </w:pPr>
      <w:r>
        <w:rPr/>
        <w:pict>
          <v:group style="position:absolute;margin-left:269.859985pt;margin-top:58.981724pt;width:52.6pt;height:23.3pt;mso-position-horizontal-relative:page;mso-position-vertical-relative:paragraph;z-index:-983200" coordorigin="5397,1180" coordsize="1052,466">
            <v:shape style="position:absolute;left:5397;top:1180;width:1052;height:466" coordorigin="5397,1180" coordsize="1052,466" path="m5397,1645l6449,1645,6449,1180,5397,1180,5397,1645xe" filled="true" fillcolor="#ffffff" stroked="false">
              <v:path arrowok="t"/>
              <v:fill type="solid"/>
            </v:shape>
            <w10:wrap type="none"/>
          </v:group>
        </w:pict>
      </w: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0"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4" w:right="128"/>
              <w:jc w:val="both"/>
              <w:rPr>
                <w:rFonts w:ascii="宋体" w:hAnsi="宋体" w:cs="宋体" w:eastAsia="宋体" w:hint="default"/>
                <w:sz w:val="18"/>
                <w:szCs w:val="18"/>
              </w:rPr>
            </w:pPr>
            <w:r>
              <w:rPr>
                <w:rFonts w:ascii="宋体" w:hAnsi="宋体" w:cs="宋体" w:eastAsia="宋体" w:hint="default"/>
                <w:spacing w:val="-2"/>
                <w:sz w:val="18"/>
                <w:szCs w:val="18"/>
              </w:rPr>
              <w:t>广州南沙开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发区财政局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高新技术企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业新认定奖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3" w:right="123"/>
              <w:jc w:val="left"/>
              <w:rPr>
                <w:rFonts w:ascii="宋体" w:hAnsi="宋体" w:cs="宋体" w:eastAsia="宋体" w:hint="default"/>
                <w:sz w:val="18"/>
                <w:szCs w:val="18"/>
              </w:rPr>
            </w:pPr>
            <w:r>
              <w:rPr>
                <w:rFonts w:ascii="宋体" w:hAnsi="宋体" w:cs="宋体" w:eastAsia="宋体" w:hint="default"/>
                <w:spacing w:val="-2"/>
                <w:sz w:val="18"/>
                <w:szCs w:val="18"/>
              </w:rPr>
              <w:t>广州南沙开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发区财政局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36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励</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75、营业外支出" w:id="408"/>
      <w:bookmarkEnd w:id="408"/>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1"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4"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58"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1,096,099.83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1,096,099.83</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固定资产报废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97,197.36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552.01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22.78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22.78</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1,309.27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1,143,674.62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503,506.63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1,143,674.62</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76、所得税费用" w:id="409"/>
      <w:bookmarkEnd w:id="409"/>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410"/>
      <w:bookmarkEnd w:id="41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24,291,957.95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29,045,029.06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-2,648,067.34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-652,097.95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21,643,890.61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28,392,931.11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411"/>
      <w:bookmarkEnd w:id="41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54,289,459.22</w:t>
            </w:r>
          </w:p>
        </w:tc>
      </w:tr>
      <w:tr>
        <w:trPr>
          <w:trHeight w:val="399"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13,572,364.81</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-12,950,753.40</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-92,534.28</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-2,846,250.00</w:t>
            </w:r>
          </w:p>
        </w:tc>
      </w:tr>
      <w:tr>
        <w:trPr>
          <w:trHeight w:val="399"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1,635,361.02</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-230,439.28</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27,886,981.19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6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-5,330,839.45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21,643,890.61</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spacing w:line="544" w:lineRule="auto" w:before="0"/>
        <w:ind w:left="153" w:right="8854" w:firstLine="0"/>
        <w:jc w:val="left"/>
        <w:rPr>
          <w:rFonts w:ascii="宋体" w:hAnsi="宋体" w:cs="宋体" w:eastAsia="宋体" w:hint="default"/>
          <w:sz w:val="21"/>
          <w:szCs w:val="21"/>
        </w:rPr>
      </w:pPr>
      <w:bookmarkStart w:name="77、其他综合收益" w:id="412"/>
      <w:bookmarkEnd w:id="412"/>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z w:val="18"/>
          <w:szCs w:val="18"/>
        </w:rPr>
        <w:t>详见附注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w:t>
      </w:r>
      <w:r>
        <w:rPr>
          <w:rFonts w:ascii="宋体" w:hAnsi="宋体" w:cs="宋体" w:eastAsia="宋体" w:hint="default"/>
          <w:spacing w:val="-86"/>
          <w:sz w:val="18"/>
          <w:szCs w:val="18"/>
        </w:rPr>
        <w:t> </w:t>
      </w:r>
      <w:bookmarkStart w:name="78、现金流量表项目" w:id="413"/>
      <w:bookmarkEnd w:id="413"/>
      <w:r>
        <w:rPr>
          <w:rFonts w:ascii="宋体" w:hAnsi="宋体" w:cs="宋体" w:eastAsia="宋体" w:hint="default"/>
          <w:spacing w:val="-86"/>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bookmarkStart w:name="（1）收到的其他与经营活动有关的现金" w:id="414"/>
      <w:bookmarkEnd w:id="41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收回的保理本金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111,352,147.23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603,424,935.70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收到的保证金、备付金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94,661,951.11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4,262,173.31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3,473,661.33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1,218,577.59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1,439,318.09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3,142,265.96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平台提现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175,833,767.10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1,931,942.69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收回的融资租赁本金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95,596,268.65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27,034,745.49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收回的预付</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59,774,440.30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76,337,597.10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365,341.04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理赔款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27,000.93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70,753.12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39,337.18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142,593.16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543,763,232.96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717,565,584.12</w:t>
            </w:r>
          </w:p>
        </w:tc>
      </w:tr>
    </w:tbl>
    <w:p>
      <w:pPr>
        <w:pStyle w:val="BodyText"/>
        <w:spacing w:line="240" w:lineRule="auto" w:before="53"/>
        <w:ind w:right="0"/>
        <w:jc w:val="left"/>
      </w:pPr>
      <w:r>
        <w:rPr>
          <w:spacing w:val="-3"/>
        </w:rPr>
        <w:t>收到的其他与经营活动有关的现金说明：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415"/>
      <w:bookmarkEnd w:id="41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金融机构手续费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238,346.00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241,407.45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82,414,899.06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56,198,445.29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支付的保理本金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166,179,300.00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483,616,344.27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支付保证金、押金、备付金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61,845,996.24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6,206,770.53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支付的预付</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105,597,298.23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平台充值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197,964,425.50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5,543,349.00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支付融资租赁款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125,222,666.40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122,137,990.00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1,765,571.82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捐赠及罚款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1,143,122.61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24,733.97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706,799,061.60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779,946,604.77</w:t>
            </w:r>
          </w:p>
        </w:tc>
      </w:tr>
    </w:tbl>
    <w:p>
      <w:pPr>
        <w:pStyle w:val="BodyText"/>
        <w:spacing w:line="240" w:lineRule="auto" w:before="53"/>
        <w:ind w:right="0"/>
        <w:jc w:val="left"/>
      </w:pPr>
      <w:r>
        <w:rPr>
          <w:spacing w:val="-3"/>
        </w:rPr>
        <w:t>支付的其他与经营活动有关的现金说明：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416"/>
      <w:bookmarkEnd w:id="41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5,401,800.00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5,401,800.00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收到的其他与投资活动有关的现金说明：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417"/>
      <w:bookmarkEnd w:id="41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处置固定资产</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12,550.00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12,550.00</w:t>
            </w:r>
          </w:p>
        </w:tc>
      </w:tr>
    </w:tbl>
    <w:p>
      <w:pPr>
        <w:pStyle w:val="BodyText"/>
        <w:spacing w:line="240" w:lineRule="auto" w:before="53"/>
        <w:ind w:right="0"/>
        <w:jc w:val="left"/>
      </w:pPr>
      <w:r>
        <w:rPr>
          <w:spacing w:val="-3"/>
        </w:rPr>
        <w:t>支付的其他与投资活动有关的现金说明：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418"/>
      <w:bookmarkEnd w:id="41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收到股东借款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1,124,287,144.62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过渡期损益款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1,886,000.00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其他非金融机构借款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收回云尚往来款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5,212,855.38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收到的业绩补偿款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139,502,400.00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345,200,000.00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1,275,388,400.00</w:t>
            </w:r>
          </w:p>
        </w:tc>
      </w:tr>
    </w:tbl>
    <w:p>
      <w:pPr>
        <w:pStyle w:val="BodyText"/>
        <w:spacing w:line="240" w:lineRule="auto" w:before="53"/>
        <w:ind w:right="0"/>
        <w:jc w:val="left"/>
      </w:pPr>
      <w:r>
        <w:rPr>
          <w:spacing w:val="-3"/>
        </w:rPr>
        <w:t>收到的其他与筹资活动有关的现金说明：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r>
        <w:rPr/>
        <w:pict>
          <v:group style="position:absolute;margin-left:223.300003pt;margin-top:652.149963pt;width:151.25pt;height:20.65pt;mso-position-horizontal-relative:page;mso-position-vertical-relative:page;z-index:-983176" coordorigin="4466,13043" coordsize="3025,413">
            <v:group style="position:absolute;left:4478;top:13055;width:2;height:389" coordorigin="4478,13055" coordsize="2,389">
              <v:shape style="position:absolute;left:4478;top:13055;width:2;height:389" coordorigin="4478,13055" coordsize="0,389" path="m4478,13055l4478,13444e" filled="false" stroked="true" strokeweight="1.2pt" strokecolor="#ffffff">
                <v:path arrowok="t"/>
              </v:shape>
            </v:group>
            <v:group style="position:absolute;left:4490;top:13055;width:3001;height:389" coordorigin="4490,13055" coordsize="3001,389">
              <v:shape style="position:absolute;left:4490;top:13055;width:3001;height:389" coordorigin="4490,13055" coordsize="3001,389" path="m4490,13444l7491,13444,7491,13055,4490,13055,4490,13444xe" filled="true" fillcolor="#ffffff" stroked="false">
                <v:path arrowok="t"/>
                <v:fill type="solid"/>
              </v:shape>
            </v:group>
            <w10:wrap type="none"/>
          </v:group>
        </w:pict>
      </w:r>
    </w:p>
    <w:p>
      <w:pPr>
        <w:pStyle w:val="Heading3"/>
        <w:spacing w:line="240" w:lineRule="auto" w:before="36"/>
        <w:ind w:right="0"/>
        <w:jc w:val="left"/>
        <w:rPr>
          <w:b w:val="0"/>
          <w:bCs w:val="0"/>
        </w:rPr>
      </w:pPr>
      <w:bookmarkStart w:name="（6）支付的其他与筹资活动有关的现金" w:id="419"/>
      <w:bookmarkEnd w:id="41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归还股东的借款及利息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724,287,144.62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偿还其他非金融机构借款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728,787,144.62</w:t>
            </w:r>
          </w:p>
        </w:tc>
      </w:tr>
    </w:tbl>
    <w:p>
      <w:pPr>
        <w:pStyle w:val="BodyText"/>
        <w:spacing w:line="240" w:lineRule="auto" w:before="54"/>
        <w:ind w:right="0"/>
        <w:jc w:val="left"/>
      </w:pPr>
      <w:r>
        <w:rPr>
          <w:spacing w:val="-3"/>
        </w:rPr>
        <w:t>支付的其他与筹资活动有关的现金说明：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79、现金流量表补充资料" w:id="420"/>
      <w:bookmarkEnd w:id="420"/>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421"/>
      <w:bookmarkEnd w:id="42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1169"/>
        <w:gridCol w:w="1899"/>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32,645,568.61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58,739,559.86</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15,389,254.64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1,248,189.62</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3,060,606.85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3,473,289.61</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7,368,804.14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7,548,122.99</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1,435,351.62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833,481.38</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21,225.61</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552.01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97,197.36</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001" w:right="0"/>
              <w:jc w:val="left"/>
              <w:rPr>
                <w:rFonts w:ascii="Times New Roman" w:hAnsi="Times New Roman" w:cs="Times New Roman" w:eastAsia="Times New Roman" w:hint="default"/>
                <w:sz w:val="18"/>
                <w:szCs w:val="18"/>
              </w:rPr>
            </w:pPr>
            <w:r>
              <w:rPr>
                <w:rFonts w:ascii="Times New Roman"/>
                <w:sz w:val="18"/>
              </w:rPr>
              <w:t>54,637,319.11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56,592,764.69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39" w:right="0"/>
              <w:jc w:val="left"/>
              <w:rPr>
                <w:rFonts w:ascii="Times New Roman" w:hAnsi="Times New Roman" w:cs="Times New Roman" w:eastAsia="Times New Roman" w:hint="default"/>
                <w:sz w:val="18"/>
                <w:szCs w:val="18"/>
              </w:rPr>
            </w:pPr>
            <w:r>
              <w:rPr>
                <w:rFonts w:ascii="Times New Roman"/>
                <w:sz w:val="18"/>
              </w:rPr>
              <w:t>-11,385,000.00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-7,532,617.13</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25" w:right="0"/>
              <w:jc w:val="left"/>
              <w:rPr>
                <w:rFonts w:ascii="Times New Roman" w:hAnsi="Times New Roman" w:cs="Times New Roman" w:eastAsia="Times New Roman" w:hint="default"/>
                <w:sz w:val="18"/>
                <w:szCs w:val="18"/>
              </w:rPr>
            </w:pPr>
            <w:r>
              <w:rPr>
                <w:rFonts w:ascii="Times New Roman"/>
                <w:sz w:val="18"/>
              </w:rPr>
              <w:t>-1,705,357.34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290,612.06</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-942,710.00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-942,710.01</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169"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3"/>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92" w:right="0"/>
              <w:jc w:val="left"/>
              <w:rPr>
                <w:rFonts w:ascii="Times New Roman" w:hAnsi="Times New Roman" w:cs="Times New Roman" w:eastAsia="Times New Roman" w:hint="default"/>
                <w:sz w:val="18"/>
                <w:szCs w:val="18"/>
              </w:rPr>
            </w:pPr>
            <w:r>
              <w:rPr>
                <w:rFonts w:ascii="Times New Roman"/>
                <w:sz w:val="18"/>
              </w:rPr>
              <w:t>-52,349.53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-6,018.49</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43" w:right="0"/>
              <w:jc w:val="left"/>
              <w:rPr>
                <w:rFonts w:ascii="Times New Roman" w:hAnsi="Times New Roman" w:cs="Times New Roman" w:eastAsia="Times New Roman" w:hint="default"/>
                <w:sz w:val="18"/>
                <w:szCs w:val="18"/>
              </w:rPr>
            </w:pPr>
            <w:r>
              <w:rPr>
                <w:rFonts w:ascii="Times New Roman"/>
                <w:sz w:val="18"/>
              </w:rPr>
              <w:t>-307,410,746.63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373,492,335.89</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145,531,808.87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-258,457,218.54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025" w:right="0"/>
              <w:jc w:val="left"/>
              <w:rPr>
                <w:rFonts w:ascii="Times New Roman" w:hAnsi="Times New Roman" w:cs="Times New Roman" w:eastAsia="Times New Roman" w:hint="default"/>
                <w:sz w:val="18"/>
                <w:szCs w:val="18"/>
              </w:rPr>
            </w:pPr>
            <w:r>
              <w:rPr>
                <w:rFonts w:ascii="Times New Roman"/>
                <w:sz w:val="18"/>
              </w:rPr>
              <w:t>-5,401,800.00</w:t>
            </w:r>
          </w:p>
        </w:tc>
        <w:tc>
          <w:tcPr>
            <w:tcW w:w="31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-66,807,472.04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235,376,989.29</w:t>
            </w:r>
          </w:p>
        </w:tc>
      </w:tr>
      <w:tr>
        <w:trPr>
          <w:trHeight w:val="158"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6" w:type="dxa"/>
            <w:vMerge/>
            <w:tcBorders>
              <w:left w:val="single" w:sz="4" w:space="0" w:color="000000"/>
              <w:right w:val="single" w:sz="4" w:space="0" w:color="000000"/>
            </w:tcBorders>
            <w:shd w:val="clear" w:color="auto" w:fill="D2D2D2"/>
          </w:tcPr>
          <w:p>
            <w:pPr/>
          </w:p>
        </w:tc>
        <w:tc>
          <w:tcPr>
            <w:tcW w:w="3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47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1"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47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89,106,145.61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493,430,500.43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493,430,500.43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378,147,499.85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-404,324,354.82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115,283,000.58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支付的取得子公司的现金净额" w:id="422"/>
      <w:bookmarkEnd w:id="42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423"/>
      <w:bookmarkEnd w:id="42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424"/>
      <w:bookmarkEnd w:id="42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89,106,145.61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493,430,500.43</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268.74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6,700.00</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89,105,876.87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493,423,800.43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89,106,145.61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493,430,500.43</w:t>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544" w:lineRule="auto" w:before="36"/>
        <w:ind w:left="153" w:right="3317" w:firstLine="0"/>
        <w:jc w:val="left"/>
        <w:rPr>
          <w:rFonts w:ascii="宋体" w:hAnsi="宋体" w:cs="宋体" w:eastAsia="宋体" w:hint="default"/>
          <w:sz w:val="21"/>
          <w:szCs w:val="21"/>
        </w:rPr>
      </w:pPr>
      <w:bookmarkStart w:name="80、所有者权益变动表项目注释" w:id="425"/>
      <w:bookmarkEnd w:id="425"/>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spacing w:val="-100"/>
          <w:sz w:val="21"/>
          <w:szCs w:val="21"/>
        </w:rPr>
        <w:t> </w:t>
      </w:r>
      <w:r>
        <w:rPr>
          <w:rFonts w:ascii="宋体" w:hAnsi="宋体" w:cs="宋体" w:eastAsia="宋体" w:hint="default"/>
          <w:spacing w:val="-3"/>
          <w:sz w:val="18"/>
          <w:szCs w:val="18"/>
        </w:rPr>
        <w:t>说明对上年期末余额进行调整的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项目名称及调整金额等事项：</w:t>
      </w:r>
      <w:r>
        <w:rPr>
          <w:rFonts w:ascii="宋体" w:hAnsi="宋体" w:cs="宋体" w:eastAsia="宋体" w:hint="default"/>
          <w:spacing w:val="-1"/>
          <w:sz w:val="18"/>
          <w:szCs w:val="18"/>
        </w:rPr>
        <w:t> </w:t>
      </w:r>
      <w:r>
        <w:rPr>
          <w:rFonts w:ascii="宋体" w:hAnsi="宋体" w:cs="宋体" w:eastAsia="宋体" w:hint="default"/>
          <w:spacing w:val="-1"/>
          <w:sz w:val="18"/>
          <w:szCs w:val="18"/>
        </w:rPr>
      </w:r>
      <w:bookmarkStart w:name="81、所有权或使用权受到限制的资产" w:id="426"/>
      <w:bookmarkEnd w:id="426"/>
      <w:r>
        <w:rPr>
          <w:rFonts w:ascii="宋体" w:hAnsi="宋体" w:cs="宋体" w:eastAsia="宋体" w:hint="default"/>
          <w:spacing w:val="-1"/>
          <w:sz w:val="18"/>
          <w:szCs w:val="18"/>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8"/>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1,341,209,846.92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客户备付金、保证金及风险准备金</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2"/>
                <w:sz w:val="18"/>
              </w:rPr>
              <w:t>1,341,209,846.92</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82、外币货币性项目" w:id="427"/>
      <w:bookmarkEnd w:id="427"/>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428"/>
      <w:bookmarkEnd w:id="42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560,121.74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501,757.05</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其中：美元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18,632.64</w:t>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54" w:lineRule="auto" w:before="36"/>
        <w:ind w:right="0"/>
        <w:jc w:val="left"/>
        <w:rPr>
          <w:b w:val="0"/>
          <w:bCs w:val="0"/>
        </w:rPr>
      </w:pPr>
      <w:bookmarkStart w:name="（2）境外经营实体说明，包括对于重要的境外经营实体，应披露其境外主要经营地、记账" w:id="429"/>
      <w:bookmarkEnd w:id="42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83、套期" w:id="430"/>
      <w:bookmarkEnd w:id="430"/>
      <w:r>
        <w:rPr>
          <w:b w:val="0"/>
          <w:bCs w:val="0"/>
        </w:rPr>
      </w:r>
      <w:r>
        <w:rPr>
          <w:rFonts w:ascii="Times New Roman" w:hAnsi="Times New Roman" w:cs="Times New Roman" w:eastAsia="Times New Roman" w:hint="default"/>
        </w:rPr>
        <w:t>83</w:t>
      </w:r>
      <w:r>
        <w:rPr/>
        <w:t>、套期</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spacing w:val="-3"/>
        </w:rPr>
        <w:t>按照套期类别披露套期项目及相关套期工具、被套期风险的定性和定量信息：</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84、政府补助" w:id="431"/>
      <w:bookmarkEnd w:id="431"/>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432"/>
      <w:bookmarkEnd w:id="43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32,557.29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32,557.29</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广州市市场监督管理局专利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90"/>
              <w:jc w:val="left"/>
              <w:rPr>
                <w:rFonts w:ascii="宋体" w:hAnsi="宋体" w:cs="宋体" w:eastAsia="宋体" w:hint="default"/>
                <w:sz w:val="18"/>
                <w:szCs w:val="18"/>
              </w:rPr>
            </w:pPr>
            <w:r>
              <w:rPr>
                <w:rFonts w:ascii="宋体" w:hAnsi="宋体" w:cs="宋体" w:eastAsia="宋体" w:hint="default"/>
                <w:spacing w:val="-3"/>
                <w:sz w:val="18"/>
                <w:szCs w:val="18"/>
              </w:rPr>
              <w:t>广州市科技创新委员会高新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财政补贴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广州市财政局国库高新技术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企业认定通过奖励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广州市科技创新委员会补贴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90,400.00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南沙区财政局高企认定补贴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广州南沙开发区财政局</w:t>
            </w:r>
            <w:r>
              <w:rPr>
                <w:rFonts w:ascii="宋体" w:hAnsi="宋体" w:cs="宋体" w:eastAsia="宋体" w:hint="default"/>
                <w:spacing w:val="3"/>
                <w:sz w:val="18"/>
                <w:szCs w:val="18"/>
              </w:rPr>
              <w:t> </w:t>
            </w:r>
            <w:r>
              <w:rPr>
                <w:rFonts w:ascii="宋体" w:hAnsi="宋体" w:cs="宋体" w:eastAsia="宋体" w:hint="default"/>
                <w:sz w:val="18"/>
                <w:szCs w:val="18"/>
              </w:rPr>
              <w:t>高新</w:t>
            </w:r>
            <w:r>
              <w:rPr>
                <w:rFonts w:ascii="宋体" w:hAnsi="宋体" w:cs="宋体" w:eastAsia="宋体" w:hint="default"/>
                <w:w w:val="101"/>
                <w:sz w:val="18"/>
                <w:szCs w:val="18"/>
              </w:rPr>
              <w:t> </w:t>
            </w:r>
            <w:r>
              <w:rPr>
                <w:rFonts w:ascii="宋体" w:hAnsi="宋体" w:cs="宋体" w:eastAsia="宋体" w:hint="default"/>
                <w:spacing w:val="-3"/>
                <w:sz w:val="18"/>
                <w:szCs w:val="18"/>
              </w:rPr>
              <w:t>技术企业新认定奖励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天津东疆管委会促进产业发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展资金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576,006.80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576,006.80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园区企业房租补助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147,854.00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147,854.00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政府补助退回情况" w:id="433"/>
      <w:bookmarkEnd w:id="43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before="0"/>
        <w:ind w:right="885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after="0" w:line="338"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487" w:lineRule="auto" w:before="36"/>
        <w:ind w:left="153" w:right="8326" w:firstLine="0"/>
        <w:jc w:val="left"/>
        <w:rPr>
          <w:rFonts w:ascii="宋体" w:hAnsi="宋体" w:cs="宋体" w:eastAsia="宋体" w:hint="default"/>
          <w:sz w:val="21"/>
          <w:szCs w:val="21"/>
        </w:rPr>
      </w:pPr>
      <w:bookmarkStart w:name="85、其他" w:id="434"/>
      <w:bookmarkEnd w:id="434"/>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八、合并范围的变更" w:id="435"/>
      <w:bookmarkEnd w:id="435"/>
      <w:r>
        <w:rPr>
          <w:rFonts w:ascii="宋体" w:hAnsi="宋体" w:cs="宋体" w:eastAsia="宋体" w:hint="default"/>
          <w:b/>
          <w:bCs/>
          <w:spacing w:val="-104"/>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36"/>
      <w:bookmarkEnd w:id="43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79"/>
        <w:ind w:right="0"/>
        <w:jc w:val="left"/>
        <w:rPr>
          <w:b w:val="0"/>
          <w:bCs w:val="0"/>
        </w:rPr>
      </w:pPr>
      <w:bookmarkStart w:name="（1）本期发生的非同一控制下企业合并" w:id="437"/>
      <w:bookmarkEnd w:id="43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被购买方名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股权取得时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pacing w:val="-2"/>
                <w:sz w:val="18"/>
                <w:szCs w:val="18"/>
              </w:rPr>
              <w:t>股权取得成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7"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2"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59" w:right="70" w:hanging="183"/>
              <w:jc w:val="left"/>
              <w:rPr>
                <w:rFonts w:ascii="宋体" w:hAnsi="宋体" w:cs="宋体" w:eastAsia="宋体" w:hint="default"/>
                <w:sz w:val="18"/>
                <w:szCs w:val="18"/>
              </w:rPr>
            </w:pPr>
            <w:r>
              <w:rPr>
                <w:rFonts w:ascii="宋体" w:hAnsi="宋体" w:cs="宋体" w:eastAsia="宋体" w:hint="default"/>
                <w:spacing w:val="-2"/>
                <w:sz w:val="18"/>
                <w:szCs w:val="18"/>
              </w:rPr>
              <w:t>购买日的确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末被购买方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4"/>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438"/>
      <w:bookmarkEnd w:id="43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22;top:14;width:2;height:394" coordorigin="22,14" coordsize="2,394">
              <v:shape style="position:absolute;left:22;top:14;width:2;height:394" coordorigin="22,14" coordsize="0,394" path="m22,14l22,408e" filled="false" stroked="true" strokeweight="1.2pt" strokecolor="#d2d2d2">
                <v:path arrowok="t"/>
              </v:shape>
            </v:group>
            <v:group style="position:absolute;left:4776;top:14;width:2;height:394" coordorigin="4776,14" coordsize="2,394">
              <v:shape style="position:absolute;left:4776;top:14;width:2;height:394" coordorigin="4776,14" coordsize="0,394" path="m4776,14l4776,408e" filled="false" stroked="true" strokeweight="1.2pt" strokecolor="#d2d2d2">
                <v:path arrowok="t"/>
              </v:shape>
            </v:group>
            <v:group style="position:absolute;left:34;top:14;width:4730;height:394" coordorigin="34,14" coordsize="4730,394">
              <v:shape style="position:absolute;left:34;top:14;width:4730;height:394" coordorigin="34,14" coordsize="4730,394" path="m34,408l4764,408,4764,14,34,14,34,408xe" filled="true" fillcolor="#d2d2d2" stroked="false">
                <v:path arrowok="t"/>
                <v:fill type="solid"/>
              </v:shape>
            </v:group>
            <v:group style="position:absolute;left:4809;top:14;width:2;height:394" coordorigin="4809,14" coordsize="2,394">
              <v:shape style="position:absolute;left:4809;top:14;width:2;height:394" coordorigin="4809,14" coordsize="0,394" path="m4809,14l4809,408e" filled="false" stroked="true" strokeweight="1.2pt" strokecolor="#d2d2d2">
                <v:path arrowok="t"/>
              </v:shape>
            </v:group>
            <v:group style="position:absolute;left:9563;top:14;width:2;height:394" coordorigin="9563,14" coordsize="2,394">
              <v:shape style="position:absolute;left:9563;top:14;width:2;height:394" coordorigin="9563,14" coordsize="0,394" path="m9563,14l9563,408e" filled="false" stroked="true" strokeweight="1.2pt" strokecolor="#d2d2d2">
                <v:path arrowok="t"/>
              </v:shape>
            </v:group>
            <v:group style="position:absolute;left:4821;top:14;width:4730;height:394" coordorigin="4821,14" coordsize="4730,394">
              <v:shape style="position:absolute;left:4821;top:14;width:4730;height:394" coordorigin="4821,14" coordsize="4730,394" path="m4821,408l9551,408,9551,14,4821,14,4821,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7998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7998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shape style="position:absolute;left:5;top:10;width:4788;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2" w:lineRule="auto" w:before="49"/>
        <w:ind w:right="5655"/>
        <w:jc w:val="left"/>
      </w:pPr>
      <w:r>
        <w:rPr>
          <w:spacing w:val="-3"/>
        </w:rPr>
        <w:t>合并成本公允价值的确定方法、或有对价及其变动的说明：</w:t>
      </w:r>
      <w:r>
        <w:rPr>
          <w:spacing w:val="-10"/>
        </w:rPr>
        <w:t> </w:t>
      </w:r>
      <w:r>
        <w:rPr>
          <w:spacing w:val="-10"/>
        </w:rPr>
      </w:r>
      <w:r>
        <w:rPr>
          <w:spacing w:val="-3"/>
        </w:rPr>
        <w:t>大额商誉形成的主要原因：</w:t>
      </w:r>
    </w:p>
    <w:p>
      <w:pPr>
        <w:pStyle w:val="BodyText"/>
        <w:spacing w:line="240" w:lineRule="auto" w:before="2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439"/>
      <w:bookmarkEnd w:id="43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bl>
    <w:p>
      <w:pPr>
        <w:pStyle w:val="BodyText"/>
        <w:spacing w:line="360" w:lineRule="auto" w:before="53"/>
        <w:ind w:right="7523"/>
        <w:jc w:val="both"/>
      </w:pPr>
      <w:r>
        <w:rPr>
          <w:spacing w:val="-3"/>
        </w:rPr>
        <w:t>可辨认资产、负债公允价值的确定方法：</w:t>
      </w:r>
      <w:r>
        <w:rPr>
          <w:spacing w:val="-33"/>
        </w:rPr>
        <w:t> </w:t>
      </w:r>
      <w:r>
        <w:rPr>
          <w:spacing w:val="-33"/>
        </w:rPr>
      </w:r>
      <w:r>
        <w:rPr>
          <w:spacing w:val="-3"/>
        </w:rPr>
        <w:t>企业合并中承担的被购买方的或有负债：</w:t>
      </w:r>
      <w:r>
        <w:rPr>
          <w:spacing w:val="-33"/>
        </w:rPr>
        <w:t> </w:t>
      </w:r>
      <w:r>
        <w:rPr>
          <w:spacing w:val="-33"/>
        </w:rPr>
      </w:r>
      <w:r>
        <w:rPr/>
        <w:t>其他说明：</w:t>
      </w:r>
    </w:p>
    <w:p>
      <w:pPr>
        <w:spacing w:line="240" w:lineRule="auto" w:before="10"/>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440"/>
      <w:bookmarkEnd w:id="44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spacing w:val="-3"/>
        </w:rPr>
        <w:t>是否存在通过多次交易分步实现企业合并且在报告期内取得控制权的交易</w:t>
      </w:r>
    </w:p>
    <w:p>
      <w:pPr>
        <w:pStyle w:val="BodyText"/>
        <w:spacing w:line="240" w:lineRule="auto" w:before="119"/>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5）购买日或合并当期期末无法合理确定合并对价或被购买方可辨认资产、负债公允价值" w:id="441"/>
      <w:bookmarkEnd w:id="44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42"/>
      <w:bookmarkEnd w:id="44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43"/>
      <w:bookmarkEnd w:id="44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44"/>
      <w:bookmarkEnd w:id="44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339"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被合并方名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0"/>
              <w:jc w:val="center"/>
              <w:rPr>
                <w:rFonts w:ascii="宋体" w:hAnsi="宋体" w:cs="宋体" w:eastAsia="宋体" w:hint="default"/>
                <w:sz w:val="18"/>
                <w:szCs w:val="18"/>
              </w:rPr>
            </w:pPr>
            <w:r>
              <w:rPr>
                <w:rFonts w:ascii="宋体" w:hAnsi="宋体" w:cs="宋体" w:eastAsia="宋体" w:hint="default"/>
                <w:spacing w:val="-2"/>
                <w:sz w:val="18"/>
                <w:szCs w:val="18"/>
              </w:rPr>
              <w:t>企业合并中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取得的权益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pacing w:val="-2"/>
                <w:sz w:val="18"/>
                <w:szCs w:val="18"/>
              </w:rPr>
              <w:t>构成同一控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制下企业合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并的依据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合并日的确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5"/>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合并成本" w:id="445"/>
      <w:bookmarkEnd w:id="44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22;top:14;width:2;height:395" coordorigin="22,14" coordsize="2,395">
              <v:shape style="position:absolute;left:22;top:14;width:2;height:395" coordorigin="22,14" coordsize="0,395" path="m22,14l22,408e" filled="false" stroked="true" strokeweight="1.2pt" strokecolor="#d2d2d2">
                <v:path arrowok="t"/>
              </v:shape>
            </v:group>
            <v:group style="position:absolute;left:4776;top:14;width:2;height:395" coordorigin="4776,14" coordsize="2,395">
              <v:shape style="position:absolute;left:4776;top:14;width:2;height:395" coordorigin="4776,14" coordsize="0,395" path="m4776,14l4776,408e" filled="false" stroked="true" strokeweight="1.2pt" strokecolor="#d2d2d2">
                <v:path arrowok="t"/>
              </v:shape>
            </v:group>
            <v:group style="position:absolute;left:34;top:14;width:4730;height:395" coordorigin="34,14" coordsize="4730,395">
              <v:shape style="position:absolute;left:34;top:14;width:4730;height:395" coordorigin="34,14" coordsize="4730,395" path="m34,408l4764,408,4764,14,34,14,34,408xe" filled="true" fillcolor="#d2d2d2" stroked="false">
                <v:path arrowok="t"/>
                <v:fill type="solid"/>
              </v:shape>
            </v:group>
            <v:group style="position:absolute;left:4809;top:14;width:2;height:395" coordorigin="4809,14" coordsize="2,395">
              <v:shape style="position:absolute;left:4809;top:14;width:2;height:395" coordorigin="4809,14" coordsize="0,395" path="m4809,14l4809,408e" filled="false" stroked="true" strokeweight="1.2pt" strokecolor="#d2d2d2">
                <v:path arrowok="t"/>
              </v:shape>
            </v:group>
            <v:group style="position:absolute;left:9563;top:14;width:2;height:395" coordorigin="9563,14" coordsize="2,395">
              <v:shape style="position:absolute;left:9563;top:14;width:2;height:395" coordorigin="9563,14" coordsize="0,395" path="m9563,14l9563,408e" filled="false" stroked="true" strokeweight="1.2pt" strokecolor="#d2d2d2">
                <v:path arrowok="t"/>
              </v:shape>
            </v:group>
            <v:group style="position:absolute;left:4821;top:14;width:4730;height:395" coordorigin="4821,14" coordsize="4730,395">
              <v:shape style="position:absolute;left:4821;top:14;width:4730;height:395" coordorigin="4821,14" coordsize="4730,395" path="m4821,408l9551,408,9551,14,4821,14,4821,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1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8001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4" coordorigin="4792,5" coordsize="2,414">
              <v:shape style="position:absolute;left:4792;top:5;width:2;height:414" coordorigin="4792,5" coordsize="0,414"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7998pt" strokecolor="#000000">
                <v:path arrowok="t"/>
              </v:shape>
            </v:group>
            <v:group style="position:absolute;left:9575;top:5;width:2;height:414" coordorigin="9575,5" coordsize="2,414">
              <v:shape style="position:absolute;left:9575;top:5;width:2;height:414" coordorigin="9575,5" coordsize="0,414" path="m9575,5l9575,418e" filled="false" stroked="true" strokeweight=".48004pt" strokecolor="#000000">
                <v:path arrowok="t"/>
              </v:shape>
              <v:shape style="position:absolute;left:5;top:10;width:4788;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2" w:lineRule="auto" w:before="49"/>
        <w:ind w:right="7919"/>
        <w:jc w:val="left"/>
      </w:pPr>
      <w:r>
        <w:rPr>
          <w:spacing w:val="-3"/>
        </w:rPr>
        <w:t>或有对价及其变动的说明：</w:t>
      </w:r>
      <w:r>
        <w:rPr>
          <w:spacing w:val="-51"/>
        </w:rPr>
        <w:t> </w:t>
      </w:r>
      <w:r>
        <w:rPr>
          <w:spacing w:val="-51"/>
        </w:rPr>
      </w:r>
      <w:r>
        <w:rPr/>
        <w:t>其他说明：</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446"/>
      <w:bookmarkEnd w:id="44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3"/>
        <w:rPr>
          <w:rFonts w:ascii="宋体" w:hAnsi="宋体" w:cs="宋体" w:eastAsia="宋体" w:hint="default"/>
          <w:sz w:val="7"/>
          <w:szCs w:val="7"/>
        </w:rPr>
      </w:pPr>
    </w:p>
    <w:p>
      <w:pPr>
        <w:spacing w:line="826"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25pt;height:41.35pt;mso-position-horizontal-relative:char;mso-position-vertical-relative:line" coordorigin="0,0" coordsize="9585,827">
            <v:group style="position:absolute;left:22;top:15;width:2;height:394" coordorigin="22,15" coordsize="2,394">
              <v:shape style="position:absolute;left:22;top:15;width:2;height:394" coordorigin="22,15" coordsize="0,394" path="m22,15l22,408e" filled="false" stroked="true" strokeweight="1.2pt" strokecolor="#d2d2d2">
                <v:path arrowok="t"/>
              </v:shape>
            </v:group>
            <v:group style="position:absolute;left:3181;top:15;width:2;height:394" coordorigin="3181,15" coordsize="2,394">
              <v:shape style="position:absolute;left:3181;top:15;width:2;height:394" coordorigin="3181,15" coordsize="0,394" path="m3181,15l3181,408e" filled="false" stroked="true" strokeweight="1.2pt" strokecolor="#d2d2d2">
                <v:path arrowok="t"/>
              </v:shape>
            </v:group>
            <v:group style="position:absolute;left:34;top:15;width:3136;height:394" coordorigin="34,15" coordsize="3136,394">
              <v:shape style="position:absolute;left:34;top:15;width:3136;height:394" coordorigin="34,15" coordsize="3136,394" path="m34,408l3169,408,3169,15,34,15,34,408xe" filled="true" fillcolor="#d2d2d2" stroked="false">
                <v:path arrowok="t"/>
                <v:fill type="solid"/>
              </v:shape>
            </v:group>
            <v:group style="position:absolute;left:3215;top:15;width:2;height:394" coordorigin="3215,15" coordsize="2,394">
              <v:shape style="position:absolute;left:3215;top:15;width:2;height:394" coordorigin="3215,15" coordsize="0,394" path="m3215,15l3215,408e" filled="false" stroked="true" strokeweight="1.2pt" strokecolor="#d2d2d2">
                <v:path arrowok="t"/>
              </v:shape>
            </v:group>
            <v:group style="position:absolute;left:9563;top:15;width:2;height:394" coordorigin="9563,15" coordsize="2,394">
              <v:shape style="position:absolute;left:9563;top:15;width:2;height:394" coordorigin="9563,15" coordsize="0,394" path="m9563,15l9563,408e" filled="false" stroked="true" strokeweight="1.2pt" strokecolor="#d2d2d2">
                <v:path arrowok="t"/>
              </v:shape>
            </v:group>
            <v:group style="position:absolute;left:3227;top:15;width:6324;height:394" coordorigin="3227,15" coordsize="6324,394">
              <v:shape style="position:absolute;left:3227;top:15;width:6324;height:394" coordorigin="3227,15" coordsize="6324,394" path="m3227,408l9551,408,9551,15,3227,15,3227,408xe" filled="true" fillcolor="#d2d2d2" stroked="false">
                <v:path arrowok="t"/>
                <v:fill type="solid"/>
              </v:shape>
            </v:group>
            <v:group style="position:absolute;left:10;top:10;width:3184;height:2" coordorigin="10,10" coordsize="3184,2">
              <v:shape style="position:absolute;left:10;top:10;width:3184;height:2" coordorigin="10,10" coordsize="3184,0" path="m10,10l3193,10e" filled="false" stroked="true" strokeweight=".48001pt" strokecolor="#000000">
                <v:path arrowok="t"/>
              </v:shape>
            </v:group>
            <v:group style="position:absolute;left:3203;top:10;width:6372;height:2" coordorigin="3203,10" coordsize="6372,2">
              <v:shape style="position:absolute;left:3203;top:10;width:6372;height:2" coordorigin="3203,10" coordsize="6372,0" path="m3203,10l9575,10e" filled="false" stroked="true" strokeweight=".48001pt" strokecolor="#000000">
                <v:path arrowok="t"/>
              </v:shape>
            </v:group>
            <v:group style="position:absolute;left:22;top:418;width:2;height:394" coordorigin="22,418" coordsize="2,394">
              <v:shape style="position:absolute;left:22;top:418;width:2;height:394" coordorigin="22,418" coordsize="0,394" path="m22,418l22,811e" filled="false" stroked="true" strokeweight="1.2pt" strokecolor="#d2d2d2">
                <v:path arrowok="t"/>
              </v:shape>
            </v:group>
            <v:group style="position:absolute;left:3181;top:418;width:2;height:394" coordorigin="3181,418" coordsize="2,394">
              <v:shape style="position:absolute;left:3181;top:418;width:2;height:394" coordorigin="3181,418" coordsize="0,394" path="m3181,418l3181,811e" filled="false" stroked="true" strokeweight="1.2pt" strokecolor="#d2d2d2">
                <v:path arrowok="t"/>
              </v:shape>
            </v:group>
            <v:group style="position:absolute;left:34;top:418;width:3136;height:394" coordorigin="34,418" coordsize="3136,394">
              <v:shape style="position:absolute;left:34;top:418;width:3136;height:394" coordorigin="34,418" coordsize="3136,394" path="m34,811l3169,811,3169,418,34,418,34,811xe" filled="true" fillcolor="#d2d2d2" stroked="false">
                <v:path arrowok="t"/>
                <v:fill type="solid"/>
              </v:shape>
            </v:group>
            <v:group style="position:absolute;left:3215;top:418;width:2;height:394" coordorigin="3215,418" coordsize="2,394">
              <v:shape style="position:absolute;left:3215;top:418;width:2;height:394" coordorigin="3215,418" coordsize="0,394" path="m3215,418l3215,811e" filled="false" stroked="true" strokeweight="1.2pt" strokecolor="#d2d2d2">
                <v:path arrowok="t"/>
              </v:shape>
            </v:group>
            <v:group style="position:absolute;left:6372;top:418;width:2;height:394" coordorigin="6372,418" coordsize="2,394">
              <v:shape style="position:absolute;left:6372;top:418;width:2;height:394" coordorigin="6372,418" coordsize="0,394" path="m6372,418l6372,811e" filled="false" stroked="true" strokeweight=".95999pt" strokecolor="#d2d2d2">
                <v:path arrowok="t"/>
              </v:shape>
            </v:group>
            <v:group style="position:absolute;left:3227;top:418;width:3136;height:394" coordorigin="3227,418" coordsize="3136,394">
              <v:shape style="position:absolute;left:3227;top:418;width:3136;height:394" coordorigin="3227,418" coordsize="3136,394" path="m3227,811l6362,811,6362,418,3227,418,3227,811xe" filled="true" fillcolor="#d2d2d2" stroked="false">
                <v:path arrowok="t"/>
                <v:fill type="solid"/>
              </v:shape>
            </v:group>
            <v:group style="position:absolute;left:6403;top:418;width:2;height:394" coordorigin="6403,418" coordsize="2,394">
              <v:shape style="position:absolute;left:6403;top:418;width:2;height:394" coordorigin="6403,418" coordsize="0,394" path="m6403,418l6403,811e" filled="false" stroked="true" strokeweight="1.2pt" strokecolor="#d2d2d2">
                <v:path arrowok="t"/>
              </v:shape>
            </v:group>
            <v:group style="position:absolute;left:9563;top:418;width:2;height:394" coordorigin="9563,418" coordsize="2,394">
              <v:shape style="position:absolute;left:9563;top:418;width:2;height:394" coordorigin="9563,418" coordsize="0,394" path="m9563,418l9563,811e" filled="false" stroked="true" strokeweight="1.2pt" strokecolor="#d2d2d2">
                <v:path arrowok="t"/>
              </v:shape>
            </v:group>
            <v:group style="position:absolute;left:6415;top:418;width:3136;height:394" coordorigin="6415,418" coordsize="3136,394">
              <v:shape style="position:absolute;left:6415;top:418;width:3136;height:394" coordorigin="6415,418" coordsize="3136,394" path="m6415,811l9551,811,9551,418,6415,418,6415,811xe" filled="true" fillcolor="#d2d2d2" stroked="false">
                <v:path arrowok="t"/>
                <v:fill type="solid"/>
              </v:shape>
            </v:group>
            <v:group style="position:absolute;left:10;top:413;width:3184;height:2" coordorigin="10,413" coordsize="3184,2">
              <v:shape style="position:absolute;left:10;top:413;width:3184;height:2" coordorigin="10,413" coordsize="3184,0" path="m10,413l3193,413e" filled="false" stroked="true" strokeweight=".48001pt" strokecolor="#000000">
                <v:path arrowok="t"/>
              </v:shape>
            </v:group>
            <v:group style="position:absolute;left:3203;top:413;width:3179;height:2" coordorigin="3203,413" coordsize="3179,2">
              <v:shape style="position:absolute;left:3203;top:413;width:3179;height:2" coordorigin="3203,413" coordsize="3179,0" path="m3203,413l6382,413e" filled="false" stroked="true" strokeweight=".48001pt" strokecolor="#000000">
                <v:path arrowok="t"/>
              </v:shape>
            </v:group>
            <v:group style="position:absolute;left:6391;top:413;width:3184;height:2" coordorigin="6391,413" coordsize="3184,2">
              <v:shape style="position:absolute;left:6391;top:413;width:3184;height:2" coordorigin="6391,413" coordsize="3184,0" path="m6391,413l9575,413e" filled="false" stroked="true" strokeweight=".48001pt" strokecolor="#000000">
                <v:path arrowok="t"/>
              </v:shape>
            </v:group>
            <v:group style="position:absolute;left:5;top:5;width:2;height:816" coordorigin="5,5" coordsize="2,816">
              <v:shape style="position:absolute;left:5;top:5;width:2;height:816" coordorigin="5,5" coordsize="0,816" path="m5,5l5,821e" filled="false" stroked="true" strokeweight=".48pt" strokecolor="#000000">
                <v:path arrowok="t"/>
              </v:shape>
            </v:group>
            <v:group style="position:absolute;left:10;top:816;width:3184;height:2" coordorigin="10,816" coordsize="3184,2">
              <v:shape style="position:absolute;left:10;top:816;width:3184;height:2" coordorigin="10,816" coordsize="3184,0" path="m10,816l3193,816e" filled="false" stroked="true" strokeweight=".47998pt" strokecolor="#000000">
                <v:path arrowok="t"/>
              </v:shape>
            </v:group>
            <v:group style="position:absolute;left:3198;top:5;width:2;height:816" coordorigin="3198,5" coordsize="2,816">
              <v:shape style="position:absolute;left:3198;top:5;width:2;height:816" coordorigin="3198,5" coordsize="0,816" path="m3198,5l3198,821e" filled="false" stroked="true" strokeweight=".48pt" strokecolor="#000000">
                <v:path arrowok="t"/>
              </v:shape>
            </v:group>
            <v:group style="position:absolute;left:3203;top:816;width:3179;height:2" coordorigin="3203,816" coordsize="3179,2">
              <v:shape style="position:absolute;left:3203;top:816;width:3179;height:2" coordorigin="3203,816" coordsize="3179,0" path="m3203,816l6382,816e" filled="false" stroked="true" strokeweight=".47998pt" strokecolor="#000000">
                <v:path arrowok="t"/>
              </v:shape>
            </v:group>
            <v:group style="position:absolute;left:6386;top:408;width:2;height:413" coordorigin="6386,408" coordsize="2,413">
              <v:shape style="position:absolute;left:6386;top:408;width:2;height:413" coordorigin="6386,408" coordsize="0,413" path="m6386,408l6386,821e" filled="false" stroked="true" strokeweight=".48001pt" strokecolor="#000000">
                <v:path arrowok="t"/>
              </v:shape>
            </v:group>
            <v:group style="position:absolute;left:6391;top:816;width:3184;height:2" coordorigin="6391,816" coordsize="3184,2">
              <v:shape style="position:absolute;left:6391;top:816;width:3184;height:2" coordorigin="6391,816" coordsize="3184,0" path="m6391,816l9575,816e" filled="false" stroked="true" strokeweight=".47998pt" strokecolor="#000000">
                <v:path arrowok="t"/>
              </v:shape>
            </v:group>
            <v:group style="position:absolute;left:9580;top:5;width:2;height:816" coordorigin="9580,5" coordsize="2,816">
              <v:shape style="position:absolute;left:9580;top:5;width:2;height:816" coordorigin="9580,5" coordsize="0,816" path="m9580,5l9580,821e" filled="false" stroked="true" strokeweight=".50403pt" strokecolor="#000000">
                <v:path arrowok="t"/>
              </v:shape>
              <v:shape style="position:absolute;left:3198;top:413;width:3189;height:404"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3;width:3194;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pStyle w:val="BodyText"/>
        <w:spacing w:line="362" w:lineRule="auto" w:before="49"/>
        <w:ind w:right="6995"/>
        <w:jc w:val="left"/>
      </w:pPr>
      <w:r>
        <w:rPr>
          <w:spacing w:val="-3"/>
        </w:rPr>
        <w:t>企业合并中承担的被合并方的或有负债：</w:t>
      </w:r>
      <w:r>
        <w:rPr>
          <w:spacing w:val="-33"/>
        </w:rPr>
        <w:t> </w:t>
      </w:r>
      <w:r>
        <w:rPr>
          <w:spacing w:val="-33"/>
        </w:rPr>
      </w:r>
      <w:r>
        <w:rPr/>
        <w:t>其他说明：</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3、反向购买" w:id="447"/>
      <w:bookmarkEnd w:id="44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pStyle w:val="BodyText"/>
        <w:spacing w:line="321" w:lineRule="auto" w:before="0"/>
        <w:ind w:right="0"/>
        <w:jc w:val="left"/>
      </w:pPr>
      <w:r>
        <w:rPr>
          <w:spacing w:val="-4"/>
        </w:rPr>
        <w:t>交易基本信息、交易构成反向购买的依据、上市公司保留的资产、负债是否构成业务及其依据、合并成本的确定、按照权益</w:t>
      </w:r>
      <w:r>
        <w:rPr>
          <w:spacing w:val="40"/>
        </w:rPr>
        <w:t> </w:t>
      </w:r>
      <w:r>
        <w:rPr>
          <w:spacing w:val="40"/>
        </w:rPr>
      </w:r>
      <w:r>
        <w:rPr>
          <w:spacing w:val="-3"/>
        </w:rPr>
        <w:t>性交易处理时调整权益的金额及其计算：</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4、处置子公司" w:id="448"/>
      <w:bookmarkEnd w:id="44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spacing w:val="-3"/>
        </w:rPr>
        <w:t>是否存在单次处置对子公司投资即丧失控制权的情形</w:t>
      </w:r>
    </w:p>
    <w:p>
      <w:pPr>
        <w:pStyle w:val="BodyText"/>
        <w:spacing w:line="343" w:lineRule="auto" w:before="115"/>
        <w:ind w:right="446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是否存在通过多次交易分步处置对子公司投资且在本期丧失控制权的情形</w:t>
      </w:r>
    </w:p>
    <w:p>
      <w:pPr>
        <w:pStyle w:val="BodyText"/>
        <w:spacing w:line="240" w:lineRule="auto" w:before="3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5、其他原因的合并范围变动" w:id="449"/>
      <w:bookmarkEnd w:id="44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7"/>
          <w:szCs w:val="27"/>
        </w:rPr>
      </w:pPr>
    </w:p>
    <w:p>
      <w:pPr>
        <w:pStyle w:val="BodyText"/>
        <w:spacing w:line="352" w:lineRule="auto" w:before="0"/>
        <w:ind w:left="513" w:right="0" w:hanging="360"/>
        <w:jc w:val="left"/>
      </w:pPr>
      <w:r>
        <w:rPr>
          <w:spacing w:val="-3"/>
        </w:rPr>
        <w:t>说明其他原因导致的合并范围变动（如，新设子公司、清算子公司等）及其相关情况：</w:t>
      </w:r>
      <w:r>
        <w:rPr>
          <w:spacing w:val="21"/>
        </w:rPr>
        <w:t> </w:t>
      </w:r>
      <w:r>
        <w:rPr>
          <w:spacing w:val="21"/>
        </w:rPr>
      </w:r>
      <w:r>
        <w:rPr>
          <w:spacing w:val="-4"/>
        </w:rPr>
        <w:t>本期公司子公司霍尔果斯民盛创业投资有限公司、仁东金融信息服务有限公司、民盛科技有限公司、民盛供应链管理有</w:t>
      </w:r>
    </w:p>
    <w:p>
      <w:pPr>
        <w:pStyle w:val="BodyText"/>
        <w:spacing w:line="227" w:lineRule="exact" w:before="0"/>
        <w:ind w:right="0"/>
        <w:jc w:val="left"/>
      </w:pPr>
      <w:r>
        <w:rPr>
          <w:spacing w:val="-3"/>
        </w:rPr>
        <w:t>限公司已注销。</w:t>
      </w:r>
    </w:p>
    <w:p>
      <w:pPr>
        <w:spacing w:line="240" w:lineRule="auto" w:before="0"/>
        <w:rPr>
          <w:rFonts w:ascii="宋体" w:hAnsi="宋体" w:cs="宋体" w:eastAsia="宋体" w:hint="default"/>
          <w:sz w:val="18"/>
          <w:szCs w:val="18"/>
        </w:rPr>
      </w:pPr>
    </w:p>
    <w:p>
      <w:pPr>
        <w:spacing w:line="484" w:lineRule="auto" w:before="118"/>
        <w:ind w:left="153" w:right="8100" w:firstLine="0"/>
        <w:jc w:val="left"/>
        <w:rPr>
          <w:rFonts w:ascii="宋体" w:hAnsi="宋体" w:cs="宋体" w:eastAsia="宋体" w:hint="default"/>
          <w:sz w:val="21"/>
          <w:szCs w:val="21"/>
        </w:rPr>
      </w:pPr>
      <w:bookmarkStart w:name="6、其他" w:id="450"/>
      <w:bookmarkEnd w:id="45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51"/>
      <w:bookmarkEnd w:id="451"/>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52"/>
      <w:bookmarkEnd w:id="45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6"/>
        <w:ind w:right="0"/>
        <w:jc w:val="left"/>
        <w:rPr>
          <w:b w:val="0"/>
          <w:bCs w:val="0"/>
        </w:rPr>
      </w:pPr>
      <w:bookmarkStart w:name="（1）企业集团的构成" w:id="453"/>
      <w:bookmarkEnd w:id="45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1"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浙江仁东新材料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诸暨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诸暨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民盛租赁有限公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深圳民盛大数据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both"/>
              <w:rPr>
                <w:rFonts w:ascii="宋体" w:hAnsi="宋体" w:cs="宋体" w:eastAsia="宋体" w:hint="default"/>
                <w:sz w:val="18"/>
                <w:szCs w:val="18"/>
              </w:rPr>
            </w:pPr>
            <w:r>
              <w:rPr>
                <w:rFonts w:ascii="宋体" w:hAnsi="宋体" w:cs="宋体" w:eastAsia="宋体" w:hint="default"/>
                <w:spacing w:val="-3"/>
                <w:sz w:val="18"/>
                <w:szCs w:val="18"/>
              </w:rPr>
              <w:t>共青城民盛金控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投资管理有限公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广东合利金融科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技服务有限公司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天津民盛金科信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天津民盛国际融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资租赁有限公司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134"/>
              <w:jc w:val="left"/>
              <w:rPr>
                <w:rFonts w:ascii="宋体" w:hAnsi="宋体" w:cs="宋体" w:eastAsia="宋体" w:hint="default"/>
                <w:sz w:val="18"/>
                <w:szCs w:val="18"/>
              </w:rPr>
            </w:pPr>
            <w:r>
              <w:rPr>
                <w:rFonts w:ascii="宋体" w:hAnsi="宋体" w:cs="宋体" w:eastAsia="宋体" w:hint="default"/>
                <w:spacing w:val="-2"/>
                <w:sz w:val="18"/>
                <w:szCs w:val="18"/>
              </w:rPr>
              <w:t>民盛金控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香港</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北京仁东科技有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科技推广和应用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北京仁东无双信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科技推广和应用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广州合利征信服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广州合利宝支付</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深圳前海合利商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业保理有限公司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深圳前海民盛天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宫供应链管理有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34"/>
              <w:jc w:val="left"/>
              <w:rPr>
                <w:rFonts w:ascii="宋体" w:hAnsi="宋体" w:cs="宋体" w:eastAsia="宋体" w:hint="default"/>
                <w:sz w:val="18"/>
                <w:szCs w:val="18"/>
              </w:rPr>
            </w:pPr>
            <w:r>
              <w:rPr>
                <w:rFonts w:ascii="宋体" w:hAnsi="宋体" w:cs="宋体" w:eastAsia="宋体" w:hint="default"/>
                <w:spacing w:val="-2"/>
                <w:sz w:val="18"/>
                <w:szCs w:val="18"/>
              </w:rPr>
              <w:t>民盛金科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香港</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广州仁东互联网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小额贷款有限公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民盛友联金融有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34"/>
              <w:jc w:val="left"/>
              <w:rPr>
                <w:rFonts w:ascii="宋体" w:hAnsi="宋体" w:cs="宋体" w:eastAsia="宋体" w:hint="default"/>
                <w:sz w:val="18"/>
                <w:szCs w:val="18"/>
              </w:rPr>
            </w:pPr>
            <w:r>
              <w:rPr>
                <w:rFonts w:ascii="宋体" w:hAnsi="宋体" w:cs="宋体" w:eastAsia="宋体" w:hint="default"/>
                <w:spacing w:val="-2"/>
                <w:sz w:val="18"/>
                <w:szCs w:val="18"/>
              </w:rPr>
              <w:t>民盛支付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香港</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天津亿东科技有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科技服务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4"/>
        <w:ind w:right="0"/>
        <w:jc w:val="left"/>
      </w:pPr>
      <w:r>
        <w:rPr>
          <w:spacing w:val="-3"/>
        </w:rPr>
        <w:t>在子公司的持股比例不同于表决权比例的说明：</w:t>
      </w:r>
      <w:r>
        <w:rPr>
          <w:spacing w:val="-27"/>
        </w:rPr>
        <w:t> </w:t>
      </w:r>
      <w:r>
        <w:rPr>
          <w:spacing w:val="-27"/>
        </w:rPr>
      </w:r>
      <w:r>
        <w:rPr>
          <w:spacing w:val="-3"/>
        </w:rPr>
        <w:t>持有半数或以下表决权但仍控制被投资单位、以及持有半数以上表决权但不控制被投资单位的依据：</w:t>
      </w:r>
      <w:r>
        <w:rPr>
          <w:spacing w:val="37"/>
        </w:rPr>
        <w:t> </w:t>
      </w:r>
      <w:r>
        <w:rPr>
          <w:spacing w:val="37"/>
        </w:rPr>
      </w:r>
      <w:r>
        <w:rPr>
          <w:spacing w:val="-3"/>
        </w:rPr>
        <w:t>对于纳入合并范围的重要的结构化主体，控制的依据：</w:t>
      </w:r>
    </w:p>
    <w:p>
      <w:pPr>
        <w:pStyle w:val="BodyText"/>
        <w:spacing w:line="357" w:lineRule="auto" w:before="25"/>
        <w:ind w:right="6995"/>
        <w:jc w:val="left"/>
      </w:pPr>
      <w:r>
        <w:rPr>
          <w:spacing w:val="-3"/>
        </w:rPr>
        <w:t>确定公司是代理人还是委托人的依据：</w:t>
      </w:r>
      <w:r>
        <w:rPr>
          <w:spacing w:val="-39"/>
        </w:rPr>
        <w:t> </w:t>
      </w:r>
      <w:r>
        <w:rPr>
          <w:spacing w:val="-39"/>
        </w:rPr>
      </w:r>
      <w:r>
        <w:rPr/>
        <w:t>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454"/>
      <w:bookmarkEnd w:id="45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77"/>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7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广州合利宝支付科技有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6,024,703.50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19,970,767.30</w:t>
            </w:r>
          </w:p>
        </w:tc>
      </w:tr>
    </w:tbl>
    <w:p>
      <w:pPr>
        <w:pStyle w:val="BodyText"/>
        <w:spacing w:line="362" w:lineRule="auto" w:before="53"/>
        <w:ind w:right="6287"/>
        <w:jc w:val="left"/>
      </w:pPr>
      <w:r>
        <w:rPr>
          <w:spacing w:val="-3"/>
        </w:rPr>
        <w:t>子公司少数股东的持股比例不同于表决权比例的说明：</w:t>
      </w:r>
      <w:r>
        <w:rPr>
          <w:spacing w:val="-16"/>
        </w:rPr>
        <w:t> </w:t>
      </w:r>
      <w:r>
        <w:rPr>
          <w:spacing w:val="-16"/>
        </w:rPr>
      </w:r>
      <w:r>
        <w:rPr/>
        <w:t>其他说明：</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455"/>
      <w:bookmarkEnd w:id="45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4"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165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广州合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利宝支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付科技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1,704,87</w:t>
            </w:r>
          </w:p>
          <w:p>
            <w:pPr>
              <w:pStyle w:val="TableParagraph"/>
              <w:spacing w:line="240" w:lineRule="auto" w:before="105"/>
              <w:ind w:left="77" w:right="0"/>
              <w:jc w:val="left"/>
              <w:rPr>
                <w:rFonts w:ascii="Times New Roman" w:hAnsi="Times New Roman" w:cs="Times New Roman" w:eastAsia="Times New Roman" w:hint="default"/>
                <w:sz w:val="18"/>
                <w:szCs w:val="18"/>
              </w:rPr>
            </w:pPr>
            <w:r>
              <w:rPr>
                <w:rFonts w:ascii="Times New Roman"/>
                <w:sz w:val="18"/>
              </w:rPr>
              <w:t>2,319.04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5,760,29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1,710,63</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2,614.50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1,311,21</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7,268.62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1,311,21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7,268.62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2,914,81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1,162.89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6,696,73</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9.69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2,921,50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7,902.58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2,642,58</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6,626.67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2,642,58</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6,626.67</w:t>
            </w:r>
          </w:p>
        </w:tc>
      </w:tr>
    </w:tbl>
    <w:p>
      <w:pPr>
        <w:pStyle w:val="BodyText"/>
        <w:spacing w:line="240" w:lineRule="auto" w:before="53"/>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广州合利宝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支付科技有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1,115,501,55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120,494,069.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120,494,069.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95,547,919.7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873,253,914.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124,510,194.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124,510,194.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106,963,793.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r>
    </w:tbl>
    <w:p>
      <w:pPr>
        <w:pStyle w:val="BodyText"/>
        <w:spacing w:line="240" w:lineRule="auto" w:before="54"/>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56"/>
      <w:bookmarkEnd w:id="45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57"/>
      <w:bookmarkEnd w:id="45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343" w:lineRule="auto" w:before="0"/>
        <w:ind w:right="4465"/>
        <w:jc w:val="left"/>
      </w:pPr>
      <w:r>
        <w:rPr>
          <w:rFonts w:ascii="Times New Roman" w:hAnsi="Times New Roman" w:cs="Times New Roman" w:eastAsia="Times New Roman" w:hint="default"/>
          <w:spacing w:val="-2"/>
        </w:rPr>
        <w:t>2019</w:t>
      </w:r>
      <w:r>
        <w:rPr>
          <w:spacing w:val="-2"/>
        </w:rPr>
        <w:t>年合利宝公司累计向上市公司提供财务支持</w:t>
      </w:r>
      <w:r>
        <w:rPr>
          <w:rFonts w:ascii="Times New Roman" w:hAnsi="Times New Roman" w:cs="Times New Roman" w:eastAsia="Times New Roman" w:hint="default"/>
          <w:spacing w:val="-2"/>
        </w:rPr>
        <w:t>3.457</w:t>
      </w:r>
      <w:r>
        <w:rPr>
          <w:spacing w:val="-2"/>
        </w:rPr>
        <w:t>亿，期末借款余额</w:t>
      </w:r>
      <w:r>
        <w:rPr>
          <w:rFonts w:ascii="Times New Roman" w:hAnsi="Times New Roman" w:cs="Times New Roman" w:eastAsia="Times New Roman" w:hint="default"/>
          <w:spacing w:val="-2"/>
        </w:rPr>
        <w:t>1.307</w:t>
      </w:r>
      <w:r>
        <w:rPr>
          <w:spacing w:val="-2"/>
        </w:rPr>
        <w:t>亿</w:t>
      </w:r>
      <w:r>
        <w:rPr>
          <w:spacing w:val="-4"/>
        </w:rPr>
        <w:t> </w:t>
      </w:r>
      <w:r>
        <w:rPr/>
        <w:t>其他说明：</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在子公司的所有者权益份额发生变化且仍控制子公司的交易" w:id="458"/>
      <w:bookmarkEnd w:id="45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59"/>
      <w:bookmarkEnd w:id="45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60"/>
      <w:bookmarkEnd w:id="46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p>
      <w:pPr>
        <w:spacing w:line="423"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22;top:15;width:2;height:390" coordorigin="22,15" coordsize="2,390">
              <v:shape style="position:absolute;left:22;top:15;width:2;height:390" coordorigin="22,15" coordsize="0,390" path="m22,15l22,404e" filled="false" stroked="true" strokeweight="1.2pt" strokecolor="#d2d2d2">
                <v:path arrowok="t"/>
              </v:shape>
            </v:group>
            <v:group style="position:absolute;left:4776;top:15;width:2;height:390" coordorigin="4776,15" coordsize="2,390">
              <v:shape style="position:absolute;left:4776;top:15;width:2;height:390" coordorigin="4776,15" coordsize="0,390" path="m4776,15l4776,404e" filled="false" stroked="true" strokeweight="1.2pt" strokecolor="#d2d2d2">
                <v:path arrowok="t"/>
              </v:shape>
            </v:group>
            <v:group style="position:absolute;left:34;top:15;width:4730;height:390" coordorigin="34,15" coordsize="4730,390">
              <v:shape style="position:absolute;left:34;top:15;width:4730;height:390" coordorigin="34,15" coordsize="4730,390" path="m34,404l4764,404,4764,15,34,15,34,404xe" filled="true" fillcolor="#d2d2d2" stroked="false">
                <v:path arrowok="t"/>
                <v:fill type="solid"/>
              </v:shape>
            </v:group>
            <v:group style="position:absolute;left:4809;top:15;width:2;height:390" coordorigin="4809,15" coordsize="2,390">
              <v:shape style="position:absolute;left:4809;top:15;width:2;height:390" coordorigin="4809,15" coordsize="0,390" path="m4809,15l4809,404e" filled="false" stroked="true" strokeweight="1.2pt" strokecolor="#d2d2d2">
                <v:path arrowok="t"/>
              </v:shape>
            </v:group>
            <v:group style="position:absolute;left:9563;top:15;width:2;height:390" coordorigin="9563,15" coordsize="2,390">
              <v:shape style="position:absolute;left:9563;top:15;width:2;height:390" coordorigin="9563,15" coordsize="0,390" path="m9563,15l9563,404e" filled="false" stroked="true" strokeweight="1.2pt" strokecolor="#d2d2d2">
                <v:path arrowok="t"/>
              </v:shape>
            </v:group>
            <v:group style="position:absolute;left:4821;top:15;width:4730;height:390" coordorigin="4821,15" coordsize="4730,390">
              <v:shape style="position:absolute;left:4821;top:15;width:4730;height:390" coordorigin="4821,15" coordsize="4730,390" path="m4821,404l9551,404,9551,15,4821,15,4821,404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4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8004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4" coordorigin="4792,5" coordsize="2,414">
              <v:shape style="position:absolute;left:4792;top:5;width:2;height:414" coordorigin="4792,5" coordsize="0,414"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7998pt" strokecolor="#000000">
                <v:path arrowok="t"/>
              </v:shape>
            </v:group>
            <v:group style="position:absolute;left:9575;top:5;width:2;height:414" coordorigin="9575,5" coordsize="2,414">
              <v:shape style="position:absolute;left:9575;top:5;width:2;height:414" coordorigin="9575,5" coordsize="0,414" path="m9575,5l9575,418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9"/>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61"/>
      <w:bookmarkEnd w:id="46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62"/>
      <w:bookmarkEnd w:id="46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7" w:right="45" w:hanging="1"/>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left"/>
      </w:pPr>
      <w:r>
        <w:rPr>
          <w:spacing w:val="-3"/>
        </w:rPr>
        <w:t>在合营企业或联营企业的持股比例不同于表决权比例的说明：</w:t>
      </w:r>
    </w:p>
    <w:p>
      <w:pPr>
        <w:pStyle w:val="BodyText"/>
        <w:spacing w:line="240" w:lineRule="auto" w:before="115"/>
        <w:ind w:right="0"/>
        <w:jc w:val="left"/>
      </w:pPr>
      <w:r>
        <w:rPr/>
        <w:t>持有 </w:t>
      </w:r>
      <w:r>
        <w:rPr>
          <w:rFonts w:ascii="Times New Roman" w:hAnsi="Times New Roman" w:cs="Times New Roman" w:eastAsia="Times New Roman" w:hint="default"/>
          <w:spacing w:val="-3"/>
        </w:rPr>
        <w:t>20%</w:t>
      </w:r>
      <w:r>
        <w:rPr>
          <w:spacing w:val="-3"/>
        </w:rPr>
        <w:t>以下表决权但具有重大影响，或者持有</w:t>
      </w:r>
      <w:r>
        <w:rPr>
          <w:spacing w:val="34"/>
        </w:rPr>
        <w:t> </w:t>
      </w:r>
      <w:r>
        <w:rPr>
          <w:rFonts w:ascii="Times New Roman" w:hAnsi="Times New Roman" w:cs="Times New Roman" w:eastAsia="Times New Roman" w:hint="default"/>
          <w:spacing w:val="-3"/>
        </w:rPr>
        <w:t>20%</w:t>
      </w:r>
      <w:r>
        <w:rPr>
          <w:spacing w:val="-3"/>
        </w:rPr>
        <w:t>或以上表决权但不具有重大影响的依据：</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重要合营企业的主要财务信息" w:id="463"/>
      <w:bookmarkEnd w:id="46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64"/>
      <w:bookmarkEnd w:id="46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65"/>
      <w:bookmarkEnd w:id="46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66"/>
      <w:bookmarkEnd w:id="46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67"/>
      <w:bookmarkEnd w:id="46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52" w:right="17" w:hanging="629"/>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bl>
    <w:p>
      <w:pPr>
        <w:pStyle w:val="BodyText"/>
        <w:spacing w:line="240" w:lineRule="auto" w:before="56"/>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68"/>
      <w:bookmarkEnd w:id="46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69"/>
      <w:bookmarkEnd w:id="46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70"/>
      <w:bookmarkEnd w:id="47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3188"/>
      </w:tblGrid>
      <w:tr>
        <w:trPr>
          <w:trHeight w:val="39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3"/>
        <w:ind w:right="2115"/>
        <w:jc w:val="left"/>
      </w:pPr>
      <w:r>
        <w:rPr>
          <w:spacing w:val="-3"/>
        </w:rPr>
        <w:t>在共同经营中的持股比例或享有的份额不同于表决权比例的说明：</w:t>
      </w:r>
      <w:r>
        <w:rPr>
          <w:spacing w:val="-4"/>
        </w:rPr>
        <w:t> </w:t>
      </w:r>
      <w:r>
        <w:rPr>
          <w:spacing w:val="-4"/>
        </w:rPr>
      </w:r>
      <w:r>
        <w:rPr>
          <w:spacing w:val="-3"/>
        </w:rPr>
        <w:t>共同经营为单独主体的，分类为共同经营的依据：</w:t>
      </w:r>
    </w:p>
    <w:p>
      <w:pPr>
        <w:pStyle w:val="BodyText"/>
        <w:spacing w:line="240" w:lineRule="auto" w:before="32"/>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71"/>
      <w:bookmarkEnd w:id="47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spacing w:val="-3"/>
        </w:rPr>
        <w:t>未纳入合并财务报表范围的结构化主体的相关说明：</w:t>
      </w:r>
    </w:p>
    <w:p>
      <w:pPr>
        <w:spacing w:line="240" w:lineRule="auto" w:before="10"/>
        <w:rPr>
          <w:rFonts w:ascii="宋体" w:hAnsi="宋体" w:cs="宋体" w:eastAsia="宋体" w:hint="default"/>
          <w:sz w:val="12"/>
          <w:szCs w:val="12"/>
        </w:rPr>
      </w:pPr>
    </w:p>
    <w:p>
      <w:pPr>
        <w:pStyle w:val="Heading3"/>
        <w:spacing w:line="240" w:lineRule="auto"/>
        <w:ind w:right="0"/>
        <w:jc w:val="left"/>
        <w:rPr>
          <w:b w:val="0"/>
          <w:bCs w:val="0"/>
        </w:rPr>
      </w:pPr>
      <w:bookmarkStart w:name="6、其他" w:id="472"/>
      <w:bookmarkEnd w:id="472"/>
      <w:r>
        <w:rPr>
          <w:b w:val="0"/>
          <w:bCs w:val="0"/>
        </w:rPr>
      </w:r>
      <w:r>
        <w:rPr>
          <w:rFonts w:ascii="Times New Roman" w:hAnsi="Times New Roman" w:cs="Times New Roman" w:eastAsia="Times New Roman" w:hint="default"/>
        </w:rPr>
        <w:t>6</w:t>
      </w:r>
      <w:r>
        <w:rPr/>
        <w:t>、其他</w:t>
      </w:r>
      <w:r>
        <w:rPr>
          <w:b w:val="0"/>
          <w:bCs w:val="0"/>
        </w:rPr>
      </w:r>
    </w:p>
    <w:p>
      <w:pPr>
        <w:spacing w:line="240" w:lineRule="auto" w:before="6"/>
        <w:rPr>
          <w:rFonts w:ascii="宋体" w:hAnsi="宋体" w:cs="宋体" w:eastAsia="宋体" w:hint="default"/>
          <w:b/>
          <w:bCs/>
          <w:sz w:val="22"/>
          <w:szCs w:val="22"/>
        </w:rPr>
      </w:pPr>
    </w:p>
    <w:p>
      <w:pPr>
        <w:pStyle w:val="Heading2"/>
        <w:spacing w:line="240" w:lineRule="auto"/>
        <w:ind w:right="0"/>
        <w:jc w:val="left"/>
        <w:rPr>
          <w:b w:val="0"/>
          <w:bCs w:val="0"/>
        </w:rPr>
      </w:pPr>
      <w:bookmarkStart w:name="十、 与金融工具相关的风险" w:id="473"/>
      <w:bookmarkEnd w:id="473"/>
      <w:r>
        <w:rPr>
          <w:b w:val="0"/>
          <w:bCs w:val="0"/>
        </w:rPr>
      </w:r>
      <w:r>
        <w:rPr/>
        <w:t>十、</w:t>
      </w:r>
      <w:r>
        <w:rPr>
          <w:spacing w:val="-97"/>
        </w:rPr>
        <w:t> </w:t>
      </w:r>
      <w:r>
        <w:rPr/>
        <w:t>与金融工具相关的风险</w:t>
      </w:r>
      <w:r>
        <w:rPr>
          <w:b w:val="0"/>
          <w:bCs w:val="0"/>
        </w:rPr>
      </w:r>
    </w:p>
    <w:p>
      <w:pPr>
        <w:spacing w:line="240" w:lineRule="auto" w:before="11"/>
        <w:rPr>
          <w:rFonts w:ascii="宋体" w:hAnsi="宋体" w:cs="宋体" w:eastAsia="宋体" w:hint="default"/>
          <w:b/>
          <w:bCs/>
          <w:sz w:val="26"/>
          <w:szCs w:val="26"/>
        </w:rPr>
      </w:pPr>
    </w:p>
    <w:p>
      <w:pPr>
        <w:pStyle w:val="BodyText"/>
        <w:spacing w:line="324" w:lineRule="auto" w:before="0"/>
        <w:ind w:right="0" w:firstLine="360"/>
        <w:jc w:val="left"/>
      </w:pPr>
      <w:r>
        <w:rPr>
          <w:spacing w:val="-5"/>
        </w:rPr>
        <w:t>本公司的经营活动会面临各种金融风险：市场风险、信用风险和流动性风险。本公司已制定风险管理政策，力求减少各</w:t>
      </w:r>
      <w:r>
        <w:rPr>
          <w:w w:val="101"/>
        </w:rPr>
        <w:t> </w:t>
      </w:r>
      <w:r>
        <w:rPr>
          <w:spacing w:val="-3"/>
        </w:rPr>
        <w:t>种风险对财务业绩的潜在不利影响。</w:t>
      </w:r>
    </w:p>
    <w:p>
      <w:pPr>
        <w:pStyle w:val="BodyText"/>
        <w:spacing w:line="240" w:lineRule="auto" w:before="56"/>
        <w:ind w:left="513" w:right="0"/>
        <w:jc w:val="left"/>
      </w:pPr>
      <w:r>
        <w:rPr>
          <w:rFonts w:ascii="Times New Roman" w:hAnsi="Times New Roman" w:cs="Times New Roman" w:eastAsia="Times New Roman" w:hint="default"/>
        </w:rPr>
        <w:t>1.</w:t>
      </w:r>
      <w:r>
        <w:rPr/>
        <w:t>市场风险</w:t>
      </w:r>
    </w:p>
    <w:p>
      <w:pPr>
        <w:pStyle w:val="BodyText"/>
        <w:spacing w:line="350" w:lineRule="auto" w:before="101"/>
        <w:ind w:left="513" w:right="2115"/>
        <w:jc w:val="left"/>
      </w:pPr>
      <w:r>
        <w:rPr/>
        <w:t>（</w:t>
      </w:r>
      <w:r>
        <w:rPr>
          <w:rFonts w:ascii="Times New Roman" w:hAnsi="Times New Roman" w:cs="Times New Roman" w:eastAsia="Times New Roman" w:hint="default"/>
        </w:rPr>
        <w:t>1</w:t>
      </w:r>
      <w:r>
        <w:rPr/>
        <w:t>）利率风险</w:t>
      </w:r>
      <w:r>
        <w:rPr>
          <w:spacing w:val="-85"/>
        </w:rPr>
        <w:t> </w:t>
      </w:r>
      <w:r>
        <w:rPr>
          <w:spacing w:val="-85"/>
        </w:rPr>
      </w:r>
      <w:r>
        <w:rPr>
          <w:spacing w:val="-3"/>
        </w:rPr>
        <w:t>本公司的利率风险主要产生于银行借款，固定利率的金融负债使本公司面临公允价值利率风险。</w:t>
      </w:r>
      <w:r>
        <w:rPr>
          <w:spacing w:val="31"/>
        </w:rPr>
        <w:t> </w:t>
      </w:r>
      <w:r>
        <w:rPr>
          <w:spacing w:val="31"/>
        </w:rPr>
      </w:r>
      <w:r>
        <w:rPr>
          <w:spacing w:val="-3"/>
        </w:rPr>
        <w:t>管理层会依据最新市场状况及时作出调整，未来利率变化不会对本公司的经营业绩造成重大不利影响。</w:t>
      </w:r>
    </w:p>
    <w:p>
      <w:pPr>
        <w:pStyle w:val="BodyText"/>
        <w:spacing w:line="338" w:lineRule="auto" w:before="32"/>
        <w:ind w:left="695" w:right="8854" w:hanging="183"/>
        <w:jc w:val="left"/>
      </w:pPr>
      <w:r>
        <w:rPr>
          <w:spacing w:val="-2"/>
        </w:rPr>
        <w:t>（</w:t>
      </w:r>
      <w:r>
        <w:rPr>
          <w:rFonts w:ascii="Times New Roman" w:hAnsi="Times New Roman" w:cs="Times New Roman" w:eastAsia="Times New Roman" w:hint="default"/>
          <w:spacing w:val="-2"/>
        </w:rPr>
        <w:t>2</w:t>
      </w:r>
      <w:r>
        <w:rPr>
          <w:spacing w:val="-2"/>
        </w:rPr>
        <w:t>）其他价格风险</w:t>
      </w:r>
      <w:r>
        <w:rPr>
          <w:spacing w:val="-67"/>
        </w:rPr>
        <w:t> </w:t>
      </w:r>
      <w:r>
        <w:rPr>
          <w:spacing w:val="-67"/>
        </w:rPr>
      </w:r>
      <w:r>
        <w:rPr/>
        <w:t>无</w:t>
      </w:r>
    </w:p>
    <w:p>
      <w:pPr>
        <w:pStyle w:val="BodyText"/>
        <w:spacing w:line="333" w:lineRule="auto"/>
        <w:ind w:left="513" w:right="1051"/>
        <w:jc w:val="left"/>
      </w:pPr>
      <w:r>
        <w:rPr>
          <w:rFonts w:ascii="Times New Roman" w:hAnsi="Times New Roman" w:cs="Times New Roman" w:eastAsia="Times New Roman" w:hint="default"/>
        </w:rPr>
        <w:t>2.</w:t>
      </w:r>
      <w:r>
        <w:rPr/>
        <w:t>信用风险</w:t>
      </w:r>
      <w:r>
        <w:rPr>
          <w:spacing w:val="-87"/>
        </w:rPr>
        <w:t> </w:t>
      </w:r>
      <w:r>
        <w:rPr>
          <w:spacing w:val="-87"/>
        </w:rPr>
      </w:r>
      <w:r>
        <w:rPr>
          <w:spacing w:val="-5"/>
        </w:rPr>
        <w:t>本公司对信用风险按组合分类进行管理。信用风险主要产生于银行存款、应收账款、其他应收款、应收票据、应收融资</w:t>
      </w:r>
    </w:p>
    <w:p>
      <w:pPr>
        <w:pStyle w:val="BodyText"/>
        <w:spacing w:line="352" w:lineRule="auto" w:before="11"/>
        <w:ind w:left="513" w:right="0" w:hanging="360"/>
        <w:jc w:val="left"/>
      </w:pPr>
      <w:r>
        <w:rPr>
          <w:spacing w:val="-3"/>
        </w:rPr>
        <w:t>租赁款、贷款、以及债券、基金、理财产品等其他金融资产。</w:t>
      </w:r>
      <w:r>
        <w:rPr>
          <w:spacing w:val="-10"/>
        </w:rPr>
        <w:t> </w:t>
      </w:r>
      <w:r>
        <w:rPr>
          <w:spacing w:val="-10"/>
        </w:rPr>
      </w:r>
      <w:r>
        <w:rPr>
          <w:spacing w:val="-4"/>
        </w:rPr>
        <w:t>本公司银行存款主要存放于国有银行和其它大中型上市银行，本公司认为其不存在重大的信用风险，不会产生因对方单</w:t>
      </w:r>
    </w:p>
    <w:p>
      <w:pPr>
        <w:pStyle w:val="BodyText"/>
        <w:spacing w:line="357" w:lineRule="auto" w:before="0"/>
        <w:ind w:left="513" w:right="0" w:hanging="360"/>
        <w:jc w:val="left"/>
      </w:pPr>
      <w:r>
        <w:rPr>
          <w:spacing w:val="-3"/>
        </w:rPr>
        <w:t>位违约而导致的任何重大损失。</w:t>
      </w:r>
      <w:r>
        <w:rPr>
          <w:spacing w:val="-45"/>
        </w:rPr>
        <w:t> </w:t>
      </w:r>
      <w:r>
        <w:rPr>
          <w:spacing w:val="-45"/>
        </w:rPr>
      </w:r>
      <w:r>
        <w:rPr>
          <w:spacing w:val="-5"/>
        </w:rPr>
        <w:t>对于应收账款、其他应收款和应收票据，本公司设定相关政策以控制信用风险敞口。本公司基于对客户的财务状况、从</w:t>
      </w:r>
    </w:p>
    <w:p>
      <w:pPr>
        <w:pStyle w:val="BodyText"/>
        <w:spacing w:line="352" w:lineRule="auto" w:before="0"/>
        <w:ind w:left="513" w:right="0" w:hanging="360"/>
        <w:jc w:val="left"/>
      </w:pPr>
      <w:r>
        <w:rPr>
          <w:spacing w:val="-3"/>
        </w:rPr>
        <w:t>第三方获取担保的可能性、信用记录及目前市场状况等其它因素评估客户的信用资质并设置相应信用期。</w:t>
      </w:r>
      <w:r>
        <w:rPr>
          <w:spacing w:val="43"/>
        </w:rPr>
        <w:t> </w:t>
      </w:r>
      <w:r>
        <w:rPr>
          <w:spacing w:val="43"/>
        </w:rPr>
      </w:r>
      <w:r>
        <w:rPr>
          <w:spacing w:val="-5"/>
        </w:rPr>
        <w:t>对于租赁公司提供的租赁业务，本公司仅与经认可的、信誉良好的第三方进行交易。按照本公司的政策，对所有采用信</w:t>
      </w:r>
    </w:p>
    <w:p>
      <w:pPr>
        <w:pStyle w:val="BodyText"/>
        <w:spacing w:line="321" w:lineRule="auto" w:before="0"/>
        <w:ind w:right="1051"/>
        <w:jc w:val="left"/>
      </w:pPr>
      <w:r>
        <w:rPr>
          <w:spacing w:val="-4"/>
        </w:rPr>
        <w:t>用方式进行交易的客户均需进行信用审核。本公司对于长期应收租赁款余额进行持续监控，以确保不导致本公司面临重大坏</w:t>
      </w:r>
      <w:r>
        <w:rPr>
          <w:spacing w:val="44"/>
        </w:rPr>
        <w:t> </w:t>
      </w:r>
      <w:r>
        <w:rPr>
          <w:spacing w:val="44"/>
        </w:rPr>
      </w:r>
      <w:r>
        <w:rPr/>
        <w:t>账风险。</w:t>
      </w:r>
    </w:p>
    <w:p>
      <w:pPr>
        <w:pStyle w:val="BodyText"/>
        <w:spacing w:line="319" w:lineRule="auto" w:before="49"/>
        <w:ind w:right="0" w:firstLine="360"/>
        <w:jc w:val="left"/>
      </w:pPr>
      <w:r>
        <w:rPr>
          <w:spacing w:val="-4"/>
        </w:rPr>
        <w:t>本公司其他金融资产包括理财产品等金融工具。本公司对合作的银行、信托公司、证券公司和基金公司实行评级准入制</w:t>
      </w:r>
      <w:r>
        <w:rPr>
          <w:w w:val="101"/>
        </w:rPr>
        <w:t> </w:t>
      </w:r>
      <w:r>
        <w:rPr>
          <w:spacing w:val="-3"/>
        </w:rPr>
        <w:t>度，对信托收益权回购方、同业理财产品发行方、定向资产管理计划最终融资方设定授信额度，并定期进行后续风险管理；</w:t>
      </w:r>
      <w:r>
        <w:rPr>
          <w:spacing w:val="66"/>
        </w:rPr>
        <w:t> </w:t>
      </w:r>
      <w:r>
        <w:rPr>
          <w:spacing w:val="66"/>
        </w:rPr>
      </w:r>
      <w:r>
        <w:rPr>
          <w:spacing w:val="-4"/>
          <w:w w:val="101"/>
        </w:rPr>
        <w:t>对单个金融机构的信用风险进行定期的审阅和管理；对于与本公司有资金往来的单个银行或非银行金融机构均设定有信用额</w:t>
      </w:r>
      <w:r>
        <w:rPr>
          <w:w w:val="101"/>
        </w:rPr>
        <w:t> </w:t>
      </w:r>
      <w:r>
        <w:rPr>
          <w:spacing w:val="-3"/>
        </w:rPr>
        <w:t>度。本公司通过控制投资规模、设定发行主体准入名单、评级准入、投后管理等机制管理上述金融资产的信用风险敞口。</w:t>
      </w:r>
    </w:p>
    <w:p>
      <w:pPr>
        <w:pStyle w:val="BodyText"/>
        <w:spacing w:line="321" w:lineRule="auto" w:before="55"/>
        <w:ind w:right="0" w:firstLine="360"/>
        <w:jc w:val="left"/>
      </w:pPr>
      <w:r>
        <w:rPr>
          <w:spacing w:val="-4"/>
        </w:rPr>
        <w:t>本公司定期对客户信用记录进行监控，对于信用记录不良的客户，本公司采用书面催款、缩短信用期或取消信用期等方</w:t>
      </w:r>
      <w:r>
        <w:rPr>
          <w:w w:val="101"/>
        </w:rPr>
        <w:t> </w:t>
      </w:r>
      <w:r>
        <w:rPr>
          <w:spacing w:val="-3"/>
        </w:rPr>
        <w:t>式，以确保本公司整体信用风险可控。</w:t>
      </w:r>
    </w:p>
    <w:p>
      <w:pPr>
        <w:pStyle w:val="BodyText"/>
        <w:spacing w:line="338" w:lineRule="auto" w:before="53"/>
        <w:ind w:left="513" w:right="2115"/>
        <w:jc w:val="left"/>
      </w:pPr>
      <w:r>
        <w:rPr>
          <w:rFonts w:ascii="Times New Roman" w:hAnsi="Times New Roman" w:cs="Times New Roman" w:eastAsia="Times New Roman" w:hint="default"/>
        </w:rPr>
        <w:t>3.</w:t>
      </w:r>
      <w:r>
        <w:rPr/>
        <w:t>流动性风险</w:t>
      </w:r>
      <w:r>
        <w:rPr>
          <w:spacing w:val="-85"/>
        </w:rPr>
        <w:t> </w:t>
      </w:r>
      <w:r>
        <w:rPr>
          <w:spacing w:val="-85"/>
        </w:rPr>
      </w:r>
      <w:r>
        <w:rPr>
          <w:spacing w:val="-3"/>
        </w:rPr>
        <w:t>流动性风险，是指本公司在履行以交付现金或其他金融资产的方式结算的义务时发生资金短缺的风险。</w:t>
      </w:r>
    </w:p>
    <w:p>
      <w:pPr>
        <w:pStyle w:val="BodyText"/>
        <w:spacing w:line="319" w:lineRule="auto" w:before="41"/>
        <w:ind w:right="1124" w:firstLine="360"/>
        <w:jc w:val="both"/>
      </w:pPr>
      <w:r>
        <w:rPr>
          <w:spacing w:val="-4"/>
        </w:rPr>
        <w:t>管理流动风险时，本公司保持管理层认为充分的现金及现金等价物并对其进行监控，以满足本公司的经营需要，并降低</w:t>
      </w:r>
      <w:r>
        <w:rPr>
          <w:w w:val="101"/>
        </w:rPr>
        <w:t> </w:t>
      </w:r>
      <w:r>
        <w:rPr>
          <w:spacing w:val="-4"/>
        </w:rPr>
        <w:t>现金流量波动的影响。本公司管理层对银行借款的使用情况进行监控并确保遵守借款协议。同时从主要金融机构获得提供足</w:t>
      </w:r>
      <w:r>
        <w:rPr>
          <w:spacing w:val="43"/>
        </w:rPr>
        <w:t> </w:t>
      </w:r>
      <w:r>
        <w:rPr>
          <w:spacing w:val="43"/>
        </w:rPr>
      </w:r>
      <w:r>
        <w:rPr>
          <w:spacing w:val="-3"/>
        </w:rPr>
        <w:t>够备用资金的承诺，以满足短期和长期的资金需求。</w:t>
      </w:r>
    </w:p>
    <w:p>
      <w:pPr>
        <w:spacing w:after="0" w:line="31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ind w:left="593"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2019</w:t>
      </w:r>
      <w:r>
        <w:rPr>
          <w:rFonts w:ascii="Times New Roman" w:hAnsi="Times New Roman" w:cs="Times New Roman" w:eastAsia="Times New Roman" w:hint="default"/>
          <w:spacing w:val="-11"/>
        </w:rPr>
        <w:t> </w:t>
      </w:r>
      <w:r>
        <w:rPr>
          <w:w w:val="101"/>
        </w:rPr>
        <w:t>年</w:t>
      </w:r>
      <w:r>
        <w:rPr>
          <w:spacing w:val="-52"/>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12"/>
        </w:rPr>
        <w:t> </w:t>
      </w:r>
      <w:r>
        <w:rPr>
          <w:w w:val="101"/>
        </w:rPr>
        <w:t>月</w:t>
      </w:r>
      <w:r>
        <w:rPr>
          <w:spacing w:val="-52"/>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12"/>
        </w:rPr>
        <w:t> </w:t>
      </w:r>
      <w:r>
        <w:rPr>
          <w:w w:val="101"/>
        </w:rPr>
        <w:t>日</w:t>
      </w:r>
      <w:r>
        <w:rPr>
          <w:spacing w:val="-96"/>
          <w:w w:val="101"/>
        </w:rPr>
        <w:t>，</w:t>
      </w:r>
      <w:r>
        <w:rPr>
          <w:w w:val="101"/>
        </w:rPr>
        <w:t>本</w:t>
      </w:r>
      <w:r>
        <w:rPr>
          <w:spacing w:val="-5"/>
          <w:w w:val="101"/>
        </w:rPr>
        <w:t>公</w:t>
      </w:r>
      <w:r>
        <w:rPr>
          <w:w w:val="101"/>
        </w:rPr>
        <w:t>司</w:t>
      </w:r>
      <w:r>
        <w:rPr>
          <w:spacing w:val="-5"/>
          <w:w w:val="101"/>
        </w:rPr>
        <w:t>的</w:t>
      </w:r>
      <w:r>
        <w:rPr>
          <w:w w:val="101"/>
        </w:rPr>
        <w:t>流</w:t>
      </w:r>
      <w:r>
        <w:rPr>
          <w:spacing w:val="-5"/>
          <w:w w:val="101"/>
        </w:rPr>
        <w:t>动</w:t>
      </w:r>
      <w:r>
        <w:rPr>
          <w:w w:val="101"/>
        </w:rPr>
        <w:t>负</w:t>
      </w:r>
      <w:r>
        <w:rPr>
          <w:spacing w:val="-5"/>
          <w:w w:val="101"/>
        </w:rPr>
        <w:t>债</w:t>
      </w:r>
      <w:r>
        <w:rPr>
          <w:w w:val="101"/>
        </w:rPr>
        <w:t>净</w:t>
      </w:r>
      <w:r>
        <w:rPr>
          <w:spacing w:val="-5"/>
          <w:w w:val="101"/>
        </w:rPr>
        <w:t>额</w:t>
      </w:r>
      <w:r>
        <w:rPr>
          <w:w w:val="101"/>
        </w:rPr>
        <w:t>为</w:t>
      </w:r>
      <w:r>
        <w:rPr>
          <w:spacing w:val="-5"/>
          <w:w w:val="101"/>
        </w:rPr>
        <w:t>人</w:t>
      </w:r>
      <w:r>
        <w:rPr>
          <w:w w:val="101"/>
        </w:rPr>
        <w:t>民币</w:t>
      </w:r>
      <w:r>
        <w:rPr>
          <w:spacing w:val="-56"/>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3</w:t>
      </w:r>
      <w:r>
        <w:rPr>
          <w:rFonts w:ascii="Times New Roman" w:hAnsi="Times New Roman" w:cs="Times New Roman" w:eastAsia="Times New Roman" w:hint="default"/>
          <w:spacing w:val="-5"/>
          <w:w w:val="101"/>
        </w:rPr>
        <w:t>4</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24</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693</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36</w:t>
      </w:r>
      <w:r>
        <w:rPr>
          <w:rFonts w:ascii="Times New Roman" w:hAnsi="Times New Roman" w:cs="Times New Roman" w:eastAsia="Times New Roman" w:hint="default"/>
          <w:spacing w:val="-6"/>
        </w:rPr>
        <w:t> </w:t>
      </w:r>
      <w:r>
        <w:rPr>
          <w:w w:val="101"/>
        </w:rPr>
        <w:t>元</w:t>
      </w:r>
      <w:r>
        <w:rPr/>
        <w:t> </w:t>
      </w:r>
      <w:r>
        <w:rPr>
          <w:spacing w:val="-2"/>
        </w:rPr>
        <w:t> </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8</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2</w:t>
      </w:r>
      <w:r>
        <w:rPr>
          <w:rFonts w:ascii="Times New Roman" w:hAnsi="Times New Roman" w:cs="Times New Roman" w:eastAsia="Times New Roman" w:hint="default"/>
          <w:spacing w:val="-7"/>
        </w:rPr>
        <w:t> </w:t>
      </w:r>
      <w:r>
        <w:rPr>
          <w:w w:val="101"/>
        </w:rPr>
        <w:t>月</w:t>
      </w:r>
      <w:r>
        <w:rPr>
          <w:spacing w:val="-56"/>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7"/>
        </w:rPr>
        <w:t> </w:t>
      </w:r>
      <w:r>
        <w:rPr>
          <w:spacing w:val="-5"/>
          <w:w w:val="101"/>
        </w:rPr>
        <w:t>日</w:t>
      </w:r>
      <w:r>
        <w:rPr>
          <w:w w:val="101"/>
        </w:rPr>
        <w:t>为</w:t>
      </w:r>
      <w:r>
        <w:rPr>
          <w:spacing w:val="-5"/>
          <w:w w:val="101"/>
        </w:rPr>
        <w:t>人</w:t>
      </w:r>
      <w:r>
        <w:rPr>
          <w:w w:val="101"/>
        </w:rPr>
        <w:t>民币</w:t>
      </w:r>
      <w:r>
        <w:rPr>
          <w:spacing w:val="-5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58</w:t>
      </w:r>
      <w:r>
        <w:rPr>
          <w:rFonts w:ascii="Times New Roman" w:hAnsi="Times New Roman" w:cs="Times New Roman" w:eastAsia="Times New Roman" w:hint="default"/>
          <w:spacing w:val="-5"/>
          <w:w w:val="101"/>
        </w:rPr>
        <w:t>7</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511</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08</w:t>
      </w:r>
      <w:r>
        <w:rPr>
          <w:rFonts w:ascii="Times New Roman" w:hAnsi="Times New Roman" w:cs="Times New Roman" w:eastAsia="Times New Roman" w:hint="default"/>
          <w:spacing w:val="-5"/>
          <w:w w:val="101"/>
        </w:rPr>
        <w:t>4</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29</w:t>
      </w:r>
      <w:r>
        <w:rPr>
          <w:rFonts w:ascii="Times New Roman" w:hAnsi="Times New Roman" w:cs="Times New Roman" w:eastAsia="Times New Roman" w:hint="default"/>
        </w:rPr>
      </w:r>
    </w:p>
    <w:p>
      <w:pPr>
        <w:pStyle w:val="BodyText"/>
        <w:spacing w:line="240" w:lineRule="auto" w:before="67"/>
        <w:ind w:left="233" w:right="1145"/>
        <w:jc w:val="left"/>
      </w:pPr>
      <w:r>
        <w:rPr>
          <w:spacing w:val="-3"/>
        </w:rPr>
        <w:t>元</w:t>
      </w:r>
      <w:r>
        <w:rPr>
          <w:rFonts w:ascii="Times New Roman" w:hAnsi="Times New Roman" w:cs="Times New Roman" w:eastAsia="Times New Roman" w:hint="default"/>
          <w:spacing w:val="-3"/>
        </w:rPr>
        <w:t>)</w:t>
      </w:r>
      <w:r>
        <w:rPr>
          <w:spacing w:val="-3"/>
        </w:rPr>
        <w:t>，各项金融负债以未折现的合同现金流量按到期日列示如下：</w:t>
      </w:r>
    </w:p>
    <w:p>
      <w:pPr>
        <w:spacing w:line="240" w:lineRule="auto" w:before="7"/>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098"/>
        <w:gridCol w:w="1700"/>
        <w:gridCol w:w="1416"/>
        <w:gridCol w:w="1421"/>
        <w:gridCol w:w="1417"/>
        <w:gridCol w:w="1806"/>
      </w:tblGrid>
      <w:tr>
        <w:trPr>
          <w:trHeight w:val="341" w:hRule="exact"/>
        </w:trPr>
        <w:tc>
          <w:tcPr>
            <w:tcW w:w="209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6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1" w:hRule="exact"/>
        </w:trPr>
        <w:tc>
          <w:tcPr>
            <w:tcW w:w="2098" w:type="dxa"/>
            <w:vMerge/>
            <w:tcBorders>
              <w:left w:val="single" w:sz="4" w:space="0" w:color="000000"/>
              <w:bottom w:val="single" w:sz="4" w:space="0" w:color="000000"/>
              <w:right w:val="single" w:sz="4" w:space="0" w:color="000000"/>
            </w:tcBorders>
            <w:shd w:val="clear" w:color="auto" w:fill="D9D9D9"/>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二到五年</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40"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2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440,765,723.60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440,765,723.60</w:t>
            </w:r>
          </w:p>
        </w:tc>
      </w:tr>
      <w:tr>
        <w:trPr>
          <w:trHeight w:val="341" w:hRule="exact"/>
        </w:trPr>
        <w:tc>
          <w:tcPr>
            <w:tcW w:w="2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76,389,232.71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76,389,232.71</w:t>
            </w:r>
          </w:p>
        </w:tc>
      </w:tr>
      <w:tr>
        <w:trPr>
          <w:trHeight w:val="341" w:hRule="exact"/>
        </w:trPr>
        <w:tc>
          <w:tcPr>
            <w:tcW w:w="2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180,397,719.29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180,397,719.29</w:t>
            </w:r>
          </w:p>
        </w:tc>
      </w:tr>
      <w:tr>
        <w:trPr>
          <w:trHeight w:val="341" w:hRule="exact"/>
        </w:trPr>
        <w:tc>
          <w:tcPr>
            <w:tcW w:w="2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887,638.89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415,000,000.00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415,887,638.89</w:t>
            </w:r>
          </w:p>
        </w:tc>
      </w:tr>
      <w:tr>
        <w:trPr>
          <w:trHeight w:val="341" w:hRule="exact"/>
        </w:trPr>
        <w:tc>
          <w:tcPr>
            <w:tcW w:w="2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698,440,314.49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415,000,000.00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1,113,440,314.49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before="26"/>
        <w:ind w:left="233" w:right="1145"/>
        <w:jc w:val="left"/>
        <w:rPr>
          <w:b w:val="0"/>
          <w:bCs w:val="0"/>
        </w:rPr>
      </w:pPr>
      <w:bookmarkStart w:name="十一、公允价值的披露" w:id="474"/>
      <w:bookmarkEnd w:id="474"/>
      <w:r>
        <w:rPr>
          <w:b w:val="0"/>
          <w:bCs w:val="0"/>
        </w:rPr>
      </w:r>
      <w:r>
        <w:rPr/>
        <w:t>十一、公允价值的披露</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left="233" w:right="1145"/>
        <w:jc w:val="left"/>
        <w:rPr>
          <w:b w:val="0"/>
          <w:bCs w:val="0"/>
        </w:rPr>
      </w:pPr>
      <w:bookmarkStart w:name="1、以公允价值计量的资产和负债的期末公允价值" w:id="475"/>
      <w:bookmarkEnd w:id="47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1983"/>
        <w:gridCol w:w="1837"/>
        <w:gridCol w:w="1916"/>
        <w:gridCol w:w="1911"/>
        <w:gridCol w:w="1916"/>
      </w:tblGrid>
      <w:tr>
        <w:trPr>
          <w:trHeight w:val="398"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3"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823"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1"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
              <w:jc w:val="righ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5"/>
              <w:jc w:val="right"/>
              <w:rPr>
                <w:rFonts w:ascii="宋体" w:hAnsi="宋体" w:cs="宋体" w:eastAsia="宋体" w:hint="default"/>
                <w:sz w:val="18"/>
                <w:szCs w:val="18"/>
              </w:rPr>
            </w:pPr>
            <w:r>
              <w:rPr>
                <w:rFonts w:ascii="宋体" w:hAnsi="宋体" w:cs="宋体" w:eastAsia="宋体" w:hint="default"/>
                <w:spacing w:val="-6"/>
                <w:sz w:val="18"/>
                <w:szCs w:val="18"/>
              </w:rPr>
              <w:t>（三）其他权益工具投资</w:t>
            </w:r>
          </w:p>
        </w:tc>
        <w:tc>
          <w:tcPr>
            <w:tcW w:w="1837"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462,085,000.00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462,085,000.00</w:t>
            </w:r>
          </w:p>
        </w:tc>
      </w:tr>
      <w:tr>
        <w:trPr>
          <w:trHeight w:val="163" w:hRule="exact"/>
        </w:trPr>
        <w:tc>
          <w:tcPr>
            <w:tcW w:w="1983"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1" w:right="15"/>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983" w:type="dxa"/>
            <w:vMerge/>
            <w:tcBorders>
              <w:left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0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持续和非持续第一层次公允价值计量项目市价的确定依据" w:id="476"/>
      <w:bookmarkEnd w:id="47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77"/>
      <w:bookmarkEnd w:id="47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78"/>
      <w:bookmarkEnd w:id="47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79"/>
      <w:bookmarkEnd w:id="47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80"/>
      <w:bookmarkEnd w:id="48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81"/>
      <w:bookmarkEnd w:id="48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82"/>
      <w:bookmarkEnd w:id="48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9、其他" w:id="483"/>
      <w:bookmarkEnd w:id="483"/>
      <w:r>
        <w:rPr>
          <w:b w:val="0"/>
          <w:bCs w:val="0"/>
        </w:rPr>
      </w:r>
      <w:r>
        <w:rPr>
          <w:rFonts w:ascii="Times New Roman" w:hAnsi="Times New Roman" w:cs="Times New Roman" w:eastAsia="Times New Roman" w:hint="default"/>
        </w:rPr>
        <w:t>9</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right="0" w:firstLine="360"/>
        <w:jc w:val="left"/>
      </w:pPr>
      <w:r>
        <w:rPr>
          <w:spacing w:val="-4"/>
        </w:rPr>
        <w:t>北京海淀科技金融资本控股集团股份有限公司、长治银行股份有限公司、上海蔚洁信息科技服务有限公司公允价格均为</w:t>
      </w:r>
      <w:r>
        <w:rPr>
          <w:w w:val="101"/>
        </w:rPr>
        <w:t> </w:t>
      </w:r>
      <w:r>
        <w:rPr>
          <w:spacing w:val="-3"/>
        </w:rPr>
        <w:t>投资该公司初始投资成本。</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二、关联方及关联交易" w:id="484"/>
      <w:bookmarkEnd w:id="484"/>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485"/>
      <w:bookmarkEnd w:id="48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3"/>
              <w:jc w:val="both"/>
              <w:rPr>
                <w:rFonts w:ascii="宋体" w:hAnsi="宋体" w:cs="宋体" w:eastAsia="宋体" w:hint="default"/>
                <w:sz w:val="18"/>
                <w:szCs w:val="18"/>
              </w:rPr>
            </w:pPr>
            <w:r>
              <w:rPr>
                <w:rFonts w:ascii="宋体" w:hAnsi="宋体" w:cs="宋体" w:eastAsia="宋体" w:hint="default"/>
                <w:spacing w:val="-2"/>
                <w:sz w:val="18"/>
                <w:szCs w:val="18"/>
              </w:rPr>
              <w:t>北京海淀科技金融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资本控股集团股份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8"/>
              <w:jc w:val="both"/>
              <w:rPr>
                <w:rFonts w:ascii="宋体" w:hAnsi="宋体" w:cs="宋体" w:eastAsia="宋体" w:hint="default"/>
                <w:sz w:val="18"/>
                <w:szCs w:val="18"/>
              </w:rPr>
            </w:pPr>
            <w:r>
              <w:rPr>
                <w:rFonts w:ascii="宋体" w:hAnsi="宋体" w:cs="宋体" w:eastAsia="宋体" w:hint="default"/>
                <w:spacing w:val="-12"/>
                <w:w w:val="101"/>
                <w:sz w:val="18"/>
                <w:szCs w:val="18"/>
              </w:rPr>
              <w:t>投资与资产管理、企</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12"/>
                <w:w w:val="101"/>
                <w:sz w:val="18"/>
                <w:szCs w:val="18"/>
              </w:rPr>
              <w:t>业管理、经济信息咨</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询</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273,330.49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21.27%</w:t>
            </w:r>
          </w:p>
        </w:tc>
      </w:tr>
    </w:tbl>
    <w:p>
      <w:pPr>
        <w:pStyle w:val="BodyText"/>
        <w:spacing w:line="360" w:lineRule="auto" w:before="53"/>
        <w:ind w:right="4465"/>
        <w:jc w:val="left"/>
      </w:pPr>
      <w:r>
        <w:rPr>
          <w:spacing w:val="-3"/>
        </w:rPr>
        <w:t>本企业的母公司情况的说明</w:t>
      </w:r>
      <w:r>
        <w:rPr>
          <w:spacing w:val="-51"/>
        </w:rPr>
        <w:t> </w:t>
      </w:r>
      <w:r>
        <w:rPr>
          <w:spacing w:val="-51"/>
        </w:rPr>
      </w:r>
      <w:r>
        <w:rPr>
          <w:spacing w:val="-3"/>
        </w:rPr>
        <w:t>本企业最终控制方是北京市海淀区人民政府国有资产监督管理委员会。</w:t>
      </w:r>
      <w:r>
        <w:rPr>
          <w:spacing w:val="2"/>
        </w:rPr>
        <w:t> </w:t>
      </w:r>
      <w:r>
        <w:rPr>
          <w:spacing w:val="2"/>
        </w:rPr>
      </w:r>
      <w:r>
        <w:rPr/>
        <w:t>其他说明：</w:t>
      </w:r>
    </w:p>
    <w:p>
      <w:pPr>
        <w:spacing w:line="240" w:lineRule="auto" w:before="5"/>
        <w:rPr>
          <w:rFonts w:ascii="宋体" w:hAnsi="宋体" w:cs="宋体" w:eastAsia="宋体" w:hint="default"/>
          <w:sz w:val="19"/>
          <w:szCs w:val="19"/>
        </w:rPr>
      </w:pPr>
    </w:p>
    <w:p>
      <w:pPr>
        <w:spacing w:line="544" w:lineRule="auto" w:before="0"/>
        <w:ind w:left="153" w:right="5655" w:firstLine="0"/>
        <w:jc w:val="left"/>
        <w:rPr>
          <w:rFonts w:ascii="宋体" w:hAnsi="宋体" w:cs="宋体" w:eastAsia="宋体" w:hint="default"/>
          <w:sz w:val="21"/>
          <w:szCs w:val="21"/>
        </w:rPr>
      </w:pPr>
      <w:bookmarkStart w:name="2、本企业的子公司情况" w:id="486"/>
      <w:bookmarkEnd w:id="48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2"/>
          <w:sz w:val="21"/>
          <w:szCs w:val="21"/>
        </w:rPr>
        <w:t> </w:t>
      </w:r>
      <w:r>
        <w:rPr>
          <w:rFonts w:ascii="宋体" w:hAnsi="宋体" w:cs="宋体" w:eastAsia="宋体" w:hint="default"/>
          <w:spacing w:val="-3"/>
          <w:sz w:val="18"/>
          <w:szCs w:val="18"/>
        </w:rPr>
        <w:t>本企业子公司的情况详见附注九（</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在子公司中的权益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7"/>
          <w:sz w:val="18"/>
          <w:szCs w:val="18"/>
        </w:rPr>
        <w:t> </w:t>
      </w:r>
      <w:bookmarkStart w:name="3、本企业合营和联营企业情况" w:id="487"/>
      <w:bookmarkEnd w:id="487"/>
      <w:r>
        <w:rPr>
          <w:rFonts w:ascii="宋体" w:hAnsi="宋体" w:cs="宋体" w:eastAsia="宋体" w:hint="default"/>
          <w:spacing w:val="-7"/>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62" w:lineRule="auto" w:before="58"/>
        <w:ind w:right="0"/>
        <w:jc w:val="left"/>
      </w:pPr>
      <w:r>
        <w:rPr>
          <w:spacing w:val="-3"/>
        </w:rPr>
        <w:t>本企业重要的合营或联营企业详见附注。</w:t>
      </w:r>
      <w:r>
        <w:rPr>
          <w:spacing w:val="-33"/>
        </w:rPr>
        <w:t> </w:t>
      </w:r>
      <w:r>
        <w:rPr>
          <w:spacing w:val="-33"/>
        </w:rPr>
      </w:r>
      <w:r>
        <w:rPr>
          <w:spacing w:val="-3"/>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1"/>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4、其他关联方情况" w:id="488"/>
      <w:bookmarkEnd w:id="48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北京仁东信息技术有限公司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股东实际控制人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原本公司实际控制人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田文军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原本公司实际控制人郝江波之配偶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天津和柚技术有限公司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直接或间接持有本公司</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以上股份</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张永东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直接或间接持有本公司</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以上股份</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黎碧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张永东之配偶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北京海淀科技企业融资担保有限公司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北京海金仓金融信息服务有限公司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北京海汇典当有限公司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北京海鑫资产管理有限公司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北京海科融信物流有限责任公司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北京中海创业投资有限公司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北京海金商业保理有限公司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北京科海融创咨询有限公司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北京鑫泰小额贷款股份公司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北京中关村上地生物科技发展有限公司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上海碧空龙翔投资管理有限公司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89"/>
      <w:bookmarkEnd w:id="48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90"/>
      <w:bookmarkEnd w:id="49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4"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spacing w:val="-3"/>
        </w:rPr>
        <w:t>购销商品、提供和接受劳务的关联交易说明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91"/>
      <w:bookmarkEnd w:id="49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t>本公司受托管理</w:t>
      </w:r>
      <w:r>
        <w:rPr>
          <w:rFonts w:ascii="Times New Roman" w:hAnsi="Times New Roman" w:cs="Times New Roman" w:eastAsia="Times New Roman" w:hint="default"/>
        </w:rPr>
        <w:t>/</w:t>
      </w:r>
      <w:r>
        <w:rPr/>
        <w:t>承包情况表：</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1" w:right="19" w:hanging="207"/>
              <w:jc w:val="left"/>
              <w:rPr>
                <w:rFonts w:ascii="宋体" w:hAnsi="宋体" w:cs="宋体" w:eastAsia="宋体" w:hint="default"/>
                <w:sz w:val="18"/>
                <w:szCs w:val="18"/>
              </w:rPr>
            </w:pPr>
            <w:r>
              <w:rPr>
                <w:rFonts w:ascii="宋体" w:hAnsi="宋体" w:cs="宋体" w:eastAsia="宋体" w:hint="default"/>
                <w:spacing w:val="-2"/>
                <w:sz w:val="18"/>
                <w:szCs w:val="18"/>
              </w:rPr>
              <w:t>托管收益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益定价依据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3" w:right="46" w:hanging="68"/>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21" w:lineRule="auto"/>
        <w:jc w:val="left"/>
        <w:rPr>
          <w:rFonts w:ascii="宋体" w:hAnsi="宋体" w:cs="宋体" w:eastAsia="宋体" w:hint="default"/>
          <w:sz w:val="18"/>
          <w:szCs w:val="18"/>
        </w:rPr>
        <w:sectPr>
          <w:pgSz w:w="11910" w:h="16840"/>
          <w:pgMar w:header="741" w:footer="979" w:top="1060" w:bottom="1160" w:left="980" w:right="0"/>
        </w:sectPr>
      </w:pPr>
    </w:p>
    <w:p>
      <w:pPr>
        <w:pStyle w:val="BodyText"/>
        <w:spacing w:line="343" w:lineRule="auto" w:before="54"/>
        <w:ind w:right="0"/>
        <w:jc w:val="left"/>
      </w:pPr>
      <w:r>
        <w:rPr>
          <w:spacing w:val="-3"/>
        </w:rPr>
        <w:t>关联托管</w:t>
      </w:r>
      <w:r>
        <w:rPr>
          <w:rFonts w:ascii="Times New Roman" w:hAnsi="Times New Roman" w:cs="Times New Roman" w:eastAsia="Times New Roman" w:hint="default"/>
          <w:spacing w:val="-3"/>
        </w:rPr>
        <w:t>/</w:t>
      </w:r>
      <w:r>
        <w:rPr>
          <w:spacing w:val="-3"/>
        </w:rPr>
        <w:t>承包情况说明</w:t>
      </w:r>
      <w:r>
        <w:rPr>
          <w:spacing w:val="-56"/>
        </w:rPr>
        <w:t> </w:t>
      </w:r>
      <w:r>
        <w:rPr>
          <w:spacing w:val="-56"/>
        </w:rPr>
      </w:r>
      <w:r>
        <w:rPr>
          <w:spacing w:val="-2"/>
        </w:rPr>
        <w:t>本公司委托管理</w:t>
      </w:r>
      <w:r>
        <w:rPr>
          <w:rFonts w:ascii="Times New Roman" w:hAnsi="Times New Roman" w:cs="Times New Roman" w:eastAsia="Times New Roman" w:hint="default"/>
          <w:spacing w:val="-2"/>
        </w:rPr>
        <w:t>/</w:t>
      </w:r>
      <w:r>
        <w:rPr>
          <w:spacing w:val="-2"/>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2550" w:space="6281"/>
            <w:col w:w="2099"/>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408" w:right="19" w:hanging="385"/>
              <w:jc w:val="left"/>
              <w:rPr>
                <w:rFonts w:ascii="宋体" w:hAnsi="宋体" w:cs="宋体" w:eastAsia="宋体" w:hint="default"/>
                <w:sz w:val="18"/>
                <w:szCs w:val="18"/>
              </w:rPr>
            </w:pPr>
            <w:r>
              <w:rPr>
                <w:rFonts w:ascii="宋体" w:hAnsi="宋体" w:cs="宋体" w:eastAsia="宋体" w:hint="default"/>
                <w:spacing w:val="-2"/>
                <w:sz w:val="18"/>
                <w:szCs w:val="18"/>
              </w:rPr>
              <w:t>托管费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出包费定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90" w:right="46" w:hanging="246"/>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3"/>
        <w:ind w:right="0"/>
        <w:jc w:val="left"/>
      </w:pPr>
      <w:r>
        <w:rPr>
          <w:spacing w:val="-3"/>
        </w:rPr>
        <w:t>关联管理</w:t>
      </w:r>
      <w:r>
        <w:rPr>
          <w:rFonts w:ascii="Times New Roman" w:hAnsi="Times New Roman" w:cs="Times New Roman" w:eastAsia="Times New Roman" w:hint="default"/>
          <w:spacing w:val="-3"/>
        </w:rPr>
        <w:t>/</w:t>
      </w:r>
      <w:r>
        <w:rPr>
          <w:spacing w:val="-3"/>
        </w:rPr>
        <w:t>出包情况说明</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92"/>
      <w:bookmarkEnd w:id="49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spacing w:val="-3"/>
        </w:rPr>
        <w:t>本公司作为出租方：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bl>
    <w:p>
      <w:pPr>
        <w:pStyle w:val="BodyText"/>
        <w:spacing w:line="240" w:lineRule="auto" w:before="53"/>
        <w:ind w:right="0"/>
        <w:jc w:val="left"/>
      </w:pPr>
      <w:r>
        <w:rPr>
          <w:spacing w:val="-3"/>
        </w:rPr>
        <w:t>本公司作为承租方：</w:t>
      </w:r>
    </w:p>
    <w:p>
      <w:pPr>
        <w:pStyle w:val="BodyText"/>
        <w:spacing w:line="240" w:lineRule="auto" w:before="119"/>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3"/>
        <w:ind w:right="0"/>
        <w:jc w:val="left"/>
      </w:pPr>
      <w:r>
        <w:rPr/>
        <w:t>关联租赁情况说明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93"/>
      <w:bookmarkEnd w:id="49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3"/>
        <w:ind w:right="0"/>
        <w:jc w:val="left"/>
      </w:pPr>
      <w:r>
        <w:rPr>
          <w:spacing w:val="-3"/>
        </w:rPr>
        <w:t>本公司作为被担保方</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北京仁东信息技术有限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北京仁东信息技术有限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89,900,000.00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198,656,425.00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151,343,575.00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天津和柚技术有限公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司、郝江波及配偶田文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军、张永东及其配偶黎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天津和柚技术有限公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25,050,000.00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67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75"/>
              <w:jc w:val="left"/>
              <w:rPr>
                <w:rFonts w:ascii="宋体" w:hAnsi="宋体" w:cs="宋体" w:eastAsia="宋体" w:hint="default"/>
                <w:sz w:val="18"/>
                <w:szCs w:val="18"/>
              </w:rPr>
            </w:pPr>
            <w:r>
              <w:rPr>
                <w:rFonts w:ascii="宋体" w:hAnsi="宋体" w:cs="宋体" w:eastAsia="宋体" w:hint="default"/>
                <w:spacing w:val="-2"/>
                <w:sz w:val="18"/>
                <w:szCs w:val="18"/>
              </w:rPr>
              <w:t>司、郝江波及其配偶田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文军</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257"/>
              <w:jc w:val="left"/>
              <w:rPr>
                <w:rFonts w:ascii="宋体" w:hAnsi="宋体" w:cs="宋体" w:eastAsia="宋体" w:hint="default"/>
                <w:sz w:val="18"/>
                <w:szCs w:val="18"/>
              </w:rPr>
            </w:pPr>
            <w:r>
              <w:rPr>
                <w:rFonts w:ascii="宋体" w:hAnsi="宋体" w:cs="宋体" w:eastAsia="宋体" w:hint="default"/>
                <w:spacing w:val="-3"/>
                <w:sz w:val="18"/>
                <w:szCs w:val="18"/>
              </w:rPr>
              <w:t>天津和柚技术有限公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司、郝江波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40,100,000.00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257"/>
              <w:jc w:val="left"/>
              <w:rPr>
                <w:rFonts w:ascii="宋体" w:hAnsi="宋体" w:cs="宋体" w:eastAsia="宋体" w:hint="default"/>
                <w:sz w:val="18"/>
                <w:szCs w:val="18"/>
              </w:rPr>
            </w:pPr>
            <w:r>
              <w:rPr>
                <w:rFonts w:ascii="宋体" w:hAnsi="宋体" w:cs="宋体" w:eastAsia="宋体" w:hint="default"/>
                <w:spacing w:val="-3"/>
                <w:sz w:val="18"/>
                <w:szCs w:val="18"/>
              </w:rPr>
              <w:t>天津和柚技术有限公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司、郝江波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57"/>
              <w:jc w:val="left"/>
              <w:rPr>
                <w:rFonts w:ascii="宋体" w:hAnsi="宋体" w:cs="宋体" w:eastAsia="宋体" w:hint="default"/>
                <w:sz w:val="18"/>
                <w:szCs w:val="18"/>
              </w:rPr>
            </w:pPr>
            <w:r>
              <w:rPr>
                <w:rFonts w:ascii="宋体" w:hAnsi="宋体" w:cs="宋体" w:eastAsia="宋体" w:hint="default"/>
                <w:spacing w:val="-3"/>
                <w:sz w:val="18"/>
                <w:szCs w:val="18"/>
              </w:rPr>
              <w:t>天津和柚技术有限公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司、霍东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t>关联担保情况说明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94"/>
      <w:bookmarkEnd w:id="49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left="0" w:right="1141"/>
        <w:jc w:val="right"/>
      </w:pPr>
      <w:r>
        <w:rPr/>
        <w:pict>
          <v:shape style="position:absolute;margin-left:56.424pt;margin-top:-87.792282pt;width:479.5pt;height:143.3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6"/>
                    <w:gridCol w:w="1911"/>
                    <w:gridCol w:w="1916"/>
                    <w:gridCol w:w="1916"/>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165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北京仁东信息技术有限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6" w:right="0"/>
                          <w:jc w:val="left"/>
                          <w:rPr>
                            <w:rFonts w:ascii="Times New Roman" w:hAnsi="Times New Roman" w:cs="Times New Roman" w:eastAsia="Times New Roman" w:hint="default"/>
                            <w:sz w:val="18"/>
                            <w:szCs w:val="18"/>
                          </w:rPr>
                        </w:pPr>
                        <w:r>
                          <w:rPr>
                            <w:rFonts w:ascii="Times New Roman"/>
                            <w:sz w:val="18"/>
                          </w:rPr>
                          <w:t>-400,000,000.00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本期累计向北京仁东信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息技术有限公司借款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3.45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亿，累计偿还借款</w:t>
                        </w:r>
                      </w:p>
                      <w:p>
                        <w:pPr>
                          <w:pStyle w:val="TableParagraph"/>
                          <w:spacing w:line="246"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7.45 </w:t>
                        </w:r>
                        <w:r>
                          <w:rPr>
                            <w:rFonts w:ascii="宋体" w:hAnsi="宋体" w:cs="宋体" w:eastAsia="宋体" w:hint="default"/>
                            <w:sz w:val="18"/>
                            <w:szCs w:val="18"/>
                          </w:rPr>
                          <w:t>亿，期末借款为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偿还利息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36"/>
        <w:ind w:right="0"/>
        <w:jc w:val="left"/>
        <w:rPr>
          <w:b w:val="0"/>
          <w:bCs w:val="0"/>
        </w:rPr>
      </w:pPr>
      <w:bookmarkStart w:name="（6）关联方资产转让、债务重组情况" w:id="495"/>
      <w:bookmarkEnd w:id="49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键管理人员报酬" w:id="496"/>
      <w:bookmarkEnd w:id="49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5,493,423.00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5,742,255.74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其他关联交易" w:id="497"/>
      <w:bookmarkEnd w:id="49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98"/>
      <w:bookmarkEnd w:id="49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99"/>
      <w:bookmarkEnd w:id="49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bookmarkStart w:name="（2）应付项目" w:id="500"/>
      <w:bookmarkEnd w:id="50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北京仁东信息技术有限公司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天津和柚技术有限公司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24,166.67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24,166.67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北京仁东信息技术有限公司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159,500.00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联方承诺" w:id="501"/>
      <w:bookmarkEnd w:id="50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4" w:lineRule="auto" w:before="0"/>
        <w:ind w:left="153" w:right="8748" w:firstLine="0"/>
        <w:jc w:val="left"/>
        <w:rPr>
          <w:rFonts w:ascii="宋体" w:hAnsi="宋体" w:cs="宋体" w:eastAsia="宋体" w:hint="default"/>
          <w:sz w:val="21"/>
          <w:szCs w:val="21"/>
        </w:rPr>
      </w:pPr>
      <w:bookmarkStart w:name="8、其他" w:id="502"/>
      <w:bookmarkEnd w:id="50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503"/>
      <w:bookmarkEnd w:id="503"/>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504"/>
      <w:bookmarkEnd w:id="50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7"/>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505"/>
      <w:bookmarkEnd w:id="50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506"/>
      <w:bookmarkEnd w:id="50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507"/>
      <w:bookmarkEnd w:id="507"/>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4" w:lineRule="auto" w:before="0"/>
        <w:ind w:left="153" w:right="8341" w:firstLine="0"/>
        <w:jc w:val="left"/>
        <w:rPr>
          <w:rFonts w:ascii="宋体" w:hAnsi="宋体" w:cs="宋体" w:eastAsia="宋体" w:hint="default"/>
          <w:sz w:val="21"/>
          <w:szCs w:val="21"/>
        </w:rPr>
      </w:pPr>
      <w:bookmarkStart w:name="5、其他" w:id="508"/>
      <w:bookmarkEnd w:id="50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09"/>
      <w:bookmarkEnd w:id="509"/>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10"/>
      <w:bookmarkEnd w:id="51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16"/>
        <w:ind w:right="0"/>
        <w:jc w:val="left"/>
      </w:pPr>
      <w:r>
        <w:rPr>
          <w:spacing w:val="-3"/>
        </w:rPr>
        <w:t>资产负债表日存在的重要承诺</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或有事项" w:id="511"/>
      <w:bookmarkEnd w:id="51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512"/>
      <w:bookmarkEnd w:id="51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6"/>
          <w:szCs w:val="26"/>
        </w:rPr>
      </w:pPr>
    </w:p>
    <w:p>
      <w:pPr>
        <w:pStyle w:val="BodyText"/>
        <w:spacing w:line="300" w:lineRule="auto" w:before="0"/>
        <w:ind w:right="0"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日，公司收到中国国际经济贸易仲裁委员会（</w:t>
      </w:r>
      <w:r>
        <w:rPr>
          <w:rFonts w:ascii="Times New Roman" w:hAnsi="Times New Roman" w:cs="Times New Roman" w:eastAsia="Times New Roman" w:hint="default"/>
          <w:spacing w:val="-2"/>
        </w:rPr>
        <w:t>2019</w:t>
      </w:r>
      <w:r>
        <w:rPr>
          <w:spacing w:val="-2"/>
        </w:rPr>
        <w:t>）中国贸仲京字第</w:t>
      </w:r>
      <w:r>
        <w:rPr>
          <w:rFonts w:ascii="Times New Roman" w:hAnsi="Times New Roman" w:cs="Times New Roman" w:eastAsia="Times New Roman" w:hint="default"/>
          <w:spacing w:val="-2"/>
        </w:rPr>
        <w:t>194422</w:t>
      </w:r>
      <w:r>
        <w:rPr>
          <w:spacing w:val="-2"/>
        </w:rPr>
        <w:t>号《</w:t>
      </w:r>
      <w:r>
        <w:rPr>
          <w:rFonts w:ascii="Times New Roman" w:hAnsi="Times New Roman" w:cs="Times New Roman" w:eastAsia="Times New Roman" w:hint="default"/>
          <w:spacing w:val="-2"/>
        </w:rPr>
        <w:t>DS20192342</w:t>
      </w:r>
      <w:r>
        <w:rPr>
          <w:spacing w:val="-2"/>
        </w:rPr>
        <w:t>号购买资产</w:t>
      </w:r>
      <w:r>
        <w:rPr>
          <w:w w:val="101"/>
        </w:rPr>
        <w:t> </w:t>
      </w:r>
      <w:r>
        <w:rPr>
          <w:spacing w:val="-6"/>
          <w:w w:val="101"/>
        </w:rPr>
        <w:t>协议争议案仲裁通知》，张军红就公司与其于</w:t>
      </w:r>
      <w:r>
        <w:rPr>
          <w:rFonts w:ascii="Times New Roman" w:hAnsi="Times New Roman" w:cs="Times New Roman" w:eastAsia="Times New Roman" w:hint="default"/>
          <w:spacing w:val="-6"/>
          <w:w w:val="101"/>
        </w:rPr>
        <w:t>2016</w:t>
      </w:r>
      <w:r>
        <w:rPr>
          <w:spacing w:val="-6"/>
          <w:w w:val="101"/>
        </w:rPr>
        <w:t>年</w:t>
      </w:r>
      <w:r>
        <w:rPr>
          <w:rFonts w:ascii="Times New Roman" w:hAnsi="Times New Roman" w:cs="Times New Roman" w:eastAsia="Times New Roman" w:hint="default"/>
          <w:spacing w:val="-6"/>
          <w:w w:val="101"/>
        </w:rPr>
        <w:t>5</w:t>
      </w:r>
      <w:r>
        <w:rPr>
          <w:spacing w:val="-6"/>
          <w:w w:val="101"/>
        </w:rPr>
        <w:t>月签订的《支付现金购买资产协议》所引起的争议向中国国际经济贸易</w:t>
      </w:r>
      <w:r>
        <w:rPr>
          <w:spacing w:val="-54"/>
          <w:w w:val="101"/>
        </w:rPr>
        <w:t> </w:t>
      </w:r>
      <w:r>
        <w:rPr>
          <w:spacing w:val="-54"/>
          <w:w w:val="101"/>
        </w:rPr>
      </w:r>
      <w:r>
        <w:rPr>
          <w:spacing w:val="-5"/>
        </w:rPr>
        <w:t>仲裁委员会提出仲裁申请。中国国际经济贸易仲裁委员会已受理本案，案号</w:t>
      </w:r>
      <w:r>
        <w:rPr>
          <w:rFonts w:ascii="Times New Roman" w:hAnsi="Times New Roman" w:cs="Times New Roman" w:eastAsia="Times New Roman" w:hint="default"/>
          <w:spacing w:val="-5"/>
        </w:rPr>
        <w:t>DS20192342</w:t>
      </w:r>
      <w:r>
        <w:rPr>
          <w:spacing w:val="-5"/>
        </w:rPr>
        <w:t>。案件当事人为：申请人：张军红 </w:t>
      </w:r>
      <w:r>
        <w:rPr/>
        <w:t>；</w:t>
      </w:r>
      <w:r>
        <w:rPr>
          <w:spacing w:val="-11"/>
        </w:rPr>
        <w:t> </w:t>
      </w:r>
      <w:r>
        <w:rPr>
          <w:spacing w:val="-11"/>
        </w:rPr>
      </w:r>
      <w:r>
        <w:rPr>
          <w:spacing w:val="-4"/>
        </w:rPr>
        <w:t>被申请人：仁东控股股份有限公司。</w:t>
      </w:r>
      <w:r>
        <w:rPr>
          <w:rFonts w:ascii="Times New Roman" w:hAnsi="Times New Roman" w:cs="Times New Roman" w:eastAsia="Times New Roman" w:hint="default"/>
          <w:spacing w:val="-4"/>
        </w:rPr>
        <w:t>2016</w:t>
      </w:r>
      <w:r>
        <w:rPr>
          <w:spacing w:val="-4"/>
        </w:rPr>
        <w:t>年公司在进行上市主营业务调整过程中，与张军红协商收购张军红开发和正常运营</w:t>
      </w:r>
      <w:r>
        <w:rPr>
          <w:spacing w:val="52"/>
        </w:rPr>
        <w:t> </w:t>
      </w:r>
      <w:r>
        <w:rPr>
          <w:spacing w:val="52"/>
        </w:rPr>
      </w:r>
      <w:r>
        <w:rPr>
          <w:spacing w:val="-4"/>
          <w:w w:val="101"/>
        </w:rPr>
        <w:t>的金融科技业务。双方经过协商签署了《支付现金购买资产协议》。协议约定公司以</w:t>
      </w:r>
      <w:r>
        <w:rPr>
          <w:rFonts w:ascii="Times New Roman" w:hAnsi="Times New Roman" w:cs="Times New Roman" w:eastAsia="Times New Roman" w:hint="default"/>
          <w:spacing w:val="-4"/>
          <w:w w:val="101"/>
        </w:rPr>
        <w:t>14</w:t>
      </w:r>
      <w:r>
        <w:rPr>
          <w:spacing w:val="-4"/>
          <w:w w:val="101"/>
        </w:rPr>
        <w:t>亿元人民币购买张军红持有的广东合</w:t>
      </w:r>
      <w:r>
        <w:rPr>
          <w:w w:val="101"/>
        </w:rPr>
        <w:t> </w:t>
      </w:r>
      <w:r>
        <w:rPr>
          <w:spacing w:val="-3"/>
        </w:rPr>
        <w:t>利金融科技服务有限公司（以下简称</w:t>
      </w:r>
      <w:r>
        <w:rPr>
          <w:rFonts w:ascii="Times New Roman" w:hAnsi="Times New Roman" w:cs="Times New Roman" w:eastAsia="Times New Roman" w:hint="default"/>
          <w:spacing w:val="-3"/>
        </w:rPr>
        <w:t>“</w:t>
      </w:r>
      <w:r>
        <w:rPr>
          <w:spacing w:val="-3"/>
        </w:rPr>
        <w:t>合利金融</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90%</w:t>
      </w:r>
      <w:r>
        <w:rPr>
          <w:spacing w:val="-3"/>
        </w:rPr>
        <w:t>股权资产。尚有尾款</w:t>
      </w:r>
      <w:r>
        <w:rPr>
          <w:rFonts w:ascii="Times New Roman" w:hAnsi="Times New Roman" w:cs="Times New Roman" w:eastAsia="Times New Roman" w:hint="default"/>
          <w:spacing w:val="-3"/>
        </w:rPr>
        <w:t>15,641.33</w:t>
      </w:r>
      <w:r>
        <w:rPr>
          <w:spacing w:val="-3"/>
        </w:rPr>
        <w:t>万元至今未付。仲裁请求：裁决公司向</w:t>
      </w:r>
      <w:r>
        <w:rPr>
          <w:spacing w:val="51"/>
        </w:rPr>
        <w:t> </w:t>
      </w:r>
      <w:r>
        <w:rPr>
          <w:spacing w:val="51"/>
        </w:rPr>
      </w:r>
      <w:r>
        <w:rPr>
          <w:spacing w:val="-3"/>
        </w:rPr>
        <w:t>张军红支付欠款</w:t>
      </w:r>
      <w:r>
        <w:rPr>
          <w:rFonts w:ascii="Times New Roman" w:hAnsi="Times New Roman" w:cs="Times New Roman" w:eastAsia="Times New Roman" w:hint="default"/>
          <w:spacing w:val="-3"/>
        </w:rPr>
        <w:t>15,641.33</w:t>
      </w:r>
      <w:r>
        <w:rPr>
          <w:spacing w:val="-3"/>
        </w:rPr>
        <w:t>万元；支付逾期违约金</w:t>
      </w:r>
      <w:r>
        <w:rPr>
          <w:rFonts w:ascii="Times New Roman" w:hAnsi="Times New Roman" w:cs="Times New Roman" w:eastAsia="Times New Roman" w:hint="default"/>
          <w:spacing w:val="-3"/>
        </w:rPr>
        <w:t>5,441.53</w:t>
      </w:r>
      <w:r>
        <w:rPr>
          <w:spacing w:val="-3"/>
        </w:rPr>
        <w:t>万元（暂计算至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30</w:t>
      </w:r>
      <w:r>
        <w:rPr>
          <w:spacing w:val="-3"/>
        </w:rPr>
        <w:t>日，其余部分计息至全部资金返还到</w:t>
      </w:r>
      <w:r>
        <w:rPr>
          <w:spacing w:val="20"/>
        </w:rPr>
        <w:t> </w:t>
      </w:r>
      <w:r>
        <w:rPr>
          <w:spacing w:val="20"/>
        </w:rPr>
      </w:r>
      <w:r>
        <w:rPr>
          <w:spacing w:val="-5"/>
          <w:w w:val="101"/>
        </w:rPr>
        <w:t>位之日止）。本案仲裁费、律师费、差旅费等关联本案的全部费用由公司承担。截止报告日本案尚未裁决。</w:t>
      </w:r>
      <w:r>
        <w:rPr>
          <w:spacing w:val="-5"/>
        </w:rPr>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公司没有需要披露的重要或有事项，也应予以说明" w:id="513"/>
      <w:bookmarkEnd w:id="51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spacing w:val="-3"/>
        </w:rPr>
        <w:t>公司不存在需要披露的重要或有事项。</w:t>
      </w:r>
    </w:p>
    <w:p>
      <w:pPr>
        <w:spacing w:line="240" w:lineRule="auto" w:before="4"/>
        <w:rPr>
          <w:rFonts w:ascii="宋体" w:hAnsi="宋体" w:cs="宋体" w:eastAsia="宋体" w:hint="default"/>
          <w:sz w:val="26"/>
          <w:szCs w:val="26"/>
        </w:rPr>
      </w:pPr>
    </w:p>
    <w:p>
      <w:pPr>
        <w:spacing w:line="487" w:lineRule="auto" w:before="0"/>
        <w:ind w:left="153" w:right="7859" w:firstLine="0"/>
        <w:jc w:val="left"/>
        <w:rPr>
          <w:rFonts w:ascii="宋体" w:hAnsi="宋体" w:cs="宋体" w:eastAsia="宋体" w:hint="default"/>
          <w:sz w:val="21"/>
          <w:szCs w:val="21"/>
        </w:rPr>
      </w:pPr>
      <w:bookmarkStart w:name="3、其他" w:id="514"/>
      <w:bookmarkEnd w:id="5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15"/>
      <w:bookmarkEnd w:id="515"/>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16"/>
      <w:bookmarkEnd w:id="51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14"/>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6"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内容</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8" w:right="99" w:hanging="898"/>
              <w:jc w:val="left"/>
              <w:rPr>
                <w:rFonts w:ascii="宋体" w:hAnsi="宋体" w:cs="宋体" w:eastAsia="宋体" w:hint="default"/>
                <w:sz w:val="18"/>
                <w:szCs w:val="18"/>
              </w:rPr>
            </w:pPr>
            <w:r>
              <w:rPr>
                <w:rFonts w:ascii="宋体" w:hAnsi="宋体" w:cs="宋体" w:eastAsia="宋体" w:hint="default"/>
                <w:spacing w:val="-3"/>
                <w:sz w:val="18"/>
                <w:szCs w:val="18"/>
              </w:rPr>
              <w:t>对财务状况和经营成果的影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利润分配情况" w:id="517"/>
      <w:bookmarkEnd w:id="51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销售退回" w:id="518"/>
      <w:bookmarkEnd w:id="51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519"/>
      <w:bookmarkEnd w:id="51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513" w:right="0"/>
        <w:jc w:val="left"/>
      </w:pPr>
      <w:r>
        <w:rPr>
          <w:spacing w:val="-3"/>
        </w:rPr>
        <w:t>公司拟以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559,936,650</w:t>
      </w:r>
      <w:r>
        <w:rPr>
          <w:spacing w:val="-3"/>
        </w:rPr>
        <w:t>为基数，以资本公积转增股本，向公司股东每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股，共转增股本</w:t>
      </w:r>
    </w:p>
    <w:p>
      <w:pPr>
        <w:pStyle w:val="BodyText"/>
        <w:spacing w:line="240" w:lineRule="auto" w:before="63"/>
        <w:ind w:right="0"/>
        <w:jc w:val="left"/>
      </w:pPr>
      <w:r>
        <w:rPr>
          <w:rFonts w:ascii="Times New Roman" w:hAnsi="Times New Roman" w:cs="Times New Roman" w:eastAsia="Times New Roman" w:hint="default"/>
        </w:rPr>
        <w:t>111,987,330</w:t>
      </w:r>
      <w:r>
        <w:rPr/>
        <w:t>股</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十六、其他重要事项" w:id="520"/>
      <w:bookmarkEnd w:id="520"/>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521"/>
      <w:bookmarkEnd w:id="52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522"/>
      <w:bookmarkEnd w:id="52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1"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30" w:right="99" w:hanging="720"/>
              <w:jc w:val="left"/>
              <w:rPr>
                <w:rFonts w:ascii="宋体" w:hAnsi="宋体" w:cs="宋体" w:eastAsia="宋体" w:hint="default"/>
                <w:sz w:val="18"/>
                <w:szCs w:val="18"/>
              </w:rPr>
            </w:pPr>
            <w:r>
              <w:rPr>
                <w:rFonts w:ascii="宋体" w:hAnsi="宋体" w:cs="宋体" w:eastAsia="宋体" w:hint="default"/>
                <w:spacing w:val="-3"/>
                <w:sz w:val="18"/>
                <w:szCs w:val="18"/>
              </w:rPr>
              <w:t>受影响的各个比较期间报表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来适用法" w:id="523"/>
      <w:bookmarkEnd w:id="52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0"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6"/>
        <w:rPr>
          <w:rFonts w:ascii="宋体" w:hAnsi="宋体" w:cs="宋体" w:eastAsia="宋体" w:hint="default"/>
          <w:b/>
          <w:bCs/>
          <w:sz w:val="19"/>
          <w:szCs w:val="19"/>
        </w:rPr>
      </w:pPr>
    </w:p>
    <w:p>
      <w:pPr>
        <w:pStyle w:val="Heading3"/>
        <w:spacing w:line="240" w:lineRule="auto" w:before="36"/>
        <w:ind w:right="0"/>
        <w:jc w:val="left"/>
        <w:rPr>
          <w:b w:val="0"/>
          <w:bCs w:val="0"/>
        </w:rPr>
      </w:pPr>
      <w:bookmarkStart w:name="2、债务重组" w:id="524"/>
      <w:bookmarkEnd w:id="52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525"/>
      <w:bookmarkEnd w:id="52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526"/>
      <w:bookmarkEnd w:id="52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527"/>
      <w:bookmarkEnd w:id="52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528"/>
      <w:bookmarkEnd w:id="52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529"/>
      <w:bookmarkEnd w:id="52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归属于母公司所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有者的终止经营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利润</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6、分部信息" w:id="530"/>
      <w:bookmarkEnd w:id="53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531"/>
      <w:bookmarkEnd w:id="53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532"/>
      <w:bookmarkEnd w:id="53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3）公司无报告分部的，或者不能披露各报告分部的资产总额和负债总额的，应说明原因" w:id="533"/>
      <w:bookmarkEnd w:id="53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534"/>
      <w:bookmarkEnd w:id="53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535"/>
      <w:bookmarkEnd w:id="53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8、其他" w:id="536"/>
      <w:bookmarkEnd w:id="536"/>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302" w:lineRule="auto" w:before="0"/>
        <w:ind w:right="0" w:firstLine="360"/>
        <w:jc w:val="left"/>
      </w:pPr>
      <w:r>
        <w:rPr>
          <w:rFonts w:ascii="Times New Roman" w:hAnsi="Times New Roman" w:cs="Times New Roman" w:eastAsia="Times New Roman" w:hint="default"/>
          <w:spacing w:val="-7"/>
          <w:w w:val="101"/>
        </w:rPr>
        <w:t>2019</w:t>
      </w:r>
      <w:r>
        <w:rPr>
          <w:spacing w:val="-7"/>
          <w:w w:val="101"/>
        </w:rPr>
        <w:t>年</w:t>
      </w:r>
      <w:r>
        <w:rPr>
          <w:rFonts w:ascii="Times New Roman" w:hAnsi="Times New Roman" w:cs="Times New Roman" w:eastAsia="Times New Roman" w:hint="default"/>
          <w:spacing w:val="-7"/>
          <w:w w:val="101"/>
        </w:rPr>
        <w:t>7</w:t>
      </w:r>
      <w:r>
        <w:rPr>
          <w:spacing w:val="-7"/>
          <w:w w:val="101"/>
        </w:rPr>
        <w:t>月</w:t>
      </w:r>
      <w:r>
        <w:rPr>
          <w:rFonts w:ascii="Times New Roman" w:hAnsi="Times New Roman" w:cs="Times New Roman" w:eastAsia="Times New Roman" w:hint="default"/>
          <w:spacing w:val="-7"/>
          <w:w w:val="101"/>
        </w:rPr>
        <w:t>29</w:t>
      </w:r>
      <w:r>
        <w:rPr>
          <w:spacing w:val="-7"/>
          <w:w w:val="101"/>
        </w:rPr>
        <w:t>日，北京仁东信息技术有限公司（原名：内蒙古仁东科技有限公司）（以下简称</w:t>
      </w:r>
      <w:r>
        <w:rPr>
          <w:rFonts w:ascii="Times New Roman" w:hAnsi="Times New Roman" w:cs="Times New Roman" w:eastAsia="Times New Roman" w:hint="default"/>
          <w:spacing w:val="-7"/>
          <w:w w:val="101"/>
        </w:rPr>
        <w:t>“</w:t>
      </w:r>
      <w:r>
        <w:rPr>
          <w:spacing w:val="-7"/>
          <w:w w:val="101"/>
        </w:rPr>
        <w:t>仁东信息</w:t>
      </w:r>
      <w:r>
        <w:rPr>
          <w:rFonts w:ascii="Times New Roman" w:hAnsi="Times New Roman" w:cs="Times New Roman" w:eastAsia="Times New Roman" w:hint="default"/>
          <w:spacing w:val="-7"/>
          <w:w w:val="101"/>
        </w:rPr>
        <w:t>”</w:t>
      </w:r>
      <w:r>
        <w:rPr>
          <w:spacing w:val="-7"/>
          <w:w w:val="101"/>
        </w:rPr>
        <w:t>）、仁东（天津）</w:t>
      </w:r>
      <w:r>
        <w:rPr>
          <w:w w:val="101"/>
        </w:rPr>
        <w:t> </w:t>
      </w:r>
      <w:r>
        <w:rPr>
          <w:spacing w:val="-5"/>
          <w:w w:val="101"/>
        </w:rPr>
        <w:t>科技有限公司（以下简称</w:t>
      </w:r>
      <w:r>
        <w:rPr>
          <w:rFonts w:ascii="Times New Roman" w:hAnsi="Times New Roman" w:cs="Times New Roman" w:eastAsia="Times New Roman" w:hint="default"/>
          <w:spacing w:val="-5"/>
          <w:w w:val="101"/>
        </w:rPr>
        <w:t>“</w:t>
      </w:r>
      <w:r>
        <w:rPr>
          <w:spacing w:val="-5"/>
          <w:w w:val="101"/>
        </w:rPr>
        <w:t>天津仁东</w:t>
      </w:r>
      <w:r>
        <w:rPr>
          <w:rFonts w:ascii="Times New Roman" w:hAnsi="Times New Roman" w:cs="Times New Roman" w:eastAsia="Times New Roman" w:hint="default"/>
          <w:spacing w:val="-5"/>
          <w:w w:val="101"/>
        </w:rPr>
        <w:t>”</w:t>
      </w:r>
      <w:r>
        <w:rPr>
          <w:spacing w:val="-5"/>
          <w:w w:val="101"/>
        </w:rPr>
        <w:t>）、仁东（天津）科技发展集团有限公司、霍东与北京海淀科技金融资本控股集团股份</w:t>
      </w:r>
      <w:r>
        <w:rPr>
          <w:spacing w:val="-44"/>
          <w:w w:val="101"/>
        </w:rPr>
        <w:t> </w:t>
      </w:r>
      <w:r>
        <w:rPr>
          <w:spacing w:val="-44"/>
          <w:w w:val="101"/>
        </w:rPr>
      </w:r>
      <w:r>
        <w:rPr>
          <w:spacing w:val="-4"/>
          <w:w w:val="101"/>
        </w:rPr>
        <w:t>有限公司（以下简称</w:t>
      </w:r>
      <w:r>
        <w:rPr>
          <w:rFonts w:ascii="Times New Roman" w:hAnsi="Times New Roman" w:cs="Times New Roman" w:eastAsia="Times New Roman" w:hint="default"/>
          <w:spacing w:val="-4"/>
          <w:w w:val="101"/>
        </w:rPr>
        <w:t>“</w:t>
      </w:r>
      <w:r>
        <w:rPr>
          <w:spacing w:val="-4"/>
          <w:w w:val="101"/>
        </w:rPr>
        <w:t>海科金集团</w:t>
      </w:r>
      <w:r>
        <w:rPr>
          <w:rFonts w:ascii="Times New Roman" w:hAnsi="Times New Roman" w:cs="Times New Roman" w:eastAsia="Times New Roman" w:hint="default"/>
          <w:spacing w:val="-4"/>
          <w:w w:val="101"/>
        </w:rPr>
        <w:t>”</w:t>
      </w:r>
      <w:r>
        <w:rPr>
          <w:spacing w:val="-4"/>
          <w:w w:val="101"/>
        </w:rPr>
        <w:t>）签署了《关于仁东控股股份有限公司的股份委托管理协议》，仁东信息将其持有的仁东</w:t>
      </w:r>
      <w:r>
        <w:rPr>
          <w:w w:val="101"/>
        </w:rPr>
        <w:t> </w:t>
      </w:r>
      <w:r>
        <w:rPr/>
        <w:t>控股</w:t>
      </w:r>
      <w:r>
        <w:rPr>
          <w:rFonts w:ascii="Times New Roman" w:hAnsi="Times New Roman" w:cs="Times New Roman" w:eastAsia="Times New Roman" w:hint="default"/>
        </w:rPr>
        <w:t>119,088,160 </w:t>
      </w:r>
      <w:r>
        <w:rPr>
          <w:spacing w:val="-3"/>
        </w:rPr>
        <w:t>股股份（占上市公司总股本的 </w:t>
      </w:r>
      <w:r>
        <w:rPr>
          <w:rFonts w:ascii="Times New Roman" w:hAnsi="Times New Roman" w:cs="Times New Roman" w:eastAsia="Times New Roman" w:hint="default"/>
          <w:spacing w:val="-3"/>
        </w:rPr>
        <w:t>21.27%</w:t>
      </w:r>
      <w:r>
        <w:rPr>
          <w:spacing w:val="-3"/>
        </w:rPr>
        <w:t>）对应的表决权等股东权利委托海科金集团进行管理。同时，仁东</w:t>
      </w:r>
      <w:r>
        <w:rPr>
          <w:spacing w:val="1"/>
        </w:rPr>
        <w:t> </w:t>
      </w:r>
      <w:r>
        <w:rPr>
          <w:spacing w:val="1"/>
        </w:rPr>
      </w:r>
      <w:r>
        <w:rPr>
          <w:spacing w:val="-7"/>
          <w:w w:val="101"/>
        </w:rPr>
        <w:t>信息、天津仁东与海科金集团签署了《关于仁东控股股份有限公司的一致行动协议》（以下简称</w:t>
      </w:r>
      <w:r>
        <w:rPr>
          <w:rFonts w:ascii="Times New Roman" w:hAnsi="Times New Roman" w:cs="Times New Roman" w:eastAsia="Times New Roman" w:hint="default"/>
          <w:spacing w:val="-7"/>
          <w:w w:val="101"/>
        </w:rPr>
        <w:t>“</w:t>
      </w:r>
      <w:r>
        <w:rPr>
          <w:spacing w:val="-7"/>
          <w:w w:val="101"/>
        </w:rPr>
        <w:t>《一致行动协议》</w:t>
      </w:r>
      <w:r>
        <w:rPr>
          <w:rFonts w:ascii="Times New Roman" w:hAnsi="Times New Roman" w:cs="Times New Roman" w:eastAsia="Times New Roman" w:hint="default"/>
          <w:spacing w:val="-7"/>
          <w:w w:val="101"/>
        </w:rPr>
        <w:t>”</w:t>
      </w:r>
      <w:r>
        <w:rPr>
          <w:spacing w:val="-7"/>
          <w:w w:val="101"/>
        </w:rPr>
        <w:t>），仁东</w:t>
      </w:r>
      <w:r>
        <w:rPr>
          <w:spacing w:val="-75"/>
          <w:w w:val="101"/>
        </w:rPr>
        <w:t> </w:t>
      </w:r>
      <w:r>
        <w:rPr>
          <w:spacing w:val="-75"/>
          <w:w w:val="101"/>
        </w:rPr>
      </w:r>
      <w:r>
        <w:rPr>
          <w:spacing w:val="-4"/>
        </w:rPr>
        <w:t>信息、天津仁东、海科金集团同意，托管期限内，在上市公司所有重大事项决策中，保持一致行动，仁东信息、天津仁东应</w:t>
      </w:r>
      <w:r>
        <w:rPr>
          <w:spacing w:val="40"/>
        </w:rPr>
        <w:t> </w:t>
      </w:r>
      <w:r>
        <w:rPr>
          <w:spacing w:val="40"/>
        </w:rPr>
      </w:r>
      <w:r>
        <w:rPr>
          <w:spacing w:val="-4"/>
        </w:rPr>
        <w:t>当与海科金集团取得一致意见，若无法形成一致意见，以海科金集团的意见为一致表决意见。</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15</w:t>
      </w:r>
      <w:r>
        <w:rPr>
          <w:spacing w:val="-4"/>
        </w:rPr>
        <w:t>日，上述协议正</w:t>
      </w:r>
      <w:r>
        <w:rPr>
          <w:spacing w:val="53"/>
        </w:rPr>
        <w:t> </w:t>
      </w:r>
      <w:r>
        <w:rPr>
          <w:spacing w:val="53"/>
        </w:rPr>
      </w:r>
      <w:r>
        <w:rPr>
          <w:spacing w:val="-3"/>
        </w:rPr>
        <w:t>式生效，海科金集团将通过股份托管的方式持有上市公司</w:t>
      </w:r>
      <w:r>
        <w:rPr>
          <w:rFonts w:ascii="Times New Roman" w:hAnsi="Times New Roman" w:cs="Times New Roman" w:eastAsia="Times New Roman" w:hint="default"/>
          <w:spacing w:val="-3"/>
        </w:rPr>
        <w:t>119,088,160 </w:t>
      </w:r>
      <w:r>
        <w:rPr>
          <w:spacing w:val="-3"/>
        </w:rPr>
        <w:t>股股份对应的表决权，占上市公司总股本的 </w:t>
      </w:r>
      <w:r>
        <w:rPr>
          <w:rFonts w:ascii="Times New Roman" w:hAnsi="Times New Roman" w:cs="Times New Roman" w:eastAsia="Times New Roman" w:hint="default"/>
        </w:rPr>
        <w:t>21.27%</w:t>
      </w:r>
      <w:r>
        <w:rPr/>
        <w:t>。</w:t>
      </w:r>
      <w:r>
        <w:rPr>
          <w:spacing w:val="-58"/>
        </w:rPr>
        <w:t> </w:t>
      </w:r>
      <w:r>
        <w:rPr>
          <w:spacing w:val="-6"/>
          <w:w w:val="101"/>
        </w:rPr>
        <w:t>通过《关于仁东控股股份有限公司的一致行动协议》，海科金集团及其一致行动人将合计控制上市公司</w:t>
      </w:r>
      <w:r>
        <w:rPr>
          <w:rFonts w:ascii="Times New Roman" w:hAnsi="Times New Roman" w:cs="Times New Roman" w:eastAsia="Times New Roman" w:hint="default"/>
          <w:spacing w:val="-6"/>
          <w:w w:val="101"/>
        </w:rPr>
        <w:t>29.93%</w:t>
      </w:r>
      <w:r>
        <w:rPr>
          <w:spacing w:val="-6"/>
          <w:w w:val="101"/>
        </w:rPr>
        <w:t>的股份表决权。</w:t>
      </w:r>
      <w:r>
        <w:rPr>
          <w:spacing w:val="-61"/>
          <w:w w:val="101"/>
        </w:rPr>
        <w:t> </w:t>
      </w:r>
      <w:r>
        <w:rPr>
          <w:spacing w:val="-61"/>
          <w:w w:val="101"/>
        </w:rPr>
      </w:r>
      <w:r>
        <w:rPr>
          <w:spacing w:val="-3"/>
        </w:rPr>
        <w:t>海科金集团成为公司控股股东，其实际控制人北京市海淀区人民政府国有资产监督管理委员会成为公司的实际控制人。</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十七、母公司财务报表主要项目注释" w:id="537"/>
      <w:bookmarkEnd w:id="537"/>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538"/>
      <w:bookmarkEnd w:id="53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539"/>
      <w:bookmarkEnd w:id="53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25"/>
        <w:gridCol w:w="776"/>
        <w:gridCol w:w="758"/>
        <w:gridCol w:w="776"/>
        <w:gridCol w:w="740"/>
        <w:gridCol w:w="799"/>
        <w:gridCol w:w="778"/>
        <w:gridCol w:w="797"/>
        <w:gridCol w:w="797"/>
        <w:gridCol w:w="792"/>
        <w:gridCol w:w="922"/>
      </w:tblGrid>
      <w:tr>
        <w:trPr>
          <w:trHeight w:val="398"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15"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25"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75" w:right="91"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5"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0"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5"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13" w:right="0"/>
              <w:jc w:val="left"/>
              <w:rPr>
                <w:rFonts w:ascii="Times New Roman" w:hAnsi="Times New Roman" w:cs="Times New Roman" w:eastAsia="Times New Roman" w:hint="default"/>
                <w:sz w:val="18"/>
                <w:szCs w:val="18"/>
              </w:rPr>
            </w:pPr>
            <w:r>
              <w:rPr>
                <w:rFonts w:ascii="Times New Roman"/>
                <w:sz w:val="18"/>
              </w:rPr>
              <w:t>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3" w:right="0"/>
              <w:jc w:val="lef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按单项计提坏账准备：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3"/>
        <w:ind w:right="0"/>
        <w:jc w:val="left"/>
      </w:pPr>
      <w:r>
        <w:rPr/>
        <w:t>按组合计提坏账准备：</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57" w:lineRule="auto"/>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38" w:lineRule="auto" w:before="31"/>
        <w:ind w:right="885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4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540"/>
      <w:bookmarkEnd w:id="54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7"/>
      </w:tblGrid>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541"/>
      <w:bookmarkEnd w:id="54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6"/>
        <w:ind w:right="0"/>
        <w:jc w:val="left"/>
      </w:pPr>
      <w:r>
        <w:rPr>
          <w:spacing w:val="-3"/>
        </w:rPr>
        <w:t>其中重要的应收账款核销情况：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33"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pStyle w:val="BodyText"/>
        <w:spacing w:line="240" w:lineRule="auto" w:before="53"/>
        <w:ind w:right="0"/>
        <w:jc w:val="left"/>
      </w:pPr>
      <w:r>
        <w:rPr>
          <w:spacing w:val="-3"/>
        </w:rPr>
        <w:t>应收账款核销说明：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542"/>
      <w:bookmarkEnd w:id="54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5）因金融资产转移而终止确认的应收账款" w:id="543"/>
      <w:bookmarkEnd w:id="54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544"/>
      <w:bookmarkEnd w:id="54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其他应收款" w:id="545"/>
      <w:bookmarkEnd w:id="54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426,983,912.64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943,780,892.53</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426,983,912.64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943,780,892.53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收利息" w:id="546"/>
      <w:bookmarkEnd w:id="54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547"/>
      <w:bookmarkEnd w:id="547"/>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逾期利息" w:id="548"/>
      <w:bookmarkEnd w:id="548"/>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坏账准备计提情况" w:id="549"/>
      <w:bookmarkEnd w:id="54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应收股利" w:id="550"/>
      <w:bookmarkEnd w:id="55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股利分类" w:id="551"/>
      <w:bookmarkEnd w:id="551"/>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的账龄超过1年的应收股利" w:id="552"/>
      <w:bookmarkEnd w:id="552"/>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after="0" w:line="321"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3）坏账准备计提情况" w:id="553"/>
      <w:bookmarkEnd w:id="55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85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其他应收款" w:id="554"/>
      <w:bookmarkEnd w:id="55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555"/>
      <w:bookmarkEnd w:id="55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5,073,384.55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20,046,039.75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集团内关联方往来款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421,847,177.58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918,457,316.33</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应收资产处置款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64,315.24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27,955.79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434,484,877.37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946,031,311.87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556"/>
      <w:bookmarkEnd w:id="55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398"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2,250,419.34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2,250,419.34</w:t>
            </w:r>
          </w:p>
        </w:tc>
      </w:tr>
      <w:tr>
        <w:trPr>
          <w:trHeight w:val="158"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-2,250,000.00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2,250,000.00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964.73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5,250,000.00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5,250,964.73</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419.34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419.34</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964.73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7,500,964.73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43" w:lineRule="auto" w:before="115"/>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before="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281,061,106.66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8,613,254.56</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137,310,516.15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434,484,877.37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557"/>
      <w:bookmarkEnd w:id="55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85"/>
        <w:gridCol w:w="1335"/>
        <w:gridCol w:w="1330"/>
        <w:gridCol w:w="1090"/>
        <w:gridCol w:w="1575"/>
        <w:gridCol w:w="1580"/>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pacing w:val="-2"/>
                <w:sz w:val="18"/>
                <w:szCs w:val="18"/>
              </w:rPr>
              <w:t>其他应收款坏账准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2,250,419.34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5,250,964.73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419.34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7,500,964.73</w:t>
            </w:r>
          </w:p>
        </w:tc>
      </w:tr>
      <w:tr>
        <w:trPr>
          <w:trHeight w:val="399"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2,250,419.34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5,250,964.73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419.34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7,500,964.73</w:t>
            </w:r>
          </w:p>
        </w:tc>
      </w:tr>
    </w:tbl>
    <w:p>
      <w:pPr>
        <w:pStyle w:val="BodyText"/>
        <w:spacing w:line="240" w:lineRule="auto" w:before="53"/>
        <w:ind w:right="0"/>
        <w:jc w:val="left"/>
      </w:pPr>
      <w:r>
        <w:rPr>
          <w:spacing w:val="-3"/>
        </w:rPr>
        <w:t>其中本期坏账准备转回或收回金额重要的：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本期实际核销的其他应收款情况" w:id="558"/>
      <w:bookmarkEnd w:id="55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4"/>
        <w:ind w:right="0"/>
        <w:jc w:val="left"/>
      </w:pPr>
      <w:r>
        <w:rPr>
          <w:spacing w:val="-3"/>
        </w:rPr>
        <w:t>其中重要的其他应收款核销情况：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33"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pStyle w:val="BodyText"/>
        <w:spacing w:line="240" w:lineRule="auto" w:before="53"/>
        <w:ind w:right="0"/>
        <w:jc w:val="left"/>
      </w:pPr>
      <w:r>
        <w:rPr/>
        <w:t>其他应收款核销说明：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5）按欠款方归集的期末余额前五名的其他应收款情况" w:id="559"/>
      <w:bookmarkEnd w:id="55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2"/>
                <w:sz w:val="18"/>
                <w:szCs w:val="18"/>
              </w:rPr>
              <w:t>集团内关联方往来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181,886,678.58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41.86%</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2"/>
                <w:sz w:val="18"/>
                <w:szCs w:val="18"/>
              </w:rPr>
              <w:t>集团内关联方往来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33.14%</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0"/>
              <w:jc w:val="left"/>
              <w:rPr>
                <w:rFonts w:ascii="宋体" w:hAnsi="宋体" w:cs="宋体" w:eastAsia="宋体" w:hint="default"/>
                <w:sz w:val="18"/>
                <w:szCs w:val="18"/>
              </w:rPr>
            </w:pPr>
            <w:r>
              <w:rPr>
                <w:rFonts w:ascii="宋体" w:hAnsi="宋体" w:cs="宋体" w:eastAsia="宋体" w:hint="default"/>
                <w:spacing w:val="-2"/>
                <w:sz w:val="18"/>
                <w:szCs w:val="18"/>
              </w:rPr>
              <w:t>集团内关联方往来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95,920,499.00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22.08%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变卖资产</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8" w:right="0"/>
              <w:jc w:val="left"/>
              <w:rPr>
                <w:rFonts w:ascii="Times New Roman" w:hAnsi="Times New Roman" w:cs="Times New Roman" w:eastAsia="Times New Roman" w:hint="default"/>
                <w:sz w:val="18"/>
                <w:szCs w:val="18"/>
              </w:rPr>
            </w:pPr>
            <w:r>
              <w:rPr>
                <w:rFonts w:ascii="Times New Roman"/>
                <w:sz w:val="18"/>
              </w:rPr>
              <w:t>7,500,000.00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3,997,868.40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0.92%</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433,305,045.98</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99.73%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8" w:right="0"/>
              <w:jc w:val="left"/>
              <w:rPr>
                <w:rFonts w:ascii="Times New Roman" w:hAnsi="Times New Roman" w:cs="Times New Roman" w:eastAsia="Times New Roman" w:hint="default"/>
                <w:sz w:val="18"/>
                <w:szCs w:val="18"/>
              </w:rPr>
            </w:pPr>
            <w:r>
              <w:rPr>
                <w:rFonts w:ascii="Times New Roman"/>
                <w:sz w:val="18"/>
              </w:rPr>
              <w:t>7,500,000.00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560"/>
      <w:bookmarkEnd w:id="560"/>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6"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96" w:right="60" w:hanging="630"/>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因金融资产转移而终止确认的其他应收款" w:id="561"/>
      <w:bookmarkEnd w:id="561"/>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562"/>
      <w:bookmarkEnd w:id="562"/>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563"/>
      <w:bookmarkEnd w:id="56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9"/>
        <w:gridCol w:w="1368"/>
        <w:gridCol w:w="1364"/>
        <w:gridCol w:w="1369"/>
        <w:gridCol w:w="1369"/>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8"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5,176,859,883.74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125,182,292.74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5,051,677,591.00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pacing w:val="-2"/>
                <w:sz w:val="18"/>
              </w:rPr>
              <w:t>5,176,878,282.74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125,182,292.74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5,051,695,990.00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5,176,859,883.74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125,182,292.74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5,051,677,591.00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pacing w:val="-2"/>
                <w:sz w:val="18"/>
              </w:rPr>
              <w:t>5,176,878,282.74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125,182,292.74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5,051,695,990.00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564"/>
      <w:bookmarkEnd w:id="56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101"/>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101"/>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4"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天津民盛金科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信息技术有限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1,200,558,000.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1,200,558,000.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民盛租赁有限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200,000,000.00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霍尔果斯民盛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创业投资有限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18,400.00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18,400.00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共青城民盛金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控投资管理有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浙江仁东新材</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center"/>
              <w:rPr>
                <w:rFonts w:ascii="Times New Roman" w:hAnsi="Times New Roman" w:cs="Times New Roman" w:eastAsia="Times New Roman" w:hint="default"/>
                <w:sz w:val="18"/>
                <w:szCs w:val="18"/>
              </w:rPr>
            </w:pPr>
            <w:r>
              <w:rPr>
                <w:rFonts w:ascii="Times New Roman"/>
                <w:sz w:val="18"/>
              </w:rPr>
              <w:t>10,000,000.00</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67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47"/>
              <w:jc w:val="left"/>
              <w:rPr>
                <w:rFonts w:ascii="宋体" w:hAnsi="宋体" w:cs="宋体" w:eastAsia="宋体" w:hint="default"/>
                <w:sz w:val="18"/>
                <w:szCs w:val="18"/>
              </w:rPr>
            </w:pPr>
            <w:r>
              <w:rPr>
                <w:rFonts w:ascii="宋体" w:hAnsi="宋体" w:cs="宋体" w:eastAsia="宋体" w:hint="default"/>
                <w:spacing w:val="-2"/>
                <w:sz w:val="18"/>
                <w:szCs w:val="18"/>
              </w:rPr>
              <w:t>料科技有限公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广州仁东互联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网小额贷款有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广东合利金融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科技服务有限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1,271,119,590.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1,271,119,590.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125,182,292.74</w:t>
            </w: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7"/>
              <w:jc w:val="both"/>
              <w:rPr>
                <w:rFonts w:ascii="宋体" w:hAnsi="宋体" w:cs="宋体" w:eastAsia="宋体" w:hint="default"/>
                <w:sz w:val="18"/>
                <w:szCs w:val="18"/>
              </w:rPr>
            </w:pPr>
            <w:r>
              <w:rPr>
                <w:rFonts w:ascii="宋体" w:hAnsi="宋体" w:cs="宋体" w:eastAsia="宋体" w:hint="default"/>
                <w:spacing w:val="-2"/>
                <w:sz w:val="18"/>
                <w:szCs w:val="18"/>
              </w:rPr>
              <w:t>深圳民盛大数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据技术有限公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北京仁东科技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5,051,695,990.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18,400.00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5,051,677,591.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125,182,292.74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565"/>
      <w:bookmarkEnd w:id="56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3"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其他说明" w:id="566"/>
      <w:bookmarkEnd w:id="56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567"/>
      <w:bookmarkEnd w:id="56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534,206,181.75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533,711,043.37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247,606,777.02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246,284,537.59</w:t>
            </w:r>
          </w:p>
        </w:tc>
      </w:tr>
      <w:tr>
        <w:trPr>
          <w:trHeight w:val="398"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1,642,018.88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76,055.55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535,848,200.63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533,711,043.37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247,682,832.57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246,284,537.59</w:t>
            </w:r>
          </w:p>
        </w:tc>
      </w:tr>
    </w:tbl>
    <w:p>
      <w:pPr>
        <w:pStyle w:val="BodyText"/>
        <w:spacing w:line="240" w:lineRule="auto" w:before="53"/>
        <w:ind w:right="0"/>
        <w:jc w:val="left"/>
      </w:pPr>
      <w:r>
        <w:rPr/>
        <w:t>是否已执行新收入准则</w:t>
      </w:r>
    </w:p>
    <w:p>
      <w:pPr>
        <w:pStyle w:val="BodyText"/>
        <w:spacing w:line="338" w:lineRule="auto" w:before="120"/>
        <w:ind w:right="98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否</w:t>
      </w:r>
      <w:r>
        <w:rPr>
          <w:w w:val="101"/>
        </w:rPr>
        <w:t> </w:t>
      </w:r>
      <w:r>
        <w:rPr>
          <w:spacing w:val="-2"/>
        </w:rPr>
        <w:t>其他说明：</w:t>
      </w:r>
    </w:p>
    <w:p>
      <w:pPr>
        <w:spacing w:after="0" w:line="338"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5、投资收益" w:id="568"/>
      <w:bookmarkEnd w:id="56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-15,120.83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-15,120.83</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 w:id="569"/>
      <w:bookmarkEnd w:id="569"/>
      <w:r>
        <w:rPr>
          <w:b w:val="0"/>
          <w:bCs w:val="0"/>
        </w:rPr>
      </w:r>
      <w:r>
        <w:rPr>
          <w:rFonts w:ascii="Times New Roman" w:hAnsi="Times New Roman" w:cs="Times New Roman" w:eastAsia="Times New Roman" w:hint="default"/>
        </w:rPr>
        <w:t>6</w:t>
      </w:r>
      <w:r>
        <w:rPr/>
        <w:t>、其他</w:t>
      </w:r>
      <w:r>
        <w:rPr>
          <w:b w:val="0"/>
          <w:bCs w:val="0"/>
        </w:rPr>
      </w:r>
    </w:p>
    <w:p>
      <w:pPr>
        <w:spacing w:line="240" w:lineRule="auto" w:before="6"/>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70"/>
      <w:bookmarkEnd w:id="570"/>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71"/>
      <w:bookmarkEnd w:id="57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-21,225.61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1,439,318.09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5,458,125.74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3,317,317.10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1,922,975.38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151,513.65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2"/>
                <w:sz w:val="18"/>
              </w:rPr>
              <w:t>8,119,046.29</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51"/>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7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72"/>
      <w:bookmarkEnd w:id="57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3"/>
        <w:gridCol w:w="3078"/>
        <w:gridCol w:w="1916"/>
        <w:gridCol w:w="1911"/>
      </w:tblGrid>
      <w:tr>
        <w:trPr>
          <w:trHeight w:val="207" w:hRule="exact"/>
        </w:trPr>
        <w:tc>
          <w:tcPr>
            <w:tcW w:w="2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3"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2" w:hRule="exact"/>
        </w:trPr>
        <w:tc>
          <w:tcPr>
            <w:tcW w:w="2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0.05</w:t>
            </w:r>
          </w:p>
        </w:tc>
      </w:tr>
      <w:tr>
        <w:trPr>
          <w:trHeight w:val="716"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b/>
          <w:bCs/>
          <w:sz w:val="25"/>
          <w:szCs w:val="25"/>
        </w:rPr>
      </w:pPr>
    </w:p>
    <w:p>
      <w:pPr>
        <w:pStyle w:val="Heading3"/>
        <w:spacing w:line="240" w:lineRule="auto" w:before="36"/>
        <w:ind w:right="0"/>
        <w:jc w:val="left"/>
        <w:rPr>
          <w:b w:val="0"/>
          <w:bCs w:val="0"/>
        </w:rPr>
      </w:pPr>
      <w:bookmarkStart w:name="3、境内外会计准则下会计数据差异" w:id="573"/>
      <w:bookmarkEnd w:id="57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74"/>
      <w:bookmarkEnd w:id="57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75"/>
      <w:bookmarkEnd w:id="57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56" w:lineRule="auto"/>
        <w:ind w:right="0"/>
        <w:jc w:val="left"/>
        <w:rPr>
          <w:b w:val="0"/>
          <w:bCs w:val="0"/>
        </w:rPr>
      </w:pPr>
      <w:bookmarkStart w:name="（3）境内外会计准则下会计数据差异原因说明，对已经境外审计机构审计的数据进行差异" w:id="576"/>
      <w:bookmarkEnd w:id="57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4、其他" w:id="577"/>
      <w:bookmarkEnd w:id="57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1"/>
        <w:spacing w:line="240" w:lineRule="auto"/>
        <w:ind w:left="3283" w:right="0"/>
        <w:jc w:val="left"/>
        <w:rPr>
          <w:b w:val="0"/>
          <w:bCs w:val="0"/>
        </w:rPr>
      </w:pPr>
      <w:bookmarkStart w:name="第十三节 备查文件目录" w:id="578"/>
      <w:bookmarkEnd w:id="578"/>
      <w:r>
        <w:rPr>
          <w:b w:val="0"/>
          <w:bCs w:val="0"/>
        </w:rPr>
      </w:r>
      <w:bookmarkStart w:name="_bookmark12" w:id="579"/>
      <w:bookmarkEnd w:id="579"/>
      <w:r>
        <w:rPr>
          <w:b w:val="0"/>
          <w:bCs w:val="0"/>
        </w:rPr>
      </w:r>
      <w:r>
        <w:rPr/>
        <w:t>第十三节</w:t>
      </w:r>
      <w:r>
        <w:rPr>
          <w:spacing w:val="1"/>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4" w:lineRule="auto" w:before="0"/>
        <w:ind w:right="1051"/>
        <w:jc w:val="left"/>
      </w:pPr>
      <w:r>
        <w:rPr>
          <w:spacing w:val="-3"/>
        </w:rPr>
        <w:t>一、载有法定代表人签名的公司</w:t>
      </w:r>
      <w:r>
        <w:rPr>
          <w:rFonts w:ascii="Times New Roman" w:hAnsi="Times New Roman" w:cs="Times New Roman" w:eastAsia="Times New Roman" w:hint="default"/>
          <w:spacing w:val="-3"/>
        </w:rPr>
        <w:t>2019</w:t>
      </w:r>
      <w:r>
        <w:rPr>
          <w:spacing w:val="-3"/>
        </w:rPr>
        <w:t>年年度报告全文及摘要；</w:t>
      </w:r>
      <w:r>
        <w:rPr>
          <w:spacing w:val="-4"/>
        </w:rPr>
        <w:t> </w:t>
      </w:r>
      <w:r>
        <w:rPr>
          <w:spacing w:val="-4"/>
        </w:rPr>
      </w:r>
      <w:r>
        <w:rPr>
          <w:spacing w:val="-3"/>
        </w:rPr>
        <w:t>二、载有公司法定代表人、主管会计工作负责人、会计机构负责人签名并盖章的会计报表；</w:t>
      </w:r>
      <w:r>
        <w:rPr>
          <w:spacing w:val="25"/>
        </w:rPr>
        <w:t> </w:t>
      </w:r>
      <w:r>
        <w:rPr>
          <w:spacing w:val="25"/>
        </w:rPr>
      </w:r>
      <w:r>
        <w:rPr>
          <w:spacing w:val="-3"/>
        </w:rPr>
        <w:t>三、载有会计师事务所盖章、注册会计师签名并盖章的审计报告原件；</w:t>
      </w:r>
      <w:r>
        <w:rPr>
          <w:spacing w:val="2"/>
        </w:rPr>
        <w:t> </w:t>
      </w:r>
      <w:r>
        <w:rPr>
          <w:spacing w:val="2"/>
        </w:rPr>
      </w:r>
      <w:r>
        <w:rPr>
          <w:spacing w:val="-5"/>
        </w:rPr>
        <w:t>四、报告期内在《证券日报》《证券时报》《中国证券报》《上海证券报》及巨潮资讯网上公开披露过的所有公司文件的正</w:t>
      </w:r>
      <w:r>
        <w:rPr>
          <w:spacing w:val="4"/>
        </w:rPr>
        <w:t> </w:t>
      </w:r>
      <w:r>
        <w:rPr>
          <w:spacing w:val="4"/>
        </w:rPr>
      </w:r>
      <w:r>
        <w:rPr>
          <w:spacing w:val="-3"/>
        </w:rPr>
        <w:t>本及公告原稿。</w:t>
      </w:r>
    </w:p>
    <w:sectPr>
      <w:pgSz w:w="11910" w:h="16840"/>
      <w:pgMar w:header="741"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83632" type="#_x0000_t75" stroked="false">
          <v:imagedata r:id="rId1" o:title=""/>
        </v:shape>
      </w:pict>
    </w:r>
    <w:r>
      <w:rPr/>
      <w:pict>
        <v:shape style="position:absolute;margin-left:294.320007pt;margin-top:795.661377pt;width:6.6pt;height:11.15pt;mso-position-horizontal-relative:page;mso-position-vertical-relative:page;z-index:-983608" type="#_x0000_t202" filled="false" stroked="false">
          <v:textbox inset="0,0,0,0">
            <w:txbxContent>
              <w:p>
                <w:pPr>
                  <w:pStyle w:val="BodyText"/>
                  <w:spacing w:line="206" w:lineRule="exact" w:before="0"/>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83584" type="#_x0000_t75" stroked="false">
          <v:imagedata r:id="rId1" o:title=""/>
        </v:shape>
      </w:pict>
    </w:r>
    <w:r>
      <w:rPr/>
      <w:pict>
        <v:shape style="position:absolute;margin-left:291.160004pt;margin-top:781.957336pt;width:13.15pt;height:11.15pt;mso-position-horizontal-relative:page;mso-position-vertical-relative:page;z-index:-983560" type="#_x0000_t202" filled="false" stroked="false">
          <v:textbox inset="0,0,0,0">
            <w:txbxContent>
              <w:p>
                <w:pPr>
                  <w:pStyle w:val="BodyText"/>
                  <w:spacing w:line="206" w:lineRule="exact" w:before="0"/>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83536" type="#_x0000_t75" stroked="false">
          <v:imagedata r:id="rId1" o:title=""/>
        </v:shape>
      </w:pict>
    </w:r>
    <w:r>
      <w:rPr/>
      <w:pict>
        <v:shape style="position:absolute;margin-left:290pt;margin-top:781.957336pt;width:15.7pt;height:11.15pt;mso-position-horizontal-relative:page;mso-position-vertical-relative:page;z-index:-983512" type="#_x0000_t202" filled="false" stroked="false">
          <v:textbox inset="0,0,0,0">
            <w:txbxContent>
              <w:p>
                <w:pPr>
                  <w:pStyle w:val="BodyText"/>
                  <w:spacing w:line="206"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83488" type="#_x0000_t75" stroked="false">
          <v:imagedata r:id="rId1" o:title=""/>
        </v:shape>
      </w:pict>
    </w:r>
    <w:r>
      <w:rPr/>
      <w:pict>
        <v:shape style="position:absolute;margin-left:289pt;margin-top:781.957336pt;width:17.7pt;height:11.15pt;mso-position-horizontal-relative:page;mso-position-vertical-relative:page;z-index:-983464" type="#_x0000_t202" filled="false" stroked="false">
          <v:textbox inset="0,0,0,0">
            <w:txbxContent>
              <w:p>
                <w:pPr>
                  <w:pStyle w:val="BodyText"/>
                  <w:spacing w:line="206" w:lineRule="exact" w:before="0"/>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26001pt;margin-top:36.062485pt;width:177.75pt;height:11.65pt;mso-position-horizontal-relative:page;mso-position-vertical-relative:page;z-index:-983656" type="#_x0000_t202" filled="false" stroked="false">
          <v:textbox inset="0,0,0,0">
            <w:txbxContent>
              <w:p>
                <w:pPr>
                  <w:pStyle w:val="BodyText"/>
                  <w:spacing w:line="216" w:lineRule="exact" w:before="0"/>
                  <w:ind w:left="20" w:right="0"/>
                  <w:jc w:val="left"/>
                </w:pPr>
                <w:r>
                  <w:rPr/>
                  <w:t>仁东控股股份有限公司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53"/>
    </w:pPr>
    <w:rPr>
      <w:rFonts w:ascii="宋体" w:hAnsi="宋体" w:eastAsia="宋体"/>
      <w:b/>
      <w:bCs/>
      <w:sz w:val="24"/>
      <w:szCs w:val="24"/>
    </w:rPr>
  </w:style>
  <w:style w:styleId="BodyText" w:type="paragraph">
    <w:name w:val="Body Text"/>
    <w:basedOn w:val="Normal"/>
    <w:uiPriority w:val="1"/>
    <w:qFormat/>
    <w:pPr>
      <w:spacing w:before="46"/>
      <w:ind w:left="153"/>
    </w:pPr>
    <w:rPr>
      <w:rFonts w:ascii="宋体" w:hAnsi="宋体" w:eastAsia="宋体"/>
      <w:sz w:val="18"/>
      <w:szCs w:val="18"/>
    </w:rPr>
  </w:style>
  <w:style w:styleId="Heading1" w:type="paragraph">
    <w:name w:val="Heading 1"/>
    <w:basedOn w:val="Normal"/>
    <w:uiPriority w:val="1"/>
    <w:qFormat/>
    <w:pPr>
      <w:spacing w:before="2"/>
      <w:ind w:left="304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580"/>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rendongholdings.com/" TargetMode="External"/><Relationship Id="rId10" Type="http://schemas.openxmlformats.org/officeDocument/2006/relationships/hyperlink" Target="mailto:Dmb@rendongholdings.com" TargetMode="External"/><Relationship Id="rId11" Type="http://schemas.openxmlformats.org/officeDocument/2006/relationships/hyperlink" Target="mailto:Huod@rendongholdings.com" TargetMode="External"/><Relationship Id="rId12" Type="http://schemas.openxmlformats.org/officeDocument/2006/relationships/hyperlink" Target="mailto:Jiah@rendongholdings.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仁东控股股份有限公司</dc:creator>
  <dc:title>仁东控股股份有限公司2019年年度报告全文</dc:title>
  <dcterms:created xsi:type="dcterms:W3CDTF">2020-05-19T12:40:05Z</dcterms:created>
  <dcterms:modified xsi:type="dcterms:W3CDTF">2020-05-19T12:40:05Z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