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C0142E"/>
          <w:spacing w:val="0"/>
          <w:w w:val="100"/>
          <w:position w:val="0"/>
          <w:sz w:val="40"/>
          <w:szCs w:val="40"/>
        </w:rPr>
        <w:t>A</w:t>
      </w:r>
      <w:r>
        <w:rPr>
          <w:rFonts w:ascii="SimHei" w:eastAsia="SimHei" w:hAnsi="SimHei" w:cs="SimHei"/>
          <w:color w:val="261816"/>
          <w:spacing w:val="0"/>
          <w:w w:val="100"/>
          <w:position w:val="0"/>
          <w:sz w:val="19"/>
          <w:szCs w:val="19"/>
        </w:rPr>
        <w:t>仁东控股</w:t>
      </w:r>
    </w:p>
    <w:p>
      <w:pPr>
        <w:pStyle w:val="Style2"/>
        <w:keepNext w:val="0"/>
        <w:keepLines w:val="0"/>
        <w:widowControl w:val="0"/>
        <w:shd w:val="clear" w:color="auto" w:fill="auto"/>
        <w:bidi w:val="0"/>
        <w:spacing w:before="0" w:after="260" w:line="240" w:lineRule="auto"/>
        <w:ind w:left="0" w:right="0" w:firstLine="0"/>
        <w:jc w:val="center"/>
        <w:rPr>
          <w:sz w:val="9"/>
          <w:szCs w:val="9"/>
        </w:rPr>
      </w:pPr>
      <w:r>
        <w:rPr>
          <w:rFonts w:ascii="Arial" w:eastAsia="Arial" w:hAnsi="Arial" w:cs="Arial"/>
          <w:b/>
          <w:bCs/>
          <w:color w:val="564A49"/>
          <w:spacing w:val="0"/>
          <w:w w:val="100"/>
          <w:position w:val="0"/>
          <w:sz w:val="9"/>
          <w:szCs w:val="9"/>
        </w:rPr>
        <w:t>RENDONG HOLDINGS</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仁东控股股份有限公司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2022-015</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516" w:right="1110" w:bottom="2516" w:left="110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公司负责人霍东、主管会计工作负责人王石山及会计机构负责人</w:t>
      </w:r>
      <w:r>
        <w:rPr>
          <w:rFonts w:ascii="SimHei" w:eastAsia="SimHei" w:hAnsi="SimHei" w:cs="SimHei"/>
          <w:b w:val="0"/>
          <w:bCs w:val="0"/>
          <w:color w:val="000000"/>
          <w:spacing w:val="0"/>
          <w:w w:val="100"/>
          <w:position w:val="0"/>
          <w:sz w:val="19"/>
          <w:szCs w:val="19"/>
        </w:rPr>
        <w:t>（</w:t>
      </w:r>
      <w:r>
        <w:rPr>
          <w:color w:val="000000"/>
          <w:spacing w:val="0"/>
          <w:w w:val="100"/>
          <w:position w:val="0"/>
        </w:rPr>
        <w:t>会计主管 人员</w:t>
      </w:r>
      <w:r>
        <w:rPr>
          <w:rFonts w:ascii="SimHei" w:eastAsia="SimHei" w:hAnsi="SimHei" w:cs="SimHei"/>
          <w:b w:val="0"/>
          <w:bCs w:val="0"/>
          <w:color w:val="000000"/>
          <w:spacing w:val="0"/>
          <w:w w:val="100"/>
          <w:position w:val="0"/>
          <w:sz w:val="19"/>
          <w:szCs w:val="19"/>
        </w:rPr>
        <w:t>）</w:t>
      </w:r>
      <w:r>
        <w:rPr>
          <w:color w:val="000000"/>
          <w:spacing w:val="0"/>
          <w:w w:val="100"/>
          <w:position w:val="0"/>
        </w:rPr>
        <w:t>徐义宾声明：保证本年度报告中财务报告的真实、准确、完整。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中兴财光华会计师事务所（特殊普通合伙）为本公司出具了带强调事项段 的无保留意见的审计报告，本公司董事会、监事会对相关事项已有详细说明， 请投资者注意阅读。</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本报告涉及未来计划等前瞻性描述，不构成公司对投资者的实质承诺，投 资者及相关人士均应当对此保持足够的风险认识，并且应当理解计划、预测与 承诺之间的差异。</w:t>
      </w:r>
    </w:p>
    <w:p>
      <w:pPr>
        <w:pStyle w:val="Style13"/>
        <w:keepNext w:val="0"/>
        <w:keepLines w:val="0"/>
        <w:widowControl w:val="0"/>
        <w:shd w:val="clear" w:color="auto" w:fill="auto"/>
        <w:bidi w:val="0"/>
        <w:spacing w:before="0"/>
        <w:ind w:left="0" w:right="0"/>
        <w:jc w:val="both"/>
      </w:pPr>
      <w:r>
        <w:rPr>
          <w:color w:val="000000"/>
          <w:spacing w:val="0"/>
          <w:w w:val="100"/>
          <w:position w:val="0"/>
        </w:rPr>
        <w:t>本公司敬请投资者认真阅读本报告，并特别注意公司未来经营可能面临的 风险因素，包括资产的减值风险、经营资金周转风险、金融机构借款逾期风险 及由此引起的诉讼或执行风险、监管处罚风险、投资者索赔风险、行业监管政 策变化导致业务受到不利影响的风险、金融科技业务市场竞争风险、系统软硬 件及技术风险及客户的违法违规行为导致的经营风险等。</w:t>
      </w:r>
    </w:p>
    <w:p>
      <w:pPr>
        <w:pStyle w:val="Style13"/>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pos="910" w:val="left"/>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第一节</w:t>
        <w:tab/>
        <w:t>重要提示、目录和释义</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第二节公司简介和主要财务指标</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第三节管理层讨论与分析</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第四节公司治理</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pos="910" w:val="left"/>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第五节</w:t>
        <w:tab/>
        <w:t>环境和社会责任</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第六节重要事项</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pos="910" w:val="left"/>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第七节</w:t>
        <w:tab/>
        <w:t>股份变动及股东情况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第八节优先股相关情况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pPr>
      <w:r>
        <w:rPr>
          <w:color w:val="000000"/>
          <w:spacing w:val="0"/>
          <w:w w:val="100"/>
          <w:position w:val="0"/>
          <w:sz w:val="22"/>
          <w:szCs w:val="22"/>
        </w:rPr>
        <w:t>第九节债券相关情况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6"/>
        <w:keepNext w:val="0"/>
        <w:keepLines w:val="0"/>
        <w:widowControl w:val="0"/>
        <w:shd w:val="clear" w:color="auto" w:fill="auto"/>
        <w:tabs>
          <w:tab w:leader="dot" w:pos="7440" w:val="left"/>
        </w:tabs>
        <w:bidi w:val="0"/>
        <w:spacing w:before="0" w:line="240" w:lineRule="auto"/>
        <w:ind w:left="0" w:right="0" w:firstLine="0"/>
        <w:jc w:val="left"/>
        <w:rPr>
          <w:sz w:val="24"/>
          <w:szCs w:val="24"/>
        </w:rPr>
        <w:sectPr>
          <w:footnotePr>
            <w:pos w:val="pageBottom"/>
            <w:numFmt w:val="decimal"/>
            <w:numRestart w:val="continuous"/>
          </w:footnotePr>
          <w:pgSz w:w="11900" w:h="16840"/>
          <w:pgMar w:top="1940" w:right="1142" w:bottom="2271" w:left="1066" w:header="0" w:footer="3" w:gutter="0"/>
          <w:cols w:space="720"/>
          <w:noEndnote/>
          <w:rtlGutter w:val="0"/>
          <w:docGrid w:linePitch="360"/>
        </w:sectPr>
      </w:pPr>
      <w:r>
        <w:rPr>
          <w:color w:val="000000"/>
          <w:spacing w:val="0"/>
          <w:w w:val="100"/>
          <w:position w:val="0"/>
          <w:sz w:val="22"/>
          <w:szCs w:val="22"/>
        </w:rPr>
        <w:t>第十节财务报告</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9"/>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载有公司法定代表人、主管会计工作负责人、会计机构负责人签名并盖章的会计报表。</w:t>
      </w:r>
    </w:p>
    <w:p>
      <w:pPr>
        <w:pStyle w:val="Style19"/>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0" w:val="left"/>
        </w:tabs>
        <w:bidi w:val="0"/>
        <w:spacing w:before="0" w:after="0" w:line="240" w:lineRule="auto"/>
        <w:ind w:left="0" w:right="0" w:firstLine="0"/>
        <w:jc w:val="left"/>
        <w:sectPr>
          <w:footnotePr>
            <w:pos w:val="pageBottom"/>
            <w:numFmt w:val="decimal"/>
            <w:numRestart w:val="continuous"/>
          </w:footnotePr>
          <w:pgSz w:w="11900" w:h="16840"/>
          <w:pgMar w:top="2089" w:right="1248" w:bottom="2089" w:left="1104" w:header="0" w:footer="3" w:gutter="0"/>
          <w:cols w:space="720"/>
          <w:noEndnote/>
          <w:rtlGutter w:val="0"/>
          <w:docGrid w:linePitch="360"/>
        </w:sectPr>
      </w:pPr>
      <w:bookmarkStart w:id="5" w:name="bookmark5"/>
      <w:r>
        <w:rPr>
          <w:color w:val="000000"/>
          <w:spacing w:val="0"/>
          <w:w w:val="100"/>
          <w:position w:val="0"/>
        </w:rPr>
        <w:t>三</w:t>
      </w:r>
      <w:bookmarkEnd w:id="5"/>
      <w:r>
        <w:rPr>
          <w:color w:val="000000"/>
          <w:spacing w:val="0"/>
          <w:w w:val="100"/>
          <w:position w:val="0"/>
        </w:rPr>
        <w:t>、</w:t>
        <w:tab/>
        <w:t>报告期内公开披露过的所有公司文件的正本及公告的原稿。</w:t>
      </w:r>
    </w:p>
    <w:p>
      <w:pPr>
        <w:pStyle w:val="Style2"/>
        <w:keepNext w:val="0"/>
        <w:keepLines w:val="0"/>
        <w:widowControl w:val="0"/>
        <w:shd w:val="clear" w:color="auto" w:fill="auto"/>
        <w:bidi w:val="0"/>
        <w:spacing w:before="84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人民银行、央行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公司、本公司、仁东控股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控股股东、仁东信息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广东合利、合利金融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合利宝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广州合利宝支付科技有限公司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共青城仁东投资管理有限公司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民盛租赁有限公司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小贷业务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互联网小额贷款业务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仁东小贷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广州仁东互联网小额贷款有限公司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蔚洁科技、上海蔚洁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上海蔚洁信息科技服务有限公司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一</w:t>
      </w:r>
      <w:bookmarkEnd w:id="11"/>
      <w:r>
        <w:rPr>
          <w:color w:val="000000"/>
          <w:spacing w:val="0"/>
          <w:w w:val="100"/>
          <w:position w:val="0"/>
        </w:rPr>
        <w:t>、公司信息</w:t>
      </w:r>
      <w:bookmarkEnd w:id="10"/>
      <w:bookmarkEnd w:id="12"/>
      <w:bookmarkEnd w:id="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仁东控股</w:t>
              <w:tab/>
              <w:t>股票代码</w:t>
              <w:tab/>
            </w:r>
            <w:r>
              <w:rPr>
                <w:rFonts w:ascii="Times New Roman" w:eastAsia="Times New Roman" w:hAnsi="Times New Roman" w:cs="Times New Roman"/>
                <w:color w:val="000000"/>
                <w:spacing w:val="0"/>
                <w:w w:val="100"/>
                <w:position w:val="0"/>
                <w:sz w:val="18"/>
                <w:szCs w:val="18"/>
              </w:rPr>
              <w:t>002647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Rendong Holdings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Rendong Holdings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浙江省诸暨市大唐镇开元东路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"http://www.rendongholdings.com" </w:instrText>
            </w:r>
            <w:r>
              <w:fldChar w:fldCharType="separate"/>
            </w:r>
            <w:r>
              <w:rPr>
                <w:rFonts w:ascii="Times New Roman" w:eastAsia="Times New Roman" w:hAnsi="Times New Roman" w:cs="Times New Roman"/>
                <w:color w:val="000000"/>
                <w:spacing w:val="0"/>
                <w:w w:val="100"/>
                <w:position w:val="0"/>
                <w:sz w:val="18"/>
                <w:szCs w:val="18"/>
              </w:rPr>
              <w:t>www.rendongholdings.com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"mailto:Dmb@rendongholdings.com" </w:instrText>
            </w:r>
            <w:r>
              <w:fldChar w:fldCharType="separate"/>
            </w:r>
            <w:r>
              <w:rPr>
                <w:rFonts w:ascii="Times New Roman" w:eastAsia="Times New Roman" w:hAnsi="Times New Roman" w:cs="Times New Roman"/>
                <w:color w:val="000000"/>
                <w:spacing w:val="0"/>
                <w:w w:val="100"/>
                <w:position w:val="0"/>
                <w:sz w:val="18"/>
                <w:szCs w:val="18"/>
              </w:rPr>
              <w:t>Dmb@rendongholdings.com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张亚涛</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010-57808558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010-57808558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010-57808568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010-57808568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Huod@rendongholding </w:t>
            </w:r>
            <w:r>
              <w:rPr>
                <w:rFonts w:ascii="Times New Roman" w:eastAsia="Times New Roman" w:hAnsi="Times New Roman" w:cs="Times New Roman"/>
                <w:color w:val="000000"/>
                <w:spacing w:val="0"/>
                <w:w w:val="100"/>
                <w:position w:val="0"/>
                <w:sz w:val="18"/>
                <w:szCs w:val="18"/>
              </w:rPr>
              <w:t>s.com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"mailto:Zhangyt@rendongholdings.com" </w:instrText>
            </w:r>
            <w:r>
              <w:fldChar w:fldCharType="separate"/>
            </w:r>
            <w:r>
              <w:rPr>
                <w:rFonts w:ascii="Times New Roman" w:eastAsia="Times New Roman" w:hAnsi="Times New Roman" w:cs="Times New Roman"/>
                <w:color w:val="000000"/>
                <w:spacing w:val="0"/>
                <w:w w:val="100"/>
                <w:position w:val="0"/>
                <w:sz w:val="18"/>
                <w:szCs w:val="18"/>
              </w:rPr>
              <w:t>Zhangyt@rendongholdings.com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both"/>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、注册变更情况</w:t>
      </w:r>
      <w:bookmarkEnd w:id="21"/>
      <w:bookmarkEnd w:id="22"/>
      <w:bookmarkEnd w:id="24"/>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91330000753974205M</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年度实施了重大资产重组事项，原有铜加工产业已经全部置出。公司 的主营业务已转型为第三方支付、融资租赁、保理、供应链管理等金融科技相关 的主营业务；公司的行业分类已变更为''其他金融业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（代码</w:t>
            </w:r>
            <w:r>
              <w:rPr>
                <w:rFonts w:ascii="Times New Roman" w:eastAsia="Times New Roman" w:hAnsi="Times New Roman" w:cs="Times New Roman"/>
                <w:color w:val="000000"/>
                <w:spacing w:val="0"/>
                <w:w w:val="100"/>
                <w:position w:val="0"/>
                <w:sz w:val="18"/>
                <w:szCs w:val="18"/>
              </w:rPr>
              <w:t>J69</w:t>
            </w:r>
            <w:r>
              <w:rPr>
                <w:color w:val="000000"/>
                <w:spacing w:val="0"/>
                <w:w w:val="100"/>
                <w:position w:val="0"/>
              </w:rPr>
              <w:t>）。</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日，公司控股股东由戚建萍变更为和柚技术集团有限公司；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日，公司控股股东由天津和柚技术有限公司（原名称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和柚技术集团有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变更为北京仁东信息技术有限公司（原名称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内蒙古正东云驱科技有限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日，公司控股股东由北京仁东信息技术有限公司变更为 北京海淀科技金融资本控股集团股份有限公司；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日，公司控股股 东由北京海淀科技金融资本控股集团股份有限公司变更为北京仁东信息技术有限 公司。</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、其他有关资料</w:t>
      </w:r>
      <w:bookmarkEnd w:id="25"/>
      <w:bookmarkEnd w:id="26"/>
      <w:bookmarkEnd w:id="2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北京市海淀区北三环西路</w:t>
            </w:r>
            <w:r>
              <w:rPr>
                <w:rFonts w:ascii="Times New Roman" w:eastAsia="Times New Roman" w:hAnsi="Times New Roman" w:cs="Times New Roman"/>
                <w:color w:val="000000"/>
                <w:spacing w:val="0"/>
                <w:w w:val="100"/>
                <w:position w:val="0"/>
                <w:sz w:val="18"/>
                <w:szCs w:val="18"/>
              </w:rPr>
              <w:t xml:space="preserve">99 </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朱小明、张晨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、主要会计数据和财务指标</w:t>
      </w:r>
      <w:bookmarkEnd w:id="29"/>
      <w:bookmarkEnd w:id="30"/>
      <w:bookmarkEnd w:id="32"/>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追溯调整或重述原因</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会计差错更正</w:t>
      </w:r>
    </w:p>
    <w:tbl>
      <w:tblPr>
        <w:tblOverlap w:val="never"/>
        <w:jc w:val="center"/>
        <w:tblLayout w:type="fixed"/>
      </w:tblPr>
      <w:tblGrid>
        <w:gridCol w:w="2366"/>
        <w:gridCol w:w="1200"/>
        <w:gridCol w:w="1205"/>
        <w:gridCol w:w="1200"/>
        <w:gridCol w:w="1200"/>
        <w:gridCol w:w="1200"/>
        <w:gridCol w:w="1214"/>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1,728,120,815.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2,130,285,587.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2,110,399,581.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1,830,818,307.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1,791,911,075.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-52,383,346.23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-373,584,843.1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-430,662,610.7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29,899,681.04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-25,428,831.75</w:t>
            </w:r>
          </w:p>
        </w:tc>
      </w:tr>
    </w:tbl>
    <w:p>
      <w:pPr>
        <w:spacing w:lineRule="exact" w:line="1"/>
        <w:rPr>
          <w:sz w:val="2"/>
          <w:szCs w:val="2"/>
        </w:rPr>
      </w:pPr>
      <w:r>
        <w:br w:type="page"/>
      </w:r>
    </w:p>
    <w:tbl>
      <w:tblPr>
        <w:tblOverlap w:val="never"/>
        <w:jc w:val="center"/>
        <w:tblLayout w:type="fixed"/>
      </w:tblPr>
      <w:tblGrid>
        <w:gridCol w:w="2366"/>
        <w:gridCol w:w="1200"/>
        <w:gridCol w:w="1205"/>
        <w:gridCol w:w="1200"/>
        <w:gridCol w:w="1200"/>
        <w:gridCol w:w="1200"/>
        <w:gridCol w:w="12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-66,857,662.78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-402,554,812.9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-459,632,580.5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21,780,634.75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-33,547,878.04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265,699,930.58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94,124,010.71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76,738,004.55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-66,807,472.04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-27,714,704.40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本年末比上年</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3,750,801,740.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3,730,196,264.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3,617,789,984.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3,579,161,826.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3,601,095,629.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349,188,269.45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515,936,992.95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403,530,712.52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987,742,300.83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932,413,788.04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1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日，公司收到中国证监会下发的《行政处罚决定书》（</w:t>
      </w:r>
      <w:r>
        <w:rPr>
          <w:rFonts w:ascii="Times New Roman" w:eastAsia="Times New Roman" w:hAnsi="Times New Roman" w:cs="Times New Roman"/>
          <w:color w:val="000000"/>
          <w:spacing w:val="0"/>
          <w:w w:val="100"/>
          <w:position w:val="0"/>
          <w:sz w:val="18"/>
          <w:szCs w:val="18"/>
        </w:rPr>
        <w:t>[2022]14</w:t>
      </w:r>
      <w:r>
        <w:rPr>
          <w:color w:val="000000"/>
          <w:spacing w:val="0"/>
          <w:w w:val="100"/>
          <w:position w:val="0"/>
        </w:rPr>
        <w:t>号）。根据《行政处罚决定书》的认定，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年虚增保理业务收入</w:t>
      </w:r>
      <w:r>
        <w:rPr>
          <w:rFonts w:ascii="Times New Roman" w:eastAsia="Times New Roman" w:hAnsi="Times New Roman" w:cs="Times New Roman"/>
          <w:color w:val="000000"/>
          <w:spacing w:val="0"/>
          <w:w w:val="100"/>
          <w:position w:val="0"/>
          <w:sz w:val="18"/>
          <w:szCs w:val="18"/>
        </w:rPr>
        <w:t>3,890.72</w:t>
      </w:r>
      <w:r>
        <w:rPr>
          <w:color w:val="000000"/>
          <w:spacing w:val="0"/>
          <w:w w:val="100"/>
          <w:position w:val="0"/>
        </w:rPr>
        <w:t>万元，虚增利润总额</w:t>
      </w:r>
      <w:r>
        <w:rPr>
          <w:rFonts w:ascii="Times New Roman" w:eastAsia="Times New Roman" w:hAnsi="Times New Roman" w:cs="Times New Roman"/>
          <w:color w:val="000000"/>
          <w:spacing w:val="0"/>
          <w:w w:val="100"/>
          <w:position w:val="0"/>
          <w:sz w:val="18"/>
          <w:szCs w:val="18"/>
        </w:rPr>
        <w:t>3,890.72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年少计提坏账准备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万元，虚增利润 总额</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年上半年虚增保理业务收入</w:t>
      </w:r>
      <w:r>
        <w:rPr>
          <w:rFonts w:ascii="Times New Roman" w:eastAsia="Times New Roman" w:hAnsi="Times New Roman" w:cs="Times New Roman"/>
          <w:color w:val="000000"/>
          <w:spacing w:val="0"/>
          <w:w w:val="100"/>
          <w:position w:val="0"/>
          <w:sz w:val="18"/>
          <w:szCs w:val="18"/>
        </w:rPr>
        <w:t>2,065.36</w:t>
      </w:r>
      <w:r>
        <w:rPr>
          <w:color w:val="000000"/>
          <w:spacing w:val="0"/>
          <w:w w:val="100"/>
          <w:position w:val="0"/>
        </w:rPr>
        <w:t>万元，虚增利润总额</w:t>
      </w:r>
      <w:r>
        <w:rPr>
          <w:rFonts w:ascii="Times New Roman" w:eastAsia="Times New Roman" w:hAnsi="Times New Roman" w:cs="Times New Roman"/>
          <w:color w:val="000000"/>
          <w:spacing w:val="0"/>
          <w:w w:val="100"/>
          <w:position w:val="0"/>
          <w:sz w:val="18"/>
          <w:szCs w:val="18"/>
        </w:rPr>
        <w:t>2,065.36</w:t>
      </w:r>
      <w:r>
        <w:rPr>
          <w:color w:val="000000"/>
          <w:spacing w:val="0"/>
          <w:w w:val="100"/>
          <w:position w:val="0"/>
        </w:rPr>
        <w:t>万元。根据中国证监会《行政处罚 决定书》的认定，结合公司自查情况，公司对前期存在的会计差错采用追溯重述法进行更正。</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8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支付、融资租赁等业务收入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1,701,934,665.86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2,092,294,665.35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、境内外会计准则下会计数据差异</w:t>
      </w:r>
      <w:bookmarkEnd w:id="33"/>
      <w:bookmarkEnd w:id="34"/>
      <w:bookmarkEnd w:id="36"/>
    </w:p>
    <w:p>
      <w:pPr>
        <w:pStyle w:val="Style28"/>
        <w:keepNext/>
        <w:keepLines/>
        <w:widowControl w:val="0"/>
        <w:shd w:val="clear" w:color="auto" w:fill="auto"/>
        <w:tabs>
          <w:tab w:pos="368"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78"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、分季度主要财务指标</w:t>
      </w:r>
      <w:bookmarkEnd w:id="45"/>
      <w:bookmarkEnd w:id="46"/>
      <w:bookmarkEnd w:id="48"/>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418,983,727.32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459,715,855.80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472,627,343.26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376,793,889.16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-9,253,584.64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-1,831,400.36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-1,932,480.46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-39,365,880.77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-11,707,757.57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-1,995,181.91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-3,972,073.13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-49,182,650.17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64,477,657.26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20,271,727.97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17,447,776.66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163,502,768.69</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、非经常性损益项目及金额</w:t>
      </w:r>
      <w:bookmarkEnd w:id="49"/>
      <w:bookmarkEnd w:id="50"/>
      <w:bookmarkEnd w:id="5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-21,225.61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3,453,697.01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25,168,018.92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1,439,318.09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676,848.43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11,086,774.91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5,458,125.74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186,846.76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3,317,317.10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3,729,288.62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6,717,245.08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1,922,975.38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439,725.24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151,513.65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14,474,316.55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28,969,969.83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8,119,046.29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3" w:right="1117" w:bottom="1446"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1"/>
        <w:keepNext/>
        <w:keepLines/>
        <w:widowControl w:val="0"/>
        <w:shd w:val="clear" w:color="auto" w:fill="auto"/>
        <w:bidi w:val="0"/>
        <w:spacing w:before="54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2"/>
        <w:keepNext/>
        <w:keepLines/>
        <w:widowControl w:val="0"/>
        <w:shd w:val="clear" w:color="auto" w:fill="auto"/>
        <w:tabs>
          <w:tab w:pos="480" w:val="left"/>
        </w:tabs>
        <w:bidi w:val="0"/>
        <w:spacing w:before="0" w:after="2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报告期内公司所处的行业情况</w:t>
      </w:r>
      <w:bookmarkEnd w:id="56"/>
      <w:bookmarkEnd w:id="57"/>
      <w:bookmarkEnd w:id="59"/>
    </w:p>
    <w:p>
      <w:pPr>
        <w:pStyle w:val="Style19"/>
        <w:keepNext w:val="0"/>
        <w:keepLines w:val="0"/>
        <w:widowControl w:val="0"/>
        <w:shd w:val="clear" w:color="auto" w:fill="auto"/>
        <w:bidi w:val="0"/>
        <w:spacing w:before="0" w:after="40" w:line="312" w:lineRule="exact"/>
        <w:ind w:left="0" w:right="0"/>
        <w:jc w:val="both"/>
      </w:pPr>
      <w:r>
        <w:rPr>
          <w:color w:val="000000"/>
          <w:spacing w:val="0"/>
          <w:w w:val="100"/>
          <w:position w:val="0"/>
        </w:rPr>
        <w:t>近年来，金融科技在我国不断创新发展，深刻改变了金融服务的方式和业态，促进了经济和金融业的发展。但金融科技 的发展同时也衍生出了潜在风险，给金融创新、金融监管带来了新的挑战。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年政府工作报告明确提出，要强化金融科技 监管，确保金融创新在审慎监管的前提下进行。十四五规划《纲要》也提出，要探索建立金融科技监管框架，稳妥发展金融 科技，加快金融机构数字化转型，强化监管科技运用和金融创新风险评估，探索建立创新产品纠偏和暂停机制。因此，加快 金融机构数字化转型的同时，还必须强化金融科技审慎监管，这是当前和今后一段时期我国金融科技规范发展的内在要求。</w:t>
      </w:r>
    </w:p>
    <w:p>
      <w:pPr>
        <w:pStyle w:val="Style19"/>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年全国支付体系运行平稳，社会资金交易规模不断扩大，支付系统业务量稳步增长。根据中国人民银行发布的数据，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年银行共处理电子支付业务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,749.69</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,976.22</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16.90%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9.75%</w:t>
      </w:r>
      <w:r>
        <w:rPr>
          <w:color w:val="000000"/>
          <w:spacing w:val="0"/>
          <w:w w:val="100"/>
          <w:position w:val="0"/>
        </w:rPr>
        <w:t xml:space="preserve">。其中，网上支付业务 </w:t>
      </w:r>
      <w:r>
        <w:rPr>
          <w:rFonts w:ascii="Times New Roman" w:eastAsia="Times New Roman" w:hAnsi="Times New Roman" w:cs="Times New Roman"/>
          <w:color w:val="000000"/>
          <w:spacing w:val="0"/>
          <w:w w:val="100"/>
          <w:position w:val="0"/>
          <w:sz w:val="18"/>
          <w:szCs w:val="18"/>
        </w:rPr>
        <w:t>1,022.78</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2,353.96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16.32%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；移动支付业务</w:t>
      </w:r>
      <w:r>
        <w:rPr>
          <w:rFonts w:ascii="Times New Roman" w:eastAsia="Times New Roman" w:hAnsi="Times New Roman" w:cs="Times New Roman"/>
          <w:color w:val="000000"/>
          <w:spacing w:val="0"/>
          <w:w w:val="100"/>
          <w:position w:val="0"/>
          <w:sz w:val="18"/>
          <w:szCs w:val="18"/>
        </w:rPr>
        <w:t>1,512.28</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526.98</w:t>
      </w:r>
      <w:r>
        <w:rPr>
          <w:color w:val="000000"/>
          <w:spacing w:val="0"/>
          <w:w w:val="100"/>
          <w:position w:val="0"/>
        </w:rPr>
        <w:t>万亿元，同比分 别增长</w:t>
      </w:r>
      <w:r>
        <w:rPr>
          <w:rFonts w:ascii="Times New Roman" w:eastAsia="Times New Roman" w:hAnsi="Times New Roman" w:cs="Times New Roman"/>
          <w:color w:val="000000"/>
          <w:spacing w:val="0"/>
          <w:w w:val="100"/>
          <w:position w:val="0"/>
          <w:sz w:val="18"/>
          <w:szCs w:val="18"/>
        </w:rPr>
        <w:t>22.73%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21.94%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年非银行支付机构处理网络支付业务</w:t>
      </w:r>
      <w:r>
        <w:rPr>
          <w:rFonts w:ascii="Times New Roman" w:eastAsia="Times New Roman" w:hAnsi="Times New Roman" w:cs="Times New Roman"/>
          <w:color w:val="000000"/>
          <w:spacing w:val="0"/>
          <w:w w:val="100"/>
          <w:position w:val="0"/>
          <w:sz w:val="18"/>
          <w:szCs w:val="18"/>
        </w:rPr>
        <w:t>10,283.22</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355.46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 xml:space="preserve">24.30%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3,893.6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万台，较上年末增加</w:t>
      </w:r>
      <w:r>
        <w:rPr>
          <w:rFonts w:ascii="Times New Roman" w:eastAsia="Times New Roman" w:hAnsi="Times New Roman" w:cs="Times New Roman"/>
          <w:color w:val="000000"/>
          <w:spacing w:val="0"/>
          <w:w w:val="100"/>
          <w:position w:val="0"/>
          <w:sz w:val="18"/>
          <w:szCs w:val="18"/>
        </w:rPr>
        <w:t>60.58</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全国每万人拥有联网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275.63</w:t>
      </w:r>
      <w:r>
        <w:rPr>
          <w:color w:val="000000"/>
          <w:spacing w:val="0"/>
          <w:w w:val="100"/>
          <w:position w:val="0"/>
        </w:rPr>
        <w:t>台，同 比增长</w:t>
      </w: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w:t>
      </w:r>
    </w:p>
    <w:p>
      <w:pPr>
        <w:pStyle w:val="Style19"/>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日，中国人民银行会发布了《地方金融监督管理条例（草案征求意见稿）》，给融资租赁行业带来重要 影响，租赁行业目前已步入转型优化的关键时期。作为与实体经济联系最为紧密的金融业务之一，融资租赁在服务中小企业、 促进产业升级、优化资源配置等方面发挥了重要作用。近年来，随着我国实体经济对金融服务需求的不断增强，融资租赁行 业也得到了快速发展。</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未来，随着科学技术的不断延伸发展，应用场景的不断拓展深化，数字人民币的持续推广与加速普及，消费者习惯的逐 步转变，金融科技行业将面临重大的发展机遇。作为金融科技企业，公司将严格遵守国家法律法规和各项监管规定，审慎开 展业务，自觉履行社会责任，积极贡献企业力量，努力实现创新发展。</w:t>
      </w:r>
    </w:p>
    <w:p>
      <w:pPr>
        <w:pStyle w:val="Style22"/>
        <w:keepNext/>
        <w:keepLines/>
        <w:widowControl w:val="0"/>
        <w:shd w:val="clear" w:color="auto" w:fill="auto"/>
        <w:tabs>
          <w:tab w:pos="480" w:val="left"/>
        </w:tabs>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报告期内公司从事的主要业务</w:t>
      </w:r>
      <w:bookmarkEnd w:id="60"/>
      <w:bookmarkEnd w:id="61"/>
      <w:bookmarkEnd w:id="63"/>
    </w:p>
    <w:p>
      <w:pPr>
        <w:pStyle w:val="Style19"/>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年是充满挑战的一年。本年度，新冠肺炎疫情仍在全球持续，国内经济增速放缓，社会整体消费能力下降，各行 各业的运营均受到不同程度的影响和冲击。在内外部环境综合影响下，公司管理层在董事会的领导下，紧紧围绕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打造金融 科技生态圈、完善金融科技产业链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的战略发展规划，持续加强规范运作，努力提升管理水平，不断优化服务能力，推动公 司持续稳健发展。</w:t>
      </w:r>
    </w:p>
    <w:p>
      <w:pPr>
        <w:pStyle w:val="Style19"/>
        <w:keepNext w:val="0"/>
        <w:keepLines w:val="0"/>
        <w:widowControl w:val="0"/>
        <w:shd w:val="clear" w:color="auto" w:fill="auto"/>
        <w:tabs>
          <w:tab w:pos="851" w:val="left"/>
        </w:tabs>
        <w:bidi w:val="0"/>
        <w:spacing w:before="0" w:after="40" w:line="312" w:lineRule="exact"/>
        <w:ind w:left="0" w:right="0"/>
        <w:jc w:val="both"/>
      </w:pPr>
      <w:bookmarkStart w:id="64" w:name="bookmark64"/>
      <w:r>
        <w:rPr>
          <w:color w:val="000000"/>
          <w:spacing w:val="0"/>
          <w:w w:val="100"/>
          <w:position w:val="0"/>
        </w:rPr>
        <w:t>（</w:t>
      </w:r>
      <w:bookmarkEnd w:id="64"/>
      <w:r>
        <w:rPr>
          <w:color w:val="000000"/>
          <w:spacing w:val="0"/>
          <w:w w:val="100"/>
          <w:position w:val="0"/>
        </w:rPr>
        <w:t>一）</w:t>
        <w:tab/>
        <w:t>总体经营情况</w:t>
      </w:r>
    </w:p>
    <w:p>
      <w:pPr>
        <w:pStyle w:val="Style19"/>
        <w:keepNext w:val="0"/>
        <w:keepLines w:val="0"/>
        <w:widowControl w:val="0"/>
        <w:shd w:val="clear" w:color="auto" w:fill="auto"/>
        <w:bidi w:val="0"/>
        <w:spacing w:before="0" w:after="40" w:line="310" w:lineRule="exact"/>
        <w:ind w:left="0" w:right="0"/>
        <w:jc w:val="both"/>
      </w:pPr>
      <w:r>
        <w:rPr>
          <w:color w:val="000000"/>
          <w:spacing w:val="0"/>
          <w:w w:val="100"/>
          <w:position w:val="0"/>
        </w:rPr>
        <w:t>作为金融科技企业，公司立足于为中小微企业和个体工商户经营提供服务，主营业务包含支付业务、融资租赁业务、互 联网小贷业务、商业保理及供应链业务。报告期内，受整体经济下行、疫情持续、公司资金紧张、财务费用增加等因素的影 响，公司适时调整业务布局，大幅收缩了保理、供应链相关业务，集中资源开展第三方支付、融资租赁及互联网小贷业务。 报告期内，公司取得营业收入</w:t>
      </w:r>
      <w:r>
        <w:rPr>
          <w:rFonts w:ascii="Times New Roman" w:eastAsia="Times New Roman" w:hAnsi="Times New Roman" w:cs="Times New Roman"/>
          <w:color w:val="000000"/>
          <w:spacing w:val="0"/>
          <w:w w:val="100"/>
          <w:position w:val="0"/>
          <w:sz w:val="18"/>
          <w:szCs w:val="18"/>
        </w:rPr>
        <w:t>172,812.08</w:t>
      </w:r>
      <w:r>
        <w:rPr>
          <w:color w:val="000000"/>
          <w:spacing w:val="0"/>
          <w:w w:val="100"/>
          <w:position w:val="0"/>
        </w:rPr>
        <w:t>万元，同比减少</w:t>
      </w:r>
      <w:r>
        <w:rPr>
          <w:rFonts w:ascii="Times New Roman" w:eastAsia="Times New Roman" w:hAnsi="Times New Roman" w:cs="Times New Roman"/>
          <w:color w:val="000000"/>
          <w:spacing w:val="0"/>
          <w:w w:val="100"/>
          <w:position w:val="0"/>
          <w:sz w:val="18"/>
          <w:szCs w:val="18"/>
        </w:rPr>
        <w:t xml:space="preserve">18.11%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-5,238.33</w:t>
      </w:r>
      <w:r>
        <w:rPr>
          <w:color w:val="000000"/>
          <w:spacing w:val="0"/>
          <w:w w:val="100"/>
          <w:position w:val="0"/>
        </w:rPr>
        <w:t>万元，同比增 加</w:t>
      </w:r>
      <w:r>
        <w:rPr>
          <w:rFonts w:ascii="Times New Roman" w:eastAsia="Times New Roman" w:hAnsi="Times New Roman" w:cs="Times New Roman"/>
          <w:color w:val="000000"/>
          <w:spacing w:val="0"/>
          <w:w w:val="100"/>
          <w:position w:val="0"/>
          <w:sz w:val="18"/>
          <w:szCs w:val="18"/>
        </w:rPr>
        <w:t>87.84%</w:t>
      </w:r>
      <w:r>
        <w:rPr>
          <w:color w:val="000000"/>
          <w:spacing w:val="0"/>
          <w:w w:val="100"/>
          <w:position w:val="0"/>
        </w:rPr>
        <w:t>。</w:t>
      </w:r>
    </w:p>
    <w:p>
      <w:pPr>
        <w:pStyle w:val="Style19"/>
        <w:keepNext w:val="0"/>
        <w:keepLines w:val="0"/>
        <w:widowControl w:val="0"/>
        <w:shd w:val="clear" w:color="auto" w:fill="auto"/>
        <w:tabs>
          <w:tab w:pos="851" w:val="left"/>
        </w:tabs>
        <w:bidi w:val="0"/>
        <w:spacing w:before="0" w:after="40" w:line="312" w:lineRule="exact"/>
        <w:ind w:left="0" w:right="0"/>
        <w:jc w:val="both"/>
      </w:pPr>
      <w:bookmarkStart w:id="65" w:name="bookmark65"/>
      <w:r>
        <w:rPr>
          <w:color w:val="000000"/>
          <w:spacing w:val="0"/>
          <w:w w:val="100"/>
          <w:position w:val="0"/>
        </w:rPr>
        <w:t>（</w:t>
      </w:r>
      <w:bookmarkEnd w:id="65"/>
      <w:r>
        <w:rPr>
          <w:color w:val="000000"/>
          <w:spacing w:val="0"/>
          <w:w w:val="100"/>
          <w:position w:val="0"/>
        </w:rPr>
        <w:t>二）</w:t>
        <w:tab/>
        <w:t>经营情况分析</w:t>
      </w:r>
    </w:p>
    <w:p>
      <w:pPr>
        <w:pStyle w:val="Style19"/>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报告期内，公司积极调整业务布局，整合自身资源，大幅收缩保理和供应链相关业务，整体收入规模有所下降。在业务 调整过程中，为充分发挥企业优势，公司根据自身实际情况，集中精力聚焦发展第三方支付、融资租赁业务，加大业务创新 力度，不断优化服务能力，整体取得了较好的成绩，经营业务持续稳健发展。公司主要业务经营情况如下：</w:t>
      </w:r>
    </w:p>
    <w:p>
      <w:pPr>
        <w:pStyle w:val="Style19"/>
        <w:keepNext w:val="0"/>
        <w:keepLines w:val="0"/>
        <w:widowControl w:val="0"/>
        <w:shd w:val="clear" w:color="auto" w:fill="auto"/>
        <w:bidi w:val="0"/>
        <w:spacing w:before="0" w:after="0" w:line="360" w:lineRule="auto"/>
        <w:ind w:left="0" w:right="0"/>
        <w:jc w:val="both"/>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、支付业务</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公司控股子公司合利宝对外提供第三方支付服务，其生产行为是对支付系统的开发维护，主要为开发、运营并维护支付 </w:t>
      </w:r>
      <w:r>
        <w:rPr>
          <w:color w:val="000000"/>
          <w:spacing w:val="0"/>
          <w:w w:val="100"/>
          <w:position w:val="0"/>
        </w:rPr>
        <w:t>系统以及清算平台系统、交易资金的清算、用户的审核、银联卡受理终端主密钥的生成和管理、研发增值服务、拓展终端用 户、提升用户体验、增强用户粘性、为用户提供电话、微信及网络平台客服等。</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公司支付业务</w:t>
      </w:r>
      <w:r>
        <w:rPr>
          <w:color w:val="333333"/>
          <w:spacing w:val="0"/>
          <w:w w:val="100"/>
          <w:position w:val="0"/>
        </w:rPr>
        <w:t>拥有中国人民银行核发的《支付业务许可证》，并具有跨境人民币支付业务备案许可，经营范围包括互联 网支付、移动电话支付、银行卡收单服务。</w:t>
      </w:r>
      <w:r>
        <w:rPr>
          <w:color w:val="000000"/>
          <w:spacing w:val="0"/>
          <w:w w:val="100"/>
          <w:position w:val="0"/>
        </w:rPr>
        <w:t>合利宝拥有独立研发的支付结算系统，兼具金融属性和科技属性，在行业内具有 较强的竞争优势和市场地位。公司充分利用合利宝经营范围覆盖面广的优势，在保持原有支付业务的基础上，大力发展线上、 线下及创新业务等其他第三方支付上下游相关业务，重点打造金融科技产业生态优势。</w:t>
      </w:r>
    </w:p>
    <w:p>
      <w:pPr>
        <w:pStyle w:val="Style19"/>
        <w:keepNext w:val="0"/>
        <w:keepLines w:val="0"/>
        <w:widowControl w:val="0"/>
        <w:shd w:val="clear" w:color="auto" w:fill="auto"/>
        <w:bidi w:val="0"/>
        <w:spacing w:before="0" w:after="160" w:line="307" w:lineRule="exact"/>
        <w:ind w:left="0" w:right="0"/>
        <w:jc w:val="both"/>
      </w:pPr>
      <w:r>
        <w:rPr>
          <w:color w:val="000000"/>
          <w:spacing w:val="0"/>
          <w:w w:val="100"/>
          <w:position w:val="0"/>
        </w:rPr>
        <w:t>报告期内，公司支付业务持续发展向好，营业收入及利润同比较大提升，取得营业收入</w:t>
      </w:r>
      <w:r>
        <w:rPr>
          <w:rFonts w:ascii="Times New Roman" w:eastAsia="Times New Roman" w:hAnsi="Times New Roman" w:cs="Times New Roman"/>
          <w:color w:val="000000"/>
          <w:spacing w:val="0"/>
          <w:w w:val="100"/>
          <w:position w:val="0"/>
          <w:sz w:val="18"/>
          <w:szCs w:val="18"/>
        </w:rPr>
        <w:t>168,174.22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39.47%</w:t>
      </w:r>
      <w:r>
        <w:rPr>
          <w:color w:val="000000"/>
          <w:spacing w:val="0"/>
          <w:w w:val="100"/>
          <w:position w:val="0"/>
        </w:rPr>
        <w:t>， 实现净利润</w:t>
      </w:r>
      <w:r>
        <w:rPr>
          <w:rFonts w:ascii="Times New Roman" w:eastAsia="Times New Roman" w:hAnsi="Times New Roman" w:cs="Times New Roman"/>
          <w:color w:val="000000"/>
          <w:spacing w:val="0"/>
          <w:w w:val="100"/>
          <w:position w:val="0"/>
          <w:sz w:val="18"/>
          <w:szCs w:val="18"/>
        </w:rPr>
        <w:t>14,476.75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61.56%</w:t>
      </w:r>
      <w:r>
        <w:rPr>
          <w:color w:val="000000"/>
          <w:spacing w:val="0"/>
          <w:w w:val="100"/>
          <w:position w:val="0"/>
        </w:rPr>
        <w:t>。</w:t>
      </w:r>
    </w:p>
    <w:p>
      <w:pPr>
        <w:pStyle w:val="Style19"/>
        <w:keepNext w:val="0"/>
        <w:keepLines w:val="0"/>
        <w:widowControl w:val="0"/>
        <w:shd w:val="clear" w:color="auto" w:fill="auto"/>
        <w:bidi w:val="0"/>
        <w:spacing w:before="0" w:after="0" w:line="360" w:lineRule="auto"/>
        <w:ind w:left="0" w:right="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、融资租赁业务</w:t>
      </w:r>
    </w:p>
    <w:p>
      <w:pPr>
        <w:pStyle w:val="Style19"/>
        <w:keepNext w:val="0"/>
        <w:keepLines w:val="0"/>
        <w:widowControl w:val="0"/>
        <w:shd w:val="clear" w:color="auto" w:fill="auto"/>
        <w:bidi w:val="0"/>
        <w:spacing w:before="0" w:after="0" w:line="310" w:lineRule="exact"/>
        <w:ind w:left="0" w:right="0"/>
        <w:jc w:val="both"/>
      </w:pPr>
      <w:r>
        <w:rPr>
          <w:color w:val="000000"/>
          <w:spacing w:val="0"/>
          <w:w w:val="100"/>
          <w:position w:val="0"/>
        </w:rPr>
        <w:t>公司围绕互联网生态场景下生态体系，深化与优秀科技企业合作，搭建信息平台，通过大数据风控、区块链等金融科技 能力开展融资租赁业务。公司致力于将金融与民生有机结合，在专业化、规范化、市场化的经营原则指导下，在强化风控措 施的前提下，促进个人消费升级、帮扶民生设施改善，推动中小微实体企业发展。融资租赁业务持续推进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，围绕 互联网场景化生态体系，在</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数码产品、家具家电、办公设备等领域开展融资租赁业务，充分获得了行业认可，取得了良 好的社会效益和经济效益。报告期内，公司融资租赁业务稳步发展，取得营业收入</w:t>
      </w:r>
      <w:r>
        <w:rPr>
          <w:rFonts w:ascii="Times New Roman" w:eastAsia="Times New Roman" w:hAnsi="Times New Roman" w:cs="Times New Roman"/>
          <w:color w:val="000000"/>
          <w:spacing w:val="0"/>
          <w:w w:val="100"/>
          <w:position w:val="0"/>
          <w:sz w:val="18"/>
          <w:szCs w:val="18"/>
        </w:rPr>
        <w:t>3,157.45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49.20%</w:t>
      </w:r>
      <w:r>
        <w:rPr>
          <w:color w:val="000000"/>
          <w:spacing w:val="0"/>
          <w:w w:val="100"/>
          <w:position w:val="0"/>
        </w:rPr>
        <w:t>，实现净 利润</w:t>
      </w:r>
      <w:r>
        <w:rPr>
          <w:rFonts w:ascii="Times New Roman" w:eastAsia="Times New Roman" w:hAnsi="Times New Roman" w:cs="Times New Roman"/>
          <w:color w:val="000000"/>
          <w:spacing w:val="0"/>
          <w:w w:val="100"/>
          <w:position w:val="0"/>
          <w:sz w:val="18"/>
          <w:szCs w:val="18"/>
        </w:rPr>
        <w:t>815.12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4.62%</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报告期内，公司整体处于有序调整和不断优化的过程中，对自身面临的问题和风险，公司始终保持清醒的认识，并致 力于在经营优化发展中寻找破解思路，排除发展隐患，逐步解决遇到的问题，持续提升公司经营能力。</w:t>
      </w:r>
    </w:p>
    <w:p>
      <w:pPr>
        <w:pStyle w:val="Style19"/>
        <w:keepNext w:val="0"/>
        <w:keepLines w:val="0"/>
        <w:widowControl w:val="0"/>
        <w:shd w:val="clear" w:color="auto" w:fill="auto"/>
        <w:bidi w:val="0"/>
        <w:spacing w:before="0" w:after="0" w:line="312" w:lineRule="exact"/>
        <w:ind w:left="0" w:right="0"/>
        <w:jc w:val="both"/>
      </w:pPr>
      <w:bookmarkStart w:id="68" w:name="bookmark68"/>
      <w:r>
        <w:rPr>
          <w:color w:val="000000"/>
          <w:spacing w:val="0"/>
          <w:w w:val="100"/>
          <w:position w:val="0"/>
        </w:rPr>
        <w:t>（</w:t>
      </w:r>
      <w:bookmarkEnd w:id="68"/>
      <w:r>
        <w:rPr>
          <w:color w:val="000000"/>
          <w:spacing w:val="0"/>
          <w:w w:val="100"/>
          <w:position w:val="0"/>
        </w:rPr>
        <w:t>三）未来发展规划</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公司将持续优化资源配置，集中主要资源，支持优势业务做大做强，增强平台创新能力和服务能力，努力提升市场竞争 力和盈利能力。对存续效益不佳的项目果断减少投入，缩减业务规模，适时退出或转型。公司将按照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打造金融科技生态圈， 完善金融科技产业链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的战略发展规划，进一步搭建科技金融创新领域业务，形成第三方支付相关业务的上下游产业链，不 断增强和创新服务模式。同时，公司将持续优化治理结构，加强内部控制，努力提升经营管理水平，积极履行社会责任，重 点提升企业效益，切实维护全体股东利益。</w:t>
      </w:r>
    </w:p>
    <w:p>
      <w:pPr>
        <w:pStyle w:val="Style22"/>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、核心竞争力分析</w:t>
      </w:r>
      <w:bookmarkEnd w:id="69"/>
      <w:bookmarkEnd w:id="70"/>
      <w:bookmarkEnd w:id="72"/>
    </w:p>
    <w:p>
      <w:pPr>
        <w:pStyle w:val="Style19"/>
        <w:keepNext w:val="0"/>
        <w:keepLines w:val="0"/>
        <w:widowControl w:val="0"/>
        <w:shd w:val="clear" w:color="auto" w:fill="auto"/>
        <w:tabs>
          <w:tab w:pos="644" w:val="left"/>
        </w:tabs>
        <w:bidi w:val="0"/>
        <w:spacing w:before="0" w:after="0" w:line="313" w:lineRule="exact"/>
        <w:ind w:left="0" w:right="0"/>
        <w:jc w:val="both"/>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w:t>
        <w:tab/>
        <w:t>具备支付牌照的优势。公司一直坚持在国家主管部门的监管下合法、合规地开展业务，推进公司经营战略的发展。 公司下属控股子公司合利宝拥有中国人民银行核发的支付业务许可证，公司将充分利用支付牌照资质的优势，在继续保持原 有支付业务的基础上，大力发展线上、线下及创新业务等其他第三方支付上下游相关业务。中国人民银行核发的支付业务经 营许可牌照具有一定的稀缺性，具备在全国范围开展线上、线下支付业务的经营资质优势。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日，旗下控股子公司 合利宝《支付业务许可证》成功续展，有效期至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19"/>
        <w:keepNext w:val="0"/>
        <w:keepLines w:val="0"/>
        <w:widowControl w:val="0"/>
        <w:shd w:val="clear" w:color="auto" w:fill="auto"/>
        <w:tabs>
          <w:tab w:pos="644" w:val="left"/>
        </w:tabs>
        <w:bidi w:val="0"/>
        <w:spacing w:before="0" w:after="0" w:line="313" w:lineRule="exact"/>
        <w:ind w:left="0" w:right="0"/>
        <w:jc w:val="both"/>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w:t>
        <w:tab/>
        <w:t>产业链的协同发展优势。结合公司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的经营发展战略，逐步投资并布局 金融科技产业链上下游，全面打造金融科技生态圈。随着公司在金融科技产业链布局的落实与推进，公司在产业战略协调方 面优势明显，提升了整体竞争实力。</w:t>
      </w:r>
    </w:p>
    <w:p>
      <w:pPr>
        <w:pStyle w:val="Style19"/>
        <w:keepNext w:val="0"/>
        <w:keepLines w:val="0"/>
        <w:widowControl w:val="0"/>
        <w:shd w:val="clear" w:color="auto" w:fill="auto"/>
        <w:tabs>
          <w:tab w:pos="649" w:val="left"/>
        </w:tabs>
        <w:bidi w:val="0"/>
        <w:spacing w:before="0" w:after="0" w:line="313" w:lineRule="exact"/>
        <w:ind w:left="0" w:right="0"/>
        <w:jc w:val="both"/>
      </w:pPr>
      <w:bookmarkStart w:id="75" w:name="bookmark75"/>
      <w:r>
        <w:rPr>
          <w:rFonts w:ascii="Times New Roman" w:eastAsia="Times New Roman" w:hAnsi="Times New Roman" w:cs="Times New Roman"/>
          <w:color w:val="000000"/>
          <w:spacing w:val="0"/>
          <w:w w:val="100"/>
          <w:position w:val="0"/>
          <w:sz w:val="18"/>
          <w:szCs w:val="18"/>
        </w:rPr>
        <w:t>3</w:t>
      </w:r>
      <w:bookmarkEnd w:id="75"/>
      <w:r>
        <w:rPr>
          <w:color w:val="000000"/>
          <w:spacing w:val="0"/>
          <w:w w:val="100"/>
          <w:position w:val="0"/>
        </w:rPr>
        <w:t>、</w:t>
        <w:tab/>
        <w:t>客户资源整合优势。公司以第三方支付业务为入口端已逐步积累了一批客户，具备比较明显的客户资源优势。随着 公司逐步建立完善业务模式与金融科技生态系统，公司能够不断整合行业内的各类优质客户资源。公司对客户资源的整合能 力可以有效提升公司的市场竞争力。</w:t>
      </w:r>
    </w:p>
    <w:p>
      <w:pPr>
        <w:pStyle w:val="Style19"/>
        <w:keepNext w:val="0"/>
        <w:keepLines w:val="0"/>
        <w:widowControl w:val="0"/>
        <w:shd w:val="clear" w:color="auto" w:fill="auto"/>
        <w:tabs>
          <w:tab w:pos="644" w:val="left"/>
        </w:tabs>
        <w:bidi w:val="0"/>
        <w:spacing w:before="0" w:after="0" w:line="313" w:lineRule="exact"/>
        <w:ind w:left="0" w:right="0"/>
        <w:jc w:val="both"/>
      </w:pPr>
      <w:bookmarkStart w:id="76" w:name="bookmark76"/>
      <w:r>
        <w:rPr>
          <w:rFonts w:ascii="Times New Roman" w:eastAsia="Times New Roman" w:hAnsi="Times New Roman" w:cs="Times New Roman"/>
          <w:color w:val="000000"/>
          <w:spacing w:val="0"/>
          <w:w w:val="100"/>
          <w:position w:val="0"/>
          <w:sz w:val="18"/>
          <w:szCs w:val="18"/>
        </w:rPr>
        <w:t>4</w:t>
      </w:r>
      <w:bookmarkEnd w:id="76"/>
      <w:r>
        <w:rPr>
          <w:color w:val="000000"/>
          <w:spacing w:val="0"/>
          <w:w w:val="100"/>
          <w:position w:val="0"/>
        </w:rPr>
        <w:t>、</w:t>
        <w:tab/>
        <w:t>金融科技产品研发技术优势与人才优势。作为拥有第三方支付牌照的企业，截至报告期末，公司及子公司已获得多 项安全类认证、发明专利、软件著作权、商标、域名、美术版权、产品登记证书等，还有多项商标、软件著作权等正在申请 受理中，涵盖银行卡收单、移动支付、跨境支付、清结算系统等。公司在发展过程中，不断招募和凝聚了一批由各层次骨干 人才组成的经营团队和技术团队，技术和人才的优势保证了公司面对新应用、新需求时具备快速融合和创新的能力，保障公 司持续健康发展，使得公司在行业内的竞争能力不断增强。</w:t>
      </w:r>
    </w:p>
    <w:p>
      <w:pPr>
        <w:pStyle w:val="Style22"/>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四</w:t>
      </w:r>
      <w:bookmarkEnd w:id="79"/>
      <w:r>
        <w:rPr>
          <w:color w:val="000000"/>
          <w:spacing w:val="0"/>
          <w:w w:val="100"/>
          <w:position w:val="0"/>
        </w:rPr>
        <w:t>、主营业务分析</w:t>
      </w:r>
      <w:bookmarkEnd w:id="77"/>
      <w:bookmarkEnd w:id="78"/>
      <w:bookmarkEnd w:id="80"/>
    </w:p>
    <w:p>
      <w:pPr>
        <w:pStyle w:val="Style28"/>
        <w:keepNext/>
        <w:keepLines/>
        <w:widowControl w:val="0"/>
        <w:shd w:val="clear" w:color="auto" w:fill="auto"/>
        <w:tabs>
          <w:tab w:pos="368" w:val="left"/>
        </w:tabs>
        <w:bidi w:val="0"/>
        <w:spacing w:before="0" w:after="36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概述</w:t>
      </w:r>
      <w:bookmarkEnd w:id="81"/>
      <w:bookmarkEnd w:id="82"/>
      <w:bookmarkEnd w:id="8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36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收入与成本</w:t>
      </w:r>
      <w:bookmarkEnd w:id="85"/>
      <w:bookmarkEnd w:id="86"/>
      <w:bookmarkEnd w:id="88"/>
    </w:p>
    <w:p>
      <w:pPr>
        <w:pStyle w:val="Style32"/>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9"/>
      <w:bookmarkEnd w:id="90"/>
      <w:bookmarkEnd w:id="9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869,210,482.20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1,671,570,128.63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1,199,308,869.49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280,397.66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260,172.75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31,294,063.95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21,009,493.93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24,976,225.30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20,610,563.13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869,210,482.20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1,665,355,852.43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1,189,710,700.08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280,397.66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260,172.75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661,898.22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383,531.05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24,976,225.30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20,610,563.13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31,294,063.95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21,009,493.93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5,552,377.98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9,214,638.36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3"/>
      <w:bookmarkEnd w:id="94"/>
      <w:bookmarkEnd w:id="96"/>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1,671,570,128.63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1,371,808,906.22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1,665,355,852.43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1,371,665,276.80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1,379,212,168.12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1,379,212,168.12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97"/>
      <w:bookmarkEnd w:id="98"/>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1"/>
      <w:bookmarkEnd w:id="102"/>
      <w:bookmarkEnd w:id="10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5"/>
      <w:bookmarkEnd w:id="106"/>
      <w:bookmarkEnd w:id="108"/>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865,677,034.98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银行通道手续费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550,485,644.62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662,486,866.69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738,173,540.45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315,180,976.73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90,552,983.05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25,400,937.13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865,677,034.98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银行通道手续费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550,485,644.62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662,486,866.69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730,672,191.89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315,180,976.73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131.83%</w:t>
            </w:r>
          </w:p>
        </w:tc>
      </w:tr>
    </w:tbl>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7,501,348.56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机具成本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90,552,983.05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25,400,937.13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256.49%</w:t>
            </w:r>
          </w:p>
        </w:tc>
      </w:tr>
    </w:tbl>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与上年口径一致。</w:t>
      </w:r>
    </w:p>
    <w:p>
      <w:pPr>
        <w:pStyle w:val="Style32"/>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9"/>
      <w:bookmarkEnd w:id="110"/>
      <w:bookmarkEnd w:id="112"/>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720" w:line="312" w:lineRule="exact"/>
        <w:ind w:left="0" w:right="0" w:firstLine="360"/>
        <w:jc w:val="left"/>
      </w:pPr>
      <w:r>
        <w:rPr>
          <w:color w:val="000000"/>
          <w:spacing w:val="0"/>
          <w:w w:val="100"/>
          <w:position w:val="0"/>
        </w:rPr>
        <w:t>根据经营发展需要，公司于报告期内对子公司民盛金科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有限公司、民盛支付（香港）有限公司、天津亿东科技有 限公司进行了注销，合并报表范围发生变动。</w:t>
      </w:r>
    </w:p>
    <w:p>
      <w:pPr>
        <w:pStyle w:val="Style32"/>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3"/>
      <w:bookmarkEnd w:id="114"/>
      <w:bookmarkEnd w:id="116"/>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720" w:line="326" w:lineRule="exact"/>
        <w:ind w:left="0" w:right="0" w:firstLine="360"/>
        <w:jc w:val="left"/>
      </w:pPr>
      <w:r>
        <w:rPr>
          <w:color w:val="000000"/>
          <w:spacing w:val="0"/>
          <w:w w:val="100"/>
          <w:position w:val="0"/>
        </w:rPr>
        <w:t>报告期内，受整体经济下行、疫情持续、公司资金紧张、财务费用增加等因素的影响，公司适时调整业务布局，大幅收 缩了保理、供应链相关业务，整体营业收入规模有所下降。</w:t>
      </w:r>
    </w:p>
    <w:p>
      <w:pPr>
        <w:pStyle w:val="Style32"/>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17"/>
      <w:bookmarkEnd w:id="118"/>
      <w:bookmarkEnd w:id="120"/>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75,492,467.85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26,604,185.47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23,125,889.69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12,547,051.58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7,622,198.36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5,593,142.75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75,492,467.85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680,667,950.12</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350,737,853.91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103,519,207.73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86,863,900.84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75,149,421.70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64,397,565.94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680,667,950.12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3</w:t>
      </w:r>
      <w:bookmarkEnd w:id="123"/>
      <w:r>
        <w:rPr>
          <w:color w:val="000000"/>
          <w:spacing w:val="0"/>
          <w:w w:val="100"/>
          <w:position w:val="0"/>
        </w:rPr>
        <w:t>、费用</w:t>
      </w:r>
      <w:bookmarkEnd w:id="121"/>
      <w:bookmarkEnd w:id="122"/>
      <w:bookmarkEnd w:id="12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56,754,196.54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47,073,296.88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主要是由于拓展支付业务所致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118,043,125.81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135,297,283.06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主要是由于当年加强了管理费用的 管理所致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143,339,500.24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85,562,033.53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主要是由于预期借款产生的逾期罚 息所致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73,479,126.55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43,411,988.99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主要是由于拓展支付业务所致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4</w:t>
      </w:r>
      <w:bookmarkEnd w:id="127"/>
      <w:r>
        <w:rPr>
          <w:color w:val="000000"/>
          <w:spacing w:val="0"/>
          <w:w w:val="100"/>
          <w:position w:val="0"/>
        </w:rPr>
        <w:t>、研发投入</w:t>
      </w:r>
      <w:bookmarkEnd w:id="125"/>
      <w:bookmarkEnd w:id="126"/>
      <w:bookmarkEnd w:id="128"/>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银行卡收单业务展 业系统升级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通过对展业中涉及的数 据使用汇总统计、可视 化和联想分析处理等主 题分析</w:t>
            </w:r>
            <w:r>
              <w:rPr>
                <w:color w:val="000000"/>
                <w:spacing w:val="0"/>
                <w:w w:val="100"/>
                <w:position w:val="0"/>
                <w:sz w:val="18"/>
                <w:szCs w:val="18"/>
              </w:rPr>
              <w:t>，</w:t>
            </w:r>
            <w:r>
              <w:rPr>
                <w:color w:val="000000"/>
                <w:spacing w:val="0"/>
                <w:w w:val="100"/>
                <w:position w:val="0"/>
              </w:rPr>
              <w:t>进而为数据挖掘 技术应用于展业。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为业务开展提供有效的量化 依据</w:t>
            </w:r>
            <w:r>
              <w:rPr>
                <w:color w:val="000000"/>
                <w:spacing w:val="0"/>
                <w:w w:val="100"/>
                <w:position w:val="0"/>
                <w:sz w:val="18"/>
                <w:szCs w:val="18"/>
              </w:rPr>
              <w:t>，</w:t>
            </w:r>
            <w:r>
              <w:rPr>
                <w:color w:val="000000"/>
                <w:spacing w:val="0"/>
                <w:w w:val="100"/>
                <w:position w:val="0"/>
              </w:rPr>
              <w:t>对公司发现客户、推荐 业务、维护客户关系、等方 面提供最佳的决策支持。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聚合支付业务系统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结合单位实际业务需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求，在进行功能需求分 析和确认的基础上升级 聚合支付系统，完善支 付系统。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多种收单渠道统一管理、统 一监控、统一分析，提升业 务拓展能力。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支付业务监控系统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负载均衡能够快速获取 重要数据，提供有效的 容错功能，解决大量并 发访问服务器的问题。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解决大量并发访问服务器的 问题，提升系统核心处理能 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第三方移动支付运 营服务系统升级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通过对使用户通过移动 终端所消费的商品或服 务提供方便、快捷、安 全的支付服务系统进行 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为业务提供更快捷，安全、 优质的支付服务提供系统技 术支持。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跨境支付业务平台 系统升级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完善升级系统，提高人 民币跨境支付系统稳定 性，使用性能高效、确 保资金安全。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为业务提供更快捷，安全、 优质的支付服务提供系统技 术支持。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智能风控管理系统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通过智能风控系统升 级，连接到大数据平台， 所有的分析操作都在系 统上完成，系统引入深 度学习算法对非结构化 数据进行分析等。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提升公司交易资金的安全 性、合规性。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为公司提供全方位的、动态 的、高效率的目标跟踪分析 风控模式，提升了公司交易 资金的安全性。</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小利掌柜商户管理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为广大商户提供一站式 的综合解决方案，真正 做到助力商户安全、高 效收银，智慧经营的好 帮手。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为业务提供更快捷，安全、 优质的支付服务提供系统技 术支持。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基于大数据的反洗 钱交易监测系统升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通过智能监测技术判别 算法</w:t>
            </w:r>
            <w:r>
              <w:rPr>
                <w:color w:val="000000"/>
                <w:spacing w:val="0"/>
                <w:w w:val="100"/>
                <w:position w:val="0"/>
                <w:sz w:val="18"/>
                <w:szCs w:val="18"/>
              </w:rPr>
              <w:t>，</w:t>
            </w:r>
            <w:r>
              <w:rPr>
                <w:color w:val="000000"/>
                <w:spacing w:val="0"/>
                <w:w w:val="100"/>
                <w:position w:val="0"/>
              </w:rPr>
              <w:t>实现对涉嫌洗钱或 欺诈的可疑金融交易行 为的计算机自动甄别和 监测。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构建的反洗钱系统来识别异 常客户、异常账户和异常交 易</w:t>
            </w:r>
            <w:r>
              <w:rPr>
                <w:color w:val="000000"/>
                <w:spacing w:val="0"/>
                <w:w w:val="100"/>
                <w:position w:val="0"/>
                <w:sz w:val="18"/>
                <w:szCs w:val="18"/>
              </w:rPr>
              <w:t>，</w:t>
            </w:r>
            <w:r>
              <w:rPr>
                <w:color w:val="000000"/>
                <w:spacing w:val="0"/>
                <w:w w:val="100"/>
                <w:position w:val="0"/>
              </w:rPr>
              <w:t>提升公司资金交易的合 规性。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提升了公司交易资金的合规 性和安全性。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支付业务平台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系统升级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通过对系统进行升级， 提高系统的稳定性、安 全性和高效性。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为业务提供更快捷，安全、 优质的支付服务提供系统技 术支持。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为公司商户提供了高效、快 捷、安全优质的第三方支付 服务，有利于公司商户的稳 定，提升交易量。</w:t>
            </w:r>
          </w:p>
        </w:tc>
      </w:tr>
      <w:tr>
        <w:trPr>
          <w:trHeight w:val="29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区块链融资租赁业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研发一套可实现基于区 块链可信存证核心功能 的融资租赁业务管理系 统，为企业提供订单管 理、风控管理、付款管 理、计划管理、清分管 理、对账管理、库存管 理等管理模块，实现全 项目链条可信存证、投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对外提供区块链融资业务和 信息化管理服务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基于蚂蚁区块链透明信任 的原理，以提升了租赁资产 配置、资产流转、资金回流</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等业务操作效率为目的，实 现全链路资金闭环方案，确 保租赁交易真实性的同时， 为中小租赁服务企业增信， 帮助解决融资难、融资贵的 经营难题，使得租赁全行业</w:t>
            </w:r>
          </w:p>
        </w:tc>
      </w:tr>
    </w:tbl>
    <w:p>
      <w:pPr>
        <w:spacing w:lineRule="exact" w:line="1"/>
        <w:rPr>
          <w:sz w:val="2"/>
          <w:szCs w:val="2"/>
        </w:rPr>
      </w:pPr>
      <w:r>
        <w:br w:type="page"/>
      </w:r>
    </w:p>
    <w:tbl>
      <w:tblPr>
        <w:tblOverlap w:val="never"/>
        <w:jc w:val="center"/>
        <w:tblLayout w:type="fixed"/>
      </w:tblPr>
      <w:tblGrid>
        <w:gridCol w:w="1531"/>
        <w:gridCol w:w="869"/>
        <w:gridCol w:w="1046"/>
        <w:gridCol w:w="1344"/>
        <w:gridCol w:w="278"/>
        <w:gridCol w:w="2117"/>
        <w:gridCol w:w="139"/>
        <w:gridCol w:w="2261"/>
      </w:tblGrid>
      <w:tr>
        <w:trPr>
          <w:trHeight w:val="2237"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保等功能，多项目并行， 多商品种类共存，操作 上手快，流程清晰，简 单易懂，满足前期业务 需求，同时支持开发环 境易扩展，搭建迅速， 满足后期快速迭代</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升级，助益于行业利润做 大，我司在此进程中将有可 观收益</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73,479,126.55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43,411,988.99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主要是由于公司加大了对研发的投入。</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5</w:t>
      </w:r>
      <w:bookmarkEnd w:id="131"/>
      <w:r>
        <w:rPr>
          <w:color w:val="000000"/>
          <w:spacing w:val="0"/>
          <w:w w:val="100"/>
          <w:position w:val="0"/>
        </w:rPr>
        <w:t>、现金流</w:t>
      </w:r>
      <w:bookmarkEnd w:id="129"/>
      <w:bookmarkEnd w:id="130"/>
      <w:bookmarkEnd w:id="1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2,173,767,999.20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2,905,354,632.64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1,908,068,068.62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2,828,616,628.09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265,699,930.58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76,738,004.55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29,751,720.00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313,762,560.95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209,672,804.32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475,612,857.56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-179,921,084.32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-161,850,296.61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155,845,926.93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276,062,065.04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196,603,051.15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-120,216,138.11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48,396,948.85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-34,442,210.19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-36,738,915.78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4" w:val="left"/>
        </w:tabs>
        <w:bidi w:val="0"/>
        <w:spacing w:before="0" w:after="80" w:line="240" w:lineRule="auto"/>
        <w:ind w:left="0" w:right="0" w:firstLine="0"/>
        <w:jc w:val="left"/>
      </w:pPr>
      <w:bookmarkStart w:id="133" w:name="bookmark133"/>
      <w:r>
        <w:rPr>
          <w:rFonts w:ascii="Times New Roman" w:eastAsia="Times New Roman" w:hAnsi="Times New Roman" w:cs="Times New Roman"/>
          <w:color w:val="000000"/>
          <w:spacing w:val="0"/>
          <w:w w:val="100"/>
          <w:position w:val="0"/>
          <w:sz w:val="18"/>
          <w:szCs w:val="18"/>
        </w:rPr>
        <w:t>1</w:t>
      </w:r>
      <w:bookmarkEnd w:id="133"/>
      <w:r>
        <w:rPr>
          <w:color w:val="000000"/>
          <w:spacing w:val="0"/>
          <w:w w:val="100"/>
          <w:position w:val="0"/>
        </w:rPr>
        <w:t>、</w:t>
        <w:tab/>
        <w:t>经营活动产生的现金流量净额同比增加</w:t>
      </w:r>
      <w:r>
        <w:rPr>
          <w:rFonts w:ascii="Times New Roman" w:eastAsia="Times New Roman" w:hAnsi="Times New Roman" w:cs="Times New Roman"/>
          <w:color w:val="000000"/>
          <w:spacing w:val="0"/>
          <w:w w:val="100"/>
          <w:position w:val="0"/>
          <w:sz w:val="18"/>
          <w:szCs w:val="18"/>
        </w:rPr>
        <w:t>246.24%</w:t>
      </w:r>
      <w:r>
        <w:rPr>
          <w:color w:val="000000"/>
          <w:spacing w:val="0"/>
          <w:w w:val="100"/>
          <w:position w:val="0"/>
        </w:rPr>
        <w:t>:主要是由于购销商品产生了较多的正现金流量。</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134" w:name="bookmark134"/>
      <w:r>
        <w:rPr>
          <w:rFonts w:ascii="Times New Roman" w:eastAsia="Times New Roman" w:hAnsi="Times New Roman" w:cs="Times New Roman"/>
          <w:color w:val="000000"/>
          <w:spacing w:val="0"/>
          <w:w w:val="100"/>
          <w:position w:val="0"/>
          <w:sz w:val="18"/>
          <w:szCs w:val="18"/>
        </w:rPr>
        <w:t>2</w:t>
      </w:r>
      <w:bookmarkEnd w:id="134"/>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348.4%</w:t>
      </w:r>
      <w:r>
        <w:rPr>
          <w:color w:val="000000"/>
          <w:spacing w:val="0"/>
          <w:w w:val="100"/>
          <w:position w:val="0"/>
        </w:rPr>
        <w:t>:主要是由于偿还债务所致。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五</w:t>
      </w:r>
      <w:bookmarkEnd w:id="137"/>
      <w:r>
        <w:rPr>
          <w:color w:val="000000"/>
          <w:spacing w:val="0"/>
          <w:w w:val="100"/>
          <w:position w:val="0"/>
        </w:rPr>
        <w:t>、非主营业务分析</w:t>
      </w:r>
      <w:bookmarkEnd w:id="135"/>
      <w:bookmarkEnd w:id="136"/>
      <w:bookmarkEnd w:id="13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1,528,580.68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主要为政府政策性补助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无可持续性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319,468.25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主要为公益性捐赠支出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无可持续性</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六</w:t>
      </w:r>
      <w:bookmarkEnd w:id="141"/>
      <w:r>
        <w:rPr>
          <w:color w:val="000000"/>
          <w:spacing w:val="0"/>
          <w:w w:val="100"/>
          <w:position w:val="0"/>
        </w:rPr>
        <w:t>、资产及负债状况分析</w:t>
      </w:r>
      <w:bookmarkEnd w:id="139"/>
      <w:bookmarkEnd w:id="140"/>
      <w:bookmarkEnd w:id="142"/>
    </w:p>
    <w:p>
      <w:pPr>
        <w:pStyle w:val="Style28"/>
        <w:keepNext/>
        <w:keepLines/>
        <w:widowControl w:val="0"/>
        <w:shd w:val="clear" w:color="auto" w:fill="auto"/>
        <w:bidi w:val="0"/>
        <w:spacing w:before="0" w:after="36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bookmarkEnd w:id="143"/>
      <w:bookmarkEnd w:id="144"/>
      <w:bookmarkEnd w:id="14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1,879,456,994.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1,835,647,301.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92,100,251.06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106,904,702.88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245,925,037.4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147,338,618.92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主要是购入支付机具所致</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60,621,563.08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76,335,650.37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办公场所租赁所致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185,936,546.4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378,999,681.10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偿还借款所致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长期借款科目转入一年内到期科目 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44,483,354.25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64,185,479.34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办公场所租赁所致</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、以公允价值计量的资产和负债</w:t>
      </w:r>
      <w:bookmarkEnd w:id="147"/>
      <w:bookmarkEnd w:id="148"/>
      <w:bookmarkEnd w:id="15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341,157,500.0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340,633,980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341,157,500.0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340,633,980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00" w:line="331"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p>
      <w:pPr>
        <w:pStyle w:val="Style16"/>
        <w:keepNext w:val="0"/>
        <w:keepLines w:val="0"/>
        <w:widowControl w:val="0"/>
        <w:shd w:val="clear" w:color="auto" w:fill="auto"/>
        <w:bidi w:val="0"/>
        <w:spacing w:before="0" w:after="680" w:line="317" w:lineRule="exact"/>
        <w:ind w:left="0" w:right="0" w:firstLine="0"/>
        <w:jc w:val="left"/>
        <w:rPr>
          <w:sz w:val="20"/>
          <w:szCs w:val="20"/>
        </w:rPr>
      </w:pP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日，受限资金为</w:t>
      </w:r>
      <w:r>
        <w:rPr>
          <w:rFonts w:ascii="Times New Roman" w:eastAsia="Times New Roman" w:hAnsi="Times New Roman" w:cs="Times New Roman"/>
          <w:b w:val="0"/>
          <w:bCs w:val="0"/>
          <w:color w:val="000000"/>
          <w:spacing w:val="0"/>
          <w:w w:val="100"/>
          <w:position w:val="0"/>
          <w:sz w:val="20"/>
          <w:szCs w:val="20"/>
        </w:rPr>
        <w:t>1,861,531,975.20</w:t>
      </w:r>
      <w:r>
        <w:rPr>
          <w:b w:val="0"/>
          <w:bCs w:val="0"/>
          <w:color w:val="000000"/>
          <w:spacing w:val="0"/>
          <w:w w:val="100"/>
          <w:position w:val="0"/>
          <w:sz w:val="20"/>
          <w:szCs w:val="20"/>
        </w:rPr>
        <w:t>元，主要是客户备付金、保证金、风险准备金及冻结资 金。</w:t>
      </w:r>
    </w:p>
    <w:p>
      <w:pPr>
        <w:pStyle w:val="Style22"/>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七</w:t>
      </w:r>
      <w:bookmarkEnd w:id="157"/>
      <w:r>
        <w:rPr>
          <w:color w:val="000000"/>
          <w:spacing w:val="0"/>
          <w:w w:val="100"/>
          <w:position w:val="0"/>
        </w:rPr>
        <w:t>、投资状况分析</w:t>
      </w:r>
      <w:bookmarkEnd w:id="155"/>
      <w:bookmarkEnd w:id="156"/>
      <w:bookmarkEnd w:id="158"/>
    </w:p>
    <w:p>
      <w:pPr>
        <w:pStyle w:val="Style28"/>
        <w:keepNext/>
        <w:keepLines/>
        <w:widowControl w:val="0"/>
        <w:shd w:val="clear" w:color="auto" w:fill="auto"/>
        <w:bidi w:val="0"/>
        <w:spacing w:before="0" w:after="260" w:line="331"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p>
      <w:pPr>
        <w:pStyle w:val="Style1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报告期内获取的重大的股权投资情况</w:t>
      </w:r>
      <w:bookmarkEnd w:id="163"/>
      <w:bookmarkEnd w:id="164"/>
      <w:bookmarkEnd w:id="16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金融资产投资</w:t>
      </w:r>
      <w:bookmarkEnd w:id="171"/>
      <w:bookmarkEnd w:id="172"/>
      <w:bookmarkEnd w:id="174"/>
    </w:p>
    <w:p>
      <w:pPr>
        <w:pStyle w:val="Style32"/>
        <w:keepNext/>
        <w:keepLines/>
        <w:widowControl w:val="0"/>
        <w:shd w:val="clear" w:color="auto" w:fill="auto"/>
        <w:tabs>
          <w:tab w:pos="493"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5"/>
      <w:bookmarkEnd w:id="176"/>
      <w:bookmarkEnd w:id="17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79"/>
      <w:bookmarkEnd w:id="180"/>
      <w:bookmarkEnd w:id="182"/>
    </w:p>
    <w:p>
      <w:pPr>
        <w:pStyle w:val="Style19"/>
        <w:keepNext w:val="0"/>
        <w:keepLines w:val="0"/>
        <w:widowControl w:val="0"/>
        <w:numPr>
          <w:ilvl w:val="0"/>
          <w:numId w:val="1"/>
        </w:numPr>
        <w:shd w:val="clear" w:color="auto" w:fill="auto"/>
        <w:tabs>
          <w:tab w:pos="320" w:val="left"/>
        </w:tabs>
        <w:bidi w:val="0"/>
        <w:spacing w:before="0" w:after="140" w:line="240" w:lineRule="auto"/>
        <w:ind w:left="0" w:right="0" w:firstLine="0"/>
        <w:jc w:val="left"/>
      </w:pPr>
      <w:bookmarkStart w:id="183" w:name="bookmark183"/>
      <w:bookmarkEnd w:id="1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w:t>
        <w:tab/>
        <w:t>募集资金使用情况</w:t>
      </w:r>
      <w:bookmarkEnd w:id="184"/>
      <w:bookmarkEnd w:id="185"/>
      <w:bookmarkEnd w:id="187"/>
    </w:p>
    <w:p>
      <w:pPr>
        <w:pStyle w:val="Style19"/>
        <w:keepNext w:val="0"/>
        <w:keepLines w:val="0"/>
        <w:widowControl w:val="0"/>
        <w:numPr>
          <w:ilvl w:val="0"/>
          <w:numId w:val="1"/>
        </w:numPr>
        <w:shd w:val="clear" w:color="auto" w:fill="auto"/>
        <w:tabs>
          <w:tab w:pos="320" w:val="left"/>
        </w:tabs>
        <w:bidi w:val="0"/>
        <w:spacing w:before="0" w:after="140" w:line="240" w:lineRule="auto"/>
        <w:ind w:left="0" w:right="0" w:firstLine="0"/>
        <w:jc w:val="left"/>
      </w:pPr>
      <w:bookmarkStart w:id="188" w:name="bookmark188"/>
      <w:bookmarkEnd w:id="1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八</w:t>
      </w:r>
      <w:bookmarkEnd w:id="191"/>
      <w:r>
        <w:rPr>
          <w:color w:val="000000"/>
          <w:spacing w:val="0"/>
          <w:w w:val="100"/>
          <w:position w:val="0"/>
        </w:rPr>
        <w:t>、</w:t>
        <w:tab/>
        <w:t>重大资产和股权出售</w:t>
      </w:r>
      <w:bookmarkEnd w:id="189"/>
      <w:bookmarkEnd w:id="190"/>
      <w:bookmarkEnd w:id="192"/>
    </w:p>
    <w:p>
      <w:pPr>
        <w:pStyle w:val="Style28"/>
        <w:keepNext/>
        <w:keepLines/>
        <w:widowControl w:val="0"/>
        <w:shd w:val="clear" w:color="auto" w:fill="auto"/>
        <w:tabs>
          <w:tab w:pos="36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19"/>
        <w:keepNext w:val="0"/>
        <w:keepLines w:val="0"/>
        <w:widowControl w:val="0"/>
        <w:numPr>
          <w:ilvl w:val="0"/>
          <w:numId w:val="1"/>
        </w:numPr>
        <w:shd w:val="clear" w:color="auto" w:fill="auto"/>
        <w:tabs>
          <w:tab w:pos="320" w:val="left"/>
        </w:tabs>
        <w:bidi w:val="0"/>
        <w:spacing w:before="0" w:after="140" w:line="240" w:lineRule="auto"/>
        <w:ind w:left="0" w:right="0" w:firstLine="0"/>
        <w:jc w:val="left"/>
      </w:pPr>
      <w:bookmarkStart w:id="197" w:name="bookmark197"/>
      <w:bookmarkEnd w:id="1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出售重大股权情况</w:t>
      </w:r>
      <w:bookmarkEnd w:id="198"/>
      <w:bookmarkEnd w:id="199"/>
      <w:bookmarkEnd w:id="201"/>
    </w:p>
    <w:p>
      <w:pPr>
        <w:pStyle w:val="Style19"/>
        <w:keepNext w:val="0"/>
        <w:keepLines w:val="0"/>
        <w:widowControl w:val="0"/>
        <w:numPr>
          <w:ilvl w:val="0"/>
          <w:numId w:val="1"/>
        </w:numPr>
        <w:shd w:val="clear" w:color="auto" w:fill="auto"/>
        <w:tabs>
          <w:tab w:pos="320" w:val="left"/>
        </w:tabs>
        <w:bidi w:val="0"/>
        <w:spacing w:before="0" w:after="380" w:line="240" w:lineRule="auto"/>
        <w:ind w:left="0" w:right="0" w:firstLine="0"/>
        <w:jc w:val="left"/>
      </w:pPr>
      <w:bookmarkStart w:id="202" w:name="bookmark202"/>
      <w:bookmarkEnd w:id="2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九</w:t>
      </w:r>
      <w:bookmarkEnd w:id="205"/>
      <w:r>
        <w:rPr>
          <w:color w:val="000000"/>
          <w:spacing w:val="0"/>
          <w:w w:val="100"/>
          <w:position w:val="0"/>
        </w:rPr>
        <w:t>、</w:t>
        <w:tab/>
        <w:t>主要控股参股公司分析</w:t>
      </w:r>
      <w:bookmarkEnd w:id="203"/>
      <w:bookmarkEnd w:id="204"/>
      <w:bookmarkEnd w:id="20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2,733,023,17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1,681,742,21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112,147,513.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96,771,343.8</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融科技服务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研究、开发; 软件开发； 信息系统集 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 息技术咨询 服务；数据 处理和存储 服务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民盛租赁有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融资租赁业 务；租赁业 务；向国内 外购买租赁 财产；租赁 财产的残值 处理及维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267,245,930.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241,586,339.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31,574,461.6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11,105,043.6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8,151,195.44</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207" w:name="bookmark207"/>
      <w:bookmarkStart w:id="208" w:name="bookmark208"/>
      <w:bookmarkStart w:id="209" w:name="bookmark209"/>
      <w:r>
        <w:rPr>
          <w:color w:val="000000"/>
          <w:spacing w:val="0"/>
          <w:w w:val="100"/>
          <w:position w:val="0"/>
        </w:rPr>
        <w:t>十、公司控制的结构化主体情况</w:t>
      </w:r>
      <w:bookmarkEnd w:id="207"/>
      <w:bookmarkEnd w:id="208"/>
      <w:bookmarkEnd w:id="209"/>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both"/>
      </w:pPr>
      <w:bookmarkStart w:id="210" w:name="bookmark210"/>
      <w:bookmarkStart w:id="211" w:name="bookmark211"/>
      <w:bookmarkStart w:id="212" w:name="bookmark212"/>
      <w:r>
        <w:rPr>
          <w:color w:val="000000"/>
          <w:spacing w:val="0"/>
          <w:w w:val="100"/>
          <w:position w:val="0"/>
        </w:rPr>
        <w:t>十一、公司未来发展的展望</w:t>
      </w:r>
      <w:bookmarkEnd w:id="210"/>
      <w:bookmarkEnd w:id="211"/>
      <w:bookmarkEnd w:id="212"/>
    </w:p>
    <w:p>
      <w:pPr>
        <w:pStyle w:val="Style3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（一）年度经营计划</w:t>
      </w:r>
    </w:p>
    <w:p>
      <w:pPr>
        <w:pStyle w:val="Style3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年，公司将严格遵守各项监管规定，持续加强公司内控治理，着力提升公司经营业绩，重点做好各项 风险化解，积极整合资源优势，支持优势产业发展，推动业务转型升级，不断提升公司盈利能力，推动公司持 续向前发展。</w:t>
      </w:r>
    </w:p>
    <w:p>
      <w:pPr>
        <w:pStyle w:val="Style39"/>
        <w:keepNext w:val="0"/>
        <w:keepLines w:val="0"/>
        <w:widowControl w:val="0"/>
        <w:shd w:val="clear" w:color="auto" w:fill="auto"/>
        <w:tabs>
          <w:tab w:pos="789" w:val="left"/>
        </w:tabs>
        <w:bidi w:val="0"/>
        <w:spacing w:before="0" w:after="0" w:line="317" w:lineRule="exact"/>
        <w:ind w:left="0" w:right="0"/>
        <w:jc w:val="both"/>
      </w:pPr>
      <w:bookmarkStart w:id="213" w:name="bookmark213"/>
      <w:r>
        <w:rPr>
          <w:rFonts w:ascii="Times New Roman" w:eastAsia="Times New Roman" w:hAnsi="Times New Roman" w:cs="Times New Roman"/>
          <w:color w:val="000000"/>
          <w:spacing w:val="0"/>
          <w:w w:val="100"/>
          <w:position w:val="0"/>
          <w:sz w:val="20"/>
          <w:szCs w:val="20"/>
        </w:rPr>
        <w:t>1</w:t>
      </w:r>
      <w:bookmarkEnd w:id="213"/>
      <w:r>
        <w:rPr>
          <w:color w:val="000000"/>
          <w:spacing w:val="0"/>
          <w:w w:val="100"/>
          <w:position w:val="0"/>
        </w:rPr>
        <w:t>、</w:t>
        <w:tab/>
        <w:t>继续推行业务优化，着力提升经营质量</w:t>
      </w:r>
    </w:p>
    <w:p>
      <w:pPr>
        <w:pStyle w:val="Style39"/>
        <w:keepNext w:val="0"/>
        <w:keepLines w:val="0"/>
        <w:widowControl w:val="0"/>
        <w:shd w:val="clear" w:color="auto" w:fill="auto"/>
        <w:bidi w:val="0"/>
        <w:spacing w:before="0" w:after="0"/>
        <w:ind w:left="0" w:right="0"/>
        <w:jc w:val="both"/>
      </w:pPr>
      <w:r>
        <w:rPr>
          <w:color w:val="000000"/>
          <w:spacing w:val="0"/>
          <w:w w:val="100"/>
          <w:position w:val="0"/>
        </w:rPr>
        <w:t>公司将按照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的战略发展规划，积极整合现有资源，对未来增 长潜力大、具备市场竞争力的优势业务加大资源投入，充分发挥竞争优势，提高其盈利能力。积极探索新的场 景解决方案，借助互联网、大数据等技术，不断提升平台创新能力，拓展业务规模，实现创新发展。</w:t>
      </w:r>
    </w:p>
    <w:p>
      <w:pPr>
        <w:pStyle w:val="Style39"/>
        <w:keepNext w:val="0"/>
        <w:keepLines w:val="0"/>
        <w:widowControl w:val="0"/>
        <w:shd w:val="clear" w:color="auto" w:fill="auto"/>
        <w:tabs>
          <w:tab w:pos="808" w:val="left"/>
        </w:tabs>
        <w:bidi w:val="0"/>
        <w:spacing w:before="0" w:after="0" w:line="317" w:lineRule="exact"/>
        <w:ind w:left="0" w:right="0"/>
        <w:jc w:val="both"/>
      </w:pPr>
      <w:bookmarkStart w:id="214" w:name="bookmark214"/>
      <w:r>
        <w:rPr>
          <w:rFonts w:ascii="Times New Roman" w:eastAsia="Times New Roman" w:hAnsi="Times New Roman" w:cs="Times New Roman"/>
          <w:color w:val="000000"/>
          <w:spacing w:val="0"/>
          <w:w w:val="100"/>
          <w:position w:val="0"/>
          <w:sz w:val="20"/>
          <w:szCs w:val="20"/>
        </w:rPr>
        <w:t>2</w:t>
      </w:r>
      <w:bookmarkEnd w:id="214"/>
      <w:r>
        <w:rPr>
          <w:color w:val="000000"/>
          <w:spacing w:val="0"/>
          <w:w w:val="100"/>
          <w:position w:val="0"/>
        </w:rPr>
        <w:t>、</w:t>
        <w:tab/>
        <w:t>深化与金融机构合作，积极拓展融资渠道</w:t>
      </w:r>
    </w:p>
    <w:p>
      <w:pPr>
        <w:pStyle w:val="Style39"/>
        <w:keepNext w:val="0"/>
        <w:keepLines w:val="0"/>
        <w:widowControl w:val="0"/>
        <w:shd w:val="clear" w:color="auto" w:fill="auto"/>
        <w:bidi w:val="0"/>
        <w:spacing w:before="0" w:after="0"/>
        <w:ind w:left="0" w:right="0"/>
        <w:jc w:val="both"/>
      </w:pPr>
      <w:r>
        <w:rPr>
          <w:color w:val="000000"/>
          <w:spacing w:val="0"/>
          <w:w w:val="100"/>
          <w:position w:val="0"/>
        </w:rPr>
        <w:t>密切关注监管政策和市场融资动态，在做好存量债务管理和衔接的同时，逐步拓宽融资渠道，充分发挥上 市公司牌照资源优势，加强与基金、券商、信托等各类金融机构的接洽，探索各种可能的融资模式，提升公司 整体融资能力。</w:t>
      </w:r>
    </w:p>
    <w:p>
      <w:pPr>
        <w:pStyle w:val="Style39"/>
        <w:keepNext w:val="0"/>
        <w:keepLines w:val="0"/>
        <w:widowControl w:val="0"/>
        <w:shd w:val="clear" w:color="auto" w:fill="auto"/>
        <w:tabs>
          <w:tab w:pos="803" w:val="left"/>
        </w:tabs>
        <w:bidi w:val="0"/>
        <w:spacing w:before="0" w:after="0" w:line="317" w:lineRule="exact"/>
        <w:ind w:left="0" w:right="0"/>
        <w:jc w:val="both"/>
      </w:pPr>
      <w:bookmarkStart w:id="215" w:name="bookmark215"/>
      <w:r>
        <w:rPr>
          <w:rFonts w:ascii="Times New Roman" w:eastAsia="Times New Roman" w:hAnsi="Times New Roman" w:cs="Times New Roman"/>
          <w:color w:val="000000"/>
          <w:spacing w:val="0"/>
          <w:w w:val="100"/>
          <w:position w:val="0"/>
          <w:sz w:val="20"/>
          <w:szCs w:val="20"/>
        </w:rPr>
        <w:t>3</w:t>
      </w:r>
      <w:bookmarkEnd w:id="215"/>
      <w:r>
        <w:rPr>
          <w:color w:val="000000"/>
          <w:spacing w:val="0"/>
          <w:w w:val="100"/>
          <w:position w:val="0"/>
        </w:rPr>
        <w:t>、</w:t>
        <w:tab/>
        <w:t>持续优化公司治理结构，努力提升内控管理水平</w:t>
      </w:r>
    </w:p>
    <w:p>
      <w:pPr>
        <w:pStyle w:val="Style39"/>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年，公司将继续严格依照《公司法》《证券法》《上市公司信息披露管理办法》《深圳证券交易所股 票上市规则》等各项法律法规及业务规则的有关规定，持续加强规范治理，不断完善公司法人治理结构，加强 公司内部控制管理，强化内控监督和约束机制，进一步推动公司管理向标准化、规范化发展。</w:t>
      </w:r>
    </w:p>
    <w:p>
      <w:pPr>
        <w:pStyle w:val="Style39"/>
        <w:keepNext w:val="0"/>
        <w:keepLines w:val="0"/>
        <w:widowControl w:val="0"/>
        <w:shd w:val="clear" w:color="auto" w:fill="auto"/>
        <w:tabs>
          <w:tab w:pos="808" w:val="left"/>
        </w:tabs>
        <w:bidi w:val="0"/>
        <w:spacing w:before="0" w:after="0" w:line="322" w:lineRule="exact"/>
        <w:ind w:left="0" w:right="0"/>
        <w:jc w:val="both"/>
      </w:pPr>
      <w:bookmarkStart w:id="216" w:name="bookmark216"/>
      <w:r>
        <w:rPr>
          <w:rFonts w:ascii="Times New Roman" w:eastAsia="Times New Roman" w:hAnsi="Times New Roman" w:cs="Times New Roman"/>
          <w:color w:val="000000"/>
          <w:spacing w:val="0"/>
          <w:w w:val="100"/>
          <w:position w:val="0"/>
          <w:sz w:val="20"/>
          <w:szCs w:val="20"/>
        </w:rPr>
        <w:t>4</w:t>
      </w:r>
      <w:bookmarkEnd w:id="216"/>
      <w:r>
        <w:rPr>
          <w:color w:val="000000"/>
          <w:spacing w:val="0"/>
          <w:w w:val="100"/>
          <w:position w:val="0"/>
        </w:rPr>
        <w:t>、</w:t>
        <w:tab/>
        <w:t>加强企业文化建设，凝聚员工发展动力</w:t>
      </w:r>
    </w:p>
    <w:p>
      <w:pPr>
        <w:pStyle w:val="Style39"/>
        <w:keepNext w:val="0"/>
        <w:keepLines w:val="0"/>
        <w:widowControl w:val="0"/>
        <w:shd w:val="clear" w:color="auto" w:fill="auto"/>
        <w:bidi w:val="0"/>
        <w:spacing w:before="0"/>
        <w:ind w:left="0" w:right="0"/>
        <w:jc w:val="both"/>
      </w:pPr>
      <w:r>
        <w:rPr>
          <w:color w:val="000000"/>
          <w:spacing w:val="0"/>
          <w:w w:val="100"/>
          <w:position w:val="0"/>
        </w:rPr>
        <w:t>企业文化是企业的灵魂，是推动企业发展的不竭动力。公司坚持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诚信信任、担当合作、激情卓越、共创共 享、尚德感恩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的企业理念，担负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让客户更满意、让股东更安心、让员工更幸福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的企业使命，持续开展和不断 加强企业文化建设，通过各种有益的形式丰富员工活动，增强员工归属感和使命感。发布《员工手册》，提升 了企业管理规范化水平；落地展示文化墙，加深了员工对企业的认同；举办颂党恩、司庆、评优等活动，增强 了公司凝聚力；开展系列课程培训，增加了员工知识储备。通过企业文化建设，公司的凝聚力和向心力显著增 强，员工的责任意识和集体荣誉感得到进一步提升。</w:t>
      </w:r>
    </w:p>
    <w:p>
      <w:pPr>
        <w:pStyle w:val="Style39"/>
        <w:keepNext w:val="0"/>
        <w:keepLines w:val="0"/>
        <w:widowControl w:val="0"/>
        <w:shd w:val="clear" w:color="auto" w:fill="auto"/>
        <w:bidi w:val="0"/>
        <w:spacing w:before="0"/>
        <w:ind w:left="0" w:right="0"/>
        <w:jc w:val="both"/>
      </w:pPr>
      <w:r>
        <w:rPr>
          <w:color w:val="000000"/>
          <w:spacing w:val="0"/>
          <w:w w:val="100"/>
          <w:position w:val="0"/>
        </w:rPr>
        <w:t>（二）公司面临的风险与挑战</w:t>
      </w:r>
    </w:p>
    <w:p>
      <w:pPr>
        <w:pStyle w:val="Style39"/>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年度，公司业务基本实现平稳发展，但仍存在着不少风险和挑战，具体如下：</w:t>
      </w:r>
    </w:p>
    <w:p>
      <w:pPr>
        <w:pStyle w:val="Style39"/>
        <w:keepNext w:val="0"/>
        <w:keepLines w:val="0"/>
        <w:widowControl w:val="0"/>
        <w:shd w:val="clear" w:color="auto" w:fill="auto"/>
        <w:tabs>
          <w:tab w:pos="736" w:val="left"/>
        </w:tabs>
        <w:bidi w:val="0"/>
        <w:spacing w:before="0" w:after="0" w:line="326" w:lineRule="auto"/>
        <w:ind w:left="0" w:right="0"/>
        <w:jc w:val="both"/>
      </w:pPr>
      <w:bookmarkStart w:id="217" w:name="bookmark217"/>
      <w:r>
        <w:rPr>
          <w:rFonts w:ascii="Times New Roman" w:eastAsia="Times New Roman" w:hAnsi="Times New Roman" w:cs="Times New Roman"/>
          <w:color w:val="000000"/>
          <w:spacing w:val="0"/>
          <w:w w:val="100"/>
          <w:position w:val="0"/>
          <w:sz w:val="20"/>
          <w:szCs w:val="20"/>
        </w:rPr>
        <w:t>1</w:t>
      </w:r>
      <w:bookmarkEnd w:id="217"/>
      <w:r>
        <w:rPr>
          <w:color w:val="000000"/>
          <w:spacing w:val="0"/>
          <w:w w:val="100"/>
          <w:position w:val="0"/>
        </w:rPr>
        <w:t>、</w:t>
        <w:tab/>
        <w:t>商誉减值风险</w:t>
      </w:r>
    </w:p>
    <w:p>
      <w:pPr>
        <w:pStyle w:val="Style39"/>
        <w:keepNext w:val="0"/>
        <w:keepLines w:val="0"/>
        <w:widowControl w:val="0"/>
        <w:shd w:val="clear" w:color="auto" w:fill="auto"/>
        <w:bidi w:val="0"/>
        <w:spacing w:before="0" w:after="120"/>
        <w:ind w:left="0" w:right="0"/>
        <w:jc w:val="both"/>
      </w:pPr>
      <w:r>
        <w:rPr>
          <w:color w:val="000000"/>
          <w:spacing w:val="0"/>
          <w:w w:val="100"/>
          <w:position w:val="0"/>
        </w:rPr>
        <w:t>广东合利未来经营发生不利变化导致其盈利能力下降，对公司经营业绩造成影响，可能导致广东合利存在 商誉减值风险。公司通过采取加强内部控制管理、积极拓展业务、完善系统建设、招募优秀管理团队等措施提 升广东合利的经营业绩，应对可能出现的商誉减值风险。</w:t>
      </w:r>
    </w:p>
    <w:p>
      <w:pPr>
        <w:pStyle w:val="Style39"/>
        <w:keepNext w:val="0"/>
        <w:keepLines w:val="0"/>
        <w:widowControl w:val="0"/>
        <w:shd w:val="clear" w:color="auto" w:fill="auto"/>
        <w:tabs>
          <w:tab w:pos="748" w:val="left"/>
        </w:tabs>
        <w:bidi w:val="0"/>
        <w:spacing w:before="0" w:after="0" w:line="326" w:lineRule="auto"/>
        <w:ind w:left="0" w:right="0"/>
        <w:jc w:val="both"/>
      </w:pPr>
      <w:bookmarkStart w:id="218" w:name="bookmark218"/>
      <w:r>
        <w:rPr>
          <w:rFonts w:ascii="Times New Roman" w:eastAsia="Times New Roman" w:hAnsi="Times New Roman" w:cs="Times New Roman"/>
          <w:color w:val="000000"/>
          <w:spacing w:val="0"/>
          <w:w w:val="100"/>
          <w:position w:val="0"/>
          <w:sz w:val="20"/>
          <w:szCs w:val="20"/>
        </w:rPr>
        <w:t>2</w:t>
      </w:r>
      <w:bookmarkEnd w:id="218"/>
      <w:r>
        <w:rPr>
          <w:color w:val="000000"/>
          <w:spacing w:val="0"/>
          <w:w w:val="100"/>
          <w:position w:val="0"/>
        </w:rPr>
        <w:t>、</w:t>
        <w:tab/>
        <w:t>行业监管政策变化导致业务受到不利影响的风险</w:t>
      </w:r>
    </w:p>
    <w:p>
      <w:pPr>
        <w:pStyle w:val="Style39"/>
        <w:keepNext w:val="0"/>
        <w:keepLines w:val="0"/>
        <w:widowControl w:val="0"/>
        <w:shd w:val="clear" w:color="auto" w:fill="auto"/>
        <w:bidi w:val="0"/>
        <w:spacing w:before="0" w:after="120"/>
        <w:ind w:left="0" w:right="0"/>
        <w:jc w:val="both"/>
      </w:pPr>
      <w:r>
        <w:rPr>
          <w:color w:val="000000"/>
          <w:spacing w:val="0"/>
          <w:w w:val="100"/>
          <w:position w:val="0"/>
        </w:rPr>
        <w:t>第三方支付行业与国家金融体系的平稳运行密切相关，主管部门对此行业的监管将逐步趋严，若由于行业 内某些企业的违法违规行为而扰乱金融市场、造成恶劣影响，主管机关可能对上述法律法规进行调整或出台趋 紧的法律法规，收紧对非金融机构从事第三方支付业务的许可经营范围或加强对此行业的监管力度，都将深刻 影响行业未来的发展方向和行业的竞争格局，从而可能对公司金融科技业务的稳定性与持续性产生重要影响。 公司严格按照监管机构相关政策在许可业务类型范围内合规开展第三方支付业务，最大限度降低政策风险对公 司的不利影响。</w:t>
      </w:r>
    </w:p>
    <w:p>
      <w:pPr>
        <w:pStyle w:val="Style39"/>
        <w:keepNext w:val="0"/>
        <w:keepLines w:val="0"/>
        <w:widowControl w:val="0"/>
        <w:shd w:val="clear" w:color="auto" w:fill="auto"/>
        <w:tabs>
          <w:tab w:pos="748" w:val="left"/>
        </w:tabs>
        <w:bidi w:val="0"/>
        <w:spacing w:before="0" w:after="0" w:line="326" w:lineRule="auto"/>
        <w:ind w:left="0" w:right="0"/>
        <w:jc w:val="both"/>
      </w:pPr>
      <w:bookmarkStart w:id="219" w:name="bookmark219"/>
      <w:r>
        <w:rPr>
          <w:rFonts w:ascii="Times New Roman" w:eastAsia="Times New Roman" w:hAnsi="Times New Roman" w:cs="Times New Roman"/>
          <w:color w:val="000000"/>
          <w:spacing w:val="0"/>
          <w:w w:val="100"/>
          <w:position w:val="0"/>
          <w:sz w:val="20"/>
          <w:szCs w:val="20"/>
        </w:rPr>
        <w:t>3</w:t>
      </w:r>
      <w:bookmarkEnd w:id="219"/>
      <w:r>
        <w:rPr>
          <w:color w:val="000000"/>
          <w:spacing w:val="0"/>
          <w:w w:val="100"/>
          <w:position w:val="0"/>
        </w:rPr>
        <w:t>、</w:t>
        <w:tab/>
        <w:t>市场竞争风险</w:t>
      </w:r>
    </w:p>
    <w:p>
      <w:pPr>
        <w:pStyle w:val="Style39"/>
        <w:keepNext w:val="0"/>
        <w:keepLines w:val="0"/>
        <w:widowControl w:val="0"/>
        <w:shd w:val="clear" w:color="auto" w:fill="auto"/>
        <w:bidi w:val="0"/>
        <w:spacing w:before="0" w:after="120"/>
        <w:ind w:left="0" w:right="0"/>
        <w:jc w:val="both"/>
      </w:pPr>
      <w:r>
        <w:rPr>
          <w:color w:val="000000"/>
          <w:spacing w:val="0"/>
          <w:w w:val="100"/>
          <w:position w:val="0"/>
        </w:rPr>
        <w:t>金融科技业务处于快速发展阶段，具有产品和服务更新换代快的特点，若公司金融科技业务对技术、产品 和市场的发展趋势不能正确判断，不能持续研发升级产品和服务，将导致公司的市场竞争能力下降，存在较大 的市场竞争压力。公司实施有竞争力的人才政策，保证在金融科技行业的竞争中能引进各类优秀人才。</w:t>
      </w:r>
    </w:p>
    <w:p>
      <w:pPr>
        <w:pStyle w:val="Style39"/>
        <w:keepNext w:val="0"/>
        <w:keepLines w:val="0"/>
        <w:widowControl w:val="0"/>
        <w:shd w:val="clear" w:color="auto" w:fill="auto"/>
        <w:tabs>
          <w:tab w:pos="748" w:val="left"/>
        </w:tabs>
        <w:bidi w:val="0"/>
        <w:spacing w:before="0" w:after="0" w:line="326" w:lineRule="auto"/>
        <w:ind w:left="0" w:right="0"/>
        <w:jc w:val="both"/>
      </w:pPr>
      <w:bookmarkStart w:id="220" w:name="bookmark220"/>
      <w:r>
        <w:rPr>
          <w:rFonts w:ascii="Times New Roman" w:eastAsia="Times New Roman" w:hAnsi="Times New Roman" w:cs="Times New Roman"/>
          <w:color w:val="000000"/>
          <w:spacing w:val="0"/>
          <w:w w:val="100"/>
          <w:position w:val="0"/>
          <w:sz w:val="20"/>
          <w:szCs w:val="20"/>
        </w:rPr>
        <w:t>4</w:t>
      </w:r>
      <w:bookmarkEnd w:id="220"/>
      <w:r>
        <w:rPr>
          <w:color w:val="000000"/>
          <w:spacing w:val="0"/>
          <w:w w:val="100"/>
          <w:position w:val="0"/>
        </w:rPr>
        <w:t>、</w:t>
        <w:tab/>
        <w:t>技术风险</w:t>
      </w:r>
    </w:p>
    <w:p>
      <w:pPr>
        <w:pStyle w:val="Style39"/>
        <w:keepNext w:val="0"/>
        <w:keepLines w:val="0"/>
        <w:widowControl w:val="0"/>
        <w:shd w:val="clear" w:color="auto" w:fill="auto"/>
        <w:bidi w:val="0"/>
        <w:spacing w:before="0" w:after="120"/>
        <w:ind w:left="0" w:right="0"/>
        <w:jc w:val="both"/>
      </w:pPr>
      <w:r>
        <w:rPr>
          <w:color w:val="000000"/>
          <w:spacing w:val="0"/>
          <w:w w:val="100"/>
          <w:position w:val="0"/>
        </w:rPr>
        <w:t>技术风险是指由于软硬件及网络等原因导致的损失。具体包括：网络系统被恶意攻击，门户网站的页面被 恶意替换，业务数据遭破坏或失窃，客户数据及密码信息遗失，造成资金损失；由于主机、网络以及其他设备 等故障造成合利宝支付全部业务停顿，导致用户直接资金损失或间接损失；客户服务中心系统出现故障，导致 客户服务工作停顿。根据对客户或其他相关单位造成损失的大小，公司受到的影响可能是支付赔偿金、缴纳罚 款、暂停业务、被吊销《支付业务许可证》的风险。公司将配备充足的</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技术人员，加强系统及软硬件建设； 加强相关软硬件设施的配备，以满足更多的业务种类和业务量；提高公司业务系统的安全级别，尽可能降低上 述风险事件发生的可能性。</w:t>
      </w:r>
    </w:p>
    <w:p>
      <w:pPr>
        <w:pStyle w:val="Style39"/>
        <w:keepNext w:val="0"/>
        <w:keepLines w:val="0"/>
        <w:widowControl w:val="0"/>
        <w:shd w:val="clear" w:color="auto" w:fill="auto"/>
        <w:tabs>
          <w:tab w:pos="743" w:val="left"/>
        </w:tabs>
        <w:bidi w:val="0"/>
        <w:spacing w:before="0" w:after="0" w:line="326" w:lineRule="auto"/>
        <w:ind w:left="0" w:right="0"/>
        <w:jc w:val="both"/>
      </w:pPr>
      <w:bookmarkStart w:id="221" w:name="bookmark221"/>
      <w:r>
        <w:rPr>
          <w:rFonts w:ascii="Times New Roman" w:eastAsia="Times New Roman" w:hAnsi="Times New Roman" w:cs="Times New Roman"/>
          <w:color w:val="000000"/>
          <w:spacing w:val="0"/>
          <w:w w:val="100"/>
          <w:position w:val="0"/>
          <w:sz w:val="20"/>
          <w:szCs w:val="20"/>
        </w:rPr>
        <w:t>5</w:t>
      </w:r>
      <w:bookmarkEnd w:id="221"/>
      <w:r>
        <w:rPr>
          <w:color w:val="000000"/>
          <w:spacing w:val="0"/>
          <w:w w:val="100"/>
          <w:position w:val="0"/>
        </w:rPr>
        <w:t>、</w:t>
        <w:tab/>
        <w:t>客户的违法违规行为导致的经营风险</w:t>
      </w:r>
    </w:p>
    <w:p>
      <w:pPr>
        <w:pStyle w:val="Style39"/>
        <w:keepNext w:val="0"/>
        <w:keepLines w:val="0"/>
        <w:widowControl w:val="0"/>
        <w:shd w:val="clear" w:color="auto" w:fill="auto"/>
        <w:bidi w:val="0"/>
        <w:spacing w:before="0" w:after="120" w:line="311" w:lineRule="exact"/>
        <w:ind w:left="0" w:right="0"/>
        <w:jc w:val="both"/>
      </w:pPr>
      <w:r>
        <w:rPr>
          <w:color w:val="000000"/>
          <w:spacing w:val="0"/>
          <w:w w:val="100"/>
          <w:position w:val="0"/>
        </w:rPr>
        <w:t>商户弄虚作假，将通道私自嫁接给第三方使用或移做他用；违规操作资金进出；银行卡盗刷、恶意拒付的 风险。公司的商户自身发生违规行为，在选择商户时，若未严格执行对商户的筛选标准，导致出现上述违规行 为进而造成交易量大幅下降，将会导致手续费收入大幅减少的经营风险。公司将强化商户审核机制，严格按照 公司商户准入制度实行准入制，对存量商户定期进行梳理，及时发现违规行为并采取有效防范措施；积极拓展 市场，增加优质商户数量，降低对单一市场或行业的业绩依赖；公司坚持只提供支付服务，不参与交易业务的 中性合规原则。</w:t>
      </w:r>
    </w:p>
    <w:p>
      <w:pPr>
        <w:pStyle w:val="Style39"/>
        <w:keepNext w:val="0"/>
        <w:keepLines w:val="0"/>
        <w:widowControl w:val="0"/>
        <w:shd w:val="clear" w:color="auto" w:fill="auto"/>
        <w:tabs>
          <w:tab w:pos="748" w:val="left"/>
        </w:tabs>
        <w:bidi w:val="0"/>
        <w:spacing w:before="0" w:after="0" w:line="326" w:lineRule="auto"/>
        <w:ind w:left="0" w:right="0"/>
        <w:jc w:val="both"/>
      </w:pPr>
      <w:bookmarkStart w:id="222" w:name="bookmark222"/>
      <w:r>
        <w:rPr>
          <w:rFonts w:ascii="Times New Roman" w:eastAsia="Times New Roman" w:hAnsi="Times New Roman" w:cs="Times New Roman"/>
          <w:color w:val="000000"/>
          <w:spacing w:val="0"/>
          <w:w w:val="100"/>
          <w:position w:val="0"/>
          <w:sz w:val="20"/>
          <w:szCs w:val="20"/>
        </w:rPr>
        <w:t>6</w:t>
      </w:r>
      <w:bookmarkEnd w:id="222"/>
      <w:r>
        <w:rPr>
          <w:color w:val="000000"/>
          <w:spacing w:val="0"/>
          <w:w w:val="100"/>
          <w:position w:val="0"/>
        </w:rPr>
        <w:t>、</w:t>
        <w:tab/>
        <w:t>资金周转风险</w:t>
      </w:r>
    </w:p>
    <w:p>
      <w:pPr>
        <w:pStyle w:val="Style39"/>
        <w:keepNext w:val="0"/>
        <w:keepLines w:val="0"/>
        <w:widowControl w:val="0"/>
        <w:shd w:val="clear" w:color="auto" w:fill="auto"/>
        <w:bidi w:val="0"/>
        <w:spacing w:before="0" w:after="120"/>
        <w:ind w:left="0" w:right="0"/>
        <w:jc w:val="both"/>
      </w:pPr>
      <w:r>
        <w:rPr>
          <w:color w:val="000000"/>
          <w:spacing w:val="0"/>
          <w:w w:val="100"/>
          <w:position w:val="0"/>
        </w:rPr>
        <w:t xml:space="preserve">由于多元金融行业的特点，公司融资渠道相对较为单一，主要依赖银行等金融机构借款。受整体经济环境 放缓、疫情持续及自身等因素影响，公司近两年出现资金紧张的情况，导致借款逾期发生。同时借款逾期、诉 讼执行、负面舆情等情况的出现，更加剧了公司融资的困难程度，公司面临资金周转困难的风险。公司将加强 与债权人沟通协商，制定切合实际的还款方案，同时积极整合现有资源，清理存续收益不佳的项目，加快资金 </w:t>
      </w:r>
      <w:r>
        <w:rPr>
          <w:color w:val="000000"/>
          <w:spacing w:val="0"/>
          <w:w w:val="100"/>
          <w:position w:val="0"/>
        </w:rPr>
        <w:t>回笼，同时积极拓展渠道，多方面开展融资活动。</w:t>
      </w:r>
    </w:p>
    <w:p>
      <w:pPr>
        <w:pStyle w:val="Style39"/>
        <w:keepNext w:val="0"/>
        <w:keepLines w:val="0"/>
        <w:widowControl w:val="0"/>
        <w:shd w:val="clear" w:color="auto" w:fill="auto"/>
        <w:tabs>
          <w:tab w:pos="728" w:val="left"/>
        </w:tabs>
        <w:bidi w:val="0"/>
        <w:spacing w:before="0" w:after="0" w:line="326" w:lineRule="auto"/>
        <w:ind w:left="0" w:right="0" w:firstLine="420"/>
        <w:jc w:val="both"/>
      </w:pPr>
      <w:bookmarkStart w:id="223" w:name="bookmark223"/>
      <w:r>
        <w:rPr>
          <w:rFonts w:ascii="Times New Roman" w:eastAsia="Times New Roman" w:hAnsi="Times New Roman" w:cs="Times New Roman"/>
          <w:color w:val="000000"/>
          <w:spacing w:val="0"/>
          <w:w w:val="100"/>
          <w:position w:val="0"/>
          <w:sz w:val="20"/>
          <w:szCs w:val="20"/>
        </w:rPr>
        <w:t>7</w:t>
      </w:r>
      <w:bookmarkEnd w:id="223"/>
      <w:r>
        <w:rPr>
          <w:color w:val="000000"/>
          <w:spacing w:val="0"/>
          <w:w w:val="100"/>
          <w:position w:val="0"/>
        </w:rPr>
        <w:t>、</w:t>
        <w:tab/>
        <w:t>诉讼、执行等司法风险</w:t>
      </w:r>
    </w:p>
    <w:p>
      <w:pPr>
        <w:pStyle w:val="Style39"/>
        <w:keepNext w:val="0"/>
        <w:keepLines w:val="0"/>
        <w:widowControl w:val="0"/>
        <w:numPr>
          <w:ilvl w:val="0"/>
          <w:numId w:val="3"/>
        </w:numPr>
        <w:shd w:val="clear" w:color="auto" w:fill="auto"/>
        <w:tabs>
          <w:tab w:pos="735" w:val="left"/>
        </w:tabs>
        <w:bidi w:val="0"/>
        <w:spacing w:before="0" w:after="0" w:line="313" w:lineRule="exact"/>
        <w:ind w:left="0" w:right="0" w:firstLine="420"/>
        <w:jc w:val="both"/>
      </w:pPr>
      <w:bookmarkStart w:id="224" w:name="bookmark224"/>
      <w:bookmarkEnd w:id="224"/>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日，公司发布《关于公司涉及相关诉讼的公告》（公告编号：</w:t>
      </w:r>
      <w:r>
        <w:rPr>
          <w:rFonts w:ascii="Times New Roman" w:eastAsia="Times New Roman" w:hAnsi="Times New Roman" w:cs="Times New Roman"/>
          <w:color w:val="000000"/>
          <w:spacing w:val="0"/>
          <w:w w:val="100"/>
          <w:position w:val="0"/>
          <w:sz w:val="20"/>
          <w:szCs w:val="20"/>
        </w:rPr>
        <w:t>2020-065</w:t>
      </w:r>
      <w:r>
        <w:rPr>
          <w:color w:val="000000"/>
          <w:spacing w:val="0"/>
          <w:w w:val="100"/>
          <w:position w:val="0"/>
        </w:rPr>
        <w:t>）</w:t>
      </w:r>
      <w:r>
        <w:rPr>
          <w:color w:val="000000"/>
          <w:spacing w:val="0"/>
          <w:w w:val="100"/>
          <w:position w:val="0"/>
        </w:rPr>
        <w:t>。公司涉及相关金 融借款纠纷，山西潞城农村商业银行股份有限公司认购了大业信托有限责任公司设立的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大业信托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盛鑫</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号单 一资金信托合同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，认购金额壹拾伍亿元整；资管计划的实际投向为晋中市榆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w:t>
      </w:r>
      <w:r>
        <w:rPr>
          <w:color w:val="000000"/>
          <w:spacing w:val="0"/>
          <w:w w:val="100"/>
          <w:position w:val="0"/>
        </w:rPr>
        <w:t>粮油贸易有限公司。山西潞城农 村商业银行股份有限公司提供了公司出具的《担保函》，《担保函》显示公司为上述资管计划的投资本金壹拾 伍亿元整、年化</w:t>
      </w:r>
      <w:r>
        <w:rPr>
          <w:rFonts w:ascii="Times New Roman" w:eastAsia="Times New Roman" w:hAnsi="Times New Roman" w:cs="Times New Roman"/>
          <w:color w:val="000000"/>
          <w:spacing w:val="0"/>
          <w:w w:val="100"/>
          <w:position w:val="0"/>
          <w:sz w:val="20"/>
          <w:szCs w:val="20"/>
        </w:rPr>
        <w:t>8.5%</w:t>
      </w:r>
      <w:r>
        <w:rPr>
          <w:color w:val="000000"/>
          <w:spacing w:val="0"/>
          <w:w w:val="100"/>
          <w:position w:val="0"/>
        </w:rPr>
        <w:t>的投资收益等提供了连带责任保证。现大业信托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盛鑫</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号单一资金信托合同到期，晋中市 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w:t>
      </w:r>
      <w:r>
        <w:rPr>
          <w:color w:val="000000"/>
          <w:spacing w:val="0"/>
          <w:w w:val="100"/>
          <w:position w:val="0"/>
        </w:rPr>
        <w:t>粮油贸易有限公司未能偿还贷款本息，山西潞城农村商业银行股份有限公司发起诉讼。经公司自查确认， 公司没有上述诉讼所提及的相关金融借款合同及担保等有关协议，没有接触、签署过上述文件，也没有相关用 印流程。上述连带责任担保事项未经过公司内部审核程序，未经公司董事会、股东大会等法定流程审议通过， 独立董事未发表同意的独立意见，公司从未进行公告，不符合《公司法》《证券法》《深圳证券交易所股票上 市规则》等法律法规和《公司章程》等有关规定，上述诉讼涉及的本公司连带保证责任不合法不合规，且公司 对上述诉讼事项涉及的连带担保责任并不知情，公司对上述诉讼请求中要求公司承担的连带保证责任不予承认。 截至目前，上述诉讼案件尚未审理完结。</w:t>
      </w:r>
    </w:p>
    <w:p>
      <w:pPr>
        <w:pStyle w:val="Style39"/>
        <w:keepNext w:val="0"/>
        <w:keepLines w:val="0"/>
        <w:widowControl w:val="0"/>
        <w:numPr>
          <w:ilvl w:val="0"/>
          <w:numId w:val="3"/>
        </w:numPr>
        <w:shd w:val="clear" w:color="auto" w:fill="auto"/>
        <w:tabs>
          <w:tab w:pos="702" w:val="left"/>
        </w:tabs>
        <w:bidi w:val="0"/>
        <w:spacing w:before="0" w:after="0"/>
        <w:ind w:left="0" w:right="0" w:firstLine="420"/>
        <w:jc w:val="both"/>
      </w:pPr>
      <w:bookmarkStart w:id="225" w:name="bookmark225"/>
      <w:bookmarkEnd w:id="225"/>
      <w:r>
        <w:rPr>
          <w:color w:val="000000"/>
          <w:spacing w:val="0"/>
          <w:w w:val="100"/>
          <w:position w:val="0"/>
        </w:rPr>
        <w:t>公司存在金融机构借款逾期的情况，相关金融机构已对公司采取了司法措施，公司部分资产已被债权人 申请保全和执行，公司已在《关于收到仲裁通知暨公司向金融机构借款情况的进展公告》（公告编号：</w:t>
      </w:r>
      <w:r>
        <w:rPr>
          <w:rFonts w:ascii="Times New Roman" w:eastAsia="Times New Roman" w:hAnsi="Times New Roman" w:cs="Times New Roman"/>
          <w:color w:val="000000"/>
          <w:spacing w:val="0"/>
          <w:w w:val="100"/>
          <w:position w:val="0"/>
          <w:sz w:val="20"/>
          <w:szCs w:val="20"/>
        </w:rPr>
        <w:t>2021-083</w:t>
      </w:r>
      <w:r>
        <w:rPr>
          <w:color w:val="000000"/>
          <w:spacing w:val="0"/>
          <w:w w:val="100"/>
          <w:position w:val="0"/>
        </w:rPr>
        <w:t>）、</w:t>
      </w:r>
    </w:p>
    <w:p>
      <w:pPr>
        <w:pStyle w:val="Style39"/>
        <w:keepNext w:val="0"/>
        <w:keepLines w:val="0"/>
        <w:widowControl w:val="0"/>
        <w:shd w:val="clear" w:color="auto" w:fill="auto"/>
        <w:bidi w:val="0"/>
        <w:spacing w:before="0" w:after="120"/>
        <w:ind w:left="0" w:right="0" w:firstLine="0"/>
        <w:jc w:val="left"/>
        <w:rPr>
          <w:sz w:val="17"/>
          <w:szCs w:val="17"/>
        </w:rPr>
      </w:pPr>
      <w:r>
        <w:rPr>
          <w:color w:val="000000"/>
          <w:spacing w:val="0"/>
          <w:w w:val="100"/>
          <w:position w:val="0"/>
          <w:sz w:val="19"/>
          <w:szCs w:val="19"/>
        </w:rPr>
        <w:t>《关于公司向金融机构借款情况的进展公告》（公告编号：</w:t>
      </w:r>
      <w:r>
        <w:rPr>
          <w:rFonts w:ascii="Times New Roman" w:eastAsia="Times New Roman" w:hAnsi="Times New Roman" w:cs="Times New Roman"/>
          <w:color w:val="000000"/>
          <w:spacing w:val="0"/>
          <w:w w:val="100"/>
          <w:position w:val="0"/>
          <w:sz w:val="20"/>
          <w:szCs w:val="20"/>
        </w:rPr>
        <w:t>2021-094</w:t>
      </w:r>
      <w:r>
        <w:rPr>
          <w:color w:val="000000"/>
          <w:spacing w:val="0"/>
          <w:w w:val="100"/>
          <w:position w:val="0"/>
          <w:sz w:val="19"/>
          <w:szCs w:val="19"/>
        </w:rPr>
        <w:t>）</w:t>
      </w:r>
      <w:r>
        <w:rPr>
          <w:color w:val="000000"/>
          <w:spacing w:val="0"/>
          <w:w w:val="100"/>
          <w:position w:val="0"/>
          <w:sz w:val="19"/>
          <w:szCs w:val="19"/>
        </w:rPr>
        <w:t>、《关于对深圳证券交易所关注函回复 的公告》（公告编号：</w:t>
      </w:r>
      <w:r>
        <w:rPr>
          <w:rFonts w:ascii="Times New Roman" w:eastAsia="Times New Roman" w:hAnsi="Times New Roman" w:cs="Times New Roman"/>
          <w:color w:val="000000"/>
          <w:spacing w:val="0"/>
          <w:w w:val="100"/>
          <w:position w:val="0"/>
          <w:sz w:val="20"/>
          <w:szCs w:val="20"/>
        </w:rPr>
        <w:t>2021-096</w:t>
      </w:r>
      <w:r>
        <w:rPr>
          <w:color w:val="000000"/>
          <w:spacing w:val="0"/>
          <w:w w:val="100"/>
          <w:position w:val="0"/>
          <w:sz w:val="19"/>
          <w:szCs w:val="19"/>
        </w:rPr>
        <w:t>）、《关于收到法院财产保全相关资料的公告》（公告编号：</w:t>
      </w:r>
      <w:r>
        <w:rPr>
          <w:rFonts w:ascii="Times New Roman" w:eastAsia="Times New Roman" w:hAnsi="Times New Roman" w:cs="Times New Roman"/>
          <w:color w:val="000000"/>
          <w:spacing w:val="0"/>
          <w:w w:val="100"/>
          <w:position w:val="0"/>
          <w:sz w:val="20"/>
          <w:szCs w:val="20"/>
        </w:rPr>
        <w:t>2021-097</w:t>
      </w:r>
      <w:r>
        <w:rPr>
          <w:color w:val="000000"/>
          <w:spacing w:val="0"/>
          <w:w w:val="100"/>
          <w:position w:val="0"/>
          <w:sz w:val="19"/>
          <w:szCs w:val="19"/>
        </w:rPr>
        <w:t>）</w:t>
      </w:r>
      <w:r>
        <w:rPr>
          <w:color w:val="000000"/>
          <w:spacing w:val="0"/>
          <w:w w:val="100"/>
          <w:position w:val="0"/>
          <w:sz w:val="19"/>
          <w:szCs w:val="19"/>
        </w:rPr>
        <w:t>等相关 公告中对上述情况进行了披露。如公司继续不能还款或不能满足债权人要求，不排除债权方继续采取保全或执 行等司法措施，公司资产存在被司法处置的可能及风险。截至</w:t>
      </w:r>
      <w:r>
        <w:rPr>
          <w:color w:val="000000"/>
          <w:spacing w:val="0"/>
          <w:w w:val="100"/>
          <w:position w:val="0"/>
          <w:sz w:val="17"/>
          <w:szCs w:val="17"/>
        </w:rPr>
        <w:t>目前，公司经营正常，正积极与债权人沟通协商，争取 尽快与债权人达成一致意见，包括但不限于展期、续贷、部分偿还等方式。公司也将通过加快回收应收账款、减少相应支出、 向控股股东借款、处置相关资产等方式筹措偿债资金，尽快妥善处理借款逾期事项。</w:t>
      </w:r>
    </w:p>
    <w:p>
      <w:pPr>
        <w:pStyle w:val="Style39"/>
        <w:keepNext w:val="0"/>
        <w:keepLines w:val="0"/>
        <w:widowControl w:val="0"/>
        <w:shd w:val="clear" w:color="auto" w:fill="auto"/>
        <w:tabs>
          <w:tab w:pos="728" w:val="left"/>
        </w:tabs>
        <w:bidi w:val="0"/>
        <w:spacing w:before="0" w:after="0" w:line="326" w:lineRule="auto"/>
        <w:ind w:left="0" w:right="0" w:firstLine="420"/>
        <w:jc w:val="both"/>
      </w:pPr>
      <w:bookmarkStart w:id="226" w:name="bookmark226"/>
      <w:r>
        <w:rPr>
          <w:rFonts w:ascii="Times New Roman" w:eastAsia="Times New Roman" w:hAnsi="Times New Roman" w:cs="Times New Roman"/>
          <w:color w:val="000000"/>
          <w:spacing w:val="0"/>
          <w:w w:val="100"/>
          <w:position w:val="0"/>
          <w:sz w:val="20"/>
          <w:szCs w:val="20"/>
        </w:rPr>
        <w:t>8</w:t>
      </w:r>
      <w:bookmarkEnd w:id="226"/>
      <w:r>
        <w:rPr>
          <w:color w:val="000000"/>
          <w:spacing w:val="0"/>
          <w:w w:val="100"/>
          <w:position w:val="0"/>
        </w:rPr>
        <w:t>、</w:t>
        <w:tab/>
        <w:t>投资者索赔风险</w:t>
      </w:r>
    </w:p>
    <w:p>
      <w:pPr>
        <w:pStyle w:val="Style39"/>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日收到中国证监会下发的《行政处罚决定书》（</w:t>
      </w:r>
      <w:r>
        <w:rPr>
          <w:rFonts w:ascii="Times New Roman" w:eastAsia="Times New Roman" w:hAnsi="Times New Roman" w:cs="Times New Roman"/>
          <w:color w:val="000000"/>
          <w:spacing w:val="0"/>
          <w:w w:val="100"/>
          <w:position w:val="0"/>
          <w:sz w:val="20"/>
          <w:szCs w:val="20"/>
        </w:rPr>
        <w:t>[2022]14</w:t>
      </w:r>
      <w:r>
        <w:rPr>
          <w:color w:val="000000"/>
          <w:spacing w:val="0"/>
          <w:w w:val="100"/>
          <w:position w:val="0"/>
        </w:rPr>
        <w:t>号），根据中国证监会的认定， 公司存在披露的信息存在虚假记载及未按规定履行信息披露义务的行为，中国证监会依法对公司及相关当事人 作出了行政处罚，具体情况公司已在《关于公司及相关当事人收到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行政处罚决定书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的公告》（公告编号： </w:t>
      </w:r>
      <w:r>
        <w:rPr>
          <w:rFonts w:ascii="Times New Roman" w:eastAsia="Times New Roman" w:hAnsi="Times New Roman" w:cs="Times New Roman"/>
          <w:color w:val="000000"/>
          <w:spacing w:val="0"/>
          <w:w w:val="100"/>
          <w:position w:val="0"/>
          <w:sz w:val="20"/>
          <w:szCs w:val="20"/>
        </w:rPr>
        <w:t>2022-007</w:t>
      </w:r>
      <w:r>
        <w:rPr>
          <w:color w:val="000000"/>
          <w:spacing w:val="0"/>
          <w:w w:val="100"/>
          <w:position w:val="0"/>
        </w:rPr>
        <w:t>）中进行了披露，后续公司存在投资者索赔的风险。</w:t>
      </w:r>
    </w:p>
    <w:p>
      <w:pPr>
        <w:pStyle w:val="Style22"/>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r>
        <w:rPr>
          <w:color w:val="000000"/>
          <w:spacing w:val="0"/>
          <w:w w:val="100"/>
          <w:position w:val="0"/>
        </w:rPr>
        <w:t>十二、报告期内接待调研、沟通、采访等活动</w:t>
      </w:r>
      <w:bookmarkEnd w:id="227"/>
      <w:bookmarkEnd w:id="228"/>
      <w:bookmarkEnd w:id="229"/>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78" w:right="1059" w:bottom="1445" w:left="1059"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520" w:after="580" w:line="240" w:lineRule="auto"/>
        <w:ind w:left="0" w:right="0" w:firstLine="0"/>
        <w:jc w:val="center"/>
      </w:pPr>
      <w:bookmarkStart w:id="230" w:name="bookmark230"/>
      <w:bookmarkStart w:id="231" w:name="bookmark231"/>
      <w:bookmarkStart w:id="232" w:name="bookmark232"/>
      <w:r>
        <w:rPr>
          <w:color w:val="000000"/>
          <w:spacing w:val="0"/>
          <w:w w:val="100"/>
          <w:position w:val="0"/>
        </w:rPr>
        <w:t>第四节公司治理</w:t>
      </w:r>
      <w:bookmarkEnd w:id="230"/>
      <w:bookmarkEnd w:id="231"/>
      <w:bookmarkEnd w:id="232"/>
    </w:p>
    <w:p>
      <w:pPr>
        <w:pStyle w:val="Style22"/>
        <w:keepNext/>
        <w:keepLines/>
        <w:widowControl w:val="0"/>
        <w:shd w:val="clear" w:color="auto" w:fill="auto"/>
        <w:bidi w:val="0"/>
        <w:spacing w:before="0" w:after="2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一</w:t>
      </w:r>
      <w:bookmarkEnd w:id="235"/>
      <w:r>
        <w:rPr>
          <w:color w:val="000000"/>
          <w:spacing w:val="0"/>
          <w:w w:val="100"/>
          <w:position w:val="0"/>
        </w:rPr>
        <w:t>、公司治理的基本状况</w:t>
      </w:r>
      <w:bookmarkEnd w:id="233"/>
      <w:bookmarkEnd w:id="234"/>
      <w:bookmarkEnd w:id="236"/>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报告期内，公司按照现代企业制度要求，优化公司治理结构，规范三会运作，加强内控管理，进一步提升公司规范运作 水平。</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报告期内，公司董事会不断完善公司法人治理结构，健全内部控制体系，充分发挥独立董事的职能和监事会的监督作用， 约束实际控制人的决策和经营行为。公司经营层、相关部门进一步健全公司制度流程，规范资金及合同审批权限，落实防范 控股股东及关联方资金占用管理制度、关联交易管理制度、信息披露管理制度、重大信息内部报告制度、大股东定期沟通机 制等相关制度的执行力度。切实保护投资者利益，自觉履行信息披露义务，做好投资者关系管理，提升企业规范运作水平。 加强对内部审计部门的建设，对内部控制管理制度进行整理，强化资金管理力度，完善资金使用管理制度，规范审批流程。 同时，公司董事会办公室组织新任董事、监事、高级管理人员学习相关证券法律法规及公司内控制度，提高对上市公司独立 性、关联交易、资金占用、对外担保、对外投资等重要事项的认识，提升遵章守法的意识，建立和完善重大信息内部报告制 度，确保公司经营管理规范运作。</w:t>
      </w:r>
    </w:p>
    <w:p>
      <w:pPr>
        <w:pStyle w:val="Style19"/>
        <w:keepNext w:val="0"/>
        <w:keepLines w:val="0"/>
        <w:widowControl w:val="0"/>
        <w:shd w:val="clear" w:color="auto" w:fill="auto"/>
        <w:tabs>
          <w:tab w:pos="869" w:val="left"/>
        </w:tabs>
        <w:bidi w:val="0"/>
        <w:spacing w:before="0" w:after="0" w:line="313" w:lineRule="exact"/>
        <w:ind w:left="0" w:right="0"/>
        <w:jc w:val="both"/>
      </w:pPr>
      <w:bookmarkStart w:id="237" w:name="bookmark237"/>
      <w:r>
        <w:rPr>
          <w:color w:val="000000"/>
          <w:spacing w:val="0"/>
          <w:w w:val="100"/>
          <w:position w:val="0"/>
        </w:rPr>
        <w:t>（</w:t>
      </w:r>
      <w:bookmarkEnd w:id="237"/>
      <w:r>
        <w:rPr>
          <w:color w:val="000000"/>
          <w:spacing w:val="0"/>
          <w:w w:val="100"/>
          <w:position w:val="0"/>
        </w:rPr>
        <w:t>一）</w:t>
        <w:tab/>
        <w:t>关于股东和股东大会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报告期内，公司严格遵守法律法规，规范地召集、召开股东大会，股东大会的召集、召开程序、出席股东大会的人员资 格及股东大会的表决程序符合《公司法》《证券法》《深圳证券交易所股票上市规则》《公司章程》《股东大会议事规则》 及其他法律法规的规定，能够确保全体股东尤其是中小股东享有平等地位，充分行使自己的权利。报告期内召开的股东大会 均由董事会召集召开，并邀请见证律师进行现场见证。</w:t>
      </w:r>
    </w:p>
    <w:p>
      <w:pPr>
        <w:pStyle w:val="Style19"/>
        <w:keepNext w:val="0"/>
        <w:keepLines w:val="0"/>
        <w:widowControl w:val="0"/>
        <w:shd w:val="clear" w:color="auto" w:fill="auto"/>
        <w:tabs>
          <w:tab w:pos="869" w:val="left"/>
        </w:tabs>
        <w:bidi w:val="0"/>
        <w:spacing w:before="0" w:after="0" w:line="313" w:lineRule="exact"/>
        <w:ind w:left="0" w:right="0"/>
        <w:jc w:val="both"/>
      </w:pPr>
      <w:bookmarkStart w:id="238" w:name="bookmark238"/>
      <w:r>
        <w:rPr>
          <w:color w:val="000000"/>
          <w:spacing w:val="0"/>
          <w:w w:val="100"/>
          <w:position w:val="0"/>
        </w:rPr>
        <w:t>（</w:t>
      </w:r>
      <w:bookmarkEnd w:id="238"/>
      <w:r>
        <w:rPr>
          <w:color w:val="000000"/>
          <w:spacing w:val="0"/>
          <w:w w:val="100"/>
          <w:position w:val="0"/>
        </w:rPr>
        <w:t>二）</w:t>
        <w:tab/>
        <w:t>关于上市公司与实际控制人的关系</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报告期内，公司实际控制人为自然人，公司实际控制人能够严格按照监管规定和制度要求规范自身行为，履行法定义务。 没有超越公司股东大会直接或间接干预公司的决策和经营活动的行为。</w:t>
      </w:r>
    </w:p>
    <w:p>
      <w:pPr>
        <w:pStyle w:val="Style19"/>
        <w:keepNext w:val="0"/>
        <w:keepLines w:val="0"/>
        <w:widowControl w:val="0"/>
        <w:shd w:val="clear" w:color="auto" w:fill="auto"/>
        <w:tabs>
          <w:tab w:pos="869" w:val="left"/>
        </w:tabs>
        <w:bidi w:val="0"/>
        <w:spacing w:before="0" w:after="0" w:line="313" w:lineRule="exact"/>
        <w:ind w:left="0" w:right="0"/>
        <w:jc w:val="both"/>
      </w:pPr>
      <w:bookmarkStart w:id="239" w:name="bookmark239"/>
      <w:r>
        <w:rPr>
          <w:color w:val="000000"/>
          <w:spacing w:val="0"/>
          <w:w w:val="100"/>
          <w:position w:val="0"/>
        </w:rPr>
        <w:t>（</w:t>
      </w:r>
      <w:bookmarkEnd w:id="239"/>
      <w:r>
        <w:rPr>
          <w:color w:val="000000"/>
          <w:spacing w:val="0"/>
          <w:w w:val="100"/>
          <w:position w:val="0"/>
        </w:rPr>
        <w:t>三）</w:t>
        <w:tab/>
        <w:t>关于董事与董事会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公司所有董事能按照公司和股东利益最大化的要求诚信、勤勉地履行职责。公司独立董事严格按照独立董事相关制度要 求，积极参与公司决策，对重大事项发表了独立意见，充分发挥了独立董事职能。董事会下设战略委员会、审计委员会、提 名委员会、薪酬与考核委员会，各专门委员会严格遵守相关制度规定，各司其职，有力加强了公司董事会工作的规范运作。</w:t>
      </w:r>
    </w:p>
    <w:p>
      <w:pPr>
        <w:pStyle w:val="Style19"/>
        <w:keepNext w:val="0"/>
        <w:keepLines w:val="0"/>
        <w:widowControl w:val="0"/>
        <w:shd w:val="clear" w:color="auto" w:fill="auto"/>
        <w:tabs>
          <w:tab w:pos="869" w:val="left"/>
        </w:tabs>
        <w:bidi w:val="0"/>
        <w:spacing w:before="0" w:after="0" w:line="313" w:lineRule="exact"/>
        <w:ind w:left="0" w:right="0"/>
        <w:jc w:val="both"/>
      </w:pPr>
      <w:bookmarkStart w:id="240" w:name="bookmark240"/>
      <w:r>
        <w:rPr>
          <w:color w:val="000000"/>
          <w:spacing w:val="0"/>
          <w:w w:val="100"/>
          <w:position w:val="0"/>
        </w:rPr>
        <w:t>（</w:t>
      </w:r>
      <w:bookmarkEnd w:id="240"/>
      <w:r>
        <w:rPr>
          <w:color w:val="000000"/>
          <w:spacing w:val="0"/>
          <w:w w:val="100"/>
          <w:position w:val="0"/>
        </w:rPr>
        <w:t>四）</w:t>
        <w:tab/>
        <w:t>关于监事和监事会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公司现任监事共三名，包括二名股东代表和一名职工代表，监事会人数和人员构成符合法律、法规的要求。公司监事根 据法律、法规及公司章程授予的职权认真履行职责，本着对股东负责的态度，对公司财务以及公司董事、总经理和其他高级 管理人员履行职责的合法、合规性进行有效监督；对公司重大事项、财务状况、董事和经理的履职情况等进行有效监督并发 表意见，维护公司和全体股东的利益。</w:t>
      </w:r>
    </w:p>
    <w:p>
      <w:pPr>
        <w:pStyle w:val="Style19"/>
        <w:keepNext w:val="0"/>
        <w:keepLines w:val="0"/>
        <w:widowControl w:val="0"/>
        <w:shd w:val="clear" w:color="auto" w:fill="auto"/>
        <w:tabs>
          <w:tab w:pos="869" w:val="left"/>
        </w:tabs>
        <w:bidi w:val="0"/>
        <w:spacing w:before="0" w:after="0" w:line="313" w:lineRule="exact"/>
        <w:ind w:left="0" w:right="0"/>
        <w:jc w:val="both"/>
      </w:pPr>
      <w:bookmarkStart w:id="241" w:name="bookmark241"/>
      <w:r>
        <w:rPr>
          <w:color w:val="000000"/>
          <w:spacing w:val="0"/>
          <w:w w:val="100"/>
          <w:position w:val="0"/>
        </w:rPr>
        <w:t>（</w:t>
      </w:r>
      <w:bookmarkEnd w:id="241"/>
      <w:r>
        <w:rPr>
          <w:color w:val="000000"/>
          <w:spacing w:val="0"/>
          <w:w w:val="100"/>
          <w:position w:val="0"/>
        </w:rPr>
        <w:t>五）</w:t>
        <w:tab/>
        <w:t>关于绩效评价与激励约束机制</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公司建立了公正、透明、有效的董事、监事和高管人员的绩效评价标准和激励约束机制，公司高级管理人员的聘任公开、 透明，严格按照有关法律法规的规定进行。公司未来还将探索更多形式的激励方式，形成多层次的综合激励机制，完善绩效 评价标准，更好地调动管理人员的工作积极性，吸引和稳定优秀管理人才和技术、业务骨干。</w:t>
      </w:r>
    </w:p>
    <w:p>
      <w:pPr>
        <w:pStyle w:val="Style19"/>
        <w:keepNext w:val="0"/>
        <w:keepLines w:val="0"/>
        <w:widowControl w:val="0"/>
        <w:shd w:val="clear" w:color="auto" w:fill="auto"/>
        <w:tabs>
          <w:tab w:pos="869" w:val="left"/>
        </w:tabs>
        <w:bidi w:val="0"/>
        <w:spacing w:before="0" w:after="0" w:line="313" w:lineRule="exact"/>
        <w:ind w:left="0" w:right="0"/>
        <w:jc w:val="both"/>
      </w:pPr>
      <w:bookmarkStart w:id="242" w:name="bookmark242"/>
      <w:r>
        <w:rPr>
          <w:color w:val="000000"/>
          <w:spacing w:val="0"/>
          <w:w w:val="100"/>
          <w:position w:val="0"/>
        </w:rPr>
        <w:t>（</w:t>
      </w:r>
      <w:bookmarkEnd w:id="242"/>
      <w:r>
        <w:rPr>
          <w:color w:val="000000"/>
          <w:spacing w:val="0"/>
          <w:w w:val="100"/>
          <w:position w:val="0"/>
        </w:rPr>
        <w:t>六）</w:t>
        <w:tab/>
        <w:t>关于投资者关系管理工作</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报告期内，公司严格按照有关法律法规及《深圳证券交易所股票上市规则》中关于公司信息披露的规定，真实、准确、 完整、及时地履行信息披露义务，并确保所有股东能以平等的机会获得公司信息。公司明确董事会秘书为投资者关系管理负 责人，组织实施投资者关系的日常管理工作，加强与投资者的沟通，充分保证广大投资者的知情权。</w:t>
      </w:r>
    </w:p>
    <w:p>
      <w:pPr>
        <w:pStyle w:val="Style19"/>
        <w:keepNext w:val="0"/>
        <w:keepLines w:val="0"/>
        <w:widowControl w:val="0"/>
        <w:shd w:val="clear" w:color="auto" w:fill="auto"/>
        <w:tabs>
          <w:tab w:pos="869" w:val="left"/>
        </w:tabs>
        <w:bidi w:val="0"/>
        <w:spacing w:before="0" w:after="0" w:line="313" w:lineRule="exact"/>
        <w:ind w:left="0" w:right="0"/>
        <w:jc w:val="both"/>
      </w:pPr>
      <w:bookmarkStart w:id="243" w:name="bookmark243"/>
      <w:r>
        <w:rPr>
          <w:color w:val="000000"/>
          <w:spacing w:val="0"/>
          <w:w w:val="100"/>
          <w:position w:val="0"/>
        </w:rPr>
        <w:t>（</w:t>
      </w:r>
      <w:bookmarkEnd w:id="243"/>
      <w:r>
        <w:rPr>
          <w:color w:val="000000"/>
          <w:spacing w:val="0"/>
          <w:w w:val="100"/>
          <w:position w:val="0"/>
        </w:rPr>
        <w:t>七）</w:t>
        <w:tab/>
        <w:t>关于信息披露</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公司按照《深圳证券交易所股票上市规则》《公司章程》《信息披露事务管理制度》《投资者关系管理制度》等的规定， 依法真实、准确、及时、公平、完整地披露有关信息。报告期内，除了按照监管要求披露信息外，公司通过电话、传真、电 </w:t>
      </w:r>
      <w:r>
        <w:rPr>
          <w:color w:val="000000"/>
          <w:spacing w:val="0"/>
          <w:w w:val="100"/>
          <w:position w:val="0"/>
        </w:rPr>
        <w:t>子邮件、互动易及业绩说明会等形式加强与投资者的沟通，力求提高信息披露的透明度。同时，公司进一步加强了与监管机 构的经常性联系和主动沟通，积极向监管机构报告公司重大事项，确保公司信息披露更加规范。</w:t>
      </w:r>
    </w:p>
    <w:p>
      <w:pPr>
        <w:pStyle w:val="Style19"/>
        <w:keepNext w:val="0"/>
        <w:keepLines w:val="0"/>
        <w:widowControl w:val="0"/>
        <w:shd w:val="clear" w:color="auto" w:fill="auto"/>
        <w:bidi w:val="0"/>
        <w:spacing w:before="0" w:after="0" w:line="307" w:lineRule="exact"/>
        <w:ind w:left="0" w:right="0"/>
        <w:jc w:val="both"/>
      </w:pPr>
      <w:bookmarkStart w:id="244" w:name="bookmark244"/>
      <w:r>
        <w:rPr>
          <w:color w:val="000000"/>
          <w:spacing w:val="0"/>
          <w:w w:val="100"/>
          <w:position w:val="0"/>
        </w:rPr>
        <w:t>（</w:t>
      </w:r>
      <w:bookmarkEnd w:id="244"/>
      <w:r>
        <w:rPr>
          <w:color w:val="000000"/>
          <w:spacing w:val="0"/>
          <w:w w:val="100"/>
          <w:position w:val="0"/>
        </w:rPr>
        <w:t>八）关于利益相关者</w:t>
      </w:r>
    </w:p>
    <w:p>
      <w:pPr>
        <w:pStyle w:val="Style19"/>
        <w:keepNext w:val="0"/>
        <w:keepLines w:val="0"/>
        <w:widowControl w:val="0"/>
        <w:shd w:val="clear" w:color="auto" w:fill="auto"/>
        <w:bidi w:val="0"/>
        <w:spacing w:before="0" w:after="380" w:line="314" w:lineRule="exact"/>
        <w:ind w:left="0" w:right="0"/>
        <w:jc w:val="both"/>
      </w:pPr>
      <w:r>
        <w:rPr>
          <w:color w:val="000000"/>
          <w:spacing w:val="0"/>
          <w:w w:val="100"/>
          <w:position w:val="0"/>
        </w:rPr>
        <w:t>公司在保持稳健发展、实现股东利益最大化的同时，积极关注所在地区环境保护、公益事业等问题，重视社会责任， 充分尊重和维护相关利益者的合法权利，加强与各方的沟通合作，努力实现股东、社会、员工等各方利益的均衡，共同推动 公司持续、健康地发展。公司治理的实际情况与中国证监会有关上市公司治理的规范性文件要求基本符合，并能严格按照相 关规定履行义务。</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09" w:val="left"/>
        </w:tabs>
        <w:bidi w:val="0"/>
        <w:spacing w:before="0" w:after="240" w:line="331"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二</w:t>
      </w:r>
      <w:bookmarkEnd w:id="247"/>
      <w:r>
        <w:rPr>
          <w:color w:val="000000"/>
          <w:spacing w:val="0"/>
          <w:w w:val="100"/>
          <w:position w:val="0"/>
        </w:rPr>
        <w:t>、</w:t>
        <w:tab/>
        <w:t>公司相对于控股股东、实际控制人在保证公司资产、人员、财务、机构、业务等方面的 独立情况</w:t>
      </w:r>
      <w:bookmarkEnd w:id="245"/>
      <w:bookmarkEnd w:id="246"/>
      <w:bookmarkEnd w:id="248"/>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公司始终按照《公司法》《证券法》等法律法规和《公司章程》的要求规范运作，建立健全公司法人治理结构。公司与 控股股东、实际控制人在资产、人员、财务、机构、业务等方面完全分开，具有独立完整的业务及自主经营能力。公司所有 的生产经营或重大事项均根据《公司章程》及相关制度的规定由经理层、董事会、股东大会讨论确定，不存在受控于控股股 东、实际控制人的情形。</w:t>
      </w:r>
    </w:p>
    <w:p>
      <w:pPr>
        <w:pStyle w:val="Style19"/>
        <w:keepNext w:val="0"/>
        <w:keepLines w:val="0"/>
        <w:widowControl w:val="0"/>
        <w:shd w:val="clear" w:color="auto" w:fill="auto"/>
        <w:tabs>
          <w:tab w:pos="898" w:val="left"/>
        </w:tabs>
        <w:bidi w:val="0"/>
        <w:spacing w:before="0" w:after="0" w:line="314" w:lineRule="exact"/>
        <w:ind w:left="0" w:right="0"/>
        <w:jc w:val="both"/>
      </w:pPr>
      <w:bookmarkStart w:id="249" w:name="bookmark249"/>
      <w:r>
        <w:rPr>
          <w:color w:val="000000"/>
          <w:spacing w:val="0"/>
          <w:w w:val="100"/>
          <w:position w:val="0"/>
        </w:rPr>
        <w:t>（</w:t>
      </w:r>
      <w:bookmarkEnd w:id="249"/>
      <w:r>
        <w:rPr>
          <w:color w:val="000000"/>
          <w:spacing w:val="0"/>
          <w:w w:val="100"/>
          <w:position w:val="0"/>
        </w:rPr>
        <w:t>一）</w:t>
        <w:tab/>
        <w:t>资产独立情况</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公司合法拥有与主营业务相关的商标、专利、非专利技术的所有权或者使用权。公司与股东之间的资产产权界定清晰， 生产经营场所独立，不存在依靠股东的生产经营场所进行生产经营的情况。公司不存在以资产、权益或信誉为股东的债务提 供担保的情况，不存在资产、资金被股东占用而损害公司利益的情况。</w:t>
      </w:r>
    </w:p>
    <w:p>
      <w:pPr>
        <w:pStyle w:val="Style19"/>
        <w:keepNext w:val="0"/>
        <w:keepLines w:val="0"/>
        <w:widowControl w:val="0"/>
        <w:shd w:val="clear" w:color="auto" w:fill="auto"/>
        <w:tabs>
          <w:tab w:pos="898" w:val="left"/>
        </w:tabs>
        <w:bidi w:val="0"/>
        <w:spacing w:before="0" w:after="0" w:line="314" w:lineRule="exact"/>
        <w:ind w:left="0" w:right="0"/>
        <w:jc w:val="both"/>
      </w:pPr>
      <w:bookmarkStart w:id="250" w:name="bookmark250"/>
      <w:r>
        <w:rPr>
          <w:color w:val="000000"/>
          <w:spacing w:val="0"/>
          <w:w w:val="100"/>
          <w:position w:val="0"/>
        </w:rPr>
        <w:t>（</w:t>
      </w:r>
      <w:bookmarkEnd w:id="250"/>
      <w:r>
        <w:rPr>
          <w:color w:val="000000"/>
          <w:spacing w:val="0"/>
          <w:w w:val="100"/>
          <w:position w:val="0"/>
        </w:rPr>
        <w:t>二）</w:t>
        <w:tab/>
        <w:t>人员独立情况</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公司的董事、监事、高级管理人员的任职，均按照《公司法》及其他法律、法规、规范性文件、《公司章程》规定的程 序进行。公司总经理、副总经理、财务总监等高级管理人员均在公司工作并领取薪酬，没有在控股股东、实际控制人及其控 制的其他企业中担任除董事、监事以外的职务。公司的财务人员也不存在在控股股东、实际控制人或其控制的其他企业中兼 职的情况。公司建立了独立的人事管理系统，与员工签订劳动合同，建立了独立的工资管理、福利与社会保障体系。</w:t>
      </w:r>
    </w:p>
    <w:p>
      <w:pPr>
        <w:pStyle w:val="Style19"/>
        <w:keepNext w:val="0"/>
        <w:keepLines w:val="0"/>
        <w:widowControl w:val="0"/>
        <w:shd w:val="clear" w:color="auto" w:fill="auto"/>
        <w:tabs>
          <w:tab w:pos="898" w:val="left"/>
        </w:tabs>
        <w:bidi w:val="0"/>
        <w:spacing w:before="0" w:after="0" w:line="314" w:lineRule="exact"/>
        <w:ind w:left="0" w:right="0"/>
        <w:jc w:val="both"/>
      </w:pPr>
      <w:bookmarkStart w:id="251" w:name="bookmark251"/>
      <w:r>
        <w:rPr>
          <w:color w:val="000000"/>
          <w:spacing w:val="0"/>
          <w:w w:val="100"/>
          <w:position w:val="0"/>
        </w:rPr>
        <w:t>（</w:t>
      </w:r>
      <w:bookmarkEnd w:id="251"/>
      <w:r>
        <w:rPr>
          <w:color w:val="000000"/>
          <w:spacing w:val="0"/>
          <w:w w:val="100"/>
          <w:position w:val="0"/>
        </w:rPr>
        <w:t>三）</w:t>
        <w:tab/>
        <w:t>财务独立情况</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公司设有独立的财务会计部门和内部审计部门，并配备专职财务管理人员及内部审计人员。公司制定了独立于控股股 东的财务管理制度和内部审计管理制度，并建立了独立的会计核算体系。公司具有独立的银行账户并依法独立纳税。</w:t>
      </w:r>
    </w:p>
    <w:p>
      <w:pPr>
        <w:pStyle w:val="Style19"/>
        <w:keepNext w:val="0"/>
        <w:keepLines w:val="0"/>
        <w:widowControl w:val="0"/>
        <w:shd w:val="clear" w:color="auto" w:fill="auto"/>
        <w:tabs>
          <w:tab w:pos="898" w:val="left"/>
        </w:tabs>
        <w:bidi w:val="0"/>
        <w:spacing w:before="0" w:after="0" w:line="317" w:lineRule="exact"/>
        <w:ind w:left="0" w:right="0"/>
        <w:jc w:val="both"/>
      </w:pPr>
      <w:bookmarkStart w:id="252" w:name="bookmark252"/>
      <w:r>
        <w:rPr>
          <w:color w:val="000000"/>
          <w:spacing w:val="0"/>
          <w:w w:val="100"/>
          <w:position w:val="0"/>
        </w:rPr>
        <w:t>（</w:t>
      </w:r>
      <w:bookmarkEnd w:id="252"/>
      <w:r>
        <w:rPr>
          <w:color w:val="000000"/>
          <w:spacing w:val="0"/>
          <w:w w:val="100"/>
          <w:position w:val="0"/>
        </w:rPr>
        <w:t>四）</w:t>
        <w:tab/>
        <w:t>机构独立情况</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公司建立了健全的组织体系，股东大会、董事会、监事会及各职能部门均独立运作，依法独立行使职权。公司经营和办 公机构完全独立，不存在与股东混合经营的情形。</w:t>
      </w:r>
    </w:p>
    <w:p>
      <w:pPr>
        <w:pStyle w:val="Style19"/>
        <w:keepNext w:val="0"/>
        <w:keepLines w:val="0"/>
        <w:widowControl w:val="0"/>
        <w:shd w:val="clear" w:color="auto" w:fill="auto"/>
        <w:tabs>
          <w:tab w:pos="898" w:val="left"/>
        </w:tabs>
        <w:bidi w:val="0"/>
        <w:spacing w:before="0" w:after="0" w:line="317" w:lineRule="exact"/>
        <w:ind w:left="0" w:right="0"/>
        <w:jc w:val="both"/>
      </w:pPr>
      <w:bookmarkStart w:id="253" w:name="bookmark253"/>
      <w:r>
        <w:rPr>
          <w:color w:val="000000"/>
          <w:spacing w:val="0"/>
          <w:w w:val="100"/>
          <w:position w:val="0"/>
        </w:rPr>
        <w:t>（</w:t>
      </w:r>
      <w:bookmarkEnd w:id="253"/>
      <w:r>
        <w:rPr>
          <w:color w:val="000000"/>
          <w:spacing w:val="0"/>
          <w:w w:val="100"/>
          <w:position w:val="0"/>
        </w:rPr>
        <w:t>五）</w:t>
        <w:tab/>
        <w:t>业务独立情况</w:t>
      </w:r>
    </w:p>
    <w:p>
      <w:pPr>
        <w:pStyle w:val="Style19"/>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报告期内，公司主要从事第三方支付、融资租赁、互联网小贷等多元金融业务，拥有独立完整的运营系统，拥有具体 系统的经营计划、财务核算、合规风控、法律、劳动人事等业务体系，具备独立的面向市场自主经营能力，均由公司自主决 策、自负盈亏，不存在对股东及其他机构依赖的情况。</w:t>
      </w:r>
    </w:p>
    <w:p>
      <w:pPr>
        <w:pStyle w:val="Style22"/>
        <w:keepNext/>
        <w:keepLines/>
        <w:widowControl w:val="0"/>
        <w:shd w:val="clear" w:color="auto" w:fill="auto"/>
        <w:tabs>
          <w:tab w:pos="509" w:val="left"/>
        </w:tabs>
        <w:bidi w:val="0"/>
        <w:spacing w:before="0" w:after="380" w:line="331" w:lineRule="exact"/>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三</w:t>
      </w:r>
      <w:bookmarkEnd w:id="256"/>
      <w:r>
        <w:rPr>
          <w:color w:val="000000"/>
          <w:spacing w:val="0"/>
          <w:w w:val="100"/>
          <w:position w:val="0"/>
        </w:rPr>
        <w:t>、</w:t>
        <w:tab/>
        <w:t>同业竞争情况</w:t>
      </w:r>
      <w:bookmarkEnd w:id="254"/>
      <w:bookmarkEnd w:id="255"/>
      <w:bookmarkEnd w:id="257"/>
    </w:p>
    <w:p>
      <w:pPr>
        <w:pStyle w:val="Style19"/>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四</w:t>
      </w:r>
      <w:bookmarkEnd w:id="260"/>
      <w:r>
        <w:rPr>
          <w:color w:val="000000"/>
          <w:spacing w:val="0"/>
          <w:w w:val="100"/>
          <w:position w:val="0"/>
        </w:rPr>
        <w:t>、报告期内召开的年度股东大会和临时股东大会的有关情况</w:t>
      </w:r>
      <w:bookmarkEnd w:id="258"/>
      <w:bookmarkEnd w:id="259"/>
      <w:bookmarkEnd w:id="261"/>
    </w:p>
    <w:p>
      <w:pPr>
        <w:pStyle w:val="Style28"/>
        <w:keepNext/>
        <w:keepLines/>
        <w:widowControl w:val="0"/>
        <w:shd w:val="clear" w:color="auto" w:fill="auto"/>
        <w:bidi w:val="0"/>
        <w:spacing w:before="0" w:after="320" w:line="240" w:lineRule="auto"/>
        <w:ind w:left="0" w:right="0" w:firstLine="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、本报告期股东大会情况</w:t>
      </w:r>
      <w:bookmarkEnd w:id="262"/>
      <w:bookmarkEnd w:id="263"/>
      <w:bookmarkEnd w:id="265"/>
    </w:p>
    <w:tbl>
      <w:tblPr>
        <w:tblOverlap w:val="never"/>
        <w:jc w:val="center"/>
        <w:tblLayout w:type="fixed"/>
      </w:tblPr>
      <w:tblGrid>
        <w:gridCol w:w="1603"/>
        <w:gridCol w:w="1594"/>
        <w:gridCol w:w="1594"/>
        <w:gridCol w:w="1598"/>
        <w:gridCol w:w="1594"/>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年度股东大会 决议公告》（公告编号： </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股东大会决议公告》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、表决权恢复的优先股股东请求召开临时股东大会</w:t>
      </w:r>
      <w:bookmarkEnd w:id="266"/>
      <w:bookmarkEnd w:id="267"/>
      <w:bookmarkEnd w:id="269"/>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五</w:t>
      </w:r>
      <w:bookmarkEnd w:id="272"/>
      <w:r>
        <w:rPr>
          <w:color w:val="000000"/>
          <w:spacing w:val="0"/>
          <w:w w:val="100"/>
          <w:position w:val="0"/>
        </w:rPr>
        <w:t>、董事、监事和高级管理人员情况</w:t>
      </w:r>
      <w:bookmarkEnd w:id="270"/>
      <w:bookmarkEnd w:id="271"/>
      <w:bookmarkEnd w:id="273"/>
    </w:p>
    <w:p>
      <w:pPr>
        <w:pStyle w:val="Style28"/>
        <w:keepNext/>
        <w:keepLines/>
        <w:widowControl w:val="0"/>
        <w:shd w:val="clear" w:color="auto" w:fill="auto"/>
        <w:bidi w:val="0"/>
        <w:spacing w:before="0" w:after="320" w:line="240" w:lineRule="auto"/>
        <w:ind w:left="0" w:right="0" w:firstLine="0"/>
        <w:jc w:val="both"/>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、基本情况</w:t>
      </w:r>
      <w:bookmarkEnd w:id="274"/>
      <w:bookmarkEnd w:id="275"/>
      <w:bookmarkEnd w:id="27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杜辉强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、任职情况</w:t>
      </w:r>
      <w:bookmarkEnd w:id="278"/>
      <w:bookmarkEnd w:id="279"/>
      <w:bookmarkEnd w:id="281"/>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霍东，硕士学历，新加坡国立大学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仁东集团董事长、仁东控股股份有限公司董事长、中国青年企业家协会会员、 中国民族贸易促进会理事。霍东先生热衷于公益事业，于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月成立了北京仁东公益基金会。曾荣获中国儿童少年基金 会和中国妇女发展基金会联合颁发的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中国妇女儿童慈善奖匚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年在中南民族大学设立奖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学金。</w:t>
      </w:r>
    </w:p>
    <w:p>
      <w:pPr>
        <w:pStyle w:val="Style19"/>
        <w:keepNext w:val="0"/>
        <w:keepLines w:val="0"/>
        <w:widowControl w:val="0"/>
        <w:shd w:val="clear" w:color="auto" w:fill="auto"/>
        <w:bidi w:val="0"/>
        <w:spacing w:before="0" w:after="0" w:line="326" w:lineRule="exact"/>
        <w:ind w:left="0" w:right="0"/>
        <w:jc w:val="both"/>
      </w:pPr>
      <w:r>
        <w:rPr>
          <w:color w:val="000000"/>
          <w:spacing w:val="0"/>
          <w:w w:val="100"/>
          <w:position w:val="0"/>
        </w:rPr>
        <w:t>赵佳，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月出生，中国国籍，无境外永久居留权，本科学历。担任仁东集团有限公司副董事长，仁东（天津）科 技发展集团有限公司副董事长等职，目前担任公司董事。</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王石山，</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月出生，中国国籍，无境外永久居留权，硕士学历，教授级高级经济师。历任南车投资租赁有限公司 总经理、执行董事、董事长，中车投资租赁有限公司董事长等，现任民盛租赁有限公司董事长、经理，公司副董事长、总经 理、财务总监。</w:t>
      </w:r>
    </w:p>
    <w:p>
      <w:pPr>
        <w:pStyle w:val="Style19"/>
        <w:keepNext w:val="0"/>
        <w:keepLines w:val="0"/>
        <w:widowControl w:val="0"/>
        <w:shd w:val="clear" w:color="auto" w:fill="auto"/>
        <w:bidi w:val="0"/>
        <w:spacing w:before="0" w:after="0" w:line="324" w:lineRule="exact"/>
        <w:ind w:left="0" w:right="0"/>
        <w:jc w:val="both"/>
      </w:pPr>
      <w:r>
        <w:rPr>
          <w:color w:val="000000"/>
          <w:spacing w:val="0"/>
          <w:w w:val="100"/>
          <w:position w:val="0"/>
        </w:rPr>
        <w:t>刘长勇，</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月出生，中国国籍，无境外永久居留权，对外经济贸易大学国际法专业，硕士学历。历任北京市中伦 律师事务所律师、仁东（天津）科技发展集团有限公司董事等，目前担任公司董事、副总经理。</w:t>
      </w:r>
    </w:p>
    <w:p>
      <w:pPr>
        <w:pStyle w:val="Style19"/>
        <w:keepNext w:val="0"/>
        <w:keepLines w:val="0"/>
        <w:widowControl w:val="0"/>
        <w:shd w:val="clear" w:color="auto" w:fill="auto"/>
        <w:bidi w:val="0"/>
        <w:spacing w:before="0" w:after="0" w:line="324" w:lineRule="exact"/>
        <w:ind w:left="0" w:right="0"/>
        <w:jc w:val="both"/>
      </w:pPr>
      <w:r>
        <w:rPr>
          <w:color w:val="000000"/>
          <w:spacing w:val="0"/>
          <w:w w:val="100"/>
          <w:position w:val="0"/>
        </w:rPr>
        <w:t>章凯，</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月出生，中国国籍，无境外永久居留权，硕士研究生学历，曾任职易宝支付有限公司副总裁，现任公司 董事、副总经理。</w:t>
      </w:r>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孟湫云，</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月出生，中国国籍，无境外永久居留权，吉林农业大学财务管理专业，本科学历。历任于中商亚信投 资管理有限公司、中金玉盈（北京）资产管理有限公司、仁东（天津）科技发展集团有限公司财务部等，目前担任公司董事。</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狄瑞鹏，</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年出生，中国国籍，无境外永久居留权，北京大学国际经济学硕士，美国新奥尔良大学金融经济学博士（财 务管理方向）。历任清华大学金融系助理教授、清华大学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项目副主任、清华大学经管学院助理院长，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 任清华大学经济管理学院全球高管课程项目主任，现任公司独立董事。</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周茂清，</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年出生，中共党员，中国社会科学院融资租赁研究基地副理事长，金融研究所研究员、博士生导师，北京 改革与发展研究会会长。先后主持过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个国家社科基金课题、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个省部级课题和若干个横向课题，参加过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个国家社科基金课 题和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余个省部级研究课题，出版专著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余部，在学术刊物和报纸发表学术论文近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篇；研究成果先后获得省部级哲学社 会科学优秀成果二等奖一次、三等奖三次，现任公司独立董事。</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鲍禄，</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 xml:space="preserve">年出生，中国国籍，无境外永久居留权。法律专业，北京大学研究生学历，中共党员，对外经济贸易大学法 学教授。在国际经济商务法、公司法以及仲裁法领域有着丰富的项目设计、谈判、组织领导、政府关系协调和纠纷处理等方 </w:t>
      </w:r>
      <w:r>
        <w:rPr>
          <w:color w:val="000000"/>
          <w:spacing w:val="0"/>
          <w:w w:val="100"/>
          <w:position w:val="0"/>
        </w:rPr>
        <w:t>面的实务经验，曾获第十届北京市高等学校教学名师奖，发表过《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背景下的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法治中国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》、《两岸四地经济一 体化法律模式分析》、《法理学与比较法（第二版）》、《欧盟法制构建与发展的五十年》等著作，现任公司独立董事。</w:t>
      </w:r>
    </w:p>
    <w:p>
      <w:pPr>
        <w:pStyle w:val="Style19"/>
        <w:keepNext w:val="0"/>
        <w:keepLines w:val="0"/>
        <w:widowControl w:val="0"/>
        <w:shd w:val="clear" w:color="auto" w:fill="auto"/>
        <w:bidi w:val="0"/>
        <w:spacing w:before="0" w:after="0" w:line="323" w:lineRule="exact"/>
        <w:ind w:left="0" w:right="0"/>
        <w:jc w:val="both"/>
      </w:pPr>
      <w:r>
        <w:rPr>
          <w:color w:val="000000"/>
          <w:spacing w:val="0"/>
          <w:w w:val="100"/>
          <w:position w:val="0"/>
        </w:rPr>
        <w:t>杜辉强，</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月出生，中国国籍，无境外永久居留权，内蒙古财经学院人力资源管理专业，本科学历。曾任职于易 宝支付股份有限公司，现任公司监事会主席。</w:t>
      </w:r>
    </w:p>
    <w:p>
      <w:pPr>
        <w:pStyle w:val="Style19"/>
        <w:keepNext w:val="0"/>
        <w:keepLines w:val="0"/>
        <w:widowControl w:val="0"/>
        <w:shd w:val="clear" w:color="auto" w:fill="auto"/>
        <w:bidi w:val="0"/>
        <w:spacing w:before="0" w:after="0" w:line="323" w:lineRule="exact"/>
        <w:ind w:left="0" w:right="0"/>
        <w:jc w:val="both"/>
      </w:pPr>
      <w:r>
        <w:rPr>
          <w:color w:val="000000"/>
          <w:spacing w:val="0"/>
          <w:w w:val="100"/>
          <w:position w:val="0"/>
        </w:rPr>
        <w:t>刘春阳，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月出生，中国国籍，无境外永久居留权，武汉大学财务管理系理财学专业，本科学历。历任紫光集团 有限公司财务经理、财务高级经理、财务副总经理，现任公司监事。</w:t>
      </w:r>
    </w:p>
    <w:p>
      <w:pPr>
        <w:pStyle w:val="Style19"/>
        <w:keepNext w:val="0"/>
        <w:keepLines w:val="0"/>
        <w:widowControl w:val="0"/>
        <w:shd w:val="clear" w:color="auto" w:fill="auto"/>
        <w:bidi w:val="0"/>
        <w:spacing w:before="0" w:after="0" w:line="323" w:lineRule="exact"/>
        <w:ind w:left="0" w:right="0"/>
        <w:jc w:val="both"/>
      </w:pPr>
      <w:r>
        <w:rPr>
          <w:color w:val="000000"/>
          <w:spacing w:val="0"/>
          <w:w w:val="100"/>
          <w:position w:val="0"/>
        </w:rPr>
        <w:t>陶明，</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月出生，中国国籍，本科学历。曾在山东质量技术监督局、中国平安财产保险股份有限公司等处任职， 具有比较丰富的财务审计相关工作经验，现任公司监事。</w:t>
      </w:r>
    </w:p>
    <w:p>
      <w:pPr>
        <w:pStyle w:val="Style19"/>
        <w:keepNext w:val="0"/>
        <w:keepLines w:val="0"/>
        <w:widowControl w:val="0"/>
        <w:shd w:val="clear" w:color="auto" w:fill="auto"/>
        <w:bidi w:val="0"/>
        <w:spacing w:before="0" w:after="0" w:line="323" w:lineRule="exact"/>
        <w:ind w:left="0" w:right="0"/>
        <w:jc w:val="both"/>
      </w:pPr>
      <w:r>
        <w:rPr>
          <w:color w:val="000000"/>
          <w:spacing w:val="0"/>
          <w:w w:val="100"/>
          <w:position w:val="0"/>
        </w:rPr>
        <w:t>黄浩，</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月出生，中国国籍，无境外永久居留权，硕士学历。多年从事并熟悉金融、投资、风险等相关业务管理 工作，曾就职于交通银行、中信银行、民生银行等多家金融机构，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年初任华夏银行股份有限公司昆明分行副 行长，现任公司副总经理。</w:t>
      </w:r>
    </w:p>
    <w:p>
      <w:pPr>
        <w:pStyle w:val="Style19"/>
        <w:keepNext w:val="0"/>
        <w:keepLines w:val="0"/>
        <w:widowControl w:val="0"/>
        <w:shd w:val="clear" w:color="auto" w:fill="auto"/>
        <w:bidi w:val="0"/>
        <w:spacing w:before="0" w:after="140" w:line="323"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仁东（天津）科技发展集团有限公司北京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贵州仁东健康产业发展集团有限公司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贵州仁东科技发展集团有限公司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仁东区块链有限公司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上海骆印贸易有限公司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宁波财东贸易有限公司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京晋日盛（北京）科技发展有限公司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贵州仁东健康产业发展集团有限公司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贵州仁东科技发展集团有限公司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北京仁东致远基础设施建设有限公司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四川仁东楷润建设工程有限公司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仁东资本控股（山东）有限公司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仁东厚德（青岛）资产管理有限公司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浙江东临贸易有限公司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海南东链信息技术有限公司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小精灵（天津）环保科技集团有限公司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小黄狗环保科技有限公司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润京信息科技（江苏）有限公司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东佳置业（北京）有限公司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东佳文化（北京）有限公司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北京仁东芳华科技有限公司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北京中烁企业管理有限公司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冷水江瑞瑾企业管理咨询有限公司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呈东致远（北京）资产管理有限公司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北京仁东酒世界科技有限公司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北京元东商贸有限公司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繁星未来教育科技（北京）有限公司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北京泰东众诚科技中心（有限合伙）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北京亚信众合科技中心（有限合伙）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北京久汇科技中心（有限合伙）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全球高管课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程项目主任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青海华鼎实业股份有限公司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北京汉邦高科数字技术股份有限公司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江南模塑科技股份有限公司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渝农商金融租赁有限责任公司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74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日，公司及相关当事人收到中国证监会下发的《行政处罚决定书》（</w:t>
      </w:r>
      <w:r>
        <w:rPr>
          <w:rFonts w:ascii="Times New Roman" w:eastAsia="Times New Roman" w:hAnsi="Times New Roman" w:cs="Times New Roman"/>
          <w:color w:val="000000"/>
          <w:spacing w:val="0"/>
          <w:w w:val="100"/>
          <w:position w:val="0"/>
          <w:sz w:val="18"/>
          <w:szCs w:val="18"/>
        </w:rPr>
        <w:t>[2022]14</w:t>
      </w:r>
      <w:r>
        <w:rPr>
          <w:color w:val="000000"/>
          <w:spacing w:val="0"/>
          <w:w w:val="100"/>
          <w:position w:val="0"/>
        </w:rPr>
        <w:t>号），根据中国证监会的认 定，公司存在披露的信息存在虚假记载及未按规定履行信息披露义务的行为，中国证监会依法对公司及相关当事人作出了行 政处罚，对相关当事人处罚情况如下：对董事长、代董事会秘书霍东给予警告，并处以</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万元罚款；对副董事长、总经理、 财务总监王石山、副总经理黄浩给予警告，并分别处以</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万元罚款。具体情况公司已在《关于公司及相关当事人收到</w:t>
      </w:r>
      <w:r>
        <w:rPr>
          <w:color w:val="000000"/>
          <w:spacing w:val="0"/>
          <w:w w:val="100"/>
          <w:position w:val="0"/>
          <w:sz w:val="18"/>
          <w:szCs w:val="18"/>
        </w:rPr>
        <w:t>〈</w:t>
      </w:r>
      <w:r>
        <w:rPr>
          <w:color w:val="000000"/>
          <w:spacing w:val="0"/>
          <w:w w:val="100"/>
          <w:position w:val="0"/>
        </w:rPr>
        <w:t>行政 处罚决定书</w:t>
      </w:r>
      <w:r>
        <w:rPr>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2022-007</w:t>
      </w:r>
      <w:r>
        <w:rPr>
          <w:color w:val="000000"/>
          <w:spacing w:val="0"/>
          <w:w w:val="100"/>
          <w:position w:val="0"/>
        </w:rPr>
        <w:t>）中进行了披露。</w:t>
      </w:r>
    </w:p>
    <w:p>
      <w:pPr>
        <w:pStyle w:val="Style28"/>
        <w:keepNext/>
        <w:keepLines/>
        <w:widowControl w:val="0"/>
        <w:shd w:val="clear" w:color="auto" w:fill="auto"/>
        <w:bidi w:val="0"/>
        <w:spacing w:before="0" w:after="260" w:line="240" w:lineRule="auto"/>
        <w:ind w:left="0" w:right="0" w:firstLine="0"/>
        <w:jc w:val="both"/>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3</w:t>
      </w:r>
      <w:bookmarkEnd w:id="284"/>
      <w:r>
        <w:rPr>
          <w:color w:val="000000"/>
          <w:spacing w:val="0"/>
          <w:w w:val="100"/>
          <w:position w:val="0"/>
        </w:rPr>
        <w:t>、董事、监事、高级管理人员报酬情况</w:t>
      </w:r>
      <w:bookmarkEnd w:id="282"/>
      <w:bookmarkEnd w:id="283"/>
      <w:bookmarkEnd w:id="285"/>
    </w:p>
    <w:p>
      <w:pPr>
        <w:pStyle w:val="Style19"/>
        <w:keepNext w:val="0"/>
        <w:keepLines w:val="0"/>
        <w:widowControl w:val="0"/>
        <w:shd w:val="clear" w:color="auto" w:fill="auto"/>
        <w:bidi w:val="0"/>
        <w:spacing w:before="0" w:after="40" w:line="315" w:lineRule="exact"/>
        <w:ind w:left="0" w:right="0" w:firstLine="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tabs>
          <w:tab w:pos="326" w:val="left"/>
        </w:tabs>
        <w:bidi w:val="0"/>
        <w:spacing w:before="0" w:after="0" w:line="315" w:lineRule="exact"/>
        <w:ind w:left="0" w:right="0" w:firstLine="0"/>
        <w:jc w:val="both"/>
      </w:pPr>
      <w:bookmarkStart w:id="286" w:name="bookmark286"/>
      <w:r>
        <w:rPr>
          <w:rFonts w:ascii="Times New Roman" w:eastAsia="Times New Roman" w:hAnsi="Times New Roman" w:cs="Times New Roman"/>
          <w:color w:val="000000"/>
          <w:spacing w:val="0"/>
          <w:w w:val="100"/>
          <w:position w:val="0"/>
          <w:sz w:val="18"/>
          <w:szCs w:val="18"/>
        </w:rPr>
        <w:t>1</w:t>
      </w:r>
      <w:bookmarkEnd w:id="286"/>
      <w:r>
        <w:rPr>
          <w:color w:val="000000"/>
          <w:spacing w:val="0"/>
          <w:w w:val="100"/>
          <w:position w:val="0"/>
        </w:rPr>
        <w:t>、</w:t>
        <w:tab/>
        <w:t>董事、监事、高级管理人员报酬的决策程序：董事、监事的薪酬与津贴由公司董事会薪酬与考核委员会制订方案，董事 会审议通过并报股东大会批准后执行。高级管理人员报酬由公司董事会薪酬与考核委员会制订方案，董事会审议通过后执行。 其中独立董事根据公司《独立董事津贴制度》领取相应津贴。</w:t>
      </w:r>
    </w:p>
    <w:p>
      <w:pPr>
        <w:pStyle w:val="Style19"/>
        <w:keepNext w:val="0"/>
        <w:keepLines w:val="0"/>
        <w:widowControl w:val="0"/>
        <w:shd w:val="clear" w:color="auto" w:fill="auto"/>
        <w:tabs>
          <w:tab w:pos="331" w:val="left"/>
        </w:tabs>
        <w:bidi w:val="0"/>
        <w:spacing w:before="0" w:after="40" w:line="315" w:lineRule="exact"/>
        <w:ind w:left="0" w:right="0" w:firstLine="0"/>
        <w:jc w:val="both"/>
      </w:pPr>
      <w:bookmarkStart w:id="287" w:name="bookmark287"/>
      <w:r>
        <w:rPr>
          <w:rFonts w:ascii="Times New Roman" w:eastAsia="Times New Roman" w:hAnsi="Times New Roman" w:cs="Times New Roman"/>
          <w:color w:val="000000"/>
          <w:spacing w:val="0"/>
          <w:w w:val="100"/>
          <w:position w:val="0"/>
          <w:sz w:val="18"/>
          <w:szCs w:val="18"/>
        </w:rPr>
        <w:t>2</w:t>
      </w:r>
      <w:bookmarkEnd w:id="287"/>
      <w:r>
        <w:rPr>
          <w:color w:val="000000"/>
          <w:spacing w:val="0"/>
          <w:w w:val="100"/>
          <w:position w:val="0"/>
        </w:rPr>
        <w:t>、</w:t>
        <w:tab/>
        <w:t>董事、监事、高级管理人员报酬确定依据：公司制定的《薪酬与考核委员会工作细则》《董事、监事及高级管理人员薪 酬管理办法》等内部规定。</w:t>
      </w:r>
    </w:p>
    <w:p>
      <w:pPr>
        <w:pStyle w:val="Style19"/>
        <w:keepNext w:val="0"/>
        <w:keepLines w:val="0"/>
        <w:widowControl w:val="0"/>
        <w:shd w:val="clear" w:color="auto" w:fill="auto"/>
        <w:tabs>
          <w:tab w:pos="331" w:val="left"/>
        </w:tabs>
        <w:bidi w:val="0"/>
        <w:spacing w:before="0" w:after="380" w:line="326" w:lineRule="exact"/>
        <w:ind w:left="0" w:right="0" w:firstLine="0"/>
        <w:jc w:val="both"/>
      </w:pPr>
      <w:bookmarkStart w:id="288" w:name="bookmark288"/>
      <w:r>
        <w:rPr>
          <w:rFonts w:ascii="Times New Roman" w:eastAsia="Times New Roman" w:hAnsi="Times New Roman" w:cs="Times New Roman"/>
          <w:color w:val="000000"/>
          <w:spacing w:val="0"/>
          <w:w w:val="100"/>
          <w:position w:val="0"/>
          <w:sz w:val="18"/>
          <w:szCs w:val="18"/>
        </w:rPr>
        <w:t>3</w:t>
      </w:r>
      <w:bookmarkEnd w:id="288"/>
      <w:r>
        <w:rPr>
          <w:color w:val="000000"/>
          <w:spacing w:val="0"/>
          <w:w w:val="100"/>
          <w:position w:val="0"/>
        </w:rPr>
        <w:t>、</w:t>
        <w:tab/>
        <w:t>董事、监事和高级管理人员报酬的实际支付情况：董事、高级管理人员按董事会核定的标准按月发放基本薪酬；独立董 事津贴按月发放津贴；公司监事报酬根据公司内部考核制度发放。</w:t>
      </w:r>
    </w:p>
    <w:p>
      <w:pPr>
        <w:pStyle w:val="Style19"/>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杜辉强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六</w:t>
      </w:r>
      <w:bookmarkEnd w:id="291"/>
      <w:r>
        <w:rPr>
          <w:color w:val="000000"/>
          <w:spacing w:val="0"/>
          <w:w w:val="100"/>
          <w:position w:val="0"/>
        </w:rPr>
        <w:t>、报告期内董事履行职责的情况</w:t>
      </w:r>
      <w:bookmarkEnd w:id="289"/>
      <w:bookmarkEnd w:id="290"/>
      <w:bookmarkEnd w:id="292"/>
    </w:p>
    <w:p>
      <w:pPr>
        <w:pStyle w:val="Style28"/>
        <w:keepNext/>
        <w:keepLines/>
        <w:widowControl w:val="0"/>
        <w:shd w:val="clear" w:color="auto" w:fill="auto"/>
        <w:bidi w:val="0"/>
        <w:spacing w:before="0" w:after="32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、本报告期董事会情况</w:t>
      </w:r>
      <w:bookmarkEnd w:id="293"/>
      <w:bookmarkEnd w:id="294"/>
      <w:bookmarkEnd w:id="296"/>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 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 及摘要》《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 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 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 评价报告》《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 制规则落实自查表》《关于向 银行等相关机构申请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综合授信额度的议案》《关于 为子公司提供担保的议案》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《关于向控股股东借款暨关 联交易的议案》《关于修订</w:t>
            </w:r>
            <w:r>
              <w:rPr>
                <w:color w:val="000000"/>
                <w:spacing w:val="0"/>
                <w:w w:val="100"/>
                <w:position w:val="0"/>
                <w:sz w:val="18"/>
                <w:szCs w:val="18"/>
              </w:rPr>
              <w:t>〈</w:t>
            </w:r>
            <w:r>
              <w:rPr>
                <w:color w:val="000000"/>
                <w:spacing w:val="0"/>
                <w:w w:val="100"/>
                <w:position w:val="0"/>
              </w:rPr>
              <w:t>公 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的议案》《关于续聘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 值准备的议案》《关于提请召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年第一季度报告正文 及全文》</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第四届董事会第二十二次会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审议通过了《关于提名公司第 五届董事会非独立董事候选 人的议案》《关于提名公司第 五届董事会独立董事候选人 的议案》《关于提请召开</w:t>
            </w:r>
            <w:r>
              <w:rPr>
                <w:rFonts w:ascii="Times New Roman" w:eastAsia="Times New Roman" w:hAnsi="Times New Roman" w:cs="Times New Roman"/>
                <w:color w:val="000000"/>
                <w:spacing w:val="0"/>
                <w:w w:val="100"/>
                <w:position w:val="0"/>
                <w:sz w:val="18"/>
                <w:szCs w:val="18"/>
              </w:rPr>
              <w:t>2021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年第一次临时股东大会的议 案》</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审议通过了《关于选举第五届 董事会董事长的议案》《关于 选举第五届董事会副董事长 的议案》《关于选举第五届董 事会各专门委员会委员的议 案》《关于聘任公司总经理的 议案》《关于聘任公司副总经 理的议案》《关于聘任公司财 务总监的议案》《关于聘任公 司内部审计机构负责人的议 案》《关于聘任公司证券事务 代表的议案》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告及其摘要》</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报告》《关于全资子公司减资 的议案》</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、董事出席董事会及股东大会的情况</w:t>
      </w:r>
      <w:bookmarkEnd w:id="297"/>
      <w:bookmarkEnd w:id="298"/>
      <w:bookmarkEnd w:id="30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董事长霍东先生因身体原因委托董事刘长勇先生代为出席并投票。</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w:t>
        <w:tab/>
        <w:t>董事对公司有关事项提出异议的情况</w:t>
      </w:r>
      <w:bookmarkEnd w:id="301"/>
      <w:bookmarkEnd w:id="302"/>
      <w:bookmarkEnd w:id="304"/>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4</w:t>
      </w:r>
      <w:bookmarkEnd w:id="307"/>
      <w:r>
        <w:rPr>
          <w:color w:val="000000"/>
          <w:spacing w:val="0"/>
          <w:w w:val="100"/>
          <w:position w:val="0"/>
        </w:rPr>
        <w:t>、</w:t>
        <w:tab/>
        <w:t>董事履行职责的其他说明</w:t>
      </w:r>
      <w:bookmarkEnd w:id="305"/>
      <w:bookmarkEnd w:id="306"/>
      <w:bookmarkEnd w:id="308"/>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700" w:line="314" w:lineRule="exact"/>
        <w:ind w:left="0" w:right="0" w:firstLine="400"/>
        <w:jc w:val="left"/>
      </w:pPr>
      <w:r>
        <w:rPr>
          <w:color w:val="000000"/>
          <w:spacing w:val="0"/>
          <w:w w:val="100"/>
          <w:position w:val="0"/>
        </w:rPr>
        <w:t>报告期内，公司全体董事勤勉尽责，严格按照中国证监会和深圳证券交易所的相关规定以及《公司章程》《董事会议 事规则》等制度开展工作，关注公司规范运作和生产经营情况，根据公司的实际情况，对公司的重大治理和经营决策提出了 相关意见，并坚决监督和推动董事会决议的执行，确保决策科学、及时、高效，维护公司和全体股东的合法权益。</w:t>
      </w:r>
    </w:p>
    <w:p>
      <w:pPr>
        <w:pStyle w:val="Style22"/>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七</w:t>
      </w:r>
      <w:bookmarkEnd w:id="311"/>
      <w:r>
        <w:rPr>
          <w:color w:val="000000"/>
          <w:spacing w:val="0"/>
          <w:w w:val="100"/>
          <w:position w:val="0"/>
        </w:rPr>
        <w:t>、董事会下设专门委员会在报告期内的情况</w:t>
      </w:r>
      <w:bookmarkEnd w:id="309"/>
      <w:bookmarkEnd w:id="310"/>
      <w:bookmarkEnd w:id="312"/>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霍东、王石山、 康晓岳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审议《关于向 银行等相关机 构申请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综合授信额度 的议案》《关于 为子公司提供 担保的议案》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战略委员会按 照《公司法》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《董事会战略 委员会工作细 则》等相关规 定认真开展工 作，结合公司 实际情况，提 出相关的意见 和建议。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狄瑞鹏、柴晓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丽、王石山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沟通年度审计 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审计委员会按 照《公司法》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《董事会审计 委员会工作细 则》等相关规 定认真开展工 作，结合公司 实际情况，提 出相关的意见 和建议。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年度报告及摘 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审计委员会按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照《公司法》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《董事会审计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一季度报告正 文及全文》《关 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度审计机构的 议案》《关于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 资产减值准备 的议案》《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年度内部审计 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年度审计工作 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委员会工作细 则》等相关规 定认真开展工 作，结合公司 实际情况，提 出相关的意见 和建议。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狄瑞鹏、周茂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清、王石山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半年度报告》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度内部审计报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审计委员会按 照《公司法》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《董事会审计 委员会工作细 则》等相关规 定认真开展工 作，结合公司 实际情况，提 出相关的意见 和建议。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第三季度报</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三季度内部审 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审计委员会按 照《公司法》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《董事会审计 委员会工作细 则》等相关规 定认真开展工 作，结合公司 实际情况，提 出相关的意见 和建议。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康晓岳、狄瑞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鹏、王石山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审议《关于提 名公司第五届 董事会非独立 董事候选人的 议案》《关于提 名公司第五届 董事会独立董 事候选人的议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提名委员会按 照《公司法》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《董事会提名 委员会工作细 则》等相关规 定认真开展工 作，结合公司 实际情况，提 出相关的意见 和建议。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鲍禄、周茂清、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任总经理的议 案》《关于聘任 副总经理的议 案》《关于聘任 财务总监的议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照《公司法》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《董事会提名 委员会工作细 则》等相关规 定认真开展工 作，结合公司 实际情况，提 出相关的意见 和建议。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柴晓丽、狄瑞 鹏、刘长勇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审议《关于</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管绩效考核结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果的报告》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 员会按照《公 司法》《薪酬与 考核委员会工 作细则》等相 关规定认真开 展工作，结合 公司实际情 况，提出相关 的意见和建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八</w:t>
      </w:r>
      <w:bookmarkEnd w:id="315"/>
      <w:r>
        <w:rPr>
          <w:color w:val="000000"/>
          <w:spacing w:val="0"/>
          <w:w w:val="100"/>
          <w:position w:val="0"/>
        </w:rPr>
        <w:t>、监事会工作情况</w:t>
      </w:r>
      <w:bookmarkEnd w:id="313"/>
      <w:bookmarkEnd w:id="314"/>
      <w:bookmarkEnd w:id="316"/>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8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九</w:t>
      </w:r>
      <w:bookmarkEnd w:id="319"/>
      <w:r>
        <w:rPr>
          <w:color w:val="000000"/>
          <w:spacing w:val="0"/>
          <w:w w:val="100"/>
          <w:position w:val="0"/>
        </w:rPr>
        <w:t>、公司员工情况</w:t>
      </w:r>
      <w:bookmarkEnd w:id="317"/>
      <w:bookmarkEnd w:id="318"/>
      <w:bookmarkEnd w:id="320"/>
    </w:p>
    <w:p>
      <w:pPr>
        <w:pStyle w:val="Style28"/>
        <w:keepNext/>
        <w:keepLines/>
        <w:widowControl w:val="0"/>
        <w:shd w:val="clear" w:color="auto" w:fill="auto"/>
        <w:bidi w:val="0"/>
        <w:spacing w:before="0" w:after="32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、员工数量、专业构成及教育程度</w:t>
      </w:r>
      <w:bookmarkEnd w:id="321"/>
      <w:bookmarkEnd w:id="322"/>
      <w:bookmarkEnd w:id="32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bl>
    <w:p>
      <w:pPr>
        <w:widowControl w:val="0"/>
        <w:spacing w:after="359" w:line="1" w:lineRule="exact"/>
      </w:pPr>
    </w:p>
    <w:p>
      <w:pPr>
        <w:pStyle w:val="Style28"/>
        <w:keepNext/>
        <w:keepLines/>
        <w:widowControl w:val="0"/>
        <w:shd w:val="clear" w:color="auto" w:fill="auto"/>
        <w:bidi w:val="0"/>
        <w:spacing w:before="0" w:after="260" w:line="240" w:lineRule="auto"/>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、薪酬政策</w:t>
      </w:r>
      <w:bookmarkEnd w:id="325"/>
      <w:bookmarkEnd w:id="326"/>
      <w:bookmarkEnd w:id="328"/>
    </w:p>
    <w:p>
      <w:pPr>
        <w:pStyle w:val="Style19"/>
        <w:keepNext w:val="0"/>
        <w:keepLines w:val="0"/>
        <w:widowControl w:val="0"/>
        <w:shd w:val="clear" w:color="auto" w:fill="auto"/>
        <w:bidi w:val="0"/>
        <w:spacing w:before="0" w:after="700" w:line="310" w:lineRule="exact"/>
        <w:ind w:left="0" w:right="0" w:firstLine="400"/>
        <w:jc w:val="both"/>
      </w:pPr>
      <w:r>
        <w:rPr>
          <w:color w:val="000000"/>
          <w:spacing w:val="0"/>
          <w:w w:val="100"/>
          <w:position w:val="0"/>
        </w:rPr>
        <w:t>公司根据《中华人民共和国劳动合同法》和国家及地方其他有关劳动法律、法规的规定，结合公司自身的实际情况， 采取按劳分配为主，效率优先兼顾公平，员工工资增长与公司经营发展和效益提高相适应的薪酬制度。公司实行劳动合同制， 与所有员工签订劳动合同，并按照国家规定为员工缴纳医疗保险、养老保险、失业保险、工伤保险、生育保险及住房公积金。</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培训计划</w:t>
      </w:r>
      <w:bookmarkEnd w:id="329"/>
      <w:bookmarkEnd w:id="330"/>
      <w:bookmarkEnd w:id="332"/>
    </w:p>
    <w:p>
      <w:pPr>
        <w:pStyle w:val="Style19"/>
        <w:keepNext w:val="0"/>
        <w:keepLines w:val="0"/>
        <w:widowControl w:val="0"/>
        <w:shd w:val="clear" w:color="auto" w:fill="auto"/>
        <w:bidi w:val="0"/>
        <w:spacing w:before="0" w:after="700" w:line="314" w:lineRule="exact"/>
        <w:ind w:left="0" w:right="0" w:firstLine="400"/>
        <w:jc w:val="left"/>
      </w:pPr>
      <w:r>
        <w:rPr>
          <w:color w:val="000000"/>
          <w:spacing w:val="0"/>
          <w:w w:val="100"/>
          <w:position w:val="0"/>
        </w:rPr>
        <w:t>公司根据企业管理和日常经营业务的实际需要，制定员工培训计划，通过内部培训、参加外部培训、联合培养等多种 方式开展后续职业培训，加强员工对公司规范运作的合规意识，改善员工的知识结构、专业结构，提升员工的业务素质和技 能。</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劳务外包情况</w:t>
      </w:r>
      <w:bookmarkEnd w:id="333"/>
      <w:bookmarkEnd w:id="334"/>
      <w:bookmarkEnd w:id="336"/>
    </w:p>
    <w:p>
      <w:pPr>
        <w:pStyle w:val="Style19"/>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337" w:name="bookmark337"/>
      <w:bookmarkStart w:id="338" w:name="bookmark338"/>
      <w:bookmarkStart w:id="339" w:name="bookmark339"/>
      <w:r>
        <w:rPr>
          <w:color w:val="000000"/>
          <w:spacing w:val="0"/>
          <w:w w:val="100"/>
          <w:position w:val="0"/>
        </w:rPr>
        <w:t>十、公司利润分配及资本公积金转增股本情况</w:t>
      </w:r>
      <w:bookmarkEnd w:id="337"/>
      <w:bookmarkEnd w:id="338"/>
      <w:bookmarkEnd w:id="339"/>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22" w:lineRule="exact"/>
        <w:ind w:left="0" w:right="0" w:firstLine="400"/>
        <w:jc w:val="both"/>
      </w:pPr>
      <w:r>
        <w:rPr>
          <w:color w:val="000000"/>
          <w:spacing w:val="0"/>
          <w:w w:val="100"/>
          <w:position w:val="0"/>
        </w:rPr>
        <w:t>报告期内，因母公司可供普通股股东分配利润为负数，不满足现金分红条件，公司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 股、不以资本公积金转增股本。</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十一、公司股权激励计划、员工持股计划或其他员工激励措施的实施情况</w:t>
      </w:r>
      <w:bookmarkEnd w:id="340"/>
      <w:bookmarkEnd w:id="341"/>
      <w:bookmarkEnd w:id="342"/>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十二、报告期内的内部控制制度建设及实施情况</w:t>
      </w:r>
      <w:bookmarkEnd w:id="343"/>
      <w:bookmarkEnd w:id="344"/>
      <w:bookmarkEnd w:id="345"/>
    </w:p>
    <w:p>
      <w:pPr>
        <w:pStyle w:val="Style28"/>
        <w:keepNext/>
        <w:keepLines/>
        <w:widowControl w:val="0"/>
        <w:shd w:val="clear" w:color="auto" w:fill="auto"/>
        <w:tabs>
          <w:tab w:pos="368" w:val="left"/>
        </w:tabs>
        <w:bidi w:val="0"/>
        <w:spacing w:before="0" w:after="2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内部控制建设及实施情况</w:t>
      </w:r>
      <w:bookmarkEnd w:id="346"/>
      <w:bookmarkEnd w:id="347"/>
      <w:bookmarkEnd w:id="349"/>
    </w:p>
    <w:p>
      <w:pPr>
        <w:pStyle w:val="Style19"/>
        <w:keepNext w:val="0"/>
        <w:keepLines w:val="0"/>
        <w:widowControl w:val="0"/>
        <w:shd w:val="clear" w:color="auto" w:fill="auto"/>
        <w:bidi w:val="0"/>
        <w:spacing w:before="0" w:after="720" w:line="312" w:lineRule="exact"/>
        <w:ind w:left="0" w:right="0"/>
        <w:jc w:val="left"/>
      </w:pPr>
      <w:r>
        <w:rPr>
          <w:color w:val="000000"/>
          <w:spacing w:val="0"/>
          <w:w w:val="100"/>
          <w:position w:val="0"/>
        </w:rPr>
        <w:t>公司已建立了较为完善的法人治理结构，符合有关法律法规和证券监管部门的要求，能够适应公司管理和发展的需要。 公司各项内控制度在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年得到贯彻执行，基本达到了内部控制的整体目标，对控制和防范经营风险、保护投资者合法权益、 促进公司规范运作和健康发展起到了积极的作用。截至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日，公司内部控制制度的设计与实施是有效的，不存在 重大缺陷。随着公司业务和规模的发展，内部控制体系还将不断完善，公司将通过不断完善内部控制体系建设，强化规范运 作意识，加强内部监督机制，持续推动公司稳定、健康发展。</w:t>
      </w:r>
    </w:p>
    <w:p>
      <w:pPr>
        <w:pStyle w:val="Style28"/>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报告期内发现的内部控制重大缺陷的具体情况</w:t>
      </w:r>
      <w:bookmarkEnd w:id="350"/>
      <w:bookmarkEnd w:id="351"/>
      <w:bookmarkEnd w:id="35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20" w:line="240" w:lineRule="auto"/>
        <w:ind w:left="0" w:right="0" w:firstLine="0"/>
        <w:jc w:val="left"/>
      </w:pPr>
      <w:bookmarkStart w:id="354" w:name="bookmark354"/>
      <w:bookmarkStart w:id="355" w:name="bookmark355"/>
      <w:bookmarkStart w:id="356" w:name="bookmark356"/>
      <w:r>
        <w:rPr>
          <w:color w:val="000000"/>
          <w:spacing w:val="0"/>
          <w:w w:val="100"/>
          <w:position w:val="0"/>
        </w:rPr>
        <w:t>十三、公司报告期内对子公司的管理控制情况</w:t>
      </w:r>
      <w:bookmarkEnd w:id="354"/>
      <w:bookmarkEnd w:id="355"/>
      <w:bookmarkEnd w:id="35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十四、内部控制自我评价报告或内部控制审计报告</w:t>
      </w:r>
      <w:bookmarkEnd w:id="357"/>
      <w:bookmarkEnd w:id="358"/>
      <w:bookmarkEnd w:id="359"/>
    </w:p>
    <w:p>
      <w:pPr>
        <w:pStyle w:val="Style28"/>
        <w:keepNext/>
        <w:keepLines/>
        <w:widowControl w:val="0"/>
        <w:shd w:val="clear" w:color="auto" w:fill="auto"/>
        <w:bidi w:val="0"/>
        <w:spacing w:before="0" w:after="32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、内控自我评价报告</w:t>
      </w:r>
      <w:bookmarkEnd w:id="360"/>
      <w:bookmarkEnd w:id="361"/>
      <w:bookmarkEnd w:id="363"/>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定性标准，指涉及业务性质的严重程度， 根据其直接或潜在负面影响的性质、范围 等因素确定。公司在进行内部控制自我评 价时，对可能存在的内部控制缺陷定性标 准如下：</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财务报告重大缺陷的迹象包括：公司董事、 监事和高级管理人员的舞弊行为、公司更 正已公布的财务报告、注册会计师发现的 却未被公司内部控制识别的当期财务报告 中的重大错报、审计委员会和审计部对公 司的对外财务报告和财务报告内部控制监 督无效；</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财务报告重要缺陷的迹象包括：未建立反 舞弊程序和控制措施、对于非常规或特殊 交易的账务处理没有建立相应的控制机制 或没有实施且没有相应的补偿性控制、对 于期末财务报告过程的控制存在一项或多 项缺陷且不能合理保证编制的财务报表达 到真实、准确的目标；</w:t>
            </w:r>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重大缺陷迹象：公司决策程序不科学导 致重大决策失败;违犯国家法律、法规； 重大偏离预算；制度缺失导致系统性失 效；前期重大缺陷或重要缺陷未得到整 改；管理人员和技术人员流失严重；媒 体负面新闻频现；其他对公司负面影响 重大的情形。</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重要缺陷迹象：公司决策程序不科学对 公司经营产生中度影响；违犯行业规 范，受到政府部门或监管机构处罚；部 分偏离预算；重要制度不完善，导致系 统性运行障碍；前期重要缺陷不能得到 整改；公司关键岗位业务人员流失严 重；媒体负面新闻对公司产生中度负面 影响；其他对公司负面影响重要的情 形。</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一般缺陷迹象：除上述重大缺陷、重要 缺陷之外的其他控制缺陷</w:t>
            </w:r>
          </w:p>
        </w:tc>
      </w:tr>
      <w:tr>
        <w:trPr>
          <w:trHeight w:val="48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11" w:lineRule="exact"/>
              <w:ind w:left="0" w:right="0" w:firstLine="0"/>
              <w:jc w:val="both"/>
            </w:pPr>
            <w:r>
              <w:rPr>
                <w:color w:val="000000"/>
                <w:spacing w:val="0"/>
                <w:w w:val="100"/>
                <w:position w:val="0"/>
              </w:rPr>
              <w:t>重大缺陷：一个或者多个控制缺陷的组合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可能导致企业严重偏离控制目标的情形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可能导致的错报金额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整体重要性水平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具体指标为：资产总额潜在错报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；净 资产潜在错报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；营业收入潜在错报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；利润总额潜在错报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1493" w:val="left"/>
              </w:tabs>
              <w:bidi w:val="0"/>
              <w:spacing w:before="0" w:after="0" w:line="310" w:lineRule="exact"/>
              <w:ind w:left="0" w:right="0" w:firstLine="0"/>
              <w:jc w:val="both"/>
            </w:pPr>
            <w:r>
              <w:rPr>
                <w:color w:val="000000"/>
                <w:spacing w:val="0"/>
                <w:w w:val="100"/>
                <w:position w:val="0"/>
              </w:rPr>
              <w:t>重要缺陷：一个或者多个控制缺陷的组合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其严重程度和经济后果低于重大缺陷</w:t>
            </w:r>
            <w:r>
              <w:rPr>
                <w:color w:val="000000"/>
                <w:spacing w:val="0"/>
                <w:w w:val="100"/>
                <w:position w:val="0"/>
                <w:sz w:val="18"/>
                <w:szCs w:val="18"/>
              </w:rPr>
              <w:t>，</w:t>
            </w:r>
            <w:r>
              <w:rPr>
                <w:color w:val="000000"/>
                <w:spacing w:val="0"/>
                <w:w w:val="100"/>
                <w:position w:val="0"/>
              </w:rPr>
              <w:t xml:space="preserve">但 仍有可能导致企业偏离控制目标的情形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整体重要性水平</w:t>
            </w:r>
            <w:r>
              <w:rPr>
                <w:color w:val="000000"/>
                <w:spacing w:val="0"/>
                <w:w w:val="100"/>
                <w:position w:val="0"/>
                <w:sz w:val="18"/>
                <w:szCs w:val="18"/>
              </w:rPr>
              <w:t>〉</w:t>
            </w:r>
            <w:r>
              <w:rPr>
                <w:color w:val="000000"/>
                <w:spacing w:val="0"/>
                <w:w w:val="100"/>
                <w:position w:val="0"/>
              </w:rPr>
              <w:t>可能导致的错报金额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实际执行的重要性水平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；具体指标为：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净资 产潜在错报＜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营业收入潜在错</w:t>
            </w:r>
          </w:p>
          <w:p>
            <w:pPr>
              <w:pStyle w:val="Style2"/>
              <w:keepNext w:val="0"/>
              <w:keepLines w:val="0"/>
              <w:widowControl w:val="0"/>
              <w:shd w:val="clear" w:color="auto" w:fill="auto"/>
              <w:tabs>
                <w:tab w:pos="773" w:val="left"/>
              </w:tabs>
              <w:bidi w:val="0"/>
              <w:spacing w:before="0" w:after="60" w:line="310" w:lineRule="exact"/>
              <w:ind w:left="0" w:right="0" w:firstLine="0"/>
              <w:jc w:val="both"/>
              <w:rPr>
                <w:sz w:val="18"/>
                <w:szCs w:val="18"/>
              </w:rPr>
            </w:pPr>
            <w:r>
              <w:rPr>
                <w:color w:val="000000"/>
                <w:spacing w:val="0"/>
                <w:w w:val="100"/>
                <w:position w:val="0"/>
                <w:sz w:val="17"/>
                <w:szCs w:val="17"/>
              </w:rPr>
              <w:t>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利润总额潜在错报＜</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一般缺陷：除重大缺陷、重要缺陷之外的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根据可能造成直接财产损失的绝对金 额或潜在负面影响等因素确定非财务 报告内部控制缺陷的定量评价标准如 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重大缺陷：是指金额在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以上，对公司定期报告披露造成负面影 响；</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重要缺陷：是指金额在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万元之间，对公司定期报 告披露造成负面影响；</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一般缺陷：是指金额在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万元以下 的，未对公司定期报告披露造成负面影 响。</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其他控制缺陷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可能导致的错报金额</w:t>
            </w:r>
            <w:r>
              <w:rPr>
                <w:color w:val="000000"/>
                <w:spacing w:val="0"/>
                <w:w w:val="100"/>
                <w:position w:val="0"/>
                <w:sz w:val="18"/>
                <w:szCs w:val="18"/>
              </w:rPr>
              <w:t>〈</w:t>
            </w:r>
            <w:r>
              <w:rPr>
                <w:color w:val="000000"/>
                <w:spacing w:val="0"/>
                <w:w w:val="100"/>
                <w:position w:val="0"/>
              </w:rPr>
              <w:t>实际 执行的重要性水平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。具体指标为：资产 总额潜在错报＜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；净资产潜在错报＜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；营业收入潜在错报＜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；利润总 额潜在错报＜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、内部控制审计报告</w:t>
      </w:r>
      <w:bookmarkEnd w:id="364"/>
      <w:bookmarkEnd w:id="365"/>
      <w:bookmarkEnd w:id="36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我们认为，仁东控股公司于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巨潮资讯网《内部控制审计报告》（中兴财光华审专字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105009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r>
        <w:rPr>
          <w:color w:val="000000"/>
          <w:spacing w:val="0"/>
          <w:w w:val="100"/>
          <w:position w:val="0"/>
        </w:rPr>
        <w:t>十五、上市公司治理专项行动自查问题整改情况</w:t>
      </w:r>
      <w:bookmarkEnd w:id="368"/>
      <w:bookmarkEnd w:id="369"/>
      <w:bookmarkEnd w:id="370"/>
    </w:p>
    <w:p>
      <w:pPr>
        <w:pStyle w:val="Style19"/>
        <w:keepNext w:val="0"/>
        <w:keepLines w:val="0"/>
        <w:widowControl w:val="0"/>
        <w:shd w:val="clear" w:color="auto" w:fill="auto"/>
        <w:bidi w:val="0"/>
        <w:spacing w:before="0" w:after="260" w:line="317" w:lineRule="exact"/>
        <w:ind w:left="0" w:right="0" w:firstLine="400"/>
        <w:jc w:val="left"/>
        <w:sectPr>
          <w:footnotePr>
            <w:pos w:val="pageBottom"/>
            <w:numFmt w:val="decimal"/>
            <w:numRestart w:val="continuous"/>
          </w:footnotePr>
          <w:pgSz w:w="11900" w:h="16840"/>
          <w:pgMar w:top="1383" w:right="1053" w:bottom="1441" w:left="1046" w:header="0" w:footer="3" w:gutter="0"/>
          <w:cols w:space="720"/>
          <w:noEndnote/>
          <w:rtlGutter w:val="0"/>
          <w:docGrid w:linePitch="360"/>
        </w:sectPr>
      </w:pPr>
      <w:r>
        <w:rPr>
          <w:color w:val="000000"/>
          <w:spacing w:val="0"/>
          <w:w w:val="100"/>
          <w:position w:val="0"/>
        </w:rPr>
        <w:t>报告期内，公司认真落实中国证监会上市公司治理专项行动要求，对照清单逐项检查，如实深入自查自纠，有效夯实 了公司高质量发展的基础。</w:t>
      </w:r>
    </w:p>
    <w:p>
      <w:pPr>
        <w:pStyle w:val="Style11"/>
        <w:keepNext/>
        <w:keepLines/>
        <w:widowControl w:val="0"/>
        <w:shd w:val="clear" w:color="auto" w:fill="auto"/>
        <w:bidi w:val="0"/>
        <w:spacing w:before="580" w:line="240" w:lineRule="auto"/>
        <w:ind w:left="0" w:right="0" w:firstLine="0"/>
        <w:jc w:val="center"/>
      </w:pPr>
      <w:bookmarkStart w:id="371" w:name="bookmark371"/>
      <w:bookmarkStart w:id="372" w:name="bookmark372"/>
      <w:bookmarkStart w:id="373" w:name="bookmark373"/>
      <w:r>
        <w:rPr>
          <w:color w:val="000000"/>
          <w:spacing w:val="0"/>
          <w:w w:val="100"/>
          <w:position w:val="0"/>
        </w:rPr>
        <w:t>第五节环境和社会责任</w:t>
      </w:r>
      <w:bookmarkEnd w:id="371"/>
      <w:bookmarkEnd w:id="372"/>
      <w:bookmarkEnd w:id="373"/>
    </w:p>
    <w:p>
      <w:pPr>
        <w:pStyle w:val="Style22"/>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一</w:t>
      </w:r>
      <w:bookmarkEnd w:id="376"/>
      <w:r>
        <w:rPr>
          <w:color w:val="000000"/>
          <w:spacing w:val="0"/>
          <w:w w:val="100"/>
          <w:position w:val="0"/>
        </w:rPr>
        <w:t>、重大环保问题</w:t>
      </w:r>
      <w:bookmarkEnd w:id="374"/>
      <w:bookmarkEnd w:id="375"/>
      <w:bookmarkEnd w:id="37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700" w:line="317" w:lineRule="exact"/>
        <w:ind w:left="0" w:right="0"/>
        <w:jc w:val="left"/>
      </w:pPr>
      <w:r>
        <w:rPr>
          <w:color w:val="000000"/>
          <w:spacing w:val="0"/>
          <w:w w:val="100"/>
          <w:position w:val="0"/>
        </w:rPr>
        <w:t>公司及子公司在日常生产经营中认真遵守国家和所在地有关环保方面的法律法规。报告期内，公司及子公司没有因为 环保原因而受到相关部门处罚，公司的环境保护情况符合国家的相关法律法规的要求。</w:t>
      </w:r>
    </w:p>
    <w:p>
      <w:pPr>
        <w:pStyle w:val="Style22"/>
        <w:keepNext/>
        <w:keepLines/>
        <w:widowControl w:val="0"/>
        <w:shd w:val="clear" w:color="auto" w:fill="auto"/>
        <w:bidi w:val="0"/>
        <w:spacing w:before="0" w:after="2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、社会责任情况</w:t>
      </w:r>
      <w:bookmarkEnd w:id="378"/>
      <w:bookmarkEnd w:id="379"/>
      <w:bookmarkEnd w:id="381"/>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公司始终坚持社会、企业、员工和谐发展的经营理念，维护员工合法权益，重视环境保护，为股东创造价值，履行企业 义务，主动承担社会责任，积极为地区经济建设与发展贡献力量。</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依据《公司法》《证券法》等相关法律、法规和规范性文件的要求，公司制定了《公司章程》，建立了由股东大会、董 事会、监事会和高级管理人员组成的公司治理架构，形成了各机构间权责明确、运作规范的相互协调和相互制衡机制，为公 司稳健经营、股东权益保护提供了组织保证。</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公司通过定期报告、临时公告、业绩说明会、投资者关系互动平台、投资者热线等多种形式与投资者沟通交流，耐心回 答投资者关切，努力提升投资者服务水平。</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公司尊重和维护员工个人权益，切实关注员工健康发展，对员工录用、员工培训、工资薪酬、福利保障、绩效考核、职 务升迁等事关员工切身利益的事项建立了较为完善的绩效考核体系，通过组织各类员工活动提升公司文化氛围、凝聚员工士 气，全心全意为员工谋福利、做实事。</w:t>
      </w:r>
    </w:p>
    <w:p>
      <w:pPr>
        <w:pStyle w:val="Style19"/>
        <w:keepNext w:val="0"/>
        <w:keepLines w:val="0"/>
        <w:widowControl w:val="0"/>
        <w:shd w:val="clear" w:color="auto" w:fill="auto"/>
        <w:bidi w:val="0"/>
        <w:spacing w:before="0" w:after="1000" w:line="315" w:lineRule="exact"/>
        <w:ind w:left="0" w:right="0"/>
        <w:jc w:val="both"/>
      </w:pPr>
      <w:r>
        <w:rPr>
          <w:color w:val="000000"/>
          <w:spacing w:val="0"/>
          <w:w w:val="100"/>
          <w:position w:val="0"/>
        </w:rPr>
        <w:t>公司高度重视环境保护工作，努力提高全体员工环境保护意识，全体员工厉行节约、杜绝浪费。报告期内公司及子公司 没有因为环保原因而受到相关部门处罚。</w:t>
      </w:r>
    </w:p>
    <w:p>
      <w:pPr>
        <w:pStyle w:val="Style22"/>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、巩固拓展脱贫攻坚成果、乡村振兴的情况</w:t>
      </w:r>
      <w:bookmarkEnd w:id="382"/>
      <w:bookmarkEnd w:id="383"/>
      <w:bookmarkEnd w:id="385"/>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after="580" w:line="240" w:lineRule="auto"/>
        <w:ind w:left="0" w:right="0" w:firstLine="0"/>
        <w:jc w:val="center"/>
      </w:pPr>
      <w:bookmarkStart w:id="386" w:name="bookmark386"/>
      <w:bookmarkStart w:id="387" w:name="bookmark387"/>
      <w:bookmarkStart w:id="388" w:name="bookmark388"/>
      <w:r>
        <w:rPr>
          <w:color w:val="000000"/>
          <w:spacing w:val="0"/>
          <w:w w:val="100"/>
          <w:position w:val="0"/>
        </w:rPr>
        <w:t>第六节重要事项</w:t>
      </w:r>
      <w:bookmarkEnd w:id="386"/>
      <w:bookmarkEnd w:id="387"/>
      <w:bookmarkEnd w:id="388"/>
    </w:p>
    <w:p>
      <w:pPr>
        <w:pStyle w:val="Style22"/>
        <w:keepNext/>
        <w:keepLines/>
        <w:widowControl w:val="0"/>
        <w:shd w:val="clear" w:color="auto" w:fill="auto"/>
        <w:bidi w:val="0"/>
        <w:spacing w:before="0" w:after="2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一</w:t>
      </w:r>
      <w:bookmarkEnd w:id="391"/>
      <w:r>
        <w:rPr>
          <w:color w:val="000000"/>
          <w:spacing w:val="0"/>
          <w:w w:val="100"/>
          <w:position w:val="0"/>
        </w:rPr>
        <w:t>、承诺事项履行情况</w:t>
      </w:r>
      <w:bookmarkEnd w:id="389"/>
      <w:bookmarkEnd w:id="390"/>
      <w:bookmarkEnd w:id="392"/>
    </w:p>
    <w:p>
      <w:pPr>
        <w:pStyle w:val="Style28"/>
        <w:keepNext/>
        <w:keepLines/>
        <w:widowControl w:val="0"/>
        <w:shd w:val="clear" w:color="auto" w:fill="auto"/>
        <w:bidi w:val="0"/>
        <w:spacing w:before="0" w:after="340" w:line="326" w:lineRule="exact"/>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、公司实际控制人、股东、关联方、收购人以及公司等承诺相关方在报告期内履行完毕及截至报告期末 尚未履行完毕的承诺事项</w:t>
      </w:r>
      <w:bookmarkEnd w:id="393"/>
      <w:bookmarkEnd w:id="394"/>
      <w:bookmarkEnd w:id="39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10"/>
        <w:gridCol w:w="566"/>
        <w:gridCol w:w="5669"/>
        <w:gridCol w:w="710"/>
        <w:gridCol w:w="566"/>
        <w:gridCol w:w="5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78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书或权益 变动报告 书中所作</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 东信息 技术有 限公司 及一致 行动人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 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、保证上市公司的董事、监事及高级管理人员均按照 法律、法规规范性文件及公司章程的规定选举、更换、聘任或解聘，不 得超越董事会和股东大会违法干预上市公司上述人事任免；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、采取有效 措施保证上市公司的总经理、副总经理、财务负责人、董事会秘书等高 级管理人员专职在上市公司任职并在上市公司领取薪酬，不在本公司及 本公司关联方兼任董事、监事以外的其他职务；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、保证上市公司在劳动、 人事管理体系方面独立于本公司及本公司控制的其他企业。（二）资产独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、保证上市公司具有完整的经营性资产、住所和办公场所，并独立 于本公司及本公司控制的其他企业；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、保证本公司及本公司所控制的除 上市公司及其子公司以外的其他企业不得违规占用上市公司的资金、资 产及其他资源。（三）机构独立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、保证上市公司建立和完善法人治理结 构以及独立、完整的组织机构，并规范运作；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、保证上市公司与本公司 及本公司所控制的其他企业之间在办公机构以及生产经营场所等方面完 全分开。（四）业务独立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、保证上市公司拥有独立开展经营活动的资产、 人员、资质以及具有独立面向市场自主经营的能力，在经营业务方面能 够独立运作；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、保证除合法行使实际控制人的权利外，不干预上市公司 的经营业务活动；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、尽量减少与上市公司的关联交易，确有必要的关联 交易，价格按照公平合理及市场化原则确定，确保上市公司及其他股东 利益不受到损害，并及时履行信息披露义务。（五）财务独立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市公司拥有独立的财务会计部门，建立独立的财务核算体系和财务管理 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、保证上市公司独立在银行开户，不与本公司及本公司所控制的 其他企业共用同一个银行账户；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、保证上市公司独立作出财务决策，本 公司及本公司所控制的其他企业不得干预上市公司的资金使用；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、保证上市公司的财务人员独立，不得在本公 司及本公司所控制的其他企业兼职及领取报酬。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97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 东信息 技术有 限公司 及一致 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、本公司保证不利用自身对上市公司的控股关系从事有损上市公司及 其中小股东利益的行为。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、截至本承诺出具之日，本公司未直接或间接 从事与上市公司相同或相似的业务；亦未控制任何与上市公司存在竞争 关系的其他企业。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、本次权益变动完成后，本公司（包括本公司将来成 立的子公司和其它受本公司控制的企业）将不直接或间接从事与上市公 司业务构成或可能构成同业竞争的活动。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、无论何种原因，如本公司（包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tbl>
      <w:tblPr>
        <w:tblOverlap w:val="never"/>
        <w:jc w:val="center"/>
        <w:tblLayout w:type="fixed"/>
      </w:tblPr>
      <w:tblGrid>
        <w:gridCol w:w="859"/>
        <w:gridCol w:w="710"/>
        <w:gridCol w:w="566"/>
        <w:gridCol w:w="5669"/>
        <w:gridCol w:w="710"/>
        <w:gridCol w:w="566"/>
        <w:gridCol w:w="50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括本公司将来成立的子公司和其它受本公司控制的企业）获得可能与上 市公司构成同业竞争的业务机会，本公司将及时告知上市公司，并将尽 最大努力促使该等业务机会转移给上市公司。若该等业务机会尚不具备 转让给上市公司的条件，或因其他原因导致上市公司暂无法取得上述业 务机会，上市公司有权要求本公司采取法律、法规及中国证券监督管理 委员会许可的其他方式加以解决。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、本承诺在本公司作为上市公司直 接间接控股股东期间持续有效。本公司保证严格履行本承诺函中各项承 诺，如因违反该等承诺并因此给上市公司造成损失的，本公司将承担相 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 东信息 技术有 限公司 及一致 行动人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本公司与上市公司之间发生关联交易，则该等交易将在符合《深圳证券 交易所股票上市规则》、《公司章程》等相关规定的前提下进行，同时将 根据法律规定积极履行相应义务并进行信息披露。本公司及本公司关联 方与上市公司发生的各项关联交易，均遵循客观公正、平等自愿、互惠 互利的原则，关联交易价格的制定会以市场价格为依据，不会损害上市 公司和股东的利益。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8"/>
        <w:keepNext/>
        <w:keepLines/>
        <w:widowControl w:val="0"/>
        <w:shd w:val="clear" w:color="auto" w:fill="auto"/>
        <w:bidi w:val="0"/>
        <w:spacing w:before="0" w:after="260" w:line="322" w:lineRule="exact"/>
        <w:ind w:left="0" w:right="0" w:firstLine="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、公司资产或项目存在盈利预测，且报告期仍处在盈利预测期间，公司就资产或项目达到原盈利预测及 其原因做出说明</w:t>
      </w:r>
      <w:bookmarkEnd w:id="397"/>
      <w:bookmarkEnd w:id="398"/>
      <w:bookmarkEnd w:id="400"/>
    </w:p>
    <w:p>
      <w:pPr>
        <w:pStyle w:val="Style1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二</w:t>
      </w:r>
      <w:bookmarkEnd w:id="403"/>
      <w:r>
        <w:rPr>
          <w:color w:val="000000"/>
          <w:spacing w:val="0"/>
          <w:w w:val="100"/>
          <w:position w:val="0"/>
        </w:rPr>
        <w:t>、</w:t>
        <w:tab/>
        <w:t>控股股东及其他关联方对上市公司的非经营性占用资金情况</w:t>
      </w:r>
      <w:bookmarkEnd w:id="401"/>
      <w:bookmarkEnd w:id="402"/>
      <w:bookmarkEnd w:id="404"/>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三</w:t>
      </w:r>
      <w:bookmarkEnd w:id="407"/>
      <w:r>
        <w:rPr>
          <w:color w:val="000000"/>
          <w:spacing w:val="0"/>
          <w:w w:val="100"/>
          <w:position w:val="0"/>
        </w:rPr>
        <w:t>、</w:t>
        <w:tab/>
        <w:t>违规对外担保情况</w:t>
      </w:r>
      <w:bookmarkEnd w:id="405"/>
      <w:bookmarkEnd w:id="406"/>
      <w:bookmarkEnd w:id="408"/>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四</w:t>
      </w:r>
      <w:bookmarkEnd w:id="41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09"/>
      <w:bookmarkEnd w:id="410"/>
      <w:bookmarkEnd w:id="412"/>
    </w:p>
    <w:p>
      <w:pPr>
        <w:pStyle w:val="Style1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五</w:t>
      </w:r>
      <w:bookmarkEnd w:id="415"/>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3"/>
      <w:bookmarkEnd w:id="414"/>
      <w:bookmarkEnd w:id="416"/>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480"/>
        <w:jc w:val="both"/>
      </w:pPr>
      <w:bookmarkStart w:id="417" w:name="bookmark417"/>
      <w:r>
        <w:rPr>
          <w:color w:val="000000"/>
          <w:spacing w:val="0"/>
          <w:w w:val="100"/>
          <w:position w:val="0"/>
        </w:rPr>
        <w:t>（</w:t>
      </w:r>
      <w:bookmarkEnd w:id="417"/>
      <w:r>
        <w:rPr>
          <w:color w:val="000000"/>
          <w:spacing w:val="0"/>
          <w:w w:val="100"/>
          <w:position w:val="0"/>
        </w:rPr>
        <w:t>一）董事会说明</w:t>
      </w:r>
    </w:p>
    <w:p>
      <w:pPr>
        <w:pStyle w:val="Style1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中兴财光华会计师事务所（特殊普通合伙）对公司</w:t>
      </w:r>
      <w:r>
        <w:rPr>
          <w:color w:val="000000"/>
          <w:spacing w:val="0"/>
          <w:w w:val="100"/>
          <w:position w:val="0"/>
          <w:sz w:val="18"/>
          <w:szCs w:val="18"/>
        </w:rPr>
        <w:t>2021</w:t>
      </w:r>
      <w:r>
        <w:rPr>
          <w:color w:val="000000"/>
          <w:spacing w:val="0"/>
          <w:w w:val="100"/>
          <w:position w:val="0"/>
        </w:rPr>
        <w:t xml:space="preserve">年度财务报告出具了带强调事项段的无保留意见的审计报告。对 于中兴财光华会计师事务所（特殊普通合伙）出具的带强调事项段的无保留意见的审计报告，董事会表示理解和认可。受整 体经济环境放缓、疫情持续及金融机构抽贷等因素影响，公司近两年出现资金紧张的情况，导致借款逾期情形发生。虽然上 </w:t>
      </w:r>
      <w:r>
        <w:rPr>
          <w:color w:val="000000"/>
          <w:spacing w:val="0"/>
          <w:w w:val="100"/>
          <w:position w:val="0"/>
        </w:rPr>
        <w:t>市公司存在债务逾期情况，但截至目前，公司各主要业务均保持正常运转，日常经营未受到重大影响公司，公司拥有稳定的 收入和现金流，</w:t>
      </w:r>
      <w:r>
        <w:rPr>
          <w:color w:val="000000"/>
          <w:spacing w:val="0"/>
          <w:w w:val="100"/>
          <w:position w:val="0"/>
          <w:sz w:val="18"/>
          <w:szCs w:val="18"/>
        </w:rPr>
        <w:t>2021</w:t>
      </w:r>
      <w:r>
        <w:rPr>
          <w:color w:val="000000"/>
          <w:spacing w:val="0"/>
          <w:w w:val="100"/>
          <w:position w:val="0"/>
        </w:rPr>
        <w:t>年公司支付业务取得营业收入</w:t>
      </w:r>
      <w:r>
        <w:rPr>
          <w:color w:val="000000"/>
          <w:spacing w:val="0"/>
          <w:w w:val="100"/>
          <w:position w:val="0"/>
          <w:sz w:val="18"/>
          <w:szCs w:val="18"/>
        </w:rPr>
        <w:t>16.82</w:t>
      </w:r>
      <w:r>
        <w:rPr>
          <w:color w:val="000000"/>
          <w:spacing w:val="0"/>
          <w:w w:val="100"/>
          <w:position w:val="0"/>
        </w:rPr>
        <w:t>亿，同比增长</w:t>
      </w:r>
      <w:r>
        <w:rPr>
          <w:color w:val="000000"/>
          <w:spacing w:val="0"/>
          <w:w w:val="100"/>
          <w:position w:val="0"/>
          <w:sz w:val="18"/>
          <w:szCs w:val="18"/>
        </w:rPr>
        <w:t xml:space="preserve">39. </w:t>
      </w:r>
      <w:r>
        <w:rPr>
          <w:color w:val="000000"/>
          <w:spacing w:val="0"/>
          <w:w w:val="100"/>
          <w:position w:val="0"/>
          <w:sz w:val="18"/>
          <w:szCs w:val="18"/>
        </w:rPr>
        <w:t>47%</w:t>
      </w:r>
      <w:r>
        <w:rPr>
          <w:color w:val="000000"/>
          <w:spacing w:val="0"/>
          <w:w w:val="100"/>
          <w:position w:val="0"/>
        </w:rPr>
        <w:t>，租赁业务取得营业收入</w:t>
      </w:r>
      <w:r>
        <w:rPr>
          <w:color w:val="000000"/>
          <w:spacing w:val="0"/>
          <w:w w:val="100"/>
          <w:position w:val="0"/>
          <w:sz w:val="18"/>
          <w:szCs w:val="18"/>
        </w:rPr>
        <w:t>3,157</w:t>
      </w:r>
      <w:r>
        <w:rPr>
          <w:color w:val="000000"/>
          <w:spacing w:val="0"/>
          <w:w w:val="100"/>
          <w:position w:val="0"/>
        </w:rPr>
        <w:t xml:space="preserve">万，同比增长 </w:t>
      </w:r>
      <w:r>
        <w:rPr>
          <w:color w:val="000000"/>
          <w:spacing w:val="0"/>
          <w:w w:val="100"/>
          <w:position w:val="0"/>
          <w:sz w:val="18"/>
          <w:szCs w:val="18"/>
        </w:rPr>
        <w:t>61.56%</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在努力实现业务优化和经营发展的同时，公司也在加快推动资金问题的解决，积极稳妥化解债务风险。公司已采取及拟 将继续采取的措施如下：</w:t>
      </w:r>
    </w:p>
    <w:p>
      <w:pPr>
        <w:pStyle w:val="Style19"/>
        <w:keepNext w:val="0"/>
        <w:keepLines w:val="0"/>
        <w:widowControl w:val="0"/>
        <w:shd w:val="clear" w:color="auto" w:fill="auto"/>
        <w:tabs>
          <w:tab w:pos="657" w:val="left"/>
        </w:tabs>
        <w:bidi w:val="0"/>
        <w:spacing w:before="0" w:after="0" w:line="314" w:lineRule="exact"/>
        <w:ind w:left="0" w:right="0" w:firstLine="360"/>
        <w:jc w:val="both"/>
      </w:pPr>
      <w:bookmarkStart w:id="418" w:name="bookmark418"/>
      <w:r>
        <w:rPr>
          <w:color w:val="000000"/>
          <w:spacing w:val="0"/>
          <w:w w:val="100"/>
          <w:position w:val="0"/>
          <w:sz w:val="18"/>
          <w:szCs w:val="18"/>
        </w:rPr>
        <w:t>1</w:t>
      </w:r>
      <w:bookmarkEnd w:id="418"/>
      <w:r>
        <w:rPr>
          <w:color w:val="000000"/>
          <w:spacing w:val="0"/>
          <w:w w:val="100"/>
          <w:position w:val="0"/>
        </w:rPr>
        <w:t>、</w:t>
        <w:tab/>
        <w:t>保持对话沟通，持续进行洽谈。公司与各债权人保持着畅通有效的沟通渠道，持续开展沟通谈判，努力通过谈判寻 找各方利益共同点，着手制定出切实可行的方案，妥善处理各方的分歧。</w:t>
      </w:r>
    </w:p>
    <w:p>
      <w:pPr>
        <w:pStyle w:val="Style19"/>
        <w:keepNext w:val="0"/>
        <w:keepLines w:val="0"/>
        <w:widowControl w:val="0"/>
        <w:shd w:val="clear" w:color="auto" w:fill="auto"/>
        <w:tabs>
          <w:tab w:pos="657" w:val="left"/>
        </w:tabs>
        <w:bidi w:val="0"/>
        <w:spacing w:before="0" w:after="0" w:line="314" w:lineRule="exact"/>
        <w:ind w:left="0" w:right="0" w:firstLine="360"/>
        <w:jc w:val="both"/>
      </w:pPr>
      <w:bookmarkStart w:id="419" w:name="bookmark419"/>
      <w:r>
        <w:rPr>
          <w:color w:val="000000"/>
          <w:spacing w:val="0"/>
          <w:w w:val="100"/>
          <w:position w:val="0"/>
          <w:sz w:val="18"/>
          <w:szCs w:val="18"/>
        </w:rPr>
        <w:t>2</w:t>
      </w:r>
      <w:bookmarkEnd w:id="419"/>
      <w:r>
        <w:rPr>
          <w:color w:val="000000"/>
          <w:spacing w:val="0"/>
          <w:w w:val="100"/>
          <w:position w:val="0"/>
        </w:rPr>
        <w:t>、</w:t>
        <w:tab/>
        <w:t>请求股东方继续给予资金支持。目前公司控股股东对上市公司提供了较大的资金支持，后续公司将请求控股股东继 续给予资金支持，暂缓公司财务紧张状况。</w:t>
      </w:r>
    </w:p>
    <w:p>
      <w:pPr>
        <w:pStyle w:val="Style19"/>
        <w:keepNext w:val="0"/>
        <w:keepLines w:val="0"/>
        <w:widowControl w:val="0"/>
        <w:shd w:val="clear" w:color="auto" w:fill="auto"/>
        <w:tabs>
          <w:tab w:pos="657" w:val="left"/>
        </w:tabs>
        <w:bidi w:val="0"/>
        <w:spacing w:before="0" w:after="0" w:line="314" w:lineRule="exact"/>
        <w:ind w:left="0" w:right="0" w:firstLine="360"/>
        <w:jc w:val="both"/>
      </w:pPr>
      <w:bookmarkStart w:id="420" w:name="bookmark420"/>
      <w:r>
        <w:rPr>
          <w:color w:val="000000"/>
          <w:spacing w:val="0"/>
          <w:w w:val="100"/>
          <w:position w:val="0"/>
          <w:sz w:val="18"/>
          <w:szCs w:val="18"/>
        </w:rPr>
        <w:t>3</w:t>
      </w:r>
      <w:bookmarkEnd w:id="420"/>
      <w:r>
        <w:rPr>
          <w:color w:val="000000"/>
          <w:spacing w:val="0"/>
          <w:w w:val="100"/>
          <w:position w:val="0"/>
        </w:rPr>
        <w:t>、</w:t>
        <w:tab/>
        <w:t>加快实施对股权投资的处置变现。公司现持有山西银行</w:t>
      </w:r>
      <w:r>
        <w:rPr>
          <w:color w:val="000000"/>
          <w:spacing w:val="0"/>
          <w:w w:val="100"/>
          <w:position w:val="0"/>
          <w:sz w:val="18"/>
          <w:szCs w:val="18"/>
        </w:rPr>
        <w:t>1</w:t>
      </w:r>
      <w:r>
        <w:rPr>
          <w:color w:val="000000"/>
          <w:spacing w:val="0"/>
          <w:w w:val="100"/>
          <w:position w:val="0"/>
          <w:sz w:val="18"/>
          <w:szCs w:val="18"/>
        </w:rPr>
        <w:t>.08</w:t>
      </w:r>
      <w:r>
        <w:rPr>
          <w:color w:val="000000"/>
          <w:spacing w:val="0"/>
          <w:w w:val="100"/>
          <w:position w:val="0"/>
        </w:rPr>
        <w:t>亿股股权，持有海科金集团</w:t>
      </w:r>
      <w:r>
        <w:rPr>
          <w:color w:val="000000"/>
          <w:spacing w:val="0"/>
          <w:w w:val="100"/>
          <w:position w:val="0"/>
          <w:sz w:val="18"/>
          <w:szCs w:val="18"/>
        </w:rPr>
        <w:t>3.02%</w:t>
      </w:r>
      <w:r>
        <w:rPr>
          <w:color w:val="000000"/>
          <w:spacing w:val="0"/>
          <w:w w:val="100"/>
          <w:position w:val="0"/>
        </w:rPr>
        <w:t>的股权，持有上海蔚 洁信息科技服务有限公司</w:t>
      </w:r>
      <w:r>
        <w:rPr>
          <w:color w:val="000000"/>
          <w:spacing w:val="0"/>
          <w:w w:val="100"/>
          <w:position w:val="0"/>
          <w:sz w:val="18"/>
          <w:szCs w:val="18"/>
        </w:rPr>
        <w:t>13.06%</w:t>
      </w:r>
      <w:r>
        <w:rPr>
          <w:color w:val="000000"/>
          <w:spacing w:val="0"/>
          <w:w w:val="100"/>
          <w:position w:val="0"/>
        </w:rPr>
        <w:t>的股权（目前正推动回购司法进程）</w:t>
      </w:r>
      <w:r>
        <w:rPr>
          <w:color w:val="000000"/>
          <w:spacing w:val="0"/>
          <w:w w:val="100"/>
          <w:position w:val="0"/>
          <w:sz w:val="18"/>
          <w:szCs w:val="18"/>
        </w:rPr>
        <w:t>，</w:t>
      </w:r>
      <w:r>
        <w:rPr>
          <w:color w:val="000000"/>
          <w:spacing w:val="0"/>
          <w:w w:val="100"/>
          <w:position w:val="0"/>
        </w:rPr>
        <w:t>上述股权投资处置变现后所得资金可用于解决部分债 务问题。</w:t>
      </w:r>
    </w:p>
    <w:p>
      <w:pPr>
        <w:pStyle w:val="Style19"/>
        <w:keepNext w:val="0"/>
        <w:keepLines w:val="0"/>
        <w:widowControl w:val="0"/>
        <w:shd w:val="clear" w:color="auto" w:fill="auto"/>
        <w:tabs>
          <w:tab w:pos="662" w:val="left"/>
        </w:tabs>
        <w:bidi w:val="0"/>
        <w:spacing w:before="0" w:after="0" w:line="314" w:lineRule="exact"/>
        <w:ind w:left="0" w:right="0" w:firstLine="360"/>
        <w:jc w:val="both"/>
      </w:pPr>
      <w:bookmarkStart w:id="421" w:name="bookmark421"/>
      <w:r>
        <w:rPr>
          <w:color w:val="000000"/>
          <w:spacing w:val="0"/>
          <w:w w:val="100"/>
          <w:position w:val="0"/>
          <w:sz w:val="18"/>
          <w:szCs w:val="18"/>
        </w:rPr>
        <w:t>4</w:t>
      </w:r>
      <w:bookmarkEnd w:id="421"/>
      <w:r>
        <w:rPr>
          <w:color w:val="000000"/>
          <w:spacing w:val="0"/>
          <w:w w:val="100"/>
          <w:position w:val="0"/>
        </w:rPr>
        <w:t>、</w:t>
        <w:tab/>
        <w:t>公司积极加强与金融机构合作，尝试开展股权或债权方式的融资。</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截至目前，公司拥有正常开展且具备较强盈利能力的经营业务，拥有持续稳定的现金流入，持续经营能力有重要保证。 公司将综合采取沟通洽谈、请求股东支持、股权变现、拓展融资渠道等措施，努力改善公司的生产经营和财务状况，确保上 市公司稳定持续发展。</w:t>
      </w:r>
    </w:p>
    <w:p>
      <w:pPr>
        <w:pStyle w:val="Style19"/>
        <w:keepNext w:val="0"/>
        <w:keepLines w:val="0"/>
        <w:widowControl w:val="0"/>
        <w:shd w:val="clear" w:color="auto" w:fill="auto"/>
        <w:tabs>
          <w:tab w:pos="844" w:val="left"/>
        </w:tabs>
        <w:bidi w:val="0"/>
        <w:spacing w:before="0" w:after="0" w:line="314" w:lineRule="exact"/>
        <w:ind w:left="0" w:right="0" w:firstLine="360"/>
        <w:jc w:val="left"/>
      </w:pPr>
      <w:bookmarkStart w:id="422" w:name="bookmark422"/>
      <w:r>
        <w:rPr>
          <w:color w:val="000000"/>
          <w:spacing w:val="0"/>
          <w:w w:val="100"/>
          <w:position w:val="0"/>
        </w:rPr>
        <w:t>（</w:t>
      </w:r>
      <w:bookmarkEnd w:id="422"/>
      <w:r>
        <w:rPr>
          <w:color w:val="000000"/>
          <w:spacing w:val="0"/>
          <w:w w:val="100"/>
          <w:position w:val="0"/>
        </w:rPr>
        <w:t>二）</w:t>
        <w:tab/>
        <w:t>监事会说明</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根据《深圳证券交易所股票上市规则》《公开发行证券的公司信息披露编报规则第</w:t>
      </w:r>
      <w:r>
        <w:rPr>
          <w:color w:val="000000"/>
          <w:spacing w:val="0"/>
          <w:w w:val="100"/>
          <w:position w:val="0"/>
          <w:sz w:val="18"/>
          <w:szCs w:val="18"/>
        </w:rPr>
        <w:t>14</w:t>
      </w:r>
      <w:r>
        <w:rPr>
          <w:color w:val="000000"/>
          <w:spacing w:val="0"/>
          <w:w w:val="100"/>
          <w:position w:val="0"/>
        </w:rPr>
        <w:t>号一非标准审计意见及其涉及事项 的处理》等相关规定，监事会对</w:t>
      </w:r>
      <w:r>
        <w:rPr>
          <w:color w:val="000000"/>
          <w:spacing w:val="0"/>
          <w:w w:val="100"/>
          <w:position w:val="0"/>
          <w:sz w:val="18"/>
          <w:szCs w:val="18"/>
        </w:rPr>
        <w:t>2021</w:t>
      </w:r>
      <w:r>
        <w:rPr>
          <w:color w:val="000000"/>
          <w:spacing w:val="0"/>
          <w:w w:val="100"/>
          <w:position w:val="0"/>
        </w:rPr>
        <w:t>年度的财务报告、中兴财光华会计师事务所（特殊普通合伙）出具的带强调事项段的无 保留意见的《审计报告》及董事会出具的《董事会关于带强调事项段的无保留意见涉及事项的专项说明》等进行了认真的审 核，并提出如下书面审核意见：</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我们对《审计报告》带强调事项段的无保留意见表示理解，同时也同意公司董事会就上述事项所做的专项说明，希望董 事会和管理层尽快采取有效措施消除和改善强调事项段提及的内容，控制经营风险，切实维护广大中小投资者的利益。</w:t>
      </w:r>
    </w:p>
    <w:p>
      <w:pPr>
        <w:pStyle w:val="Style19"/>
        <w:keepNext w:val="0"/>
        <w:keepLines w:val="0"/>
        <w:widowControl w:val="0"/>
        <w:shd w:val="clear" w:color="auto" w:fill="auto"/>
        <w:tabs>
          <w:tab w:pos="844" w:val="left"/>
        </w:tabs>
        <w:bidi w:val="0"/>
        <w:spacing w:before="0" w:after="0" w:line="314" w:lineRule="exact"/>
        <w:ind w:left="0" w:right="0" w:firstLine="360"/>
        <w:jc w:val="both"/>
      </w:pPr>
      <w:bookmarkStart w:id="423" w:name="bookmark423"/>
      <w:r>
        <w:rPr>
          <w:color w:val="000000"/>
          <w:spacing w:val="0"/>
          <w:w w:val="100"/>
          <w:position w:val="0"/>
        </w:rPr>
        <w:t>（</w:t>
      </w:r>
      <w:bookmarkEnd w:id="423"/>
      <w:r>
        <w:rPr>
          <w:color w:val="000000"/>
          <w:spacing w:val="0"/>
          <w:w w:val="100"/>
          <w:position w:val="0"/>
        </w:rPr>
        <w:t>三）</w:t>
        <w:tab/>
        <w:t>独立董事说明</w:t>
      </w:r>
    </w:p>
    <w:p>
      <w:pPr>
        <w:pStyle w:val="Style19"/>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我们对公司</w:t>
      </w:r>
      <w:r>
        <w:rPr>
          <w:color w:val="000000"/>
          <w:spacing w:val="0"/>
          <w:w w:val="100"/>
          <w:position w:val="0"/>
          <w:sz w:val="18"/>
          <w:szCs w:val="18"/>
        </w:rPr>
        <w:t>2021</w:t>
      </w:r>
      <w:r>
        <w:rPr>
          <w:color w:val="000000"/>
          <w:spacing w:val="0"/>
          <w:w w:val="100"/>
          <w:position w:val="0"/>
        </w:rPr>
        <w:t>年度的财务报告及中兴财光华会计师事务所（特殊普通合伙）出具的带强调事项段的无保留意见的《审 计报告》进行了认真审阅，并对财务报告和《审计报告》的有关内容与会计师、公司管理层等进行了沟通，我们对审计报告 意见内容表示理解，也同意公司董事会对该事项的相关说明及处理意见。希望董事会和管理层积极采取有效措施消除影响， 妥善处理好相关问题，努力推动公司持续健康发展。</w:t>
      </w:r>
    </w:p>
    <w:p>
      <w:pPr>
        <w:pStyle w:val="Style22"/>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六</w:t>
      </w:r>
      <w:bookmarkEnd w:id="426"/>
      <w:r>
        <w:rPr>
          <w:color w:val="000000"/>
          <w:spacing w:val="0"/>
          <w:w w:val="100"/>
          <w:position w:val="0"/>
        </w:rPr>
        <w:t>、与上年度财务报告相比，会计政策、会计估计变更或重大会计差错更正的情况说明</w:t>
      </w:r>
      <w:bookmarkEnd w:id="424"/>
      <w:bookmarkEnd w:id="425"/>
      <w:bookmarkEnd w:id="42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844" w:val="left"/>
        </w:tabs>
        <w:bidi w:val="0"/>
        <w:spacing w:before="0" w:after="0" w:line="314" w:lineRule="exact"/>
        <w:ind w:left="0" w:right="0" w:firstLine="360"/>
        <w:jc w:val="both"/>
      </w:pPr>
      <w:bookmarkStart w:id="428" w:name="bookmark428"/>
      <w:r>
        <w:rPr>
          <w:color w:val="000000"/>
          <w:spacing w:val="0"/>
          <w:w w:val="100"/>
          <w:position w:val="0"/>
        </w:rPr>
        <w:t>（</w:t>
      </w:r>
      <w:bookmarkEnd w:id="428"/>
      <w:r>
        <w:rPr>
          <w:color w:val="000000"/>
          <w:spacing w:val="0"/>
          <w:w w:val="100"/>
          <w:position w:val="0"/>
        </w:rPr>
        <w:t>一）</w:t>
        <w:tab/>
        <w:t>会计政策变更</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日，中华人民共和国财政部发布了《企业会计准则</w:t>
      </w:r>
      <w:r>
        <w:rPr>
          <w:color w:val="000000"/>
          <w:spacing w:val="0"/>
          <w:w w:val="100"/>
          <w:position w:val="0"/>
          <w:sz w:val="18"/>
          <w:szCs w:val="18"/>
        </w:rPr>
        <w:t>21</w:t>
      </w:r>
      <w:r>
        <w:rPr>
          <w:color w:val="000000"/>
          <w:spacing w:val="0"/>
          <w:w w:val="100"/>
          <w:position w:val="0"/>
        </w:rPr>
        <w:t>号一租赁》（财会</w:t>
      </w:r>
      <w:r>
        <w:rPr>
          <w:color w:val="000000"/>
          <w:spacing w:val="0"/>
          <w:w w:val="100"/>
          <w:position w:val="0"/>
          <w:sz w:val="18"/>
          <w:szCs w:val="18"/>
        </w:rPr>
        <w:t>（2018</w:t>
      </w:r>
      <w:r>
        <w:rPr>
          <w:color w:val="000000"/>
          <w:spacing w:val="0"/>
          <w:w w:val="100"/>
          <w:position w:val="0"/>
        </w:rPr>
        <w:t xml:space="preserve">〕 </w:t>
      </w:r>
      <w:r>
        <w:rPr>
          <w:color w:val="000000"/>
          <w:spacing w:val="0"/>
          <w:w w:val="100"/>
          <w:position w:val="0"/>
          <w:sz w:val="18"/>
          <w:szCs w:val="18"/>
        </w:rPr>
        <w:t>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以下简称“新租 赁准则”），要求在境内外同时上市的企业以及在境外上市并采用国际财务报告准则或企业会计准则编制财务报表的企业， 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日起施行。根据新租赁准则的要求，公司对原会计政 策进行相应调整，并按上述文件规定的起始日执行。执行本次会计政策变更不会对公司财务状况、经营成果和现金流量产生 重大影响，亦不存在损害公司及全体股东利益的情形。</w:t>
      </w:r>
    </w:p>
    <w:p>
      <w:pPr>
        <w:pStyle w:val="Style19"/>
        <w:keepNext w:val="0"/>
        <w:keepLines w:val="0"/>
        <w:widowControl w:val="0"/>
        <w:shd w:val="clear" w:color="auto" w:fill="auto"/>
        <w:tabs>
          <w:tab w:pos="844" w:val="left"/>
        </w:tabs>
        <w:bidi w:val="0"/>
        <w:spacing w:before="0" w:after="0" w:line="316" w:lineRule="exact"/>
        <w:ind w:left="0" w:right="0" w:firstLine="360"/>
        <w:jc w:val="both"/>
      </w:pPr>
      <w:bookmarkStart w:id="429" w:name="bookmark429"/>
      <w:r>
        <w:rPr>
          <w:color w:val="000000"/>
          <w:spacing w:val="0"/>
          <w:w w:val="100"/>
          <w:position w:val="0"/>
        </w:rPr>
        <w:t>（</w:t>
      </w:r>
      <w:bookmarkEnd w:id="429"/>
      <w:r>
        <w:rPr>
          <w:color w:val="000000"/>
          <w:spacing w:val="0"/>
          <w:w w:val="100"/>
          <w:position w:val="0"/>
        </w:rPr>
        <w:t>二）</w:t>
        <w:tab/>
        <w:t>前期会计差错更正</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sz w:val="18"/>
          <w:szCs w:val="18"/>
        </w:rPr>
        <w:t>1</w:t>
      </w:r>
      <w:r>
        <w:rPr>
          <w:color w:val="000000"/>
          <w:spacing w:val="0"/>
          <w:w w:val="100"/>
          <w:position w:val="0"/>
        </w:rPr>
        <w:t>、前期会计差错更正的原因和内容</w:t>
      </w:r>
    </w:p>
    <w:p>
      <w:pPr>
        <w:pStyle w:val="Style19"/>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日收到中国证监会《调查通知书》，中国证监会决定对公司进行立案调查。</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日，公司收 到中国证监会下发的《行政处罚决定书》</w:t>
      </w:r>
      <w:r>
        <w:rPr>
          <w:color w:val="000000"/>
          <w:spacing w:val="0"/>
          <w:w w:val="100"/>
          <w:position w:val="0"/>
          <w:sz w:val="18"/>
          <w:szCs w:val="18"/>
        </w:rPr>
        <w:t>（[2022]14</w:t>
      </w:r>
      <w:r>
        <w:rPr>
          <w:color w:val="000000"/>
          <w:spacing w:val="0"/>
          <w:w w:val="100"/>
          <w:position w:val="0"/>
        </w:rPr>
        <w:t>号）</w:t>
      </w:r>
      <w:r>
        <w:rPr>
          <w:color w:val="000000"/>
          <w:spacing w:val="0"/>
          <w:w w:val="100"/>
          <w:position w:val="0"/>
          <w:sz w:val="18"/>
          <w:szCs w:val="18"/>
        </w:rPr>
        <w:t>，</w:t>
      </w:r>
      <w:r>
        <w:rPr>
          <w:color w:val="000000"/>
          <w:spacing w:val="0"/>
          <w:w w:val="100"/>
          <w:position w:val="0"/>
        </w:rPr>
        <w:t>根据《行政处罚决定书》的认定，公司</w:t>
      </w:r>
      <w:r>
        <w:rPr>
          <w:color w:val="000000"/>
          <w:spacing w:val="0"/>
          <w:w w:val="100"/>
          <w:position w:val="0"/>
          <w:sz w:val="18"/>
          <w:szCs w:val="18"/>
        </w:rPr>
        <w:t>2019</w:t>
      </w:r>
      <w:r>
        <w:rPr>
          <w:color w:val="000000"/>
          <w:spacing w:val="0"/>
          <w:w w:val="100"/>
          <w:position w:val="0"/>
        </w:rPr>
        <w:t xml:space="preserve">年虚增保理业务收入 </w:t>
      </w:r>
      <w:r>
        <w:rPr>
          <w:color w:val="000000"/>
          <w:spacing w:val="0"/>
          <w:w w:val="100"/>
          <w:position w:val="0"/>
          <w:sz w:val="18"/>
          <w:szCs w:val="18"/>
        </w:rPr>
        <w:t xml:space="preserve">3, </w:t>
      </w:r>
      <w:r>
        <w:rPr>
          <w:color w:val="000000"/>
          <w:spacing w:val="0"/>
          <w:w w:val="100"/>
          <w:position w:val="0"/>
          <w:sz w:val="18"/>
          <w:szCs w:val="18"/>
        </w:rPr>
        <w:t xml:space="preserve">890. </w:t>
      </w:r>
      <w:r>
        <w:rPr>
          <w:color w:val="000000"/>
          <w:spacing w:val="0"/>
          <w:w w:val="100"/>
          <w:position w:val="0"/>
          <w:sz w:val="18"/>
          <w:szCs w:val="18"/>
        </w:rPr>
        <w:t>72</w:t>
      </w:r>
      <w:r>
        <w:rPr>
          <w:color w:val="000000"/>
          <w:spacing w:val="0"/>
          <w:w w:val="100"/>
          <w:position w:val="0"/>
        </w:rPr>
        <w:t>万元，虚增利润总额</w:t>
      </w:r>
      <w:r>
        <w:rPr>
          <w:color w:val="000000"/>
          <w:spacing w:val="0"/>
          <w:w w:val="100"/>
          <w:position w:val="0"/>
          <w:sz w:val="18"/>
          <w:szCs w:val="18"/>
        </w:rPr>
        <w:t xml:space="preserve">3, </w:t>
      </w:r>
      <w:r>
        <w:rPr>
          <w:color w:val="000000"/>
          <w:spacing w:val="0"/>
          <w:w w:val="100"/>
          <w:position w:val="0"/>
          <w:sz w:val="18"/>
          <w:szCs w:val="18"/>
        </w:rPr>
        <w:t xml:space="preserve">890. </w:t>
      </w:r>
      <w:r>
        <w:rPr>
          <w:color w:val="000000"/>
          <w:spacing w:val="0"/>
          <w:w w:val="100"/>
          <w:position w:val="0"/>
          <w:sz w:val="18"/>
          <w:szCs w:val="18"/>
        </w:rPr>
        <w:t>72</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年少计提坏账准备</w:t>
      </w:r>
      <w:r>
        <w:rPr>
          <w:color w:val="000000"/>
          <w:spacing w:val="0"/>
          <w:w w:val="100"/>
          <w:position w:val="0"/>
          <w:sz w:val="18"/>
          <w:szCs w:val="18"/>
        </w:rPr>
        <w:t>2,012</w:t>
      </w:r>
      <w:r>
        <w:rPr>
          <w:color w:val="000000"/>
          <w:spacing w:val="0"/>
          <w:w w:val="100"/>
          <w:position w:val="0"/>
        </w:rPr>
        <w:t>万元，虚增利润总额</w:t>
      </w:r>
      <w:r>
        <w:rPr>
          <w:color w:val="000000"/>
          <w:spacing w:val="0"/>
          <w:w w:val="100"/>
          <w:position w:val="0"/>
          <w:sz w:val="18"/>
          <w:szCs w:val="18"/>
        </w:rPr>
        <w:t>2,012</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年上半年虚 增保理业务收入</w:t>
      </w:r>
      <w:r>
        <w:rPr>
          <w:color w:val="000000"/>
          <w:spacing w:val="0"/>
          <w:w w:val="100"/>
          <w:position w:val="0"/>
          <w:sz w:val="18"/>
          <w:szCs w:val="18"/>
        </w:rPr>
        <w:t xml:space="preserve">2, </w:t>
      </w:r>
      <w:r>
        <w:rPr>
          <w:color w:val="000000"/>
          <w:spacing w:val="0"/>
          <w:w w:val="100"/>
          <w:position w:val="0"/>
          <w:sz w:val="18"/>
          <w:szCs w:val="18"/>
        </w:rPr>
        <w:t xml:space="preserve">065. </w:t>
      </w:r>
      <w:r>
        <w:rPr>
          <w:color w:val="000000"/>
          <w:spacing w:val="0"/>
          <w:w w:val="100"/>
          <w:position w:val="0"/>
          <w:sz w:val="18"/>
          <w:szCs w:val="18"/>
        </w:rPr>
        <w:t>36</w:t>
      </w:r>
      <w:r>
        <w:rPr>
          <w:color w:val="000000"/>
          <w:spacing w:val="0"/>
          <w:w w:val="100"/>
          <w:position w:val="0"/>
        </w:rPr>
        <w:t>万元，虚增利润总额</w:t>
      </w:r>
      <w:r>
        <w:rPr>
          <w:color w:val="000000"/>
          <w:spacing w:val="0"/>
          <w:w w:val="100"/>
          <w:position w:val="0"/>
          <w:sz w:val="18"/>
          <w:szCs w:val="18"/>
        </w:rPr>
        <w:t xml:space="preserve">2, </w:t>
      </w:r>
      <w:r>
        <w:rPr>
          <w:color w:val="000000"/>
          <w:spacing w:val="0"/>
          <w:w w:val="100"/>
          <w:position w:val="0"/>
          <w:sz w:val="18"/>
          <w:szCs w:val="18"/>
        </w:rPr>
        <w:t xml:space="preserve">065. </w:t>
      </w:r>
      <w:r>
        <w:rPr>
          <w:color w:val="000000"/>
          <w:spacing w:val="0"/>
          <w:w w:val="100"/>
          <w:position w:val="0"/>
          <w:sz w:val="18"/>
          <w:szCs w:val="18"/>
        </w:rPr>
        <w:t>36</w:t>
      </w:r>
      <w:r>
        <w:rPr>
          <w:color w:val="000000"/>
          <w:spacing w:val="0"/>
          <w:w w:val="100"/>
          <w:position w:val="0"/>
        </w:rPr>
        <w:t>万元。</w:t>
      </w:r>
      <w:r>
        <w:br w:type="page"/>
      </w:r>
    </w:p>
    <w:p>
      <w:pPr>
        <w:pStyle w:val="Style19"/>
        <w:keepNext w:val="0"/>
        <w:keepLines w:val="0"/>
        <w:widowControl w:val="0"/>
        <w:shd w:val="clear" w:color="auto" w:fill="auto"/>
        <w:bidi w:val="0"/>
        <w:spacing w:before="0" w:after="0" w:line="302" w:lineRule="exact"/>
        <w:ind w:left="0" w:right="0" w:firstLine="360"/>
        <w:jc w:val="both"/>
      </w:pPr>
      <w:r>
        <w:rPr>
          <w:color w:val="000000"/>
          <w:spacing w:val="0"/>
          <w:w w:val="100"/>
          <w:position w:val="0"/>
        </w:rPr>
        <w:t>根据中国证监会《行政处罚决定书》的认定，结合公司自查情况，公司对前期存在的会计差错采用追溯重述法进行更正， 相应对</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年半年度及</w:t>
      </w:r>
      <w:r>
        <w:rPr>
          <w:color w:val="000000"/>
          <w:spacing w:val="0"/>
          <w:w w:val="100"/>
          <w:position w:val="0"/>
          <w:sz w:val="18"/>
          <w:szCs w:val="18"/>
        </w:rPr>
        <w:t>2020</w:t>
      </w:r>
      <w:r>
        <w:rPr>
          <w:color w:val="000000"/>
          <w:spacing w:val="0"/>
          <w:w w:val="100"/>
          <w:position w:val="0"/>
        </w:rPr>
        <w:t>年度合并财务报表进行追溯调整，不涉及母公司财务报表。</w:t>
      </w:r>
    </w:p>
    <w:p>
      <w:pPr>
        <w:pStyle w:val="Style19"/>
        <w:keepNext w:val="0"/>
        <w:keepLines w:val="0"/>
        <w:widowControl w:val="0"/>
        <w:shd w:val="clear" w:color="auto" w:fill="auto"/>
        <w:bidi w:val="0"/>
        <w:spacing w:before="0" w:after="0" w:line="302" w:lineRule="exact"/>
        <w:ind w:left="0" w:right="0" w:firstLine="360"/>
        <w:jc w:val="left"/>
      </w:pPr>
      <w:r>
        <w:rPr>
          <w:color w:val="000000"/>
          <w:spacing w:val="0"/>
          <w:w w:val="100"/>
          <w:position w:val="0"/>
          <w:sz w:val="18"/>
          <w:szCs w:val="18"/>
        </w:rPr>
        <w:t>2</w:t>
      </w:r>
      <w:r>
        <w:rPr>
          <w:color w:val="000000"/>
          <w:spacing w:val="0"/>
          <w:w w:val="100"/>
          <w:position w:val="0"/>
        </w:rPr>
        <w:t>、会计差错更正事项对公司财务状况、经营成果和现金流量的影响</w:t>
      </w:r>
    </w:p>
    <w:p>
      <w:pPr>
        <w:pStyle w:val="Style19"/>
        <w:keepNext w:val="0"/>
        <w:keepLines w:val="0"/>
        <w:widowControl w:val="0"/>
        <w:shd w:val="clear" w:color="auto" w:fill="auto"/>
        <w:bidi w:val="0"/>
        <w:spacing w:before="0" w:after="120" w:line="302" w:lineRule="exact"/>
        <w:ind w:left="0" w:right="0" w:firstLine="360"/>
        <w:jc w:val="left"/>
      </w:pPr>
      <w:r>
        <w:rPr>
          <w:color w:val="000000"/>
          <w:spacing w:val="0"/>
          <w:w w:val="100"/>
          <w:position w:val="0"/>
          <w:sz w:val="18"/>
          <w:szCs w:val="18"/>
        </w:rPr>
        <w:t>（1）</w:t>
      </w:r>
      <w:r>
        <w:rPr>
          <w:color w:val="000000"/>
          <w:spacing w:val="0"/>
          <w:w w:val="100"/>
          <w:position w:val="0"/>
        </w:rPr>
        <w:t>对</w:t>
      </w:r>
      <w:r>
        <w:rPr>
          <w:color w:val="000000"/>
          <w:spacing w:val="0"/>
          <w:w w:val="100"/>
          <w:position w:val="0"/>
          <w:sz w:val="18"/>
          <w:szCs w:val="18"/>
        </w:rPr>
        <w:t>2019</w:t>
      </w:r>
      <w:r>
        <w:rPr>
          <w:color w:val="000000"/>
          <w:spacing w:val="0"/>
          <w:w w:val="100"/>
          <w:position w:val="0"/>
        </w:rPr>
        <w:t>年度合并财务报表的影响</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①对合并资产负债表的影响</w:t>
      </w:r>
    </w:p>
    <w:tbl>
      <w:tblPr>
        <w:tblOverlap w:val="never"/>
        <w:jc w:val="center"/>
        <w:tblLayout w:type="fixed"/>
      </w:tblPr>
      <w:tblGrid>
        <w:gridCol w:w="2774"/>
        <w:gridCol w:w="2054"/>
        <w:gridCol w:w="1939"/>
        <w:gridCol w:w="2064"/>
      </w:tblGrid>
      <w:tr>
        <w:trPr>
          <w:trHeight w:val="355" w:hRule="exact"/>
        </w:trPr>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1,430,315,992.53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1,430,315,992.53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399,513,632.32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49,293,632.32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23,841,507.01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23,841,507.01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15,286,464.24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388,386,464.24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68,534.68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130,891,664.03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130,891,664.03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23,850,840.34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748,803.62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24,599,643.96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2,023,768,635.15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23,628,803.62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2,047,397,438.77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48,277,280.22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48,277,280.22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3,567,349.53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3,567,349.53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462,085,000.00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462,085,000.00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4,718,403.41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4,718,403.41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31,576,151.81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31,576,151.81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998,642,311.55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998,642,311.55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3,761,814.08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3,761,814.08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1,859,548.42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164,548.42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905,332.08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1,555,393,191.10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1,553,698,191.10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3,579,161,826.25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21,933,803.62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3,601,095,629.87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440,765,723.60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440,765,723.60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76,389,232.71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76,389,232.71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264,229.14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264,229.14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15,225,509.68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15,225,509.68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14,815,231.29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-4,644,915.95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10,170,315.34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182,431,015.69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264,338,248.05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180,397,719.29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180,397,719.29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1,223,955,031.96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1,223,955,031.96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2,134,243,693.36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77,262,316.41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2,211,506,009.77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4"/>
        <w:gridCol w:w="2054"/>
        <w:gridCol w:w="1939"/>
        <w:gridCol w:w="206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415,887,638.89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415,887,638.89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4,086,851.66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4,086,851.66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419,974,490.55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419,974,490.55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2,554,218,183.91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77,262,316.41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2,631,480,500.32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559,936,650.00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191,142,018.58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-5,834.74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3,573,773.16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3,773.16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43,544,814.66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189,550,879.17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-51,758,512.79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137,792,366.38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987,742,300.83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-55,328,512.79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932,413,788.04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37,201,341.51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37,201,341.51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1,024,943,642.34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-55,328,512.79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969,615,129.55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3,579,161,826.25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21,933,803.62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3,601,095,629.87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②对利润表的影响</w:t>
      </w:r>
    </w:p>
    <w:tbl>
      <w:tblPr>
        <w:tblOverlap w:val="never"/>
        <w:jc w:val="center"/>
        <w:tblLayout w:type="fixed"/>
      </w:tblPr>
      <w:tblGrid>
        <w:gridCol w:w="3370"/>
        <w:gridCol w:w="1891"/>
        <w:gridCol w:w="1704"/>
        <w:gridCol w:w="190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1,830,818,307.68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1,791,911,075.32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1,539,348,844.59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1,539,348,844.59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2,451,068.44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2,451,068.44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37,806,671.44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37,806,671.44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104,324,301.34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104,324,301.34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47,385,239.55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47,385,239.55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51,402,003.78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51,402,003.78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4,456,635.19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4,456,635.19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11,385,000.00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-15,389,254.64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-35,509,254.64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-21,225.61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48,531,333.48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-59,027,232.36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-10,495,898.88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6,901,800.36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6,901,800.36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1,143,674.62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1,143,674.62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54,289,459.22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-59,027,232.36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-4,737,773.14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21,643,890.61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-3,698,719.57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17,945,171.04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32,645,568.61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-55,328,512.79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-22,682,944.18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29,899,681.04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-55,328,512.79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-25,428,831.75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2,745,887.57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2,745,887.57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③对现金流量表的影响</w:t>
      </w:r>
    </w:p>
    <w:tbl>
      <w:tblPr>
        <w:tblOverlap w:val="never"/>
        <w:jc w:val="center"/>
        <w:tblLayout w:type="fixed"/>
      </w:tblPr>
      <w:tblGrid>
        <w:gridCol w:w="3408"/>
        <w:gridCol w:w="1843"/>
        <w:gridCol w:w="1704"/>
        <w:gridCol w:w="1853"/>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bl>
    <w:p>
      <w:pPr>
        <w:spacing w:lineRule="exact" w:line="1"/>
        <w:rPr>
          <w:sz w:val="2"/>
          <w:szCs w:val="2"/>
        </w:rPr>
      </w:pPr>
      <w:r>
        <w:br w:type="page"/>
      </w:r>
    </w:p>
    <w:tbl>
      <w:tblPr>
        <w:tblOverlap w:val="never"/>
        <w:jc w:val="center"/>
        <w:tblLayout w:type="fixed"/>
      </w:tblPr>
      <w:tblGrid>
        <w:gridCol w:w="3408"/>
        <w:gridCol w:w="1843"/>
        <w:gridCol w:w="1704"/>
        <w:gridCol w:w="185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调整后金额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1,916,333,941.92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1,877,426,709.56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543,763,232.96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490,763,232.96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2,460,097,174.88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2,368,189,942.52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1,625,190,782.08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1,625,190,782.08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42,682,125.72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42,682,125.72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94,869,026.03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94,869,026.03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57,363,651.49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57,363,651.49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706,799,061.60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575,799,061.60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2,526,904,646.92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2,395,904,646.92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-66,807,472.04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39,092,767.64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-27,714,704.40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11,385,000.00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5,401,800.00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97,309,032.36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22,189,200.00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91,907,232.36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114,096,432.36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5,338,776.26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5,338,776.26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135,000,000.00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131,000,000.00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140,338,776.26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271,338,776.26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-118,149,576.26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-39,092,767.64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-157,242,343.90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589,900,000.00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345,200,000.00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935,100,000.00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344,650,000.00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344,650,000.00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64,820,154.80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64,820,154.80</w:t>
            </w:r>
          </w:p>
        </w:tc>
      </w:tr>
    </w:tbl>
    <w:p>
      <w:pPr>
        <w:spacing w:lineRule="exact" w:line="1"/>
        <w:rPr>
          <w:sz w:val="2"/>
          <w:szCs w:val="2"/>
        </w:rPr>
      </w:pPr>
      <w:r>
        <w:br w:type="page"/>
      </w:r>
    </w:p>
    <w:tbl>
      <w:tblPr>
        <w:tblOverlap w:val="never"/>
        <w:jc w:val="center"/>
        <w:tblLayout w:type="fixed"/>
      </w:tblPr>
      <w:tblGrid>
        <w:gridCol w:w="3408"/>
        <w:gridCol w:w="1843"/>
        <w:gridCol w:w="1704"/>
        <w:gridCol w:w="1853"/>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1,154,470,154.80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1,154,470,154.80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-219,370,154.80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-219,370,154.80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2,848.28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-404,324,354.82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-404,324,354.82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493,430,500.43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493,430,500.43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89,106,145.61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89,106,145.61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对</w:t>
      </w:r>
      <w:r>
        <w:rPr>
          <w:color w:val="000000"/>
          <w:spacing w:val="0"/>
          <w:w w:val="100"/>
          <w:position w:val="0"/>
          <w:sz w:val="18"/>
          <w:szCs w:val="18"/>
        </w:rPr>
        <w:t>2020</w:t>
      </w:r>
      <w:r>
        <w:rPr>
          <w:color w:val="000000"/>
          <w:spacing w:val="0"/>
          <w:w w:val="100"/>
          <w:position w:val="0"/>
        </w:rPr>
        <w:t>年半年度合并财务报表的影响</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①对合并资产负债表的影响</w:t>
      </w:r>
    </w:p>
    <w:tbl>
      <w:tblPr>
        <w:tblOverlap w:val="never"/>
        <w:jc w:val="center"/>
        <w:tblLayout w:type="fixed"/>
      </w:tblPr>
      <w:tblGrid>
        <w:gridCol w:w="2774"/>
        <w:gridCol w:w="2069"/>
        <w:gridCol w:w="1920"/>
        <w:gridCol w:w="2083"/>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1,340,640,951.24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1,340,640,951.24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385,072,656.85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-348,709,094.44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36,363,562.41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3,551,345.76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3,551,345.76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26,116,825.64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474,216,825.64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457,458.92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457,458.92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140,117,429.78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140,117,429.78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36,832,956.22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5,629,107.90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42,462,064.12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1,932,789,624.41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105,020,013.46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2,037,809,637.87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43,906,001.45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43,906,001.45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3,282,826.30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3,282,826.30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472,085,000.00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472,085,000.00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43,828,165.62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43,828,165.62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27,937,839.27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27,937,839.27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998,642,311.55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998,642,311.55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7,701,645.84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7,701,645.84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1,456,356.55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-1,103,420.83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352,935.72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905,332.08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1,599,745,478.66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-1,103,420.83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1,598,642,057.83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3,532,535,103.07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103,916,592.63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3,636,451,695.70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460,695,493.68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460,695,493.68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118,917,793.42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118,917,793.42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365,510.36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365,510.36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545,740.04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545,740.04</w:t>
            </w:r>
          </w:p>
        </w:tc>
      </w:tr>
    </w:tbl>
    <w:p>
      <w:pPr>
        <w:spacing w:lineRule="exact" w:line="1"/>
        <w:rPr>
          <w:sz w:val="2"/>
          <w:szCs w:val="2"/>
        </w:rPr>
      </w:pPr>
      <w:r>
        <w:br w:type="page"/>
      </w:r>
    </w:p>
    <w:tbl>
      <w:tblPr>
        <w:tblOverlap w:val="never"/>
        <w:jc w:val="center"/>
        <w:tblLayout w:type="fixed"/>
      </w:tblPr>
      <w:tblGrid>
        <w:gridCol w:w="2774"/>
        <w:gridCol w:w="2069"/>
        <w:gridCol w:w="1920"/>
        <w:gridCol w:w="208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16,000,822.91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16,000,822.91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12,935,931.04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-2,284,371.66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10,651,559.38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145,313,469.66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181,438,018.57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326,751,488.23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180,401,445.32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180,401,445.32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1,027,577,807.03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1,027,577,807.03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1,962,754,013.46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179,153,646.91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2,141,907,660.37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561,095,333.32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561,095,333.32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3,615,496.65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3,615,496.65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564,710,829.97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564,710,829.97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2,527,464,843.43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179,153,646.91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2,706,618,490.34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559,936,650.00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191,142,018.58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2,013.87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3,573,773.16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3,773.16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43,544,814.66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169,560,338.64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-71,667,054.28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97,893,284.36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967,759,608.91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-75,237,054.28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892,522,554.63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37,310,650.73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37,310,650.73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1,005,070,259.64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-75,237,054.28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929,833,205.36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3,532,535,103.07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103,916,592.63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3,636,451,695.70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②对利润表的影响</w:t>
      </w:r>
    </w:p>
    <w:tbl>
      <w:tblPr>
        <w:tblOverlap w:val="never"/>
        <w:jc w:val="center"/>
        <w:tblLayout w:type="fixed"/>
      </w:tblPr>
      <w:tblGrid>
        <w:gridCol w:w="3408"/>
        <w:gridCol w:w="1891"/>
        <w:gridCol w:w="1680"/>
        <w:gridCol w:w="190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1,281,661,160.76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-20,653,563.98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1,261,007,596.78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1,188,496,126.06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1,188,496,126.06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924,090.61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924,090.61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14,359,711.23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14,359,711.23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57,324,435.69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57,324,435.69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20,513,997.07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20,513,997.07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27,732,488.79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27,732,488.79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6,492,358.39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6,492,358.39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183,453.44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-2,366,316.67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-2,182,863.23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b/>
                <w:bCs/>
                <w:color w:val="000000"/>
                <w:spacing w:val="0"/>
                <w:w w:val="100"/>
                <w:position w:val="0"/>
                <w:sz w:val="18"/>
                <w:szCs w:val="18"/>
              </w:rPr>
              <w:t>88.50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-21,013,788.36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-23,019,880.65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-44,033,669.01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12,354,191.24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12,354,191.24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1,549,006.95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1,549,006.95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-10,208,604.07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-23,019,880.65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-33,228,484.72</w:t>
            </w:r>
          </w:p>
        </w:tc>
      </w:tr>
    </w:tbl>
    <w:p>
      <w:pPr>
        <w:spacing w:lineRule="exact" w:line="1"/>
        <w:rPr>
          <w:sz w:val="2"/>
          <w:szCs w:val="2"/>
        </w:rPr>
      </w:pPr>
      <w:r>
        <w:br w:type="page"/>
      </w:r>
    </w:p>
    <w:tbl>
      <w:tblPr>
        <w:tblOverlap w:val="never"/>
        <w:jc w:val="center"/>
        <w:tblLayout w:type="fixed"/>
      </w:tblPr>
      <w:tblGrid>
        <w:gridCol w:w="3408"/>
        <w:gridCol w:w="1891"/>
        <w:gridCol w:w="1680"/>
        <w:gridCol w:w="190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9,672,627.24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-3,111,339.16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6,561,288.08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-19,881,231.31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-19,908,541.49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-39,789,772.80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-19,990,540.53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-19,908,541.49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-39,899,082.02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109,309.22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b/>
                <w:bCs/>
                <w:color w:val="000000"/>
                <w:spacing w:val="0"/>
                <w:w w:val="100"/>
                <w:position w:val="0"/>
                <w:sz w:val="18"/>
                <w:szCs w:val="18"/>
              </w:rPr>
              <w:t>109,309.22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③对现金流量表的影响</w:t>
      </w:r>
    </w:p>
    <w:tbl>
      <w:tblPr>
        <w:tblOverlap w:val="never"/>
        <w:jc w:val="center"/>
        <w:tblLayout w:type="fixed"/>
      </w:tblPr>
      <w:tblGrid>
        <w:gridCol w:w="2938"/>
        <w:gridCol w:w="1656"/>
        <w:gridCol w:w="1858"/>
        <w:gridCol w:w="224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1,269,111,790.39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1,254,581,004.18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380,400.92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380,400.92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266,335,460.38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181,335,460.38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1,535,827,651.69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1,436,296,865.48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1,199,559,631.96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1,199,559,631.96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-3,016,535.59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-3,016,535.59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51,304,096.88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51,304,096.88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17,056,695.15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17,056,695.15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271,238,936.26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196,238,936.26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1,536,142,824.66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1,461,142,824.66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-315,172.97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-24,845,959.18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rFonts w:ascii="Times New Roman" w:eastAsia="Times New Roman" w:hAnsi="Times New Roman" w:cs="Times New Roman"/>
                <w:color w:val="000000"/>
                <w:spacing w:val="0"/>
                <w:w w:val="100"/>
                <w:position w:val="0"/>
                <w:sz w:val="18"/>
                <w:szCs w:val="18"/>
              </w:rPr>
              <w:t>9,530,786.21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100,873,586.21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rFonts w:ascii="Times New Roman" w:eastAsia="Times New Roman" w:hAnsi="Times New Roman" w:cs="Times New Roman"/>
                <w:color w:val="000000"/>
                <w:spacing w:val="0"/>
                <w:w w:val="100"/>
                <w:position w:val="0"/>
                <w:sz w:val="18"/>
                <w:szCs w:val="18"/>
              </w:rPr>
              <w:t>9,530,786.21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100,873,686.21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25,827,078.98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25,827,078.98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75 </w:t>
            </w:r>
            <w:r>
              <w:rPr>
                <w:rFonts w:ascii="Times New Roman" w:eastAsia="Times New Roman" w:hAnsi="Times New Roman" w:cs="Times New Roman"/>
                <w:color w:val="000000"/>
                <w:spacing w:val="0"/>
                <w:w w:val="100"/>
                <w:position w:val="0"/>
                <w:sz w:val="18"/>
                <w:szCs w:val="18"/>
              </w:rPr>
              <w:t>,000,000.00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95,827,078.98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170,827,078.98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-94,484,178.98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24,530,786.21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-69,953,392.77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8"/>
        <w:gridCol w:w="1656"/>
        <w:gridCol w:w="1858"/>
        <w:gridCol w:w="224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31,896,511.57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31,896,511.57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31,896,511.57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31,896,511.57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133,103,488.43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133,103,488.43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7,729.13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38,311,865.61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38,311,865.61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89,106,145.61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89,106,145.61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127,418,011.22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127,418,011.22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w:t>
      </w:r>
      <w:r>
        <w:rPr>
          <w:color w:val="000000"/>
          <w:spacing w:val="0"/>
          <w:w w:val="100"/>
          <w:position w:val="0"/>
          <w:sz w:val="18"/>
          <w:szCs w:val="18"/>
        </w:rPr>
        <w:t>2020</w:t>
      </w:r>
      <w:r>
        <w:rPr>
          <w:color w:val="000000"/>
          <w:spacing w:val="0"/>
          <w:w w:val="100"/>
          <w:position w:val="0"/>
        </w:rPr>
        <w:t>年度合并财务报表的影响</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①对资产负债表的影响</w:t>
      </w:r>
    </w:p>
    <w:tbl>
      <w:tblPr>
        <w:tblOverlap w:val="never"/>
        <w:jc w:val="center"/>
        <w:tblLayout w:type="fixed"/>
      </w:tblPr>
      <w:tblGrid>
        <w:gridCol w:w="2707"/>
        <w:gridCol w:w="2083"/>
        <w:gridCol w:w="1954"/>
        <w:gridCol w:w="209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1,835,647,301.12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1,835,647,301.12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229,704,702.88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106,904,702.88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5,160,646.84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5,160,646.84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30,814,646.65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35,814,646.65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120,195.37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43,616,083.67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43,616,083.67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48,348,880.76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5,393,719.57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53,742,600.33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2,193,412,457.29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-112,406,280.43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2,081,006,176.86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57,580,118.66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57,580,118.66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29,095,395.89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29,095,395.89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341,157,500.00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341,157,500.00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147,338,618.92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147,338,618.92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25,732,100.90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25,732,100.90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894,356,808.55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894,356,808.55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7,423,307.01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7,423,307.01</w:t>
            </w:r>
          </w:p>
        </w:tc>
      </w:tr>
    </w:tbl>
    <w:p>
      <w:pPr>
        <w:spacing w:lineRule="exact" w:line="1"/>
        <w:rPr>
          <w:sz w:val="2"/>
          <w:szCs w:val="2"/>
        </w:rPr>
      </w:pPr>
      <w:r>
        <w:br w:type="page"/>
      </w:r>
    </w:p>
    <w:tbl>
      <w:tblPr>
        <w:tblOverlap w:val="never"/>
        <w:jc w:val="center"/>
        <w:tblLayout w:type="fixed"/>
      </w:tblPr>
      <w:tblGrid>
        <w:gridCol w:w="2707"/>
        <w:gridCol w:w="2083"/>
        <w:gridCol w:w="1954"/>
        <w:gridCol w:w="209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33,194,625.35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33,194,625.35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905,332.08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1,536,783,807.36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1,536,783,807.36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3,730,196,264.65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-112,406,280.43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3,617,789,984.22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378,999,681.10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378,999,681.10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178,360,094.52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178,360,094.52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161,503.30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161,503.30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33,293,112.45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33,293,112.45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18,248,063.64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18,248,063.64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264,738,890.62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264,738,890.62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506,541,700.88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506,541,700.88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1,595,047,400.31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1,595,047,400.31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2,975,390,446.82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2,975,390,446.82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195,000,000.00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3,140,000.04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198,140,000.04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198,140,000.04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3,173,530,446.86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3,173,530,446.86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559,936,650.00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191,142,018.58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-98,226,299.52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-98,226,299.52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1,231,773.16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3,773.16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43,544,814.66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-181,691,963.93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-111,178,280.43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-292,870,244.36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515,936,992.95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-112,406,280.43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403,530,712.52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40,728,824.84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40,728,824.84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556,665,817.79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-112,406,280.43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444,259,537.36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3,730,196,264.65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-112,406,280.43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3,617,789,984.22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②对利润表的影响</w:t>
      </w:r>
    </w:p>
    <w:tbl>
      <w:tblPr>
        <w:tblOverlap w:val="never"/>
        <w:jc w:val="center"/>
        <w:tblLayout w:type="fixed"/>
      </w:tblPr>
      <w:tblGrid>
        <w:gridCol w:w="3408"/>
        <w:gridCol w:w="1901"/>
        <w:gridCol w:w="1690"/>
        <w:gridCol w:w="191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调整后金额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2,130,285,587.66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2,110,399,581.50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1,886,171,969.36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1,886,171,969.36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1,780,388.35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1,780,388.35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47,073,296.88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47,073,296.88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135,297,283.06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135,297,283.06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43,411,988.99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43,411,988.99</w:t>
            </w:r>
          </w:p>
        </w:tc>
      </w:tr>
    </w:tbl>
    <w:p>
      <w:pPr>
        <w:spacing w:lineRule="exact" w:line="1"/>
        <w:rPr>
          <w:sz w:val="2"/>
          <w:szCs w:val="2"/>
        </w:rPr>
      </w:pPr>
      <w:r>
        <w:br w:type="page"/>
      </w:r>
    </w:p>
    <w:tbl>
      <w:tblPr>
        <w:tblOverlap w:val="never"/>
        <w:jc w:val="center"/>
        <w:tblLayout w:type="fixed"/>
      </w:tblPr>
      <w:tblGrid>
        <w:gridCol w:w="3408"/>
        <w:gridCol w:w="1901"/>
        <w:gridCol w:w="1690"/>
        <w:gridCol w:w="19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85,562,033.53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85,562,033.53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91,563,039.19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91,563,039.19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6,147,574.34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6,147,574.34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11,596,197.81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11,596,197.81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10,272,954.79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10,272,954.79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-233,891,080.01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-38,886,761.48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-272,777,841.49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-104,285,503.00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-104,285,503.00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b/>
                <w:bCs/>
                <w:color w:val="000000"/>
                <w:spacing w:val="0"/>
                <w:w w:val="100"/>
                <w:position w:val="0"/>
                <w:sz w:val="18"/>
                <w:szCs w:val="18"/>
              </w:rPr>
              <w:t>-21,568.29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-385,340,371.21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-58,772,767.64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-444,113,138.85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32,186,657.04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32,186,657.04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1,638,982.13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1,638,982.13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-354,792,696.30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-58,772,767.64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-413,565,463.94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15,264,663.47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-1,695,000.00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13,569,663.47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-370,057,359.77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-57,077,767.64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-427,135,127.41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-373,584,843.10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-57,077,767.64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-430,662,610.74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3,527,483.33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3,527,483.33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③对现金流量表的影响</w:t>
      </w:r>
    </w:p>
    <w:tbl>
      <w:tblPr>
        <w:tblOverlap w:val="never"/>
        <w:jc w:val="center"/>
        <w:tblLayout w:type="fixed"/>
      </w:tblPr>
      <w:tblGrid>
        <w:gridCol w:w="3547"/>
        <w:gridCol w:w="1848"/>
        <w:gridCol w:w="1565"/>
        <w:gridCol w:w="2011"/>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单位：元</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调整后金额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2,285,099,965.49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2,265,213,959.33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252,200.00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912,388,473.31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639,888,473.31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3,197,740,638.80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-292,386,006.16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2,905,354,632.64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2,006,127,555.86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2,006,127,555.86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10,932,774.24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10,932,774.24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112,690,588.38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 xml:space="preserve">1 </w:t>
            </w:r>
            <w:r>
              <w:rPr>
                <w:rFonts w:ascii="Times New Roman" w:eastAsia="Times New Roman" w:hAnsi="Times New Roman" w:cs="Times New Roman"/>
                <w:b/>
                <w:bCs/>
                <w:color w:val="000000"/>
                <w:spacing w:val="0"/>
                <w:w w:val="100"/>
                <w:position w:val="0"/>
                <w:sz w:val="18"/>
                <w:szCs w:val="18"/>
              </w:rPr>
              <w:t>12,690,588.38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28,127,773.93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28,127,773.93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945,737,935.68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670,737,935.68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3,103,616,628.09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2,828,616,628.09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94,124,010.71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76,738,004.55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17,000,000.00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 xml:space="preserve">26,454. </w:t>
            </w:r>
            <w:r>
              <w:rPr>
                <w:rFonts w:ascii="Times New Roman" w:eastAsia="Times New Roman" w:hAnsi="Times New Roman" w:cs="Times New Roman"/>
                <w:b/>
                <w:bCs/>
                <w:color w:val="000000"/>
                <w:spacing w:val="0"/>
                <w:w w:val="100"/>
                <w:position w:val="0"/>
                <w:sz w:val="18"/>
                <w:szCs w:val="18"/>
              </w:rPr>
              <w:t>79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0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7,300.00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292,386,006.16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296,728,806.16</w:t>
            </w:r>
          </w:p>
        </w:tc>
      </w:tr>
    </w:tbl>
    <w:p>
      <w:pPr>
        <w:spacing w:lineRule="exact" w:line="1"/>
        <w:rPr>
          <w:sz w:val="2"/>
          <w:szCs w:val="2"/>
        </w:rPr>
      </w:pPr>
      <w:r>
        <w:br w:type="page"/>
      </w:r>
    </w:p>
    <w:tbl>
      <w:tblPr>
        <w:tblOverlap w:val="never"/>
        <w:jc w:val="center"/>
        <w:tblLayout w:type="fixed"/>
      </w:tblPr>
      <w:tblGrid>
        <w:gridCol w:w="3547"/>
        <w:gridCol w:w="1848"/>
        <w:gridCol w:w="1565"/>
        <w:gridCol w:w="201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21,376,554.79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292,386,006.16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313,762,560.95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113,612,857.56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113,612,857.56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275,000,000.00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200,612,857.56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475,612,857.56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-179,236,302.77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17,386,006.16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-161,850,296.61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1</w:t>
            </w:r>
            <w:r>
              <w:rPr>
                <w:rFonts w:ascii="Times New Roman" w:eastAsia="Times New Roman" w:hAnsi="Times New Roman" w:cs="Times New Roman"/>
                <w:b/>
                <w:bCs/>
                <w:color w:val="000000"/>
                <w:spacing w:val="0"/>
                <w:w w:val="100"/>
                <w:position w:val="0"/>
                <w:sz w:val="18"/>
                <w:szCs w:val="18"/>
              </w:rPr>
              <w:t>65,000,000.00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245,000,000.00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120,940,515.04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120,940,515.04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65,162,536.11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65,162</w:t>
            </w:r>
            <w:r>
              <w:rPr>
                <w:rFonts w:ascii="Times New Roman" w:eastAsia="Times New Roman" w:hAnsi="Times New Roman" w:cs="Times New Roman"/>
                <w:b/>
                <w:bCs/>
                <w:color w:val="000000"/>
                <w:spacing w:val="0"/>
                <w:w w:val="100"/>
                <w:position w:val="0"/>
                <w:sz w:val="18"/>
                <w:szCs w:val="18"/>
              </w:rPr>
              <w:t>,536.11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10,500,000.00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196,603,051.15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1</w:t>
            </w:r>
            <w:r>
              <w:rPr>
                <w:rFonts w:ascii="Times New Roman" w:eastAsia="Times New Roman" w:hAnsi="Times New Roman" w:cs="Times New Roman"/>
                <w:b/>
                <w:bCs/>
                <w:color w:val="000000"/>
                <w:spacing w:val="0"/>
                <w:w w:val="100"/>
                <w:position w:val="0"/>
                <w:sz w:val="18"/>
                <w:szCs w:val="18"/>
              </w:rPr>
              <w:t>96,603,051.15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48,396,948.85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48,396,948.85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-23,572.57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-36,738,915.78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-36,738,915.78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89,106,145.61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89,106,145.61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52,367,229.83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52,367,229.83</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上述差错更正事项已在</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年度追溯调整完毕，不涉及</w:t>
      </w:r>
      <w:r>
        <w:rPr>
          <w:color w:val="000000"/>
          <w:spacing w:val="0"/>
          <w:w w:val="100"/>
          <w:position w:val="0"/>
          <w:sz w:val="18"/>
          <w:szCs w:val="18"/>
        </w:rPr>
        <w:t>2021</w:t>
      </w:r>
      <w:r>
        <w:rPr>
          <w:color w:val="000000"/>
          <w:spacing w:val="0"/>
          <w:w w:val="100"/>
          <w:position w:val="0"/>
        </w:rPr>
        <w:t>年度损益调整。根据</w:t>
      </w:r>
      <w:r>
        <w:rPr>
          <w:color w:val="000000"/>
          <w:spacing w:val="0"/>
          <w:w w:val="100"/>
          <w:position w:val="0"/>
          <w:sz w:val="18"/>
          <w:szCs w:val="18"/>
        </w:rPr>
        <w:t>2020</w:t>
      </w:r>
      <w:r>
        <w:rPr>
          <w:color w:val="000000"/>
          <w:spacing w:val="0"/>
          <w:w w:val="100"/>
          <w:position w:val="0"/>
        </w:rPr>
        <w:t>年追溯调整后的审计报</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告，公司相应调整了 </w:t>
      </w:r>
      <w:r>
        <w:rPr>
          <w:color w:val="000000"/>
          <w:spacing w:val="0"/>
          <w:w w:val="100"/>
          <w:position w:val="0"/>
          <w:sz w:val="18"/>
          <w:szCs w:val="18"/>
        </w:rPr>
        <w:t>2021</w:t>
      </w:r>
      <w:r>
        <w:rPr>
          <w:color w:val="000000"/>
          <w:spacing w:val="0"/>
          <w:w w:val="100"/>
          <w:position w:val="0"/>
        </w:rPr>
        <w:t>年资产负债表的期初数。</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七</w:t>
      </w:r>
      <w:bookmarkEnd w:id="432"/>
      <w:r>
        <w:rPr>
          <w:color w:val="000000"/>
          <w:spacing w:val="0"/>
          <w:w w:val="100"/>
          <w:position w:val="0"/>
        </w:rPr>
        <w:t>、</w:t>
        <w:tab/>
        <w:t>与上年度财务报告相比，合并报表范围发生变化的情况说明</w:t>
      </w:r>
      <w:bookmarkEnd w:id="430"/>
      <w:bookmarkEnd w:id="431"/>
      <w:bookmarkEnd w:id="43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根据经营发展需要，公司于报告期内对子公司民盛金科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有限公司、民盛支付（香港）有限公司、天津亿东科技有 限公司进行了注销，合并报表范围发生变化。</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八</w:t>
      </w:r>
      <w:bookmarkEnd w:id="436"/>
      <w:r>
        <w:rPr>
          <w:color w:val="000000"/>
          <w:spacing w:val="0"/>
          <w:w w:val="100"/>
          <w:position w:val="0"/>
        </w:rPr>
        <w:t>、</w:t>
        <w:tab/>
        <w:t>聘任、解聘会计师事务所情况</w:t>
      </w:r>
      <w:bookmarkEnd w:id="434"/>
      <w:bookmarkEnd w:id="435"/>
      <w:bookmarkEnd w:id="43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bl>
    <w:p>
      <w:pPr>
        <w:spacing w:lineRule="exact" w:line="1"/>
        <w:rPr>
          <w:sz w:val="2"/>
          <w:szCs w:val="2"/>
        </w:rPr>
      </w:pP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年、王雅栋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19"/>
        <w:keepNext w:val="0"/>
        <w:keepLines w:val="0"/>
        <w:widowControl w:val="0"/>
        <w:shd w:val="clear" w:color="auto" w:fill="auto"/>
        <w:bidi w:val="0"/>
        <w:spacing w:before="0" w:after="140" w:line="302" w:lineRule="exact"/>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02" w:lineRule="exact"/>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700" w:line="302" w:lineRule="exact"/>
        <w:ind w:left="0" w:right="0" w:firstLine="340"/>
        <w:jc w:val="left"/>
      </w:pPr>
      <w:r>
        <w:rPr>
          <w:color w:val="000000"/>
          <w:spacing w:val="0"/>
          <w:w w:val="100"/>
          <w:position w:val="0"/>
        </w:rPr>
        <w:t>本年度，公司聘请中兴财光华会计师事务所（特殊普通合伙）为公司年度审计机构，为公司出具财务审计报告、内控审 计报告和其他专项报告，合计支付报酬</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九</w:t>
      </w:r>
      <w:bookmarkEnd w:id="440"/>
      <w:r>
        <w:rPr>
          <w:color w:val="000000"/>
          <w:spacing w:val="0"/>
          <w:w w:val="100"/>
          <w:position w:val="0"/>
        </w:rPr>
        <w:t>、年度报告披露后面临退市情况</w:t>
      </w:r>
      <w:bookmarkEnd w:id="438"/>
      <w:bookmarkEnd w:id="439"/>
      <w:bookmarkEnd w:id="441"/>
    </w:p>
    <w:p>
      <w:pPr>
        <w:pStyle w:val="Style19"/>
        <w:keepNext w:val="0"/>
        <w:keepLines w:val="0"/>
        <w:widowControl w:val="0"/>
        <w:shd w:val="clear" w:color="auto" w:fill="auto"/>
        <w:bidi w:val="0"/>
        <w:spacing w:before="0" w:after="28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r>
        <w:rPr>
          <w:color w:val="000000"/>
          <w:spacing w:val="0"/>
          <w:w w:val="100"/>
          <w:position w:val="0"/>
        </w:rPr>
        <w:t>十、破产重整相关事项</w:t>
      </w:r>
      <w:bookmarkEnd w:id="442"/>
      <w:bookmarkEnd w:id="443"/>
      <w:bookmarkEnd w:id="444"/>
    </w:p>
    <w:p>
      <w:pPr>
        <w:pStyle w:val="Style19"/>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r>
        <w:rPr>
          <w:color w:val="000000"/>
          <w:spacing w:val="0"/>
          <w:w w:val="100"/>
          <w:position w:val="0"/>
        </w:rPr>
        <w:t>十一、重大诉讼、仲裁事项</w:t>
      </w:r>
      <w:bookmarkEnd w:id="445"/>
      <w:bookmarkEnd w:id="446"/>
      <w:bookmarkEnd w:id="447"/>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公司与中信银行股 份有限公司深圳分 行金融借款合同纠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庭审阶段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关于收到仲 裁通知暨公 司向金融机 构借款情况 的进展公告</w:t>
            </w:r>
          </w:p>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子公司共青城投资 与蔚洁科技股权增 资合同纠纷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《关于子公 司提请仲裁 申请被仲裁 机关受理的 公告》（公告 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2021-099</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公司与兴业银行股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份有限公司金融借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12,418.33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合利金融持有 的合利宝全部 股权以及产生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《关于向兴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业银行申请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续贷事宜的</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的孳息，包括股 息、红利、现金 收益等被冻结， 公司实际控制 人霍东及其配 偶赵佳（公司董 事）被列为失信 被执行人。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进展公告》</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（巨潮资讯 网公告编号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2021-011</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 向金融机构 借款情况的 进展公告》</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100" w:line="360" w:lineRule="auto"/>
              <w:ind w:left="0" w:right="0" w:firstLine="0"/>
              <w:jc w:val="both"/>
            </w:pP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北京海淀科技金融 资本控股集团股份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公司、合利金融 及公司控股股 东相关方作为 被执行人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《关于向海 科金集团借 款到期的进 展公告》（公 告编号： </w:t>
            </w:r>
            <w:r>
              <w:rPr>
                <w:rFonts w:ascii="Times New Roman" w:eastAsia="Times New Roman" w:hAnsi="Times New Roman" w:cs="Times New Roman"/>
                <w:color w:val="000000"/>
                <w:spacing w:val="0"/>
                <w:w w:val="100"/>
                <w:position w:val="0"/>
                <w:sz w:val="18"/>
                <w:szCs w:val="18"/>
              </w:rPr>
              <w:t>2022-009</w:t>
            </w:r>
            <w:r>
              <w:rPr>
                <w:color w:val="000000"/>
                <w:spacing w:val="0"/>
                <w:w w:val="100"/>
                <w:position w:val="0"/>
              </w:rPr>
              <w:t>）</w:t>
            </w:r>
          </w:p>
        </w:tc>
      </w:tr>
      <w:tr>
        <w:trPr>
          <w:trHeight w:val="84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山西潞城农村商业 银行股份有限公司 认购了大业信托有 限责任公司设立的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大业信托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盛鑫</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号单一资金信托合 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，认购金额壹拾 伍亿元整；资管计 划的实际投向为晋 中市榆;</w:t>
            </w:r>
            <w:r>
              <w:rPr>
                <w:color w:val="000000"/>
                <w:spacing w:val="0"/>
                <w:w w:val="100"/>
                <w:position w:val="0"/>
                <w:sz w:val="18"/>
                <w:szCs w:val="18"/>
              </w:rPr>
              <w:t>S</w:t>
            </w:r>
            <w:r>
              <w:rPr>
                <w:color w:val="000000"/>
                <w:spacing w:val="0"/>
                <w:w w:val="100"/>
                <w:position w:val="0"/>
              </w:rPr>
              <w:t xml:space="preserve">粮油贸易 有限公司。山西潞 城农村商业银行股 份有限公司提供了 公司出具的《担保 函》，《担保函》显 示公司为上述资管 计划的投资本金壹 拾伍亿元整、年化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的投资收益等 提供了连带责任保 证。现大业信托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盛 鑫</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号单一资金信 托合同到期，晋中 市榆精粮油贸易有 限公司未能偿还贷 款本息，山西潞城 农村商业银行股份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尚未审理完结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尚未审理完结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 涉及相关诉 讼的公告》</w:t>
            </w:r>
          </w:p>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有限公司发起诉讼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公司起诉浙江泰晟 新材料科技有限公 司、卓伟军合同纠 纷案件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相关利益已追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回，无重大影响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相关利益已追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回，无重大影响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主要为子公司仁东 小贷与个人客户之 间借款合同纠纷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部分已判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决，待执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行；部分在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部分已判决，待 执行；部分未判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主要为子公司合利 宝作为第三方支付 平台，受商户牵连 引发诉讼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多数已撤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诉，部分在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多数已撤诉，部 分在审理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子公司租赁合同纠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相关利益已追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回，无重大影响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调解完成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448" w:name="bookmark448"/>
      <w:bookmarkStart w:id="449" w:name="bookmark449"/>
      <w:bookmarkStart w:id="450" w:name="bookmark450"/>
      <w:r>
        <w:rPr>
          <w:color w:val="000000"/>
          <w:spacing w:val="0"/>
          <w:w w:val="100"/>
          <w:position w:val="0"/>
        </w:rPr>
        <w:t>十二、处罚及整改情况</w:t>
      </w:r>
      <w:bookmarkEnd w:id="448"/>
      <w:bookmarkEnd w:id="449"/>
      <w:bookmarkEnd w:id="45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信息披露违法违 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被中国证监会立</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案调查或行政处 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中国证监会认定 公司披露的信息 存在虚假记载及 未按规定履行信 息披露义务，对 公司及相关当事 人作出行政处罚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《关于公司 及相关当事人收 到</w:t>
            </w:r>
            <w:r>
              <w:rPr>
                <w:color w:val="000000"/>
                <w:spacing w:val="0"/>
                <w:w w:val="100"/>
                <w:position w:val="0"/>
                <w:sz w:val="18"/>
                <w:szCs w:val="18"/>
              </w:rPr>
              <w:t>〈</w:t>
            </w:r>
            <w:r>
              <w:rPr>
                <w:color w:val="000000"/>
                <w:spacing w:val="0"/>
                <w:w w:val="100"/>
                <w:position w:val="0"/>
              </w:rPr>
              <w:t>行政处罚决 定书</w:t>
            </w:r>
            <w:r>
              <w:rPr>
                <w:color w:val="000000"/>
                <w:spacing w:val="0"/>
                <w:w w:val="100"/>
                <w:position w:val="0"/>
                <w:sz w:val="18"/>
                <w:szCs w:val="18"/>
              </w:rPr>
              <w:t>〉</w:t>
            </w:r>
            <w:r>
              <w:rPr>
                <w:color w:val="000000"/>
                <w:spacing w:val="0"/>
                <w:w w:val="100"/>
                <w:position w:val="0"/>
              </w:rPr>
              <w:t>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2022-007</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仁东信息及其一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致行动人仁东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违反减持相关规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中国证监会采取 行政监管措施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行政监管措施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7"/>
                <w:szCs w:val="17"/>
              </w:rPr>
              <w:t>）</w:t>
            </w:r>
            <w:r>
              <w:rPr>
                <w:color w:val="000000"/>
                <w:spacing w:val="0"/>
                <w:w w:val="100"/>
                <w:position w:val="0"/>
                <w:sz w:val="17"/>
                <w:szCs w:val="17"/>
              </w:rPr>
              <w:t>《关于控股 股东及一致行动 人收到中国证监 会浙江监管局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行政监管措施决 定书</w:t>
            </w:r>
            <w:r>
              <w:rPr>
                <w:color w:val="000000"/>
                <w:spacing w:val="0"/>
                <w:w w:val="100"/>
                <w:position w:val="0"/>
                <w:sz w:val="18"/>
                <w:szCs w:val="18"/>
              </w:rPr>
              <w:t>〉</w:t>
            </w:r>
            <w:r>
              <w:rPr>
                <w:color w:val="000000"/>
                <w:spacing w:val="0"/>
                <w:w w:val="100"/>
                <w:position w:val="0"/>
                <w:sz w:val="17"/>
                <w:szCs w:val="17"/>
              </w:rPr>
              <w:t xml:space="preserve">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2021-092）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仁东信息及其一 致行动人仁东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违反减持相关规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被证券交易所采 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纪律处分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451" w:name="bookmark451"/>
      <w:bookmarkStart w:id="452" w:name="bookmark452"/>
      <w:bookmarkStart w:id="453" w:name="bookmark453"/>
      <w:r>
        <w:rPr>
          <w:color w:val="000000"/>
          <w:spacing w:val="0"/>
          <w:w w:val="100"/>
          <w:position w:val="0"/>
        </w:rPr>
        <w:t>十三、公司及其控股股东、实际控制人的诚信状况</w:t>
      </w:r>
      <w:bookmarkEnd w:id="451"/>
      <w:bookmarkEnd w:id="452"/>
      <w:bookmarkEnd w:id="453"/>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0" w:lineRule="exact"/>
        <w:ind w:left="0" w:right="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、报告期内，公司存在金融机构借款逾期的情况，相关金融机构已对公司采取了司法措施，公司部分资产被债权人申 请保全和执行，公司已在《关于收到仲裁通知暨公司向金融机构借款情况的进展公告》（公告编号：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r>
        <w:rPr>
          <w:color w:val="000000"/>
          <w:spacing w:val="0"/>
          <w:w w:val="100"/>
          <w:position w:val="0"/>
        </w:rPr>
        <w:t>、《关于公 司向金融机构借款情况的进展公告》（公告编号：</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 xml:space="preserve">）、《关于对深圳证券交易所关注函回复的公告》（公告编号： </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r>
        <w:rPr>
          <w:color w:val="000000"/>
          <w:spacing w:val="0"/>
          <w:w w:val="100"/>
          <w:position w:val="0"/>
        </w:rPr>
        <w:t>、《关于收到法院财产保全相关资料的公告》（公告编号：</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rPr>
        <w:t>）等相关公告中对上述情况进行了披露。</w:t>
      </w:r>
    </w:p>
    <w:p>
      <w:pPr>
        <w:pStyle w:val="Style19"/>
        <w:keepNext w:val="0"/>
        <w:keepLines w:val="0"/>
        <w:widowControl w:val="0"/>
        <w:shd w:val="clear" w:color="auto" w:fill="auto"/>
        <w:bidi w:val="0"/>
        <w:spacing w:before="0" w:after="700" w:line="310" w:lineRule="exact"/>
        <w:ind w:left="0" w:right="0" w:firstLine="460"/>
        <w:jc w:val="left"/>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、因实际控制人霍东先生为公司向兴业银行股份有限公司借款履行担保责任，霍东先生及其配偶赵佳女士于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日被北京市第四中级人民法院列为失信被执行人，公司已在《关于公司向金融机构借款情况的进展公告》（公告编号： </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）等相关公告中对上述情况进行了披露。</w:t>
      </w:r>
    </w:p>
    <w:p>
      <w:pPr>
        <w:pStyle w:val="Style22"/>
        <w:keepNext/>
        <w:keepLines/>
        <w:widowControl w:val="0"/>
        <w:shd w:val="clear" w:color="auto" w:fill="auto"/>
        <w:bidi w:val="0"/>
        <w:spacing w:before="0" w:after="380" w:line="240" w:lineRule="auto"/>
        <w:ind w:left="0" w:right="0" w:firstLine="0"/>
        <w:jc w:val="both"/>
      </w:pPr>
      <w:bookmarkStart w:id="456" w:name="bookmark456"/>
      <w:bookmarkStart w:id="457" w:name="bookmark457"/>
      <w:bookmarkStart w:id="458" w:name="bookmark458"/>
      <w:r>
        <w:rPr>
          <w:color w:val="000000"/>
          <w:spacing w:val="0"/>
          <w:w w:val="100"/>
          <w:position w:val="0"/>
        </w:rPr>
        <w:t>十四、重大关联交易</w:t>
      </w:r>
      <w:bookmarkEnd w:id="456"/>
      <w:bookmarkEnd w:id="457"/>
      <w:bookmarkEnd w:id="458"/>
    </w:p>
    <w:p>
      <w:pPr>
        <w:pStyle w:val="Style28"/>
        <w:keepNext/>
        <w:keepLines/>
        <w:widowControl w:val="0"/>
        <w:shd w:val="clear" w:color="auto" w:fill="auto"/>
        <w:tabs>
          <w:tab w:pos="368" w:val="left"/>
        </w:tabs>
        <w:bidi w:val="0"/>
        <w:spacing w:before="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与日常经营相关的关联交易</w:t>
      </w:r>
      <w:bookmarkEnd w:id="459"/>
      <w:bookmarkEnd w:id="460"/>
      <w:bookmarkEnd w:id="46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资产或股权收购、出售发生的关联交易</w:t>
      </w:r>
      <w:bookmarkEnd w:id="463"/>
      <w:bookmarkEnd w:id="464"/>
      <w:bookmarkEnd w:id="466"/>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共同对外投资的关联交易</w:t>
      </w:r>
      <w:bookmarkEnd w:id="467"/>
      <w:bookmarkEnd w:id="468"/>
      <w:bookmarkEnd w:id="47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4</w:t>
      </w:r>
      <w:bookmarkEnd w:id="473"/>
      <w:r>
        <w:rPr>
          <w:color w:val="000000"/>
          <w:spacing w:val="0"/>
          <w:w w:val="100"/>
          <w:position w:val="0"/>
        </w:rPr>
        <w:t>、</w:t>
        <w:tab/>
        <w:t>关联债权债务往来</w:t>
      </w:r>
      <w:bookmarkEnd w:id="471"/>
      <w:bookmarkEnd w:id="472"/>
      <w:bookmarkEnd w:id="474"/>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6"/>
        <w:gridCol w:w="221"/>
        <w:gridCol w:w="720"/>
        <w:gridCol w:w="317"/>
        <w:gridCol w:w="643"/>
        <w:gridCol w:w="403"/>
        <w:gridCol w:w="552"/>
        <w:gridCol w:w="490"/>
        <w:gridCol w:w="466"/>
        <w:gridCol w:w="581"/>
        <w:gridCol w:w="379"/>
        <w:gridCol w:w="662"/>
        <w:gridCol w:w="293"/>
        <w:gridCol w:w="754"/>
        <w:gridCol w:w="202"/>
        <w:gridCol w:w="840"/>
        <w:gridCol w:w="120"/>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经营性资金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403" w:hRule="exact"/>
        </w:trPr>
        <w:tc>
          <w:tcPr>
            <w:gridSpan w:val="18"/>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应付关联方债务</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本期新增金</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本期归还金</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期末余额（万</w:t>
            </w:r>
          </w:p>
        </w:tc>
      </w:tr>
    </w:tbl>
    <w:tbl>
      <w:tblPr>
        <w:tblOverlap w:val="never"/>
        <w:jc w:val="center"/>
        <w:tblLayout w:type="fixed"/>
      </w:tblPr>
      <w:tblGrid>
        <w:gridCol w:w="1166"/>
        <w:gridCol w:w="1037"/>
        <w:gridCol w:w="1046"/>
        <w:gridCol w:w="1042"/>
        <w:gridCol w:w="1046"/>
        <w:gridCol w:w="1042"/>
        <w:gridCol w:w="1046"/>
        <w:gridCol w:w="1042"/>
        <w:gridCol w:w="11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额（万元）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 技术有限公司 及实控人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24,093.93</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补充公司流动资金，偿还银行借款。</w:t>
            </w:r>
          </w:p>
        </w:tc>
      </w:tr>
    </w:tbl>
    <w:p>
      <w:pPr>
        <w:widowControl w:val="0"/>
        <w:spacing w:after="359" w:line="1" w:lineRule="exact"/>
      </w:pPr>
    </w:p>
    <w:p>
      <w:pPr>
        <w:pStyle w:val="Style28"/>
        <w:keepNext/>
        <w:keepLines/>
        <w:widowControl w:val="0"/>
        <w:shd w:val="clear" w:color="auto" w:fill="auto"/>
        <w:bidi w:val="0"/>
        <w:spacing w:before="0" w:after="28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5</w:t>
      </w:r>
      <w:bookmarkEnd w:id="477"/>
      <w:r>
        <w:rPr>
          <w:color w:val="000000"/>
          <w:spacing w:val="0"/>
          <w:w w:val="100"/>
          <w:position w:val="0"/>
        </w:rPr>
        <w:t>、与存在关联关系的财务公司的往来情况</w:t>
      </w:r>
      <w:bookmarkEnd w:id="475"/>
      <w:bookmarkEnd w:id="476"/>
      <w:bookmarkEnd w:id="478"/>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28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6</w:t>
      </w:r>
      <w:bookmarkEnd w:id="481"/>
      <w:r>
        <w:rPr>
          <w:color w:val="000000"/>
          <w:spacing w:val="0"/>
          <w:w w:val="100"/>
          <w:position w:val="0"/>
        </w:rPr>
        <w:t>、</w:t>
        <w:tab/>
        <w:t>公司控股的财务公司与关联方的往来情况</w:t>
      </w:r>
      <w:bookmarkEnd w:id="479"/>
      <w:bookmarkEnd w:id="480"/>
      <w:bookmarkEnd w:id="482"/>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after="28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7</w:t>
      </w:r>
      <w:bookmarkEnd w:id="485"/>
      <w:r>
        <w:rPr>
          <w:color w:val="000000"/>
          <w:spacing w:val="0"/>
          <w:w w:val="100"/>
          <w:position w:val="0"/>
        </w:rPr>
        <w:t>、</w:t>
        <w:tab/>
        <w:t>其他重大关联交易</w:t>
      </w:r>
      <w:bookmarkEnd w:id="483"/>
      <w:bookmarkEnd w:id="484"/>
      <w:bookmarkEnd w:id="486"/>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315" w:lineRule="exact"/>
        <w:ind w:left="0" w:right="0"/>
        <w:jc w:val="both"/>
      </w:pPr>
      <w:r>
        <w:rPr>
          <w:color w:val="000000"/>
          <w:spacing w:val="0"/>
          <w:w w:val="100"/>
          <w:position w:val="0"/>
        </w:rPr>
        <w:t>公司第四届董事会第二十一次会议及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年度股东大会审议通过了《关于向控股股东借款暨关联交易的议案》，公司向 控股股东仁东信息借款（具体借款方式包含仁东信息直接对公司发放的资金借款及仁东信息为公司履行担保责任形成的债权 或资金占用）不超过</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万人民币，借款年利率不超过</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，该借款主要用于公司经营、周转使用，支持公司对外投资 项目，推进产业转型升级，提升核心竞争力。</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《关于向控股股东借款暨关联交易的公告》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r>
        <w:rPr>
          <w:color w:val="000000"/>
          <w:spacing w:val="0"/>
          <w:w w:val="100"/>
          <w:position w:val="0"/>
        </w:rPr>
        <w:t>十五、重大合同及其履行情况</w:t>
      </w:r>
      <w:bookmarkEnd w:id="487"/>
      <w:bookmarkEnd w:id="488"/>
      <w:bookmarkEnd w:id="489"/>
    </w:p>
    <w:p>
      <w:pPr>
        <w:pStyle w:val="Style28"/>
        <w:keepNext/>
        <w:keepLines/>
        <w:widowControl w:val="0"/>
        <w:shd w:val="clear" w:color="auto" w:fill="auto"/>
        <w:bidi w:val="0"/>
        <w:spacing w:before="0" w:after="36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、托管、承包、租赁事项情况</w:t>
      </w:r>
      <w:bookmarkEnd w:id="490"/>
      <w:bookmarkEnd w:id="491"/>
      <w:bookmarkEnd w:id="493"/>
    </w:p>
    <w:p>
      <w:pPr>
        <w:pStyle w:val="Style32"/>
        <w:keepNext/>
        <w:keepLines/>
        <w:widowControl w:val="0"/>
        <w:shd w:val="clear" w:color="auto" w:fill="auto"/>
        <w:tabs>
          <w:tab w:pos="493" w:val="left"/>
        </w:tabs>
        <w:bidi w:val="0"/>
        <w:spacing w:before="0" w:after="36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4"/>
      <w:bookmarkEnd w:id="495"/>
      <w:bookmarkEnd w:id="497"/>
    </w:p>
    <w:p>
      <w:pPr>
        <w:pStyle w:val="Style19"/>
        <w:keepNext w:val="0"/>
        <w:keepLines w:val="0"/>
        <w:widowControl w:val="0"/>
        <w:numPr>
          <w:ilvl w:val="0"/>
          <w:numId w:val="5"/>
        </w:numPr>
        <w:shd w:val="clear" w:color="auto" w:fill="auto"/>
        <w:tabs>
          <w:tab w:pos="310" w:val="left"/>
        </w:tabs>
        <w:bidi w:val="0"/>
        <w:spacing w:before="0" w:after="140" w:line="240" w:lineRule="auto"/>
        <w:ind w:left="0" w:right="0" w:firstLine="0"/>
        <w:jc w:val="both"/>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60" w:line="240" w:lineRule="auto"/>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9"/>
      <w:bookmarkEnd w:id="500"/>
      <w:bookmarkEnd w:id="502"/>
    </w:p>
    <w:p>
      <w:pPr>
        <w:pStyle w:val="Style19"/>
        <w:keepNext w:val="0"/>
        <w:keepLines w:val="0"/>
        <w:widowControl w:val="0"/>
        <w:numPr>
          <w:ilvl w:val="0"/>
          <w:numId w:val="5"/>
        </w:numPr>
        <w:shd w:val="clear" w:color="auto" w:fill="auto"/>
        <w:tabs>
          <w:tab w:pos="310" w:val="left"/>
        </w:tabs>
        <w:bidi w:val="0"/>
        <w:spacing w:before="0" w:after="140" w:line="240" w:lineRule="auto"/>
        <w:ind w:left="0" w:right="0" w:firstLine="0"/>
        <w:jc w:val="both"/>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bidi w:val="0"/>
        <w:spacing w:before="0" w:after="3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04"/>
      <w:bookmarkEnd w:id="505"/>
      <w:bookmarkEnd w:id="507"/>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19"/>
        <w:keepNext w:val="0"/>
        <w:keepLines w:val="0"/>
        <w:widowControl w:val="0"/>
        <w:shd w:val="clear" w:color="auto" w:fill="auto"/>
        <w:tabs>
          <w:tab w:pos="334" w:val="left"/>
        </w:tabs>
        <w:bidi w:val="0"/>
        <w:spacing w:before="0" w:after="0" w:line="314" w:lineRule="exact"/>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1</w:t>
      </w:r>
      <w:bookmarkEnd w:id="508"/>
      <w:r>
        <w:rPr>
          <w:color w:val="000000"/>
          <w:spacing w:val="0"/>
          <w:w w:val="100"/>
          <w:position w:val="0"/>
        </w:rPr>
        <w:t>、</w:t>
        <w:tab/>
        <w:t>因办公需要，仁东控股与正大侨商房地产开发有限公司签订租赁合同，租赁合同期限自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2</w:t>
      </w:r>
      <w:bookmarkEnd w:id="509"/>
      <w:r>
        <w:rPr>
          <w:color w:val="000000"/>
          <w:spacing w:val="0"/>
          <w:w w:val="100"/>
          <w:position w:val="0"/>
        </w:rPr>
        <w:t>、</w:t>
        <w:tab/>
        <w:t>因办公需要，深圳前海合利商业保理有限公司与正大侨商房地产开发有限公司签订租赁合同，租赁合同期限自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tabs>
          <w:tab w:pos="354" w:val="left"/>
        </w:tabs>
        <w:bidi w:val="0"/>
        <w:spacing w:before="0" w:after="0" w:line="317" w:lineRule="exact"/>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3</w:t>
      </w:r>
      <w:bookmarkEnd w:id="510"/>
      <w:r>
        <w:rPr>
          <w:color w:val="000000"/>
          <w:spacing w:val="0"/>
          <w:w w:val="100"/>
          <w:position w:val="0"/>
        </w:rPr>
        <w:t>、</w:t>
        <w:tab/>
        <w:t>因办公需要，广州合利宝支付科技有限公司与广州景耀置业有限公司签订租赁合同，租赁期限自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9"/>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租赁资产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涉及金额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租赁收益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租赁收益</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对公司影 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正大侨商 房地产开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仁东控股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增加办公 场所使用 权资产折 旧及财务 费用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670.94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广州景耀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广州合利 宝支付科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增加办公 场所使用 权资产折 旧及利息 </w:t>
            </w:r>
            <w:r>
              <w:rPr>
                <w:rFonts w:ascii="Times New Roman" w:eastAsia="Times New Roman" w:hAnsi="Times New Roman" w:cs="Times New Roman"/>
                <w:color w:val="000000"/>
                <w:spacing w:val="0"/>
                <w:w w:val="100"/>
                <w:position w:val="0"/>
                <w:sz w:val="18"/>
                <w:szCs w:val="18"/>
              </w:rPr>
              <w:t xml:space="preserve">458.29 </w:t>
            </w:r>
            <w:r>
              <w:rPr>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正大侨商 房地产开 发有限公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深圳前海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合利商业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保理有限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增加办公 场所使用 权资产折 旧及财务 费用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698.16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、重大担保</w:t>
      </w:r>
      <w:bookmarkEnd w:id="511"/>
      <w:bookmarkEnd w:id="512"/>
      <w:bookmarkEnd w:id="514"/>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 民盛天宫 供应链管 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广东合利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合利商业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保理有限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广州合利 宝支付科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广州仁东 互联网小 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2020.5.22</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17,460.23</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tbl>
      <w:tblPr>
        <w:tblOverlap w:val="never"/>
        <w:jc w:val="center"/>
        <w:tblLayout w:type="fixed"/>
      </w:tblPr>
      <w:tblGrid>
        <w:gridCol w:w="2448"/>
        <w:gridCol w:w="1286"/>
        <w:gridCol w:w="1862"/>
        <w:gridCol w:w="3994"/>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报告期内，子公司深圳前海合利商业保理有限公司在华融前海财富管理股 份有限公司的借款逾期未还，公司负有担保责任。</w:t>
            </w:r>
          </w:p>
        </w:tc>
      </w:tr>
    </w:tbl>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采用复合方式担保的具体情况说明</w:t>
      </w:r>
    </w:p>
    <w:p>
      <w:pPr>
        <w:pStyle w:val="Style28"/>
        <w:keepNext/>
        <w:keepLines/>
        <w:widowControl w:val="0"/>
        <w:shd w:val="clear" w:color="auto" w:fill="auto"/>
        <w:tabs>
          <w:tab w:pos="378" w:val="left"/>
        </w:tabs>
        <w:bidi w:val="0"/>
        <w:spacing w:before="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委托他人进行现金资产管理情况</w:t>
      </w:r>
      <w:bookmarkEnd w:id="515"/>
      <w:bookmarkEnd w:id="516"/>
      <w:bookmarkEnd w:id="518"/>
    </w:p>
    <w:p>
      <w:pPr>
        <w:pStyle w:val="Style32"/>
        <w:keepNext/>
        <w:keepLines/>
        <w:widowControl w:val="0"/>
        <w:shd w:val="clear" w:color="auto" w:fill="auto"/>
        <w:tabs>
          <w:tab w:pos="493" w:val="left"/>
        </w:tabs>
        <w:bidi w:val="0"/>
        <w:spacing w:before="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19"/>
      <w:bookmarkEnd w:id="520"/>
      <w:bookmarkEnd w:id="522"/>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公司报告期不存在委托理财。</w:t>
      </w:r>
    </w:p>
    <w:p>
      <w:pPr>
        <w:pStyle w:val="Style32"/>
        <w:keepNext/>
        <w:keepLines/>
        <w:widowControl w:val="0"/>
        <w:shd w:val="clear" w:color="auto" w:fill="auto"/>
        <w:tabs>
          <w:tab w:pos="493" w:val="left"/>
        </w:tabs>
        <w:bidi w:val="0"/>
        <w:spacing w:before="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23"/>
      <w:bookmarkEnd w:id="524"/>
      <w:bookmarkEnd w:id="526"/>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其他重大合同</w:t>
      </w:r>
      <w:bookmarkEnd w:id="527"/>
      <w:bookmarkEnd w:id="528"/>
      <w:bookmarkEnd w:id="530"/>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both"/>
      </w:pPr>
      <w:bookmarkStart w:id="531" w:name="bookmark531"/>
      <w:bookmarkStart w:id="532" w:name="bookmark532"/>
      <w:bookmarkStart w:id="533" w:name="bookmark533"/>
      <w:r>
        <w:rPr>
          <w:color w:val="000000"/>
          <w:spacing w:val="0"/>
          <w:w w:val="100"/>
          <w:position w:val="0"/>
        </w:rPr>
        <w:t>十六、其他重大事项的说明</w:t>
      </w:r>
      <w:bookmarkEnd w:id="531"/>
      <w:bookmarkEnd w:id="532"/>
      <w:bookmarkEnd w:id="533"/>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日，温志华和公司全资子公司共青城投资签署《补充协议》，温志华同意按照投资协议的约定，向共青 城投资进行业绩补偿</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,134.28</w:t>
      </w:r>
      <w:r>
        <w:rPr>
          <w:color w:val="000000"/>
          <w:spacing w:val="0"/>
          <w:w w:val="100"/>
          <w:position w:val="0"/>
        </w:rPr>
        <w:t>万元，截至报告期末，公司合计收到业绩承诺方温志华业绩补偿款</w:t>
      </w:r>
      <w:r>
        <w:rPr>
          <w:rFonts w:ascii="Times New Roman" w:eastAsia="Times New Roman" w:hAnsi="Times New Roman" w:cs="Times New Roman"/>
          <w:color w:val="000000"/>
          <w:spacing w:val="0"/>
          <w:w w:val="100"/>
          <w:position w:val="0"/>
          <w:sz w:val="18"/>
          <w:szCs w:val="18"/>
        </w:rPr>
        <w:t>1,134.28</w:t>
      </w:r>
      <w:r>
        <w:rPr>
          <w:color w:val="000000"/>
          <w:spacing w:val="0"/>
          <w:w w:val="100"/>
          <w:position w:val="0"/>
        </w:rPr>
        <w:t xml:space="preserve">万元，根据《投资协 </w:t>
      </w:r>
      <w:r>
        <w:rPr>
          <w:color w:val="000000"/>
          <w:spacing w:val="0"/>
          <w:w w:val="100"/>
          <w:position w:val="0"/>
        </w:rPr>
        <w:t>议》约定及蔚洁科技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年度业绩实现情况，蔚洁科技实际控制人温志华承诺的业绩补偿款项全部支付完毕。具体情况详见 《关于参股公司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年度业绩承诺补偿情况的进展公告》（公告编号：</w:t>
      </w:r>
      <w:r>
        <w:rPr>
          <w:rFonts w:ascii="Times New Roman" w:eastAsia="Times New Roman" w:hAnsi="Times New Roman" w:cs="Times New Roman"/>
          <w:color w:val="000000"/>
          <w:spacing w:val="0"/>
          <w:w w:val="100"/>
          <w:position w:val="0"/>
          <w:sz w:val="18"/>
          <w:szCs w:val="18"/>
        </w:rPr>
        <w:t>2021-082</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left"/>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日，共青城投资与蔚洁科技的股东方签订附生效条件的《股权转让协议》和《投资协议》，共青城投资 通过股权受让及增资方式合计持有蔚洁科技</w:t>
      </w:r>
      <w:r>
        <w:rPr>
          <w:rFonts w:ascii="Times New Roman" w:eastAsia="Times New Roman" w:hAnsi="Times New Roman" w:cs="Times New Roman"/>
          <w:color w:val="000000"/>
          <w:spacing w:val="0"/>
          <w:w w:val="100"/>
          <w:position w:val="0"/>
          <w:sz w:val="18"/>
          <w:szCs w:val="18"/>
        </w:rPr>
        <w:t>13.0612%</w:t>
      </w:r>
      <w:r>
        <w:rPr>
          <w:color w:val="000000"/>
          <w:spacing w:val="0"/>
          <w:w w:val="100"/>
          <w:position w:val="0"/>
        </w:rPr>
        <w:t>的股权。因蔚洁科技未能在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日前完成上市，触发了《投 资协议》约定的股权回售情形，其实际控制人和创始股东应在收到要求其回购股权的通知后九十日内无条件地按照协议约定 回购股权。截至目前，蔚洁科技实际控制人和创始股东仍未按约定向共青城投资履行回购义务，共青城投资已就此事项提请 了仲裁并实施了相关财产保全措施。具体情况详见《关于子公司提请仲裁申请被仲裁机关受理的公告》（公告编号：</w:t>
      </w:r>
      <w:r>
        <w:rPr>
          <w:rFonts w:ascii="Times New Roman" w:eastAsia="Times New Roman" w:hAnsi="Times New Roman" w:cs="Times New Roman"/>
          <w:color w:val="000000"/>
          <w:spacing w:val="0"/>
          <w:w w:val="100"/>
          <w:position w:val="0"/>
          <w:sz w:val="18"/>
          <w:szCs w:val="18"/>
        </w:rPr>
        <w:t>2021-099</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left"/>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日收到中国证监会《调查通知书》（编号：沪证专调查字</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号），因公司涉嫌信息披露违 法违规，中国证监会决定对公司立案调查。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日，公司及相关当事人先后收到中国证监会下发的《行政 处罚事先告知书》（处罚字</w:t>
      </w:r>
      <w:r>
        <w:rPr>
          <w:rFonts w:ascii="Times New Roman" w:eastAsia="Times New Roman" w:hAnsi="Times New Roman" w:cs="Times New Roman"/>
          <w:color w:val="000000"/>
          <w:spacing w:val="0"/>
          <w:w w:val="100"/>
          <w:position w:val="0"/>
          <w:sz w:val="18"/>
          <w:szCs w:val="18"/>
        </w:rPr>
        <w:t>[2022]9</w:t>
      </w:r>
      <w:r>
        <w:rPr>
          <w:color w:val="000000"/>
          <w:spacing w:val="0"/>
          <w:w w:val="100"/>
          <w:position w:val="0"/>
        </w:rPr>
        <w:t>号）、《行政处罚决定书》（</w:t>
      </w:r>
      <w:r>
        <w:rPr>
          <w:rFonts w:ascii="Times New Roman" w:eastAsia="Times New Roman" w:hAnsi="Times New Roman" w:cs="Times New Roman"/>
          <w:color w:val="000000"/>
          <w:spacing w:val="0"/>
          <w:w w:val="100"/>
          <w:position w:val="0"/>
          <w:sz w:val="18"/>
          <w:szCs w:val="18"/>
        </w:rPr>
        <w:t>[2022]14</w:t>
      </w:r>
      <w:r>
        <w:rPr>
          <w:color w:val="000000"/>
          <w:spacing w:val="0"/>
          <w:w w:val="100"/>
          <w:position w:val="0"/>
        </w:rPr>
        <w:t>号），根据中国证监会的认定，公司存在披露的信 息存在虚假记载及未按规定履行信息披露义务的行为，中国证监会依法对公司及相关当事人作出了行政处罚，具体情况详见</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《关于收到中国证监会立案调查通知书的公告》（公告编号：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）、《关于公司及相关当事人收到</w:t>
      </w:r>
      <w:r>
        <w:rPr>
          <w:color w:val="000000"/>
          <w:spacing w:val="0"/>
          <w:w w:val="100"/>
          <w:position w:val="0"/>
          <w:sz w:val="18"/>
          <w:szCs w:val="18"/>
        </w:rPr>
        <w:t>〈</w:t>
      </w:r>
      <w:r>
        <w:rPr>
          <w:color w:val="000000"/>
          <w:spacing w:val="0"/>
          <w:w w:val="100"/>
          <w:position w:val="0"/>
        </w:rPr>
        <w:t>行政处罚事先告 知书</w:t>
      </w:r>
      <w:r>
        <w:rPr>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2022-004</w:t>
      </w:r>
      <w:r>
        <w:rPr>
          <w:color w:val="000000"/>
          <w:spacing w:val="0"/>
          <w:w w:val="100"/>
          <w:position w:val="0"/>
        </w:rPr>
        <w:t>）及《关于公司及相关当事人收到</w:t>
      </w:r>
      <w:r>
        <w:rPr>
          <w:color w:val="000000"/>
          <w:spacing w:val="0"/>
          <w:w w:val="100"/>
          <w:position w:val="0"/>
          <w:sz w:val="18"/>
          <w:szCs w:val="18"/>
        </w:rPr>
        <w:t>〈</w:t>
      </w:r>
      <w:r>
        <w:rPr>
          <w:color w:val="000000"/>
          <w:spacing w:val="0"/>
          <w:w w:val="100"/>
          <w:position w:val="0"/>
        </w:rPr>
        <w:t>行政处罚决定书</w:t>
      </w:r>
      <w:r>
        <w:rPr>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2022-007</w:t>
      </w:r>
      <w:r>
        <w:rPr>
          <w:color w:val="000000"/>
          <w:spacing w:val="0"/>
          <w:w w:val="100"/>
          <w:position w:val="0"/>
        </w:rPr>
        <w:t>）。</w:t>
      </w:r>
    </w:p>
    <w:p>
      <w:pPr>
        <w:pStyle w:val="Style19"/>
        <w:keepNext w:val="0"/>
        <w:keepLines w:val="0"/>
        <w:widowControl w:val="0"/>
        <w:shd w:val="clear" w:color="auto" w:fill="auto"/>
        <w:tabs>
          <w:tab w:pos="654" w:val="left"/>
        </w:tabs>
        <w:bidi w:val="0"/>
        <w:spacing w:before="0" w:after="0" w:line="312" w:lineRule="exact"/>
        <w:ind w:left="0" w:right="0"/>
        <w:jc w:val="left"/>
      </w:pPr>
      <w:bookmarkStart w:id="536" w:name="bookmark536"/>
      <w:r>
        <w:rPr>
          <w:rFonts w:ascii="Times New Roman" w:eastAsia="Times New Roman" w:hAnsi="Times New Roman" w:cs="Times New Roman"/>
          <w:color w:val="000000"/>
          <w:spacing w:val="0"/>
          <w:w w:val="100"/>
          <w:position w:val="0"/>
          <w:sz w:val="18"/>
          <w:szCs w:val="18"/>
        </w:rPr>
        <w:t>4</w:t>
      </w:r>
      <w:bookmarkEnd w:id="536"/>
      <w:r>
        <w:rPr>
          <w:color w:val="000000"/>
          <w:spacing w:val="0"/>
          <w:w w:val="100"/>
          <w:position w:val="0"/>
        </w:rPr>
        <w:t>、</w:t>
        <w:tab/>
        <w:t>报告期内，公司由于资金周转困难，存在对金融机构借款逾期的情况，相关金融机构已对公司采取了司法措施，公 司部分资产被债权人申请保全和执行。截至目前，公司生产经营正常，正积极与债权人沟通协商，争取尽快与债权人达成一 致意见，包括但不限于展期、续贷、部分偿还等方式。公司也将通过加快回收应收账款、减少相应支出、向控股股东借款、 处置相关资产等方式筹措偿债资金，尽快妥善处理借款逾期事项。具体情况详见《关于收到仲裁通知暨公司向金融机构借款 情况的进展公告》（公告编号：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r>
        <w:rPr>
          <w:color w:val="000000"/>
          <w:spacing w:val="0"/>
          <w:w w:val="100"/>
          <w:position w:val="0"/>
        </w:rPr>
        <w:t>、《关于公司向金融机构借款情况的进展公告》（公告编号：</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w:t>
      </w:r>
      <w:r>
        <w:rPr>
          <w:color w:val="000000"/>
          <w:spacing w:val="0"/>
          <w:w w:val="100"/>
          <w:position w:val="0"/>
        </w:rPr>
        <w:t>、《关 于对深圳证券交易所关注函回复的公告》（公告编号：</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r>
        <w:rPr>
          <w:color w:val="000000"/>
          <w:spacing w:val="0"/>
          <w:w w:val="100"/>
          <w:position w:val="0"/>
        </w:rPr>
        <w:t xml:space="preserve">、《关于收到法院财产保全相关资料的公告》（公告编号： </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rPr>
        <w:t>）、《关于向海科金集团借款到期的公告》（公告编号：</w:t>
      </w:r>
      <w:r>
        <w:rPr>
          <w:rFonts w:ascii="Times New Roman" w:eastAsia="Times New Roman" w:hAnsi="Times New Roman" w:cs="Times New Roman"/>
          <w:color w:val="000000"/>
          <w:spacing w:val="0"/>
          <w:w w:val="100"/>
          <w:position w:val="0"/>
          <w:sz w:val="18"/>
          <w:szCs w:val="18"/>
        </w:rPr>
        <w:t>2022-005</w:t>
      </w:r>
      <w:r>
        <w:rPr>
          <w:color w:val="000000"/>
          <w:spacing w:val="0"/>
          <w:w w:val="100"/>
          <w:position w:val="0"/>
        </w:rPr>
        <w:t>）等相关公告。</w:t>
      </w:r>
    </w:p>
    <w:p>
      <w:pPr>
        <w:pStyle w:val="Style19"/>
        <w:keepNext w:val="0"/>
        <w:keepLines w:val="0"/>
        <w:widowControl w:val="0"/>
        <w:shd w:val="clear" w:color="auto" w:fill="auto"/>
        <w:tabs>
          <w:tab w:pos="654" w:val="left"/>
        </w:tabs>
        <w:bidi w:val="0"/>
        <w:spacing w:before="0" w:after="0" w:line="312" w:lineRule="exact"/>
        <w:ind w:left="0" w:right="0"/>
        <w:jc w:val="left"/>
      </w:pPr>
      <w:bookmarkStart w:id="537" w:name="bookmark537"/>
      <w:r>
        <w:rPr>
          <w:rFonts w:ascii="Times New Roman" w:eastAsia="Times New Roman" w:hAnsi="Times New Roman" w:cs="Times New Roman"/>
          <w:color w:val="000000"/>
          <w:spacing w:val="0"/>
          <w:w w:val="100"/>
          <w:position w:val="0"/>
          <w:sz w:val="18"/>
          <w:szCs w:val="18"/>
        </w:rPr>
        <w:t>5</w:t>
      </w:r>
      <w:bookmarkEnd w:id="53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年审议通过了重大资产购买重组事项相关的议案，公司以现金</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万元的价格购买张军红持有的广东合 利金融科技服务有限公司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股权。截至报告期末，公司尚未向张军红支付剩余交易款</w:t>
      </w:r>
      <w:r>
        <w:rPr>
          <w:rFonts w:ascii="Times New Roman" w:eastAsia="Times New Roman" w:hAnsi="Times New Roman" w:cs="Times New Roman"/>
          <w:color w:val="000000"/>
          <w:spacing w:val="0"/>
          <w:w w:val="100"/>
          <w:position w:val="0"/>
          <w:sz w:val="18"/>
          <w:szCs w:val="18"/>
        </w:rPr>
        <w:t>9,641.33</w:t>
      </w:r>
      <w:r>
        <w:rPr>
          <w:color w:val="000000"/>
          <w:spacing w:val="0"/>
          <w:w w:val="100"/>
          <w:position w:val="0"/>
        </w:rPr>
        <w:t>万元。具体情况详见《关于 重大资产购买重组事项的实施进展公告》（公告编号：</w:t>
      </w:r>
      <w:r>
        <w:rPr>
          <w:rFonts w:ascii="Times New Roman" w:eastAsia="Times New Roman" w:hAnsi="Times New Roman" w:cs="Times New Roman"/>
          <w:color w:val="000000"/>
          <w:spacing w:val="0"/>
          <w:w w:val="100"/>
          <w:position w:val="0"/>
          <w:sz w:val="18"/>
          <w:szCs w:val="18"/>
        </w:rPr>
        <w:t>2022-010</w:t>
      </w:r>
      <w:r>
        <w:rPr>
          <w:color w:val="000000"/>
          <w:spacing w:val="0"/>
          <w:w w:val="100"/>
          <w:position w:val="0"/>
        </w:rPr>
        <w:t>）</w:t>
      </w:r>
      <w:r>
        <w:rPr>
          <w:color w:val="000000"/>
          <w:spacing w:val="0"/>
          <w:w w:val="100"/>
          <w:position w:val="0"/>
        </w:rPr>
        <w:t>等相关公告。</w:t>
      </w:r>
    </w:p>
    <w:p>
      <w:pPr>
        <w:pStyle w:val="Style19"/>
        <w:keepNext w:val="0"/>
        <w:keepLines w:val="0"/>
        <w:widowControl w:val="0"/>
        <w:shd w:val="clear" w:color="auto" w:fill="auto"/>
        <w:tabs>
          <w:tab w:pos="649" w:val="left"/>
        </w:tabs>
        <w:bidi w:val="0"/>
        <w:spacing w:before="0" w:after="0" w:line="312" w:lineRule="exact"/>
        <w:ind w:left="0" w:right="0"/>
        <w:jc w:val="left"/>
      </w:pPr>
      <w:bookmarkStart w:id="538" w:name="bookmark538"/>
      <w:r>
        <w:rPr>
          <w:rFonts w:ascii="Times New Roman" w:eastAsia="Times New Roman" w:hAnsi="Times New Roman" w:cs="Times New Roman"/>
          <w:color w:val="000000"/>
          <w:spacing w:val="0"/>
          <w:w w:val="100"/>
          <w:position w:val="0"/>
          <w:sz w:val="18"/>
          <w:szCs w:val="18"/>
        </w:rPr>
        <w:t>6</w:t>
      </w:r>
      <w:bookmarkEnd w:id="538"/>
      <w:r>
        <w:rPr>
          <w:color w:val="000000"/>
          <w:spacing w:val="0"/>
          <w:w w:val="100"/>
          <w:position w:val="0"/>
        </w:rPr>
        <w:t>、</w:t>
        <w:tab/>
        <w:t>根据经营发展需要，公司于报告期内对子公司民盛金科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有限公司、民盛支付（香港）有限公司、天津亿东科 技有限公司进行了注销，对子公司深圳前海民盛天宫供应链管理有限公司进行了减资。具体情况详见《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）及《关于全资子公司减资的公告》（公告编号：</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r>
        <w:rPr>
          <w:color w:val="000000"/>
          <w:spacing w:val="0"/>
          <w:w w:val="100"/>
          <w:position w:val="0"/>
        </w:rPr>
        <w:t>十七、公司子公司重大事项</w:t>
      </w:r>
      <w:bookmarkEnd w:id="539"/>
      <w:bookmarkEnd w:id="540"/>
      <w:bookmarkEnd w:id="541"/>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383" w:right="1062" w:bottom="1445" w:left="1061" w:header="0" w:footer="3" w:gutter="0"/>
          <w:cols w:space="720"/>
          <w:noEndnote/>
          <w:rtlGutter w:val="0"/>
          <w:docGrid w:linePitch="360"/>
        </w:sectPr>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1"/>
        <w:keepNext/>
        <w:keepLines/>
        <w:widowControl w:val="0"/>
        <w:shd w:val="clear" w:color="auto" w:fill="auto"/>
        <w:bidi w:val="0"/>
        <w:spacing w:before="560" w:line="240" w:lineRule="auto"/>
        <w:ind w:left="0" w:right="0" w:firstLine="0"/>
        <w:jc w:val="center"/>
      </w:pPr>
      <w:bookmarkStart w:id="542" w:name="bookmark542"/>
      <w:bookmarkStart w:id="543" w:name="bookmark543"/>
      <w:bookmarkStart w:id="544" w:name="bookmark544"/>
      <w:r>
        <w:rPr>
          <w:color w:val="000000"/>
          <w:spacing w:val="0"/>
          <w:w w:val="100"/>
          <w:position w:val="0"/>
        </w:rPr>
        <w:t>第七节股份变动及股东情况</w:t>
      </w:r>
      <w:bookmarkEnd w:id="542"/>
      <w:bookmarkEnd w:id="543"/>
      <w:bookmarkEnd w:id="544"/>
    </w:p>
    <w:p>
      <w:pPr>
        <w:pStyle w:val="Style22"/>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、股份变动情况</w:t>
      </w:r>
      <w:bookmarkEnd w:id="545"/>
      <w:bookmarkEnd w:id="546"/>
      <w:bookmarkEnd w:id="548"/>
    </w:p>
    <w:p>
      <w:pPr>
        <w:pStyle w:val="Style28"/>
        <w:keepNext/>
        <w:keepLines/>
        <w:widowControl w:val="0"/>
        <w:shd w:val="clear" w:color="auto" w:fill="auto"/>
        <w:bidi w:val="0"/>
        <w:spacing w:before="0" w:after="3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、股份变动情况</w:t>
      </w:r>
      <w:bookmarkEnd w:id="549"/>
      <w:bookmarkEnd w:id="550"/>
      <w:bookmarkEnd w:id="5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numPr>
          <w:ilvl w:val="0"/>
          <w:numId w:val="5"/>
        </w:numPr>
        <w:shd w:val="clear" w:color="auto" w:fill="auto"/>
        <w:tabs>
          <w:tab w:pos="282" w:val="left"/>
        </w:tabs>
        <w:bidi w:val="0"/>
        <w:spacing w:before="0" w:after="360" w:line="240" w:lineRule="auto"/>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、限售股份变动情况</w:t>
      </w:r>
      <w:bookmarkEnd w:id="554"/>
      <w:bookmarkEnd w:id="555"/>
      <w:bookmarkEnd w:id="557"/>
    </w:p>
    <w:p>
      <w:pPr>
        <w:pStyle w:val="Style19"/>
        <w:keepNext w:val="0"/>
        <w:keepLines w:val="0"/>
        <w:widowControl w:val="0"/>
        <w:numPr>
          <w:ilvl w:val="0"/>
          <w:numId w:val="5"/>
        </w:numPr>
        <w:shd w:val="clear" w:color="auto" w:fill="auto"/>
        <w:tabs>
          <w:tab w:pos="282" w:val="left"/>
        </w:tabs>
        <w:bidi w:val="0"/>
        <w:spacing w:before="0" w:after="360" w:line="240" w:lineRule="auto"/>
        <w:ind w:left="0" w:right="0" w:firstLine="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二</w:t>
      </w:r>
      <w:bookmarkEnd w:id="561"/>
      <w:r>
        <w:rPr>
          <w:color w:val="000000"/>
          <w:spacing w:val="0"/>
          <w:w w:val="100"/>
          <w:position w:val="0"/>
        </w:rPr>
        <w:t>、证券发行与上市情况</w:t>
      </w:r>
      <w:bookmarkEnd w:id="559"/>
      <w:bookmarkEnd w:id="560"/>
      <w:bookmarkEnd w:id="562"/>
    </w:p>
    <w:p>
      <w:pPr>
        <w:pStyle w:val="Style28"/>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、报告期内证券发行（不含优先股）情况</w:t>
      </w:r>
      <w:bookmarkEnd w:id="563"/>
      <w:bookmarkEnd w:id="564"/>
      <w:bookmarkEnd w:id="566"/>
    </w:p>
    <w:p>
      <w:pPr>
        <w:pStyle w:val="Style19"/>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567" w:name="bookmark567"/>
      <w:bookmarkEnd w:id="5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公司股份总数及股东结构的变动、公司资产和负债结构的变动情况说明</w:t>
      </w:r>
      <w:bookmarkEnd w:id="568"/>
      <w:bookmarkEnd w:id="569"/>
      <w:bookmarkEnd w:id="57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现存的内部职工股情况</w:t>
      </w:r>
      <w:bookmarkEnd w:id="572"/>
      <w:bookmarkEnd w:id="573"/>
      <w:bookmarkEnd w:id="57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三</w:t>
      </w:r>
      <w:bookmarkEnd w:id="578"/>
      <w:r>
        <w:rPr>
          <w:color w:val="000000"/>
          <w:spacing w:val="0"/>
          <w:w w:val="100"/>
          <w:position w:val="0"/>
        </w:rPr>
        <w:t>、股东和实际控制人情况</w:t>
      </w:r>
      <w:bookmarkEnd w:id="576"/>
      <w:bookmarkEnd w:id="577"/>
      <w:bookmarkEnd w:id="579"/>
    </w:p>
    <w:p>
      <w:pPr>
        <w:pStyle w:val="Style28"/>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、公司股东数量及持股情况</w:t>
      </w:r>
      <w:bookmarkEnd w:id="580"/>
      <w:bookmarkEnd w:id="581"/>
      <w:bookmarkEnd w:id="58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p>
      <w:pPr>
        <w:widowControl w:val="0"/>
        <w:spacing w:after="79" w:line="1" w:lineRule="exact"/>
      </w:pP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 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74,400,000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16,400,000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天津和柚技术有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48,312,11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48,312,11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48,312,117</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48,312,117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山西潞城农村商 业银行股份有限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28,197,75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仁东（天津）科技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-3,338,40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10,880,958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华泰证券股份有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3,820,454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李世民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王玺嘉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上海阿杏投资管 理有限公司一阿 杏世纪私募证券 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464" w:val="left"/>
              </w:tabs>
              <w:bidi w:val="0"/>
              <w:spacing w:before="0" w:after="0" w:line="240" w:lineRule="auto"/>
              <w:ind w:left="0" w:right="0" w:firstLine="0"/>
              <w:jc w:val="left"/>
            </w:pPr>
            <w:r>
              <w:rPr>
                <w:color w:val="000000"/>
                <w:spacing w:val="0"/>
                <w:w w:val="100"/>
                <w:position w:val="0"/>
              </w:rPr>
              <w:t>李映珍</w:t>
              <w:tab/>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67" w:val="left"/>
                <w:tab w:pos="2731" w:val="left"/>
                <w:tab w:pos="308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tab/>
              <w:t>870,000 870,000</w:t>
              <w:tab/>
              <w:t>0</w:t>
              <w:tab/>
              <w:t>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北京仁东信息技术有限公司与仁东（天津）科技有限公司系一致行动人。除此之外， 公司未知其他股东是否存在关联关系或一致行动关系。</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74,400,000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48,312,117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48,312,117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山西潞城农村商业银行股份有限公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28,197,750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28,197,750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10,880,958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10,880,958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3,820,454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3,820,454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1,841,306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1,841,306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李世民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1,581,500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王玺嘉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1,029,800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1,029,800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上海阿杏投资管理有限公司一阿杏 世纪私募证券投资基金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李映珍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北京仁东信息技术有限公司与仁东（天津）科技有限公司系一致行动人。除此之外， 公司未知其他股东是否存在关联关系或一致行动关系。</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股东上海阿杏投资管理有限公司一阿杏世纪私募证券投资基金通过普通证券账户持 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股，通过东兴证券股份有限公司客户信用交易担保证券账户持有</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 合计持股数量</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8"/>
        <w:keepNext/>
        <w:keepLines/>
        <w:widowControl w:val="0"/>
        <w:shd w:val="clear" w:color="auto" w:fill="auto"/>
        <w:bidi w:val="0"/>
        <w:spacing w:before="0" w:after="4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、公司控股股东情况</w:t>
      </w:r>
      <w:bookmarkEnd w:id="584"/>
      <w:bookmarkEnd w:id="585"/>
      <w:bookmarkEnd w:id="58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MA0NRBT8-5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技术开发、技术推广；经 济贸易咨询；货运代理； 合同能源管理；销售煤炭</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（不得在北京地区开展实 物煤的交易、储运活动）、 金属材料、建筑材料、食 用农产品、矿产品（经营 煤炭的不得在北京地区开 展实物煤交易及储运）、通 讯设备、机械设备、润滑 油、五金交电、化工产品</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（不含危险化学品）、皮革 制品（不含野生动物皮 张）、社会公共安全设备及 器材、计算机、软件及辅 助设备；销售食品。（企业 依法自主选择经营项目， 开展经营活动；销售食品 以及依法须经批准的项 目，经相关部门批准后依 批准的内容开展经营活 动；不得从事本市产业政 策禁止和限制类项目的经 营活动。）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、公司实际控制人及其一致行动人</w:t>
      </w:r>
      <w:bookmarkEnd w:id="588"/>
      <w:bookmarkEnd w:id="589"/>
      <w:bookmarkEnd w:id="59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北京仁东信息技术有限公司执行董事、经理；仁东控股股份有限公司董事长、代董事会 秘书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2555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2255520"/>
                    </a:xfrm>
                    <a:prstGeom prst="rect"/>
                  </pic:spPr>
                </pic:pic>
              </a:graphicData>
            </a:graphic>
          </wp:inline>
        </w:drawing>
      </w:r>
    </w:p>
    <w:p>
      <w:pPr>
        <w:widowControl w:val="0"/>
        <w:spacing w:after="35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92"/>
      <w:bookmarkEnd w:id="593"/>
      <w:bookmarkEnd w:id="59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北京仁东信息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债务人自有资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仁东（天津）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第一大股东一</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债务人自有资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4"/>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注：控股股东与其一致行动人所持股票质押非融资质押，而系为第三方债权提供担保，质押期限以债务人偿还 债务为止。合同未涉及平仓条款，控股股东与其一致行动人所持质押股票不存在平仓风险。</w:t>
      </w:r>
    </w:p>
    <w:p>
      <w:pPr>
        <w:widowControl w:val="0"/>
        <w:spacing w:after="279" w:line="1" w:lineRule="exact"/>
      </w:pPr>
    </w:p>
    <w:p>
      <w:pPr>
        <w:pStyle w:val="Style28"/>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5</w:t>
      </w:r>
      <w:bookmarkEnd w:id="59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6"/>
      <w:bookmarkEnd w:id="597"/>
      <w:bookmarkEnd w:id="599"/>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line="311" w:lineRule="exact"/>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6</w:t>
      </w:r>
      <w:bookmarkEnd w:id="602"/>
      <w:r>
        <w:rPr>
          <w:color w:val="000000"/>
          <w:spacing w:val="0"/>
          <w:w w:val="100"/>
          <w:position w:val="0"/>
        </w:rPr>
        <w:t>、控股股东、实际控制人、重组方及其他承诺主体股份限制减持情况</w:t>
      </w:r>
      <w:bookmarkEnd w:id="600"/>
      <w:bookmarkEnd w:id="601"/>
      <w:bookmarkEnd w:id="603"/>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日收到中国证监会《调查通知书》（编号：沪证专调查字</w:t>
      </w:r>
      <w:r>
        <w:rPr>
          <w:rFonts w:ascii="Times New Roman" w:eastAsia="Times New Roman" w:hAnsi="Times New Roman" w:cs="Times New Roman"/>
          <w:color w:val="000000"/>
          <w:spacing w:val="0"/>
          <w:w w:val="100"/>
          <w:position w:val="0"/>
          <w:sz w:val="20"/>
          <w:szCs w:val="20"/>
        </w:rPr>
        <w:t>2021062</w:t>
      </w:r>
      <w:r>
        <w:rPr>
          <w:color w:val="000000"/>
          <w:spacing w:val="0"/>
          <w:w w:val="100"/>
          <w:position w:val="0"/>
        </w:rPr>
        <w:t>号），中国证监会决 定对公司立案调查。</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日，公司及相关当事人收到中国证监会下发的《行政处罚决定书》（</w:t>
      </w:r>
      <w:r>
        <w:rPr>
          <w:rFonts w:ascii="Times New Roman" w:eastAsia="Times New Roman" w:hAnsi="Times New Roman" w:cs="Times New Roman"/>
          <w:color w:val="000000"/>
          <w:spacing w:val="0"/>
          <w:w w:val="100"/>
          <w:position w:val="0"/>
          <w:sz w:val="20"/>
          <w:szCs w:val="20"/>
        </w:rPr>
        <w:t xml:space="preserve">[2022]14 </w:t>
      </w:r>
      <w:r>
        <w:rPr>
          <w:color w:val="000000"/>
          <w:spacing w:val="0"/>
          <w:w w:val="100"/>
          <w:position w:val="0"/>
        </w:rPr>
        <w:t>号），根据中国证监会的认定，公司存在披露的信息存在虚假记载及未按规定履行信息披露义务的行为，中国 证监会依法对公司及相关当事人作出了行政处罚，具体情况公司已在《关于公司及相关当事人收到</w:t>
      </w:r>
      <w:r>
        <w:rPr>
          <w:color w:val="000000"/>
          <w:spacing w:val="0"/>
          <w:w w:val="100"/>
          <w:position w:val="0"/>
          <w:sz w:val="20"/>
          <w:szCs w:val="20"/>
        </w:rPr>
        <w:t>〈</w:t>
      </w:r>
      <w:r>
        <w:rPr>
          <w:color w:val="000000"/>
          <w:spacing w:val="0"/>
          <w:w w:val="100"/>
          <w:position w:val="0"/>
        </w:rPr>
        <w:t>行政处罚决 定书</w:t>
      </w:r>
      <w:r>
        <w:rPr>
          <w:color w:val="000000"/>
          <w:spacing w:val="0"/>
          <w:w w:val="100"/>
          <w:position w:val="0"/>
          <w:sz w:val="20"/>
          <w:szCs w:val="2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20"/>
          <w:szCs w:val="20"/>
        </w:rPr>
        <w:t>2022-007</w:t>
      </w:r>
      <w:r>
        <w:rPr>
          <w:color w:val="000000"/>
          <w:spacing w:val="0"/>
          <w:w w:val="100"/>
          <w:position w:val="0"/>
        </w:rPr>
        <w:t>）中进行了披露。</w:t>
      </w:r>
    </w:p>
    <w:p>
      <w:pPr>
        <w:pStyle w:val="Style39"/>
        <w:keepNext w:val="0"/>
        <w:keepLines w:val="0"/>
        <w:widowControl w:val="0"/>
        <w:shd w:val="clear" w:color="auto" w:fill="auto"/>
        <w:bidi w:val="0"/>
        <w:spacing w:before="0" w:after="700" w:line="311" w:lineRule="exact"/>
        <w:ind w:left="0" w:right="0" w:firstLine="420"/>
        <w:jc w:val="both"/>
      </w:pPr>
      <w:r>
        <w:rPr>
          <w:color w:val="000000"/>
          <w:spacing w:val="0"/>
          <w:w w:val="100"/>
          <w:position w:val="0"/>
        </w:rPr>
        <w:t>根据《上市公司股东、董监高减持股份的若干规定》等相关规定，上市公司或者大股东因涉嫌证券期货违 法犯罪，在被中国证监会立案调查或者被司法机关立案侦查期间，以及在行政处罚决定、刑事判决作出之后未 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个月的，大股东不得减持上市公司股份。因此，公司控股股东及其他持有公司股份</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以上的股东在行政处 罚决定作出</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个月届满前不得减持公司股份。</w:t>
      </w:r>
    </w:p>
    <w:p>
      <w:pPr>
        <w:pStyle w:val="Style22"/>
        <w:keepNext/>
        <w:keepLines/>
        <w:widowControl w:val="0"/>
        <w:shd w:val="clear" w:color="auto" w:fill="auto"/>
        <w:bidi w:val="0"/>
        <w:spacing w:before="0" w:after="38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四</w:t>
      </w:r>
      <w:bookmarkEnd w:id="606"/>
      <w:r>
        <w:rPr>
          <w:color w:val="000000"/>
          <w:spacing w:val="0"/>
          <w:w w:val="100"/>
          <w:position w:val="0"/>
        </w:rPr>
        <w:t>、股份回购在报告期的具体实施情况</w:t>
      </w:r>
      <w:bookmarkEnd w:id="604"/>
      <w:bookmarkEnd w:id="605"/>
      <w:bookmarkEnd w:id="607"/>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402" w:right="1130" w:bottom="1666"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08" w:name="bookmark608"/>
                            <w:bookmarkStart w:id="609" w:name="bookmark609"/>
                            <w:bookmarkStart w:id="610" w:name="bookmark610"/>
                            <w:r>
                              <w:rPr>
                                <w:color w:val="000000"/>
                                <w:spacing w:val="0"/>
                                <w:w w:val="100"/>
                                <w:position w:val="0"/>
                              </w:rPr>
                              <w:t>第八节优先股相关情况</w:t>
                            </w:r>
                            <w:bookmarkEnd w:id="608"/>
                            <w:bookmarkEnd w:id="609"/>
                            <w:bookmarkEnd w:id="61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08" w:name="bookmark608"/>
                      <w:bookmarkStart w:id="609" w:name="bookmark609"/>
                      <w:bookmarkStart w:id="610" w:name="bookmark610"/>
                      <w:r>
                        <w:rPr>
                          <w:color w:val="000000"/>
                          <w:spacing w:val="0"/>
                          <w:w w:val="100"/>
                          <w:position w:val="0"/>
                        </w:rPr>
                        <w:t>第八节优先股相关情况</w:t>
                      </w:r>
                      <w:bookmarkEnd w:id="608"/>
                      <w:bookmarkEnd w:id="609"/>
                      <w:bookmarkEnd w:id="610"/>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9"/>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11" w:name="bookmark611"/>
      <w:bookmarkStart w:id="612" w:name="bookmark612"/>
      <w:bookmarkStart w:id="613" w:name="bookmark613"/>
      <w:r>
        <w:rPr>
          <w:color w:val="000000"/>
          <w:spacing w:val="0"/>
          <w:w w:val="100"/>
          <w:position w:val="0"/>
        </w:rPr>
        <w:t>第九节债券相关情况</w:t>
      </w:r>
      <w:bookmarkEnd w:id="611"/>
      <w:bookmarkEnd w:id="612"/>
      <w:bookmarkEnd w:id="61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1"/>
        <w:keepNext/>
        <w:keepLines/>
        <w:widowControl w:val="0"/>
        <w:shd w:val="clear" w:color="auto" w:fill="auto"/>
        <w:bidi w:val="0"/>
        <w:spacing w:before="540" w:after="540" w:line="240" w:lineRule="auto"/>
        <w:ind w:left="0" w:right="0" w:firstLine="0"/>
        <w:jc w:val="center"/>
      </w:pPr>
      <w:bookmarkStart w:id="614" w:name="bookmark614"/>
      <w:bookmarkStart w:id="615" w:name="bookmark615"/>
      <w:bookmarkStart w:id="616" w:name="bookmark616"/>
      <w:r>
        <w:rPr>
          <w:color w:val="000000"/>
          <w:spacing w:val="0"/>
          <w:w w:val="100"/>
          <w:position w:val="0"/>
        </w:rPr>
        <w:t>第十节财务报告</w:t>
      </w:r>
      <w:bookmarkEnd w:id="614"/>
      <w:bookmarkEnd w:id="615"/>
      <w:bookmarkEnd w:id="616"/>
    </w:p>
    <w:p>
      <w:pPr>
        <w:pStyle w:val="Style22"/>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一</w:t>
      </w:r>
      <w:bookmarkEnd w:id="619"/>
      <w:r>
        <w:rPr>
          <w:color w:val="000000"/>
          <w:spacing w:val="0"/>
          <w:w w:val="100"/>
          <w:position w:val="0"/>
        </w:rPr>
        <w:t>、审计报告</w:t>
      </w:r>
      <w:bookmarkEnd w:id="617"/>
      <w:bookmarkEnd w:id="618"/>
      <w:bookmarkEnd w:id="6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105013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19" w:line="1" w:lineRule="exact"/>
      </w:pP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仁东控股股份有限公司全体股东：</w:t>
      </w:r>
    </w:p>
    <w:p>
      <w:pPr>
        <w:pStyle w:val="Style19"/>
        <w:keepNext w:val="0"/>
        <w:keepLines w:val="0"/>
        <w:widowControl w:val="0"/>
        <w:shd w:val="clear" w:color="auto" w:fill="auto"/>
        <w:tabs>
          <w:tab w:pos="820" w:val="left"/>
        </w:tabs>
        <w:bidi w:val="0"/>
        <w:spacing w:before="0" w:after="0" w:line="311" w:lineRule="exact"/>
        <w:ind w:left="0" w:right="0"/>
        <w:jc w:val="both"/>
      </w:pPr>
      <w:bookmarkStart w:id="621" w:name="bookmark621"/>
      <w:r>
        <w:rPr>
          <w:b/>
          <w:bCs/>
          <w:color w:val="000000"/>
          <w:spacing w:val="0"/>
          <w:w w:val="100"/>
          <w:position w:val="0"/>
        </w:rPr>
        <w:t>一</w:t>
      </w:r>
      <w:bookmarkEnd w:id="621"/>
      <w:r>
        <w:rPr>
          <w:b/>
          <w:bCs/>
          <w:color w:val="000000"/>
          <w:spacing w:val="0"/>
          <w:w w:val="100"/>
          <w:position w:val="0"/>
        </w:rPr>
        <w:t>、</w:t>
        <w:tab/>
        <w:t>审计意见</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我们审计了仁东控股股份有限公司（以下简称仁东控股公司）财务报表，包括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年度的合并及公司利润表、合并及公司现金流量表、合并及公司股东权益变动表以及财务报表附注。</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我们认为，后附的财务报表在所有重大方面按照企业会计准则的规定编制，公允反映了仁东控股公司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19"/>
        <w:keepNext w:val="0"/>
        <w:keepLines w:val="0"/>
        <w:widowControl w:val="0"/>
        <w:shd w:val="clear" w:color="auto" w:fill="auto"/>
        <w:tabs>
          <w:tab w:pos="820" w:val="left"/>
        </w:tabs>
        <w:bidi w:val="0"/>
        <w:spacing w:before="0" w:after="0" w:line="311" w:lineRule="exact"/>
        <w:ind w:left="0" w:right="0"/>
        <w:jc w:val="both"/>
      </w:pPr>
      <w:bookmarkStart w:id="622" w:name="bookmark622"/>
      <w:r>
        <w:rPr>
          <w:b/>
          <w:bCs/>
          <w:color w:val="000000"/>
          <w:spacing w:val="0"/>
          <w:w w:val="100"/>
          <w:position w:val="0"/>
        </w:rPr>
        <w:t>二</w:t>
      </w:r>
      <w:bookmarkEnd w:id="622"/>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阐述了我们在这些准则下的责任。按照中国注册会计师职业道德守则，我们独立于仁东控股公司，并履行了职业道德方面的 其他责任。我们相信，我们获取的审计证据是充分、适当的，为发表审计意见提供了基础。</w:t>
      </w:r>
    </w:p>
    <w:p>
      <w:pPr>
        <w:pStyle w:val="Style19"/>
        <w:keepNext w:val="0"/>
        <w:keepLines w:val="0"/>
        <w:widowControl w:val="0"/>
        <w:shd w:val="clear" w:color="auto" w:fill="auto"/>
        <w:tabs>
          <w:tab w:pos="825" w:val="left"/>
        </w:tabs>
        <w:bidi w:val="0"/>
        <w:spacing w:before="0" w:after="0" w:line="311" w:lineRule="exact"/>
        <w:ind w:left="0" w:right="0"/>
        <w:jc w:val="both"/>
      </w:pPr>
      <w:bookmarkStart w:id="623" w:name="bookmark623"/>
      <w:r>
        <w:rPr>
          <w:b/>
          <w:bCs/>
          <w:color w:val="000000"/>
          <w:spacing w:val="0"/>
          <w:w w:val="100"/>
          <w:position w:val="0"/>
        </w:rPr>
        <w:t>三</w:t>
      </w:r>
      <w:bookmarkEnd w:id="623"/>
      <w:r>
        <w:rPr>
          <w:b/>
          <w:bCs/>
          <w:color w:val="000000"/>
          <w:spacing w:val="0"/>
          <w:w w:val="100"/>
          <w:position w:val="0"/>
        </w:rPr>
        <w:t>、</w:t>
        <w:tab/>
        <w:t>强调事项</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我们提醒财务报表使用者关注，如财务报表附注五</w:t>
      </w:r>
      <w:r>
        <w:rPr>
          <w:rFonts w:ascii="Times New Roman" w:eastAsia="Times New Roman" w:hAnsi="Times New Roman" w:cs="Times New Roman"/>
          <w:color w:val="000000"/>
          <w:spacing w:val="0"/>
          <w:w w:val="100"/>
          <w:position w:val="0"/>
          <w:sz w:val="18"/>
          <w:szCs w:val="18"/>
        </w:rPr>
        <w:t>.18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和财务报表附注五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所述，仁东控股公司截止本报告期末，借款 逾期</w:t>
      </w:r>
      <w:r>
        <w:rPr>
          <w:rFonts w:ascii="Times New Roman" w:eastAsia="Times New Roman" w:hAnsi="Times New Roman" w:cs="Times New Roman"/>
          <w:color w:val="000000"/>
          <w:spacing w:val="0"/>
          <w:w w:val="100"/>
          <w:position w:val="0"/>
          <w:sz w:val="18"/>
          <w:szCs w:val="18"/>
        </w:rPr>
        <w:t>82,053.88</w:t>
      </w:r>
      <w:r>
        <w:rPr>
          <w:color w:val="000000"/>
          <w:spacing w:val="0"/>
          <w:w w:val="100"/>
          <w:position w:val="0"/>
        </w:rPr>
        <w:t>万元，偿债压力较大，持有的主要子公司股权因借款逾期被冻结，该事项未对公司正常经营造成影响。</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本段内容不影响已发表的审计意见。</w:t>
      </w:r>
    </w:p>
    <w:p>
      <w:pPr>
        <w:pStyle w:val="Style19"/>
        <w:keepNext w:val="0"/>
        <w:keepLines w:val="0"/>
        <w:widowControl w:val="0"/>
        <w:shd w:val="clear" w:color="auto" w:fill="auto"/>
        <w:tabs>
          <w:tab w:pos="825" w:val="left"/>
        </w:tabs>
        <w:bidi w:val="0"/>
        <w:spacing w:before="0" w:after="0" w:line="311" w:lineRule="exact"/>
        <w:ind w:left="0" w:right="0"/>
        <w:jc w:val="both"/>
      </w:pPr>
      <w:bookmarkStart w:id="624" w:name="bookmark624"/>
      <w:r>
        <w:rPr>
          <w:b/>
          <w:bCs/>
          <w:color w:val="000000"/>
          <w:spacing w:val="0"/>
          <w:w w:val="100"/>
          <w:position w:val="0"/>
        </w:rPr>
        <w:t>四</w:t>
      </w:r>
      <w:bookmarkEnd w:id="624"/>
      <w:r>
        <w:rPr>
          <w:b/>
          <w:bCs/>
          <w:color w:val="000000"/>
          <w:spacing w:val="0"/>
          <w:w w:val="100"/>
          <w:position w:val="0"/>
        </w:rPr>
        <w:t>、</w:t>
        <w:tab/>
        <w:t>关键审计事项</w:t>
      </w:r>
    </w:p>
    <w:p>
      <w:pPr>
        <w:pStyle w:val="Style19"/>
        <w:keepNext w:val="0"/>
        <w:keepLines w:val="0"/>
        <w:widowControl w:val="0"/>
        <w:shd w:val="clear" w:color="auto" w:fill="auto"/>
        <w:bidi w:val="0"/>
        <w:spacing w:before="0" w:after="100" w:line="311"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19"/>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收入的确认</w:t>
      </w:r>
    </w:p>
    <w:p>
      <w:pPr>
        <w:pStyle w:val="Style19"/>
        <w:keepNext w:val="0"/>
        <w:keepLines w:val="0"/>
        <w:widowControl w:val="0"/>
        <w:numPr>
          <w:ilvl w:val="0"/>
          <w:numId w:val="7"/>
        </w:numPr>
        <w:shd w:val="clear" w:color="auto" w:fill="auto"/>
        <w:tabs>
          <w:tab w:pos="681" w:val="left"/>
        </w:tabs>
        <w:bidi w:val="0"/>
        <w:spacing w:before="0" w:after="0" w:line="360" w:lineRule="auto"/>
        <w:ind w:left="0" w:right="0"/>
        <w:jc w:val="left"/>
      </w:pPr>
      <w:bookmarkStart w:id="625" w:name="bookmark625"/>
      <w:bookmarkEnd w:id="625"/>
      <w:r>
        <w:rPr>
          <w:color w:val="000000"/>
          <w:spacing w:val="0"/>
          <w:w w:val="100"/>
          <w:position w:val="0"/>
        </w:rPr>
        <w:t>事项描述</w:t>
      </w:r>
    </w:p>
    <w:p>
      <w:pPr>
        <w:pStyle w:val="Style19"/>
        <w:keepNext w:val="0"/>
        <w:keepLines w:val="0"/>
        <w:widowControl w:val="0"/>
        <w:shd w:val="clear" w:color="auto" w:fill="auto"/>
        <w:bidi w:val="0"/>
        <w:spacing w:before="0" w:after="0" w:line="311" w:lineRule="exact"/>
        <w:ind w:left="0" w:right="0"/>
        <w:jc w:val="left"/>
      </w:pPr>
      <w:r>
        <w:rPr>
          <w:color w:val="000000"/>
          <w:spacing w:val="0"/>
          <w:w w:val="100"/>
          <w:position w:val="0"/>
        </w:rPr>
        <w:t>关于收入详见财务报表附注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三、公司重要会计政策和会计估计</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、营业收入确认原则所述的会计政策及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 务报表项目注释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、营业收入及营业成本。</w:t>
      </w:r>
    </w:p>
    <w:p>
      <w:pPr>
        <w:pStyle w:val="Style19"/>
        <w:keepNext w:val="0"/>
        <w:keepLines w:val="0"/>
        <w:widowControl w:val="0"/>
        <w:shd w:val="clear" w:color="auto" w:fill="auto"/>
        <w:bidi w:val="0"/>
        <w:spacing w:before="0" w:after="0" w:line="311" w:lineRule="exact"/>
        <w:ind w:left="0" w:right="0"/>
        <w:jc w:val="left"/>
      </w:pPr>
      <w:r>
        <w:rPr>
          <w:color w:val="000000"/>
          <w:spacing w:val="0"/>
          <w:w w:val="100"/>
          <w:position w:val="0"/>
        </w:rPr>
        <w:t>仁东控股公司及其子公司主要从事供应链、保理、第三方支付、小贷、租赁业务。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年度，仁东控股公司营业收入为 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72,812.08</w:t>
      </w:r>
      <w:r>
        <w:rPr>
          <w:color w:val="000000"/>
          <w:spacing w:val="0"/>
          <w:w w:val="100"/>
          <w:position w:val="0"/>
        </w:rPr>
        <w:t>万元，较上年减少</w:t>
      </w:r>
      <w:r>
        <w:rPr>
          <w:rFonts w:ascii="Times New Roman" w:eastAsia="Times New Roman" w:hAnsi="Times New Roman" w:cs="Times New Roman"/>
          <w:color w:val="000000"/>
          <w:spacing w:val="0"/>
          <w:w w:val="100"/>
          <w:position w:val="0"/>
          <w:sz w:val="18"/>
          <w:szCs w:val="18"/>
        </w:rPr>
        <w:t>18.11%</w:t>
      </w:r>
      <w:r>
        <w:rPr>
          <w:color w:val="000000"/>
          <w:spacing w:val="0"/>
          <w:w w:val="100"/>
          <w:position w:val="0"/>
        </w:rPr>
        <w:t>，营业收入主要为国内销售产生的收入。</w:t>
      </w:r>
    </w:p>
    <w:p>
      <w:pPr>
        <w:pStyle w:val="Style19"/>
        <w:keepNext w:val="0"/>
        <w:keepLines w:val="0"/>
        <w:widowControl w:val="0"/>
        <w:shd w:val="clear" w:color="auto" w:fill="auto"/>
        <w:bidi w:val="0"/>
        <w:spacing w:before="0" w:after="100" w:line="311" w:lineRule="exact"/>
        <w:ind w:left="0" w:right="0"/>
        <w:jc w:val="left"/>
      </w:pPr>
      <w:r>
        <w:rPr>
          <w:color w:val="000000"/>
          <w:spacing w:val="0"/>
          <w:w w:val="100"/>
          <w:position w:val="0"/>
        </w:rPr>
        <w:t>由于收入是仁东控股公司的关键业绩指标之一，从而存在管理层为了达到特定目标或期望而操纵收入确认时点的固有风 险，我们将仁东控股公司收入确认识别为关键审计事项。</w:t>
      </w:r>
    </w:p>
    <w:p>
      <w:pPr>
        <w:pStyle w:val="Style19"/>
        <w:keepNext w:val="0"/>
        <w:keepLines w:val="0"/>
        <w:widowControl w:val="0"/>
        <w:numPr>
          <w:ilvl w:val="0"/>
          <w:numId w:val="7"/>
        </w:numPr>
        <w:shd w:val="clear" w:color="auto" w:fill="auto"/>
        <w:tabs>
          <w:tab w:pos="700" w:val="left"/>
        </w:tabs>
        <w:bidi w:val="0"/>
        <w:spacing w:before="0" w:after="0" w:line="360" w:lineRule="auto"/>
        <w:ind w:left="0" w:right="0"/>
        <w:jc w:val="both"/>
      </w:pPr>
      <w:bookmarkStart w:id="626" w:name="bookmark626"/>
      <w:bookmarkEnd w:id="626"/>
      <w:r>
        <w:rPr>
          <w:color w:val="000000"/>
          <w:spacing w:val="0"/>
          <w:w w:val="100"/>
          <w:position w:val="0"/>
        </w:rPr>
        <w:t>审计应对</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我们执行的与收入确认相关的审计程序主要包括：</w:t>
      </w:r>
    </w:p>
    <w:p>
      <w:pPr>
        <w:pStyle w:val="Style19"/>
        <w:keepNext w:val="0"/>
        <w:keepLines w:val="0"/>
        <w:widowControl w:val="0"/>
        <w:shd w:val="clear" w:color="auto" w:fill="auto"/>
        <w:tabs>
          <w:tab w:pos="825" w:val="left"/>
        </w:tabs>
        <w:bidi w:val="0"/>
        <w:spacing w:before="0" w:after="0" w:line="311" w:lineRule="exact"/>
        <w:ind w:left="0" w:right="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了解、评价和测试管理层与收入确认相关的关键内部控制的设计和运行有效性；</w:t>
      </w:r>
    </w:p>
    <w:p>
      <w:pPr>
        <w:pStyle w:val="Style19"/>
        <w:keepNext w:val="0"/>
        <w:keepLines w:val="0"/>
        <w:widowControl w:val="0"/>
        <w:shd w:val="clear" w:color="auto" w:fill="auto"/>
        <w:tabs>
          <w:tab w:pos="445" w:val="left"/>
        </w:tabs>
        <w:bidi w:val="0"/>
        <w:spacing w:before="0" w:after="0" w:line="311" w:lineRule="exact"/>
        <w:ind w:left="0" w:right="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选取样本检查销售合同，识别与商品所有权上的控制权转移相关的合同条款与条件，评价仁东控股公司的收入确 </w:t>
      </w:r>
      <w:r>
        <w:rPr>
          <w:color w:val="000000"/>
          <w:spacing w:val="0"/>
          <w:w w:val="100"/>
          <w:position w:val="0"/>
        </w:rPr>
        <w:t>认时点是否符合企业会计准则的要求；</w:t>
      </w:r>
    </w:p>
    <w:p>
      <w:pPr>
        <w:pStyle w:val="Style19"/>
        <w:keepNext w:val="0"/>
        <w:keepLines w:val="0"/>
        <w:widowControl w:val="0"/>
        <w:shd w:val="clear" w:color="auto" w:fill="auto"/>
        <w:bidi w:val="0"/>
        <w:spacing w:before="0" w:after="0" w:line="322" w:lineRule="exact"/>
        <w:ind w:left="0" w:right="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对本年记录的收入交易选取样本，核对发票、业务合同及客户验收回单和银行回单等资料，评价相关收入确认是 否符合仁东控股公司收入确认的会计政策；</w:t>
      </w:r>
    </w:p>
    <w:p>
      <w:pPr>
        <w:pStyle w:val="Style19"/>
        <w:keepNext w:val="0"/>
        <w:keepLines w:val="0"/>
        <w:widowControl w:val="0"/>
        <w:shd w:val="clear" w:color="auto" w:fill="auto"/>
        <w:tabs>
          <w:tab w:pos="898" w:val="left"/>
        </w:tabs>
        <w:bidi w:val="0"/>
        <w:spacing w:before="0" w:after="0" w:line="326" w:lineRule="exact"/>
        <w:ind w:left="0" w:right="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向重要客户实施函证程序，询证本期收入及往来款项余额，确认收入的真实性、完整性；执行分析性复核程序， 分析本期营业收入变动及毛利率变动的合理性；</w:t>
      </w:r>
    </w:p>
    <w:p>
      <w:pPr>
        <w:pStyle w:val="Style19"/>
        <w:keepNext w:val="0"/>
        <w:keepLines w:val="0"/>
        <w:widowControl w:val="0"/>
        <w:shd w:val="clear" w:color="auto" w:fill="auto"/>
        <w:tabs>
          <w:tab w:pos="883" w:val="left"/>
        </w:tabs>
        <w:bidi w:val="0"/>
        <w:spacing w:before="0" w:after="0" w:line="322" w:lineRule="exact"/>
        <w:ind w:left="0" w:right="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对于第三方支付业务，我们利用本所信息系统审计师的工作，评价与业务系统运行相关的关键信息技术内部控制 的设计和运行有效性，以审核其是否有效，抽取交易样本，取得交易明细，按照合同费率测算与系统得出的结果是否一致；</w:t>
      </w:r>
    </w:p>
    <w:p>
      <w:pPr>
        <w:pStyle w:val="Style19"/>
        <w:keepNext w:val="0"/>
        <w:keepLines w:val="0"/>
        <w:widowControl w:val="0"/>
        <w:shd w:val="clear" w:color="auto" w:fill="auto"/>
        <w:tabs>
          <w:tab w:pos="883" w:val="left"/>
        </w:tabs>
        <w:bidi w:val="0"/>
        <w:spacing w:before="0" w:after="0" w:line="326" w:lineRule="exact"/>
        <w:ind w:left="0" w:right="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就资产负债表日前后记录的收入交易，选取样本，核对原始单据及其他支持性文件，以评价收入是否被记录于恰 当的会计期间。</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（二）商誉减值</w:t>
      </w:r>
    </w:p>
    <w:p>
      <w:pPr>
        <w:pStyle w:val="Style19"/>
        <w:keepNext w:val="0"/>
        <w:keepLines w:val="0"/>
        <w:widowControl w:val="0"/>
        <w:numPr>
          <w:ilvl w:val="0"/>
          <w:numId w:val="9"/>
        </w:numPr>
        <w:shd w:val="clear" w:color="auto" w:fill="auto"/>
        <w:tabs>
          <w:tab w:pos="678" w:val="left"/>
        </w:tabs>
        <w:bidi w:val="0"/>
        <w:spacing w:before="0" w:after="0" w:line="360" w:lineRule="auto"/>
        <w:ind w:left="0" w:right="0"/>
        <w:jc w:val="both"/>
      </w:pPr>
      <w:bookmarkStart w:id="633" w:name="bookmark633"/>
      <w:bookmarkEnd w:id="633"/>
      <w:r>
        <w:rPr>
          <w:color w:val="000000"/>
          <w:spacing w:val="0"/>
          <w:w w:val="100"/>
          <w:position w:val="0"/>
        </w:rPr>
        <w:t>事项描述</w:t>
      </w:r>
    </w:p>
    <w:p>
      <w:pPr>
        <w:pStyle w:val="Style19"/>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7"/>
          <w:szCs w:val="17"/>
        </w:rPr>
        <w:t>相关信息披露详见财务报表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附注三、</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、长期资产减值附注五、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日，仁东控股公司的合并财务报表商誉账面价值为人民币</w:t>
      </w:r>
      <w:r>
        <w:rPr>
          <w:rFonts w:ascii="Times New Roman" w:eastAsia="Times New Roman" w:hAnsi="Times New Roman" w:cs="Times New Roman"/>
          <w:color w:val="000000"/>
          <w:spacing w:val="0"/>
          <w:w w:val="100"/>
          <w:position w:val="0"/>
          <w:sz w:val="18"/>
          <w:szCs w:val="18"/>
        </w:rPr>
        <w:t>8.94</w:t>
      </w:r>
      <w:r>
        <w:rPr>
          <w:color w:val="000000"/>
          <w:spacing w:val="0"/>
          <w:w w:val="100"/>
          <w:position w:val="0"/>
        </w:rPr>
        <w:t>亿元，其中本报告期计提的商誉减值准 备为人民币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元。管理层在每年年度终了对商誉进行减值测试，并依据减值测试的结果调整商誉的账面价值。商誉减值测 试的结果很大程度上依赖于管理层所做的估计和采用的假设（例如对资产组预计未来可产生现金流量和折现率的估计），该 等估计受管理层对未来市场以及对经济环境判断的影响，采用不同的估计和假设会对评估商誉的可收回价值产生很大影响。 因此，我们将商誉的减值测算作为关键审计事项。</w:t>
      </w:r>
    </w:p>
    <w:p>
      <w:pPr>
        <w:pStyle w:val="Style19"/>
        <w:keepNext w:val="0"/>
        <w:keepLines w:val="0"/>
        <w:widowControl w:val="0"/>
        <w:numPr>
          <w:ilvl w:val="0"/>
          <w:numId w:val="9"/>
        </w:numPr>
        <w:shd w:val="clear" w:color="auto" w:fill="auto"/>
        <w:tabs>
          <w:tab w:pos="697" w:val="left"/>
        </w:tabs>
        <w:bidi w:val="0"/>
        <w:spacing w:before="0" w:after="0" w:line="360" w:lineRule="auto"/>
        <w:ind w:left="0" w:right="0"/>
        <w:jc w:val="both"/>
      </w:pPr>
      <w:bookmarkStart w:id="634" w:name="bookmark634"/>
      <w:bookmarkEnd w:id="634"/>
      <w:r>
        <w:rPr>
          <w:color w:val="000000"/>
          <w:spacing w:val="0"/>
          <w:w w:val="100"/>
          <w:position w:val="0"/>
        </w:rPr>
        <w:t>审计应对</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针对上述关键审计事项，我们执行了以下主要审计程序：</w:t>
      </w:r>
    </w:p>
    <w:p>
      <w:pPr>
        <w:pStyle w:val="Style19"/>
        <w:keepNext w:val="0"/>
        <w:keepLines w:val="0"/>
        <w:widowControl w:val="0"/>
        <w:shd w:val="clear" w:color="auto" w:fill="auto"/>
        <w:tabs>
          <w:tab w:pos="822" w:val="left"/>
        </w:tabs>
        <w:bidi w:val="0"/>
        <w:spacing w:before="0" w:after="0" w:line="317" w:lineRule="exact"/>
        <w:ind w:left="0" w:right="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了解并测试了仁东控股公司对商誉减值评估的内部控制；</w:t>
      </w:r>
    </w:p>
    <w:p>
      <w:pPr>
        <w:pStyle w:val="Style19"/>
        <w:keepNext w:val="0"/>
        <w:keepLines w:val="0"/>
        <w:widowControl w:val="0"/>
        <w:shd w:val="clear" w:color="auto" w:fill="auto"/>
        <w:bidi w:val="0"/>
        <w:spacing w:before="0" w:after="0" w:line="317" w:lineRule="exact"/>
        <w:ind w:left="0" w:right="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复核管理层对资产组的认定和商誉的分摊方法；了解资产组的历史业绩情况及发展规划，以及宏观经济和所属行 业的发展趋势；评价管理层估计资产可收回价值时采用的假设和方法；评价和测试仁东控股公司在评估商誉于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日是否减值时的假设、估值方法，与商誉相关的资产组的确定，现金流量预测及所使用的其他数据和参数，我们也对其他重 要参数进行了评估，包括销售增长率、产量、生产成本、营业费用和折现率等；</w:t>
      </w:r>
    </w:p>
    <w:p>
      <w:pPr>
        <w:pStyle w:val="Style19"/>
        <w:keepNext w:val="0"/>
        <w:keepLines w:val="0"/>
        <w:widowControl w:val="0"/>
        <w:shd w:val="clear" w:color="auto" w:fill="auto"/>
        <w:bidi w:val="0"/>
        <w:spacing w:before="0" w:after="0" w:line="317" w:lineRule="exact"/>
        <w:ind w:left="0" w:right="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评价资产评估师的专业胜任能力、客观性及独立性，查阅评估报告的评估技术说明、分析评估取值和计算公式是 否合理、复核计算评估数据。同时与评估师进行沟通，沟通内容包括出具的评估报告的目的和范围、其独立性、评估方法选 用、评估过程、其主要参数的选取及评估结果的合理性，并利用评估专家对评估报告进行了复核；</w:t>
      </w:r>
    </w:p>
    <w:p>
      <w:pPr>
        <w:pStyle w:val="Style19"/>
        <w:keepNext w:val="0"/>
        <w:keepLines w:val="0"/>
        <w:widowControl w:val="0"/>
        <w:shd w:val="clear" w:color="auto" w:fill="auto"/>
        <w:tabs>
          <w:tab w:pos="822" w:val="left"/>
        </w:tabs>
        <w:bidi w:val="0"/>
        <w:spacing w:before="0" w:after="0" w:line="317" w:lineRule="exact"/>
        <w:ind w:left="0" w:right="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复核仁东控股公司商誉列报是否恰当。</w:t>
      </w:r>
    </w:p>
    <w:p>
      <w:pPr>
        <w:pStyle w:val="Style19"/>
        <w:keepNext w:val="0"/>
        <w:keepLines w:val="0"/>
        <w:widowControl w:val="0"/>
        <w:shd w:val="clear" w:color="auto" w:fill="auto"/>
        <w:tabs>
          <w:tab w:pos="817" w:val="left"/>
        </w:tabs>
        <w:bidi w:val="0"/>
        <w:spacing w:before="0" w:after="0" w:line="317" w:lineRule="exact"/>
        <w:ind w:left="0" w:right="0"/>
        <w:jc w:val="both"/>
      </w:pPr>
      <w:bookmarkStart w:id="639" w:name="bookmark639"/>
      <w:r>
        <w:rPr>
          <w:b/>
          <w:bCs/>
          <w:color w:val="000000"/>
          <w:spacing w:val="0"/>
          <w:w w:val="100"/>
          <w:position w:val="0"/>
        </w:rPr>
        <w:t>五</w:t>
      </w:r>
      <w:bookmarkEnd w:id="639"/>
      <w:r>
        <w:rPr>
          <w:b/>
          <w:bCs/>
          <w:color w:val="000000"/>
          <w:spacing w:val="0"/>
          <w:w w:val="100"/>
          <w:position w:val="0"/>
        </w:rPr>
        <w:t>、</w:t>
        <w:tab/>
        <w:t>其他信息</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仁东控股公司管理层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对其他信息负责。其他信息包括仁东控股公司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 不包括财务报表和我们的审计报告。</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9"/>
        <w:keepNext w:val="0"/>
        <w:keepLines w:val="0"/>
        <w:widowControl w:val="0"/>
        <w:shd w:val="clear" w:color="auto" w:fill="auto"/>
        <w:tabs>
          <w:tab w:pos="822" w:val="left"/>
        </w:tabs>
        <w:bidi w:val="0"/>
        <w:spacing w:before="0" w:after="0" w:line="317" w:lineRule="exact"/>
        <w:ind w:left="0" w:right="0"/>
        <w:jc w:val="both"/>
      </w:pPr>
      <w:bookmarkStart w:id="640" w:name="bookmark640"/>
      <w:r>
        <w:rPr>
          <w:b/>
          <w:bCs/>
          <w:color w:val="000000"/>
          <w:spacing w:val="0"/>
          <w:w w:val="100"/>
          <w:position w:val="0"/>
        </w:rPr>
        <w:t>六</w:t>
      </w:r>
      <w:bookmarkEnd w:id="640"/>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在编制财务报表时，管理层负责评估仁东控股公司的持续经营能力，披露与持续经营相关的事项（如适用），并运用持 续经营假设，除非管理层计划清算仁东控股公司、终止运营或别无其他现实的选择。</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治理层负责监督仁东控股公司的财务报告过程。</w:t>
      </w:r>
    </w:p>
    <w:p>
      <w:pPr>
        <w:pStyle w:val="Style19"/>
        <w:keepNext w:val="0"/>
        <w:keepLines w:val="0"/>
        <w:widowControl w:val="0"/>
        <w:shd w:val="clear" w:color="auto" w:fill="auto"/>
        <w:tabs>
          <w:tab w:pos="822" w:val="left"/>
        </w:tabs>
        <w:bidi w:val="0"/>
        <w:spacing w:before="0" w:after="0" w:line="317" w:lineRule="exact"/>
        <w:ind w:left="0" w:right="0"/>
        <w:jc w:val="both"/>
      </w:pPr>
      <w:bookmarkStart w:id="641" w:name="bookmark641"/>
      <w:r>
        <w:rPr>
          <w:b/>
          <w:bCs/>
          <w:color w:val="000000"/>
          <w:spacing w:val="0"/>
          <w:w w:val="100"/>
          <w:position w:val="0"/>
        </w:rPr>
        <w:t>七</w:t>
      </w:r>
      <w:bookmarkEnd w:id="641"/>
      <w:r>
        <w:rPr>
          <w:b/>
          <w:bCs/>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我们的目标是对财务报表整体是否不存在由于舞弊或错误导致的重大错报获取合理保证，并出具包含审计意见的审计报 </w:t>
      </w:r>
      <w:r>
        <w:rPr>
          <w:color w:val="000000"/>
          <w:spacing w:val="0"/>
          <w:w w:val="100"/>
          <w:position w:val="0"/>
        </w:rPr>
        <w:t>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886" w:val="left"/>
        </w:tabs>
        <w:bidi w:val="0"/>
        <w:spacing w:before="0" w:after="0" w:line="314" w:lineRule="exact"/>
        <w:ind w:left="0" w:right="0" w:firstLine="36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790" w:val="left"/>
        </w:tabs>
        <w:bidi w:val="0"/>
        <w:spacing w:before="0" w:after="0" w:line="314" w:lineRule="exact"/>
        <w:ind w:left="0" w:right="0" w:firstLine="36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19"/>
        <w:keepNext w:val="0"/>
        <w:keepLines w:val="0"/>
        <w:widowControl w:val="0"/>
        <w:shd w:val="clear" w:color="auto" w:fill="auto"/>
        <w:tabs>
          <w:tab w:pos="790" w:val="left"/>
        </w:tabs>
        <w:bidi w:val="0"/>
        <w:spacing w:before="0" w:after="0" w:line="314" w:lineRule="exact"/>
        <w:ind w:left="0" w:right="0" w:firstLine="36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9"/>
        <w:keepNext w:val="0"/>
        <w:keepLines w:val="0"/>
        <w:widowControl w:val="0"/>
        <w:shd w:val="clear" w:color="auto" w:fill="auto"/>
        <w:tabs>
          <w:tab w:pos="886" w:val="left"/>
        </w:tabs>
        <w:bidi w:val="0"/>
        <w:spacing w:before="0" w:after="0" w:line="314" w:lineRule="exact"/>
        <w:ind w:left="0" w:right="0" w:firstLine="36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对管理层使用持续经营假设的恰当性得出结论。同时，根据获取的审计证据，就可能导致对仁东控股公司持续经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论基于截至审计报告日可获得的信息。然而，未来的事项或情况可能导致仁东控股公司不能持续经营。</w:t>
      </w:r>
    </w:p>
    <w:p>
      <w:pPr>
        <w:pStyle w:val="Style19"/>
        <w:keepNext w:val="0"/>
        <w:keepLines w:val="0"/>
        <w:widowControl w:val="0"/>
        <w:shd w:val="clear" w:color="auto" w:fill="auto"/>
        <w:tabs>
          <w:tab w:pos="790" w:val="left"/>
        </w:tabs>
        <w:bidi w:val="0"/>
        <w:spacing w:before="0" w:after="0" w:line="314" w:lineRule="exact"/>
        <w:ind w:left="0" w:right="0" w:firstLine="36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9"/>
        <w:keepNext w:val="0"/>
        <w:keepLines w:val="0"/>
        <w:widowControl w:val="0"/>
        <w:shd w:val="clear" w:color="auto" w:fill="auto"/>
        <w:tabs>
          <w:tab w:pos="881" w:val="left"/>
        </w:tabs>
        <w:bidi w:val="0"/>
        <w:spacing w:before="0" w:after="0" w:line="314" w:lineRule="exact"/>
        <w:ind w:left="0" w:right="0" w:firstLine="36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就仁东控股公司中实体或业务活动的财务信息获取充分、适当的审计证据，以对财务报表发表审计意见。我们负 责指导、监督和执行集团审计，并对审计意见承担全部责任。</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19"/>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9"/>
        <w:keepNext w:val="0"/>
        <w:keepLines w:val="0"/>
        <w:widowControl w:val="0"/>
        <w:shd w:val="clear" w:color="auto" w:fill="auto"/>
        <w:tabs>
          <w:tab w:pos="4683" w:val="left"/>
        </w:tabs>
        <w:bidi w:val="0"/>
        <w:spacing w:before="0" w:after="0" w:line="314" w:lineRule="exact"/>
        <w:ind w:left="0" w:right="0" w:firstLine="440"/>
        <w:jc w:val="both"/>
      </w:pPr>
      <w:r>
        <w:rPr>
          <w:color w:val="000000"/>
          <w:spacing w:val="0"/>
          <w:w w:val="100"/>
          <w:position w:val="0"/>
        </w:rPr>
        <w:t>中兴财光华会计师事务所</w:t>
        <w:tab/>
        <w:t>中国注册会计师：齐正华</w:t>
      </w:r>
    </w:p>
    <w:p>
      <w:pPr>
        <w:pStyle w:val="Style19"/>
        <w:keepNext w:val="0"/>
        <w:keepLines w:val="0"/>
        <w:widowControl w:val="0"/>
        <w:shd w:val="clear" w:color="auto" w:fill="auto"/>
        <w:tabs>
          <w:tab w:pos="5456" w:val="left"/>
        </w:tabs>
        <w:bidi w:val="0"/>
        <w:spacing w:before="0" w:after="740" w:line="314" w:lineRule="exact"/>
        <w:ind w:left="0" w:right="0" w:firstLine="440"/>
        <w:jc w:val="both"/>
      </w:pPr>
      <w:r>
        <w:rPr>
          <w:color w:val="000000"/>
          <w:spacing w:val="0"/>
          <w:w w:val="100"/>
          <w:position w:val="0"/>
        </w:rPr>
        <w:t>（特殊普通合伙）</w:t>
        <w:tab/>
        <w:t>（项目合伙人）</w:t>
      </w:r>
    </w:p>
    <w:p>
      <w:pPr>
        <w:pStyle w:val="Style19"/>
        <w:keepNext w:val="0"/>
        <w:keepLines w:val="0"/>
        <w:widowControl w:val="0"/>
        <w:shd w:val="clear" w:color="auto" w:fill="auto"/>
        <w:bidi w:val="0"/>
        <w:spacing w:before="0" w:after="100" w:line="240" w:lineRule="auto"/>
        <w:ind w:left="4900" w:right="0" w:firstLine="0"/>
        <w:jc w:val="both"/>
      </w:pPr>
      <w:r>
        <w:rPr>
          <w:color w:val="000000"/>
          <w:spacing w:val="0"/>
          <w:w w:val="100"/>
          <w:position w:val="0"/>
        </w:rPr>
        <w:t>中国注册会计师：王雅栋</w:t>
      </w:r>
    </w:p>
    <w:p>
      <w:pPr>
        <w:pStyle w:val="Style19"/>
        <w:keepNext w:val="0"/>
        <w:keepLines w:val="0"/>
        <w:widowControl w:val="0"/>
        <w:shd w:val="clear" w:color="auto" w:fill="auto"/>
        <w:tabs>
          <w:tab w:pos="5674" w:val="left"/>
        </w:tabs>
        <w:bidi w:val="0"/>
        <w:spacing w:before="0" w:after="200" w:line="240" w:lineRule="auto"/>
        <w:ind w:left="0" w:right="0" w:firstLine="60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br w:type="page"/>
      </w:r>
    </w:p>
    <w:p>
      <w:pPr>
        <w:pStyle w:val="Style22"/>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二</w:t>
      </w:r>
      <w:bookmarkEnd w:id="650"/>
      <w:r>
        <w:rPr>
          <w:color w:val="000000"/>
          <w:spacing w:val="0"/>
          <w:w w:val="100"/>
          <w:position w:val="0"/>
        </w:rPr>
        <w:t>、财务报表</w:t>
      </w:r>
      <w:bookmarkEnd w:id="648"/>
      <w:bookmarkEnd w:id="649"/>
      <w:bookmarkEnd w:id="65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、合并资产负债表</w:t>
      </w:r>
      <w:bookmarkEnd w:id="652"/>
      <w:bookmarkEnd w:id="653"/>
      <w:bookmarkEnd w:id="655"/>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编制单位：仁东控股股份有限公司</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1,879,456,994.84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1,835,647,301.12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92,100,251.06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106,904,702.88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8,923,872.67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5,160,646.84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17,693,182.09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35,814,646.65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40,213,343.33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43,616,083.67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66,403,913.67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53,742,600.33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2,104,896,686.58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2,081,006,176.86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23,317,033.76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57,580,118.66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23,883,575.43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29,095,395.89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340,633,980.00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341,157,500.00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245,925,037.45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147,338,618.92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60,621,563.08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16,845,731.56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25,732,100.90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894,356,808.55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894,356,808.55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5,837,476.62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7,423,307.01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33,578,514.99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33,194,625.35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1,645,905,053.52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1,536,783,807.36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3,750,801,740.10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3,617,789,984.22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185,936,546.47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378,999,681.10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168,046,254.46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178,360,094.52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43,856,927.86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33,293,112.45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13,000,855.63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18,248,063.64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544,740,634.23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264,738,890.62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63,385,274.46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704,379,353.14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506,541,700.88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1,647,564,535.90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1,595,047,400.31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3,307,716,266.44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2,975,390,446.82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44,483,354.25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46,681,354.29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198,140,000.04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3,354,397,620.73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3,173,530,446.86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559,936,650.00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191,142,018.58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-98,628,221.10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-98,226,299.52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-346,810,765.85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-292,870,244.36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349,188,269.45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403,530,712.52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47,215,849.92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40,728,824.84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396,404,119.37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444,259,537.36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3,750,801,740.10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3,617,789,984.22</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704215</wp:posOffset>
                </wp:positionH>
                <wp:positionV relativeFrom="margin">
                  <wp:posOffset>2048510</wp:posOffset>
                </wp:positionV>
                <wp:extent cx="1051560" cy="149225"/>
                <wp:wrapTopAndBottom/>
                <wp:docPr id="4" name="Shape 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法定代表人：王石山</w:t>
                            </w:r>
                          </w:p>
                        </w:txbxContent>
                      </wps:txbx>
                      <wps:bodyPr wrap="none" lIns="0" tIns="0" rIns="0" bIns="0">
                        <a:noAutoFit/>
                      </wps:bodyPr>
                    </wps:wsp>
                  </a:graphicData>
                </a:graphic>
              </wp:anchor>
            </w:drawing>
          </mc:Choice>
          <mc:Fallback>
            <w:pict>
              <v:shape id="_x0000_s1030" type="#_x0000_t202" style="position:absolute;margin-left:55.450000000000003pt;margin-top:161.30000000000001pt;width:82.799999999999997pt;height:11.75pt;z-index:-125829373;mso-wrap-distance-left:9.pt;mso-wrap-distance-top:12.pt;mso-wrap-distance-right:405.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法定代表人：王石山</w:t>
                      </w:r>
                    </w:p>
                  </w:txbxContent>
                </v:textbox>
                <w10:wrap type="topAndBottom" anchorx="page" anchory="margin"/>
              </v:shape>
            </w:pict>
          </mc:Fallback>
        </mc:AlternateContent>
      </w:r>
      <w:r>
        <mc:AlternateContent>
          <mc:Choice Requires="wps">
            <w:drawing>
              <wp:anchor distT="152400" distB="3175" distL="2293620" distR="2516505" simplePos="0" relativeHeight="125829382" behindDoc="0" locked="0" layoutInCell="1" allowOverlap="1">
                <wp:simplePos x="0" y="0"/>
                <wp:positionH relativeFrom="page">
                  <wp:posOffset>2883535</wp:posOffset>
                </wp:positionH>
                <wp:positionV relativeFrom="margin">
                  <wp:posOffset>2048510</wp:posOffset>
                </wp:positionV>
                <wp:extent cx="1505585" cy="146050"/>
                <wp:wrapTopAndBottom/>
                <wp:docPr id="6" name="Shape 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主管会计工作负责人：王石山</w:t>
                            </w:r>
                          </w:p>
                        </w:txbxContent>
                      </wps:txbx>
                      <wps:bodyPr wrap="none" lIns="0" tIns="0" rIns="0" bIns="0">
                        <a:noAutoFit/>
                      </wps:bodyPr>
                    </wps:wsp>
                  </a:graphicData>
                </a:graphic>
              </wp:anchor>
            </w:drawing>
          </mc:Choice>
          <mc:Fallback>
            <w:pict>
              <v:shape id="_x0000_s1032" type="#_x0000_t202" style="position:absolute;margin-left:227.05000000000001pt;margin-top:161.30000000000001pt;width:118.55pt;height:11.5pt;z-index:-125829371;mso-wrap-distance-left:180.59999999999999pt;mso-wrap-distance-top:12.pt;mso-wrap-distance-right:198.15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主管会计工作负责人：王石山</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5507990</wp:posOffset>
                </wp:positionH>
                <wp:positionV relativeFrom="margin">
                  <wp:posOffset>2048510</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会计机构负责人：徐义宾</w:t>
                            </w:r>
                          </w:p>
                        </w:txbxContent>
                      </wps:txbx>
                      <wps:bodyPr wrap="none" lIns="0" tIns="0" rIns="0" bIns="0">
                        <a:noAutoFit/>
                      </wps:bodyPr>
                    </wps:wsp>
                  </a:graphicData>
                </a:graphic>
              </wp:anchor>
            </w:drawing>
          </mc:Choice>
          <mc:Fallback>
            <w:pict>
              <v:shape id="_x0000_s1034" type="#_x0000_t202" style="position:absolute;margin-left:433.69999999999999pt;margin-top:161.30000000000001pt;width:101.05pt;height:11.75pt;z-index:-125829369;mso-wrap-distance-left:387.25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会计机构负责人：徐义宾</w:t>
                      </w:r>
                    </w:p>
                  </w:txbxContent>
                </v:textbox>
                <w10:wrap type="topAndBottom" anchorx="page" anchory="margin"/>
              </v:shape>
            </w:pict>
          </mc:Fallback>
        </mc:AlternateContent>
      </w: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、母公司资产负债表</w:t>
      </w:r>
      <w:bookmarkEnd w:id="656"/>
      <w:bookmarkEnd w:id="657"/>
      <w:bookmarkEnd w:id="65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3,326,092.25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131,622,554.27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432,264,596.37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1,492,043.98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133,825,041.25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437,341,780.08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5,195,675,743.87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5,051,677,591.00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5,337,697.24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6,369,927.13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17,052,421.55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134,072.78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5,254,378.73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6,681,182.60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5,373,320,241.39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5,214,862,773.51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5,507,145,282.64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5,652,204,553.59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185,936,546.47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358,974,319.95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486,169.81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598,266.22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1,085,521.48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127,570.07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118,888.77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4,166,597,728.85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4,010,942,889.00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528,481,197.40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326,103,755.56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4,882,130,309.01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4,697,711,544.57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11,428,018.72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11,428,018.72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4,893,558,327.73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4,892,711,544.57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559,936,650.00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309,684,562.96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309,684,562.96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-299,579,072.71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-153,673,018.60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613,586,954.91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759,493,009.02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5,507,145,282.64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5,652,204,553.59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、合并利润表</w:t>
      </w:r>
      <w:bookmarkEnd w:id="660"/>
      <w:bookmarkEnd w:id="661"/>
      <w:bookmarkEnd w:id="66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2,110,399,581.50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2,110,399,581.50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1,772,052,056.11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2,199,296,960.17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1,379,212,168.12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1,886,171,969.36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1,223,938.85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1,780,388.35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56,754,196.54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47,073,296.88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118,043,125.81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135,297,283.06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73,479,126.55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43,411,988.99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143,339,500.24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85,562,033.53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147,849,225.04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91,563,039.19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4,632,604.50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6,147,574.34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12,050,586.70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11,596,197.81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10,272,954.79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-272,777,841.49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-104,285,503.00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-27,927,331.49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-444,113,138.85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1,528,580.68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32,186,657.04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1,638,982.13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-26,718,219.06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-413,565,463.94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19,179,168.32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13,569,663.47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-45,897,387.38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-427,135,127.41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-45,897,387.38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-427,135,127.41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-52,383,346.23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-430,662,610.74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6,485,958.85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3,527,483.33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-401,921.58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-98,220,464.78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-401,921.58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-98,220,464.78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-392,640.00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-98,195,625.00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-392,640.00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-98,195,625.00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-24,839.78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-46,299,308.96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-525,355,592.19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-52,785,267.81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-528,883,075.52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6,485,958.85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3,527,483.33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法定代表人：王石山</w:t>
        <w:tab/>
        <w:t>主管会计工作负责人：王石山</w:t>
        <w:tab/>
        <w:t>会计机构负责人：徐义宾</w:t>
      </w:r>
    </w:p>
    <w:p>
      <w:pPr>
        <w:pStyle w:val="Style28"/>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4</w:t>
      </w:r>
      <w:bookmarkEnd w:id="666"/>
      <w:r>
        <w:rPr>
          <w:color w:val="000000"/>
          <w:spacing w:val="0"/>
          <w:w w:val="100"/>
          <w:position w:val="0"/>
        </w:rPr>
        <w:t>、母公司利润表</w:t>
      </w:r>
      <w:bookmarkEnd w:id="664"/>
      <w:bookmarkEnd w:id="665"/>
      <w:bookmarkEnd w:id="66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826,970,760.92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814,341,648.32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26,144,592.99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34,682,391.26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126,523,966.63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99,459,471.25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126,520,641.47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99,528,998.29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-145,217,260.53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-121,686,557.08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539,570.41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-144,677,690.12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-121,686,557.08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-144,677,690.12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-121,686,557.08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-144,677,690.12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-121,686,557.08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-144,677,690.12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-121,686,557.08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5</w:t>
      </w:r>
      <w:bookmarkEnd w:id="670"/>
      <w:r>
        <w:rPr>
          <w:color w:val="000000"/>
          <w:spacing w:val="0"/>
          <w:w w:val="100"/>
          <w:position w:val="0"/>
        </w:rPr>
        <w:t>、合并现金流量表</w:t>
      </w:r>
      <w:bookmarkEnd w:id="668"/>
      <w:bookmarkEnd w:id="669"/>
      <w:bookmarkEnd w:id="67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1,797,585,353.47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2,265,213,959.33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375,908,345.73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639,888,473.31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2,173,767,999.20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2,905,354,632.64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1,382,322,445.26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2,006,127,555.86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-27,464,500.20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10,932,774.24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123,324,967.48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112,690,588.38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27,965,807.91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28,127,773.93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401,919,348.17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670,737,935.68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1,908,068,068.62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2,828,616,628.09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265,699,930.58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76,738,004.55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296,728,806.16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29,751,720.00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313,762,560.95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209,672,804.32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113,612,857.56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209,672,804.32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475,612,857.56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-179,921,084.32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-161,850,296.61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155,845,926.93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155,845,926.93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192,268,612.61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120,940,515.04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51,787,124.46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65,162,536.11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32,006,327.97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276,062,065.04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196,603,051.15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-120,216,138.11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48,396,948.85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-34,442,210.19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-36,738,915.78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52,367,229.83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89,106,145.61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17,925,019.64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52,367,229.83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6</w:t>
      </w:r>
      <w:bookmarkEnd w:id="674"/>
      <w:r>
        <w:rPr>
          <w:color w:val="000000"/>
          <w:spacing w:val="0"/>
          <w:w w:val="100"/>
          <w:position w:val="0"/>
        </w:rPr>
        <w:t>、母公司现金流量表</w:t>
      </w:r>
      <w:bookmarkEnd w:id="672"/>
      <w:bookmarkEnd w:id="673"/>
      <w:bookmarkEnd w:id="67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7,002,840.00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926,965,375.77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641,510.71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2,105,164.43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8,327,984.13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929,070,540.20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916,283,531.35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12,522,653.57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15,535,167.73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4,530,813.93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19,855,521.22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17,061,535.60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951,855,522.10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-8,733,551.47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-22,784,981.90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7,505,190.00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5,867,504.14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7,505,190.00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5,867,664.14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1,352,167.00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14,363,699.42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14,219,630.00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1,936,760.00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88,583,329.42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5,568,430.00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-82,715,665.28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290,246,283.79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316,537,858.76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290,246,283.79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461,537,858.76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156,870,900.82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120,940,515.04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39,273,654.63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65,162,536.11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94,218,967.82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169,589,360.00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290,363,523.27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355,692,411.15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105,845,447.61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344,800.43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3,326,092.25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2,981,291.82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3,326,092.25</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7</w:t>
      </w:r>
      <w:bookmarkEnd w:id="678"/>
      <w:r>
        <w:rPr>
          <w:color w:val="000000"/>
          <w:spacing w:val="0"/>
          <w:w w:val="100"/>
          <w:position w:val="0"/>
        </w:rPr>
        <w:t>、合并所有者权益变动表</w:t>
      </w:r>
      <w:bookmarkEnd w:id="676"/>
      <w:bookmarkEnd w:id="677"/>
      <w:bookmarkEnd w:id="67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者权</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40,728 </w:t>
            </w:r>
            <w:r>
              <w:rPr>
                <w:rFonts w:ascii="Times New Roman" w:eastAsia="Times New Roman" w:hAnsi="Times New Roman" w:cs="Times New Roman"/>
                <w:color w:val="000000"/>
                <w:spacing w:val="0"/>
                <w:w w:val="100"/>
                <w:position w:val="0"/>
                <w:sz w:val="18"/>
                <w:szCs w:val="18"/>
              </w:rPr>
              <w:t xml:space="preserve">,824.8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40,729 </w:t>
            </w:r>
            <w:r>
              <w:rPr>
                <w:rFonts w:ascii="Times New Roman" w:eastAsia="Times New Roman" w:hAnsi="Times New Roman" w:cs="Times New Roman"/>
                <w:color w:val="000000"/>
                <w:spacing w:val="0"/>
                <w:w w:val="100"/>
                <w:position w:val="0"/>
                <w:sz w:val="18"/>
                <w:szCs w:val="18"/>
              </w:rPr>
              <w:t xml:space="preserve">,891.0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47,215 </w:t>
            </w:r>
            <w:r>
              <w:rPr>
                <w:rFonts w:ascii="Times New Roman" w:eastAsia="Times New Roman" w:hAnsi="Times New Roman" w:cs="Times New Roman"/>
                <w:color w:val="000000"/>
                <w:spacing w:val="0"/>
                <w:w w:val="100"/>
                <w:position w:val="0"/>
                <w:sz w:val="18"/>
                <w:szCs w:val="18"/>
              </w:rPr>
              <w:t xml:space="preserve">,849.9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-98,22 0,464.</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-98,22 0,464.</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191,14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43,544 </w:t>
            </w:r>
            <w:r>
              <w:rPr>
                <w:rFonts w:ascii="Times New Roman" w:eastAsia="Times New Roman" w:hAnsi="Times New Roman" w:cs="Times New Roman"/>
                <w:color w:val="000000"/>
                <w:spacing w:val="0"/>
                <w:w w:val="100"/>
                <w:position w:val="0"/>
                <w:sz w:val="18"/>
                <w:szCs w:val="18"/>
              </w:rPr>
              <w:t xml:space="preserve">,814.6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8</w:t>
      </w:r>
      <w:bookmarkEnd w:id="682"/>
      <w:r>
        <w:rPr>
          <w:color w:val="000000"/>
          <w:spacing w:val="0"/>
          <w:w w:val="100"/>
          <w:position w:val="0"/>
        </w:rPr>
        <w:t>、母公司所有者权益变动表</w:t>
      </w:r>
      <w:bookmarkEnd w:id="680"/>
      <w:bookmarkEnd w:id="681"/>
      <w:bookmarkEnd w:id="68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-153,67 3,018.6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-1,228, 363.99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759,493,00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bl>
    <w:p>
      <w:pPr>
        <w:pStyle w:val="Style22"/>
        <w:keepNext/>
        <w:keepLines/>
        <w:widowControl w:val="0"/>
        <w:shd w:val="clear" w:color="auto" w:fill="auto"/>
        <w:bidi w:val="0"/>
        <w:spacing w:before="0" w:after="28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三</w:t>
      </w:r>
      <w:bookmarkEnd w:id="686"/>
      <w:r>
        <w:rPr>
          <w:color w:val="000000"/>
          <w:spacing w:val="0"/>
          <w:w w:val="100"/>
          <w:position w:val="0"/>
        </w:rPr>
        <w:t>、公司基本情况</w:t>
      </w:r>
      <w:bookmarkEnd w:id="684"/>
      <w:bookmarkEnd w:id="685"/>
      <w:bookmarkEnd w:id="687"/>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仁东控股股份有限公司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以下简称公司或本公司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前身为浙江宏磊铜业股份有限公司，浙江宏磊铜业股 份有限公司系在宏磊集团有限公司的基础上采用整体变更方式设立的股份有限公司，于</w:t>
      </w:r>
      <w:r>
        <w:rPr>
          <w:rFonts w:ascii="Times New Roman" w:eastAsia="Times New Roman" w:hAnsi="Times New Roman" w:cs="Times New Roman"/>
          <w:b w:val="0"/>
          <w:bCs w:val="0"/>
          <w:color w:val="000000"/>
          <w:spacing w:val="0"/>
          <w:w w:val="100"/>
          <w:position w:val="0"/>
          <w:sz w:val="20"/>
          <w:szCs w:val="20"/>
        </w:rPr>
        <w:t>2007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 xml:space="preserve">29 </w:t>
      </w:r>
      <w:r>
        <w:rPr>
          <w:b w:val="0"/>
          <w:bCs w:val="0"/>
          <w:color w:val="000000"/>
          <w:spacing w:val="0"/>
          <w:w w:val="100"/>
          <w:position w:val="0"/>
          <w:sz w:val="20"/>
          <w:szCs w:val="20"/>
        </w:rPr>
        <w:t>日在浙江省工商行政管理局登记注册，取得注册号为</w:t>
      </w:r>
      <w:r>
        <w:rPr>
          <w:rFonts w:ascii="Times New Roman" w:eastAsia="Times New Roman" w:hAnsi="Times New Roman" w:cs="Times New Roman"/>
          <w:b w:val="0"/>
          <w:bCs w:val="0"/>
          <w:color w:val="000000"/>
          <w:spacing w:val="0"/>
          <w:w w:val="100"/>
          <w:position w:val="0"/>
          <w:sz w:val="20"/>
          <w:szCs w:val="20"/>
        </w:rPr>
        <w:t>330681000010590</w:t>
      </w:r>
      <w:r>
        <w:rPr>
          <w:b w:val="0"/>
          <w:bCs w:val="0"/>
          <w:color w:val="000000"/>
          <w:spacing w:val="0"/>
          <w:w w:val="100"/>
          <w:position w:val="0"/>
          <w:sz w:val="20"/>
          <w:szCs w:val="20"/>
        </w:rPr>
        <w:t>的《企业法人营业执照》。</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 xml:space="preserve">年 </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月，公司名称变更为民盛金科控股股份有限公司。</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经中国证券监督管理委员会</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证监许可</w:t>
      </w:r>
      <w:r>
        <w:rPr>
          <w:rFonts w:ascii="Times New Roman" w:eastAsia="Times New Roman" w:hAnsi="Times New Roman" w:cs="Times New Roman"/>
          <w:b w:val="0"/>
          <w:bCs w:val="0"/>
          <w:color w:val="000000"/>
          <w:spacing w:val="0"/>
          <w:w w:val="100"/>
          <w:position w:val="0"/>
          <w:sz w:val="20"/>
          <w:szCs w:val="20"/>
        </w:rPr>
        <w:t>[2011]1923</w:t>
      </w:r>
      <w:r>
        <w:rPr>
          <w:b w:val="0"/>
          <w:bCs w:val="0"/>
          <w:color w:val="000000"/>
          <w:spacing w:val="0"/>
          <w:w w:val="100"/>
          <w:position w:val="0"/>
          <w:sz w:val="20"/>
          <w:szCs w:val="20"/>
        </w:rPr>
        <w:t>号文</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核准，公司获准向社会公开发行人民币普通股</w:t>
      </w:r>
      <w:r>
        <w:rPr>
          <w:rFonts w:ascii="Times New Roman" w:eastAsia="Times New Roman" w:hAnsi="Times New Roman" w:cs="Times New Roman"/>
          <w:b w:val="0"/>
          <w:bCs w:val="0"/>
          <w:color w:val="000000"/>
          <w:spacing w:val="0"/>
          <w:w w:val="100"/>
          <w:position w:val="0"/>
          <w:sz w:val="20"/>
          <w:szCs w:val="20"/>
        </w:rPr>
        <w:t xml:space="preserve">（A </w:t>
      </w:r>
      <w:r>
        <w:rPr>
          <w:b w:val="0"/>
          <w:bCs w:val="0"/>
          <w:color w:val="000000"/>
          <w:spacing w:val="0"/>
          <w:w w:val="100"/>
          <w:position w:val="0"/>
          <w:sz w:val="20"/>
          <w:szCs w:val="20"/>
        </w:rPr>
        <w:t>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股票</w:t>
      </w:r>
      <w:r>
        <w:rPr>
          <w:rFonts w:ascii="Times New Roman" w:eastAsia="Times New Roman" w:hAnsi="Times New Roman" w:cs="Times New Roman"/>
          <w:b w:val="0"/>
          <w:bCs w:val="0"/>
          <w:color w:val="000000"/>
          <w:spacing w:val="0"/>
          <w:w w:val="100"/>
          <w:position w:val="0"/>
          <w:sz w:val="20"/>
          <w:szCs w:val="20"/>
        </w:rPr>
        <w:t>4,223</w:t>
      </w:r>
      <w:r>
        <w:rPr>
          <w:b w:val="0"/>
          <w:bCs w:val="0"/>
          <w:color w:val="000000"/>
          <w:spacing w:val="0"/>
          <w:w w:val="100"/>
          <w:position w:val="0"/>
          <w:sz w:val="20"/>
          <w:szCs w:val="20"/>
        </w:rPr>
        <w:t>万股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每股面值</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，公司股票于</w:t>
      </w:r>
      <w:r>
        <w:rPr>
          <w:rFonts w:ascii="Times New Roman" w:eastAsia="Times New Roman" w:hAnsi="Times New Roman" w:cs="Times New Roman"/>
          <w:b w:val="0"/>
          <w:bCs w:val="0"/>
          <w:color w:val="000000"/>
          <w:spacing w:val="0"/>
          <w:w w:val="100"/>
          <w:position w:val="0"/>
          <w:sz w:val="20"/>
          <w:szCs w:val="20"/>
        </w:rPr>
        <w:t>2011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28</w:t>
      </w:r>
      <w:r>
        <w:rPr>
          <w:b w:val="0"/>
          <w:bCs w:val="0"/>
          <w:color w:val="000000"/>
          <w:spacing w:val="0"/>
          <w:w w:val="100"/>
          <w:position w:val="0"/>
          <w:sz w:val="20"/>
          <w:szCs w:val="20"/>
        </w:rPr>
        <w:t>日在深圳证券交易所挂牌交易，发行后公司注 册资本为</w:t>
      </w:r>
      <w:r>
        <w:rPr>
          <w:rFonts w:ascii="Times New Roman" w:eastAsia="Times New Roman" w:hAnsi="Times New Roman" w:cs="Times New Roman"/>
          <w:b w:val="0"/>
          <w:bCs w:val="0"/>
          <w:color w:val="000000"/>
          <w:spacing w:val="0"/>
          <w:w w:val="100"/>
          <w:position w:val="0"/>
          <w:sz w:val="20"/>
          <w:szCs w:val="20"/>
        </w:rPr>
        <w:t>16,891</w:t>
      </w:r>
      <w:r>
        <w:rPr>
          <w:b w:val="0"/>
          <w:bCs w:val="0"/>
          <w:color w:val="000000"/>
          <w:spacing w:val="0"/>
          <w:w w:val="100"/>
          <w:position w:val="0"/>
          <w:sz w:val="20"/>
          <w:szCs w:val="20"/>
        </w:rPr>
        <w:t>万元，股份总数</w:t>
      </w:r>
      <w:r>
        <w:rPr>
          <w:rFonts w:ascii="Times New Roman" w:eastAsia="Times New Roman" w:hAnsi="Times New Roman" w:cs="Times New Roman"/>
          <w:b w:val="0"/>
          <w:bCs w:val="0"/>
          <w:color w:val="000000"/>
          <w:spacing w:val="0"/>
          <w:w w:val="100"/>
          <w:position w:val="0"/>
          <w:sz w:val="20"/>
          <w:szCs w:val="20"/>
        </w:rPr>
        <w:t>16,891</w:t>
      </w:r>
      <w:r>
        <w:rPr>
          <w:b w:val="0"/>
          <w:bCs w:val="0"/>
          <w:color w:val="000000"/>
          <w:spacing w:val="0"/>
          <w:w w:val="100"/>
          <w:position w:val="0"/>
          <w:sz w:val="20"/>
          <w:szCs w:val="20"/>
        </w:rPr>
        <w:t>万股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每股面值</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经</w:t>
      </w:r>
      <w:r>
        <w:rPr>
          <w:rFonts w:ascii="Times New Roman" w:eastAsia="Times New Roman" w:hAnsi="Times New Roman" w:cs="Times New Roman"/>
          <w:b w:val="0"/>
          <w:bCs w:val="0"/>
          <w:color w:val="000000"/>
          <w:spacing w:val="0"/>
          <w:w w:val="100"/>
          <w:position w:val="0"/>
          <w:sz w:val="20"/>
          <w:szCs w:val="20"/>
        </w:rPr>
        <w:t>2014</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28</w:t>
      </w:r>
      <w:r>
        <w:rPr>
          <w:b w:val="0"/>
          <w:bCs w:val="0"/>
          <w:color w:val="000000"/>
          <w:spacing w:val="0"/>
          <w:w w:val="100"/>
          <w:position w:val="0"/>
          <w:sz w:val="20"/>
          <w:szCs w:val="20"/>
        </w:rPr>
        <w:t>日召开的</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年度股东大会决议，以资本公积金向全体股东每</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股转增</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股。以</w:t>
      </w:r>
      <w:r>
        <w:rPr>
          <w:rFonts w:ascii="Times New Roman" w:eastAsia="Times New Roman" w:hAnsi="Times New Roman" w:cs="Times New Roman"/>
          <w:b w:val="0"/>
          <w:bCs w:val="0"/>
          <w:color w:val="000000"/>
          <w:spacing w:val="0"/>
          <w:w w:val="100"/>
          <w:position w:val="0"/>
          <w:sz w:val="20"/>
          <w:szCs w:val="20"/>
        </w:rPr>
        <w:t xml:space="preserve">16,891 </w:t>
      </w:r>
      <w:r>
        <w:rPr>
          <w:b w:val="0"/>
          <w:bCs w:val="0"/>
          <w:color w:val="000000"/>
          <w:spacing w:val="0"/>
          <w:w w:val="100"/>
          <w:position w:val="0"/>
          <w:sz w:val="20"/>
          <w:szCs w:val="20"/>
        </w:rPr>
        <w:t>万股为基数，本次资本公积转增股本新增公司注册资本</w:t>
      </w:r>
      <w:r>
        <w:rPr>
          <w:rFonts w:ascii="Times New Roman" w:eastAsia="Times New Roman" w:hAnsi="Times New Roman" w:cs="Times New Roman"/>
          <w:b w:val="0"/>
          <w:bCs w:val="0"/>
          <w:color w:val="000000"/>
          <w:spacing w:val="0"/>
          <w:w w:val="100"/>
          <w:position w:val="0"/>
          <w:sz w:val="20"/>
          <w:szCs w:val="20"/>
        </w:rPr>
        <w:t>5,067.30</w:t>
      </w:r>
      <w:r>
        <w:rPr>
          <w:b w:val="0"/>
          <w:bCs w:val="0"/>
          <w:color w:val="000000"/>
          <w:spacing w:val="0"/>
          <w:w w:val="100"/>
          <w:position w:val="0"/>
          <w:sz w:val="20"/>
          <w:szCs w:val="20"/>
        </w:rPr>
        <w:t>万元，新增股份</w:t>
      </w:r>
      <w:r>
        <w:rPr>
          <w:rFonts w:ascii="Times New Roman" w:eastAsia="Times New Roman" w:hAnsi="Times New Roman" w:cs="Times New Roman"/>
          <w:b w:val="0"/>
          <w:bCs w:val="0"/>
          <w:color w:val="000000"/>
          <w:spacing w:val="0"/>
          <w:w w:val="100"/>
          <w:position w:val="0"/>
          <w:sz w:val="20"/>
          <w:szCs w:val="20"/>
        </w:rPr>
        <w:t>5,067.30</w:t>
      </w:r>
      <w:r>
        <w:rPr>
          <w:b w:val="0"/>
          <w:bCs w:val="0"/>
          <w:color w:val="000000"/>
          <w:spacing w:val="0"/>
          <w:w w:val="100"/>
          <w:position w:val="0"/>
          <w:sz w:val="20"/>
          <w:szCs w:val="20"/>
        </w:rPr>
        <w:t>万股。转增后公司 注册资本为</w:t>
      </w:r>
      <w:r>
        <w:rPr>
          <w:rFonts w:ascii="Times New Roman" w:eastAsia="Times New Roman" w:hAnsi="Times New Roman" w:cs="Times New Roman"/>
          <w:b w:val="0"/>
          <w:bCs w:val="0"/>
          <w:color w:val="000000"/>
          <w:spacing w:val="0"/>
          <w:w w:val="100"/>
          <w:position w:val="0"/>
          <w:sz w:val="20"/>
          <w:szCs w:val="20"/>
        </w:rPr>
        <w:t>21,958.30</w:t>
      </w:r>
      <w:r>
        <w:rPr>
          <w:b w:val="0"/>
          <w:bCs w:val="0"/>
          <w:color w:val="000000"/>
          <w:spacing w:val="0"/>
          <w:w w:val="100"/>
          <w:position w:val="0"/>
          <w:sz w:val="20"/>
          <w:szCs w:val="20"/>
        </w:rPr>
        <w:t>万元，股份总数</w:t>
      </w:r>
      <w:r>
        <w:rPr>
          <w:rFonts w:ascii="Times New Roman" w:eastAsia="Times New Roman" w:hAnsi="Times New Roman" w:cs="Times New Roman"/>
          <w:b w:val="0"/>
          <w:bCs w:val="0"/>
          <w:color w:val="000000"/>
          <w:spacing w:val="0"/>
          <w:w w:val="100"/>
          <w:position w:val="0"/>
          <w:sz w:val="20"/>
          <w:szCs w:val="20"/>
        </w:rPr>
        <w:t>21,958.30</w:t>
      </w:r>
      <w:r>
        <w:rPr>
          <w:b w:val="0"/>
          <w:bCs w:val="0"/>
          <w:color w:val="000000"/>
          <w:spacing w:val="0"/>
          <w:w w:val="100"/>
          <w:position w:val="0"/>
          <w:sz w:val="20"/>
          <w:szCs w:val="20"/>
        </w:rPr>
        <w:t>万股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每股面值</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。公司已于</w:t>
      </w:r>
      <w:r>
        <w:rPr>
          <w:rFonts w:ascii="Times New Roman" w:eastAsia="Times New Roman" w:hAnsi="Times New Roman" w:cs="Times New Roman"/>
          <w:b w:val="0"/>
          <w:bCs w:val="0"/>
          <w:color w:val="000000"/>
          <w:spacing w:val="0"/>
          <w:w w:val="100"/>
          <w:position w:val="0"/>
          <w:sz w:val="20"/>
          <w:szCs w:val="20"/>
        </w:rPr>
        <w:t>2014</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日办妥工商变 更登记。</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经</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26</w:t>
      </w:r>
      <w:r>
        <w:rPr>
          <w:b w:val="0"/>
          <w:bCs w:val="0"/>
          <w:color w:val="000000"/>
          <w:spacing w:val="0"/>
          <w:w w:val="100"/>
          <w:position w:val="0"/>
          <w:sz w:val="20"/>
          <w:szCs w:val="20"/>
        </w:rPr>
        <w:t>日召开的</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年度股东大会决议，以资本公积金向全体股东每</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股转增</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 xml:space="preserve">股。以 </w:t>
      </w:r>
      <w:r>
        <w:rPr>
          <w:rFonts w:ascii="Times New Roman" w:eastAsia="Times New Roman" w:hAnsi="Times New Roman" w:cs="Times New Roman"/>
          <w:b w:val="0"/>
          <w:bCs w:val="0"/>
          <w:color w:val="000000"/>
          <w:spacing w:val="0"/>
          <w:w w:val="100"/>
          <w:position w:val="0"/>
          <w:sz w:val="20"/>
          <w:szCs w:val="20"/>
        </w:rPr>
        <w:t>21,958.30</w:t>
      </w:r>
      <w:r>
        <w:rPr>
          <w:b w:val="0"/>
          <w:bCs w:val="0"/>
          <w:color w:val="000000"/>
          <w:spacing w:val="0"/>
          <w:w w:val="100"/>
          <w:position w:val="0"/>
          <w:sz w:val="20"/>
          <w:szCs w:val="20"/>
        </w:rPr>
        <w:t>万股为基数，本次资本公积转增股本新增公司注册资本</w:t>
      </w:r>
      <w:r>
        <w:rPr>
          <w:rFonts w:ascii="Times New Roman" w:eastAsia="Times New Roman" w:hAnsi="Times New Roman" w:cs="Times New Roman"/>
          <w:b w:val="0"/>
          <w:bCs w:val="0"/>
          <w:color w:val="000000"/>
          <w:spacing w:val="0"/>
          <w:w w:val="100"/>
          <w:position w:val="0"/>
          <w:sz w:val="20"/>
          <w:szCs w:val="20"/>
        </w:rPr>
        <w:t>15,370.81</w:t>
      </w:r>
      <w:r>
        <w:rPr>
          <w:b w:val="0"/>
          <w:bCs w:val="0"/>
          <w:color w:val="000000"/>
          <w:spacing w:val="0"/>
          <w:w w:val="100"/>
          <w:position w:val="0"/>
          <w:sz w:val="20"/>
          <w:szCs w:val="20"/>
        </w:rPr>
        <w:t>万元，新增股份</w:t>
      </w:r>
      <w:r>
        <w:rPr>
          <w:rFonts w:ascii="Times New Roman" w:eastAsia="Times New Roman" w:hAnsi="Times New Roman" w:cs="Times New Roman"/>
          <w:b w:val="0"/>
          <w:bCs w:val="0"/>
          <w:color w:val="000000"/>
          <w:spacing w:val="0"/>
          <w:w w:val="100"/>
          <w:position w:val="0"/>
          <w:sz w:val="20"/>
          <w:szCs w:val="20"/>
        </w:rPr>
        <w:t>15,370.81</w:t>
      </w:r>
      <w:r>
        <w:rPr>
          <w:b w:val="0"/>
          <w:bCs w:val="0"/>
          <w:color w:val="000000"/>
          <w:spacing w:val="0"/>
          <w:w w:val="100"/>
          <w:position w:val="0"/>
          <w:sz w:val="20"/>
          <w:szCs w:val="20"/>
        </w:rPr>
        <w:t>万股。 转增后公司注册资本为</w:t>
      </w:r>
      <w:r>
        <w:rPr>
          <w:rFonts w:ascii="Times New Roman" w:eastAsia="Times New Roman" w:hAnsi="Times New Roman" w:cs="Times New Roman"/>
          <w:b w:val="0"/>
          <w:bCs w:val="0"/>
          <w:color w:val="000000"/>
          <w:spacing w:val="0"/>
          <w:w w:val="100"/>
          <w:position w:val="0"/>
          <w:sz w:val="20"/>
          <w:szCs w:val="20"/>
        </w:rPr>
        <w:t>37,329.11</w:t>
      </w:r>
      <w:r>
        <w:rPr>
          <w:b w:val="0"/>
          <w:bCs w:val="0"/>
          <w:color w:val="000000"/>
          <w:spacing w:val="0"/>
          <w:w w:val="100"/>
          <w:position w:val="0"/>
          <w:sz w:val="20"/>
          <w:szCs w:val="20"/>
        </w:rPr>
        <w:t>万元，股份总数</w:t>
      </w:r>
      <w:r>
        <w:rPr>
          <w:rFonts w:ascii="Times New Roman" w:eastAsia="Times New Roman" w:hAnsi="Times New Roman" w:cs="Times New Roman"/>
          <w:b w:val="0"/>
          <w:bCs w:val="0"/>
          <w:color w:val="000000"/>
          <w:spacing w:val="0"/>
          <w:w w:val="100"/>
          <w:position w:val="0"/>
          <w:sz w:val="20"/>
          <w:szCs w:val="20"/>
        </w:rPr>
        <w:t>37,329.11</w:t>
      </w:r>
      <w:r>
        <w:rPr>
          <w:b w:val="0"/>
          <w:bCs w:val="0"/>
          <w:color w:val="000000"/>
          <w:spacing w:val="0"/>
          <w:w w:val="100"/>
          <w:position w:val="0"/>
          <w:sz w:val="20"/>
          <w:szCs w:val="20"/>
        </w:rPr>
        <w:t>万股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每股面值</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。公司已于</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27</w:t>
      </w:r>
      <w:r>
        <w:rPr>
          <w:b w:val="0"/>
          <w:bCs w:val="0"/>
          <w:color w:val="000000"/>
          <w:spacing w:val="0"/>
          <w:w w:val="100"/>
          <w:position w:val="0"/>
          <w:sz w:val="20"/>
          <w:szCs w:val="20"/>
        </w:rPr>
        <w:t>日办 妥工商变更登记。</w:t>
      </w:r>
    </w:p>
    <w:p>
      <w:pPr>
        <w:pStyle w:val="Style16"/>
        <w:keepNext w:val="0"/>
        <w:keepLines w:val="0"/>
        <w:widowControl w:val="0"/>
        <w:shd w:val="clear" w:color="auto" w:fill="auto"/>
        <w:bidi w:val="0"/>
        <w:spacing w:before="0" w:after="0" w:line="318"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 xml:space="preserve">日，公司权益变动涉及的协议转让股权在中国证券登记结算有限责任公司深圳分公司 完成了过户登记手续，公司的控股股东由和柚技术集团有限公司变更为内蒙古正东云驱科技有限公司。 </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日，因控股股东发生了变更，公司的办公地址由深圳迁至北京，公司的工作区域中心发生变 更。</w:t>
      </w:r>
    </w:p>
    <w:p>
      <w:pPr>
        <w:pStyle w:val="Style16"/>
        <w:keepNext w:val="0"/>
        <w:keepLines w:val="0"/>
        <w:widowControl w:val="0"/>
        <w:shd w:val="clear" w:color="auto" w:fill="auto"/>
        <w:bidi w:val="0"/>
        <w:spacing w:before="0" w:after="0" w:line="318" w:lineRule="exact"/>
        <w:ind w:left="0" w:right="0" w:firstLine="440"/>
        <w:jc w:val="both"/>
        <w:rPr>
          <w:sz w:val="20"/>
          <w:szCs w:val="20"/>
        </w:rPr>
      </w:pPr>
      <w:r>
        <w:rPr>
          <w:b w:val="0"/>
          <w:bCs w:val="0"/>
          <w:color w:val="000000"/>
          <w:spacing w:val="0"/>
          <w:w w:val="100"/>
          <w:position w:val="0"/>
          <w:sz w:val="20"/>
          <w:szCs w:val="20"/>
        </w:rPr>
        <w:t>经</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日召开的</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年度股东大会决议，以资本公积金向全体股东每</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股转增</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 xml:space="preserve">股。以 </w:t>
      </w:r>
      <w:r>
        <w:rPr>
          <w:rFonts w:ascii="Times New Roman" w:eastAsia="Times New Roman" w:hAnsi="Times New Roman" w:cs="Times New Roman"/>
          <w:b w:val="0"/>
          <w:bCs w:val="0"/>
          <w:color w:val="000000"/>
          <w:spacing w:val="0"/>
          <w:w w:val="100"/>
          <w:position w:val="0"/>
          <w:sz w:val="20"/>
          <w:szCs w:val="20"/>
        </w:rPr>
        <w:t>37,329.11</w:t>
      </w:r>
      <w:r>
        <w:rPr>
          <w:b w:val="0"/>
          <w:bCs w:val="0"/>
          <w:color w:val="000000"/>
          <w:spacing w:val="0"/>
          <w:w w:val="100"/>
          <w:position w:val="0"/>
          <w:sz w:val="20"/>
          <w:szCs w:val="20"/>
        </w:rPr>
        <w:t>万股为基数，本次资本公积转增股本新增公司注册资本</w:t>
      </w:r>
      <w:r>
        <w:rPr>
          <w:rFonts w:ascii="Times New Roman" w:eastAsia="Times New Roman" w:hAnsi="Times New Roman" w:cs="Times New Roman"/>
          <w:b w:val="0"/>
          <w:bCs w:val="0"/>
          <w:color w:val="000000"/>
          <w:spacing w:val="0"/>
          <w:w w:val="100"/>
          <w:position w:val="0"/>
          <w:sz w:val="20"/>
          <w:szCs w:val="20"/>
        </w:rPr>
        <w:t>18,664.56</w:t>
      </w:r>
      <w:r>
        <w:rPr>
          <w:b w:val="0"/>
          <w:bCs w:val="0"/>
          <w:color w:val="000000"/>
          <w:spacing w:val="0"/>
          <w:w w:val="100"/>
          <w:position w:val="0"/>
          <w:sz w:val="20"/>
          <w:szCs w:val="20"/>
        </w:rPr>
        <w:t>万元，新增股份</w:t>
      </w:r>
      <w:r>
        <w:rPr>
          <w:rFonts w:ascii="Times New Roman" w:eastAsia="Times New Roman" w:hAnsi="Times New Roman" w:cs="Times New Roman"/>
          <w:b w:val="0"/>
          <w:bCs w:val="0"/>
          <w:color w:val="000000"/>
          <w:spacing w:val="0"/>
          <w:w w:val="100"/>
          <w:position w:val="0"/>
          <w:sz w:val="20"/>
          <w:szCs w:val="20"/>
        </w:rPr>
        <w:t>18,664.56</w:t>
      </w:r>
      <w:r>
        <w:rPr>
          <w:b w:val="0"/>
          <w:bCs w:val="0"/>
          <w:color w:val="000000"/>
          <w:spacing w:val="0"/>
          <w:w w:val="100"/>
          <w:position w:val="0"/>
          <w:sz w:val="20"/>
          <w:szCs w:val="20"/>
        </w:rPr>
        <w:t>万股。 转增后公司注册资本为</w:t>
      </w:r>
      <w:r>
        <w:rPr>
          <w:rFonts w:ascii="Times New Roman" w:eastAsia="Times New Roman" w:hAnsi="Times New Roman" w:cs="Times New Roman"/>
          <w:b w:val="0"/>
          <w:bCs w:val="0"/>
          <w:color w:val="000000"/>
          <w:spacing w:val="0"/>
          <w:w w:val="100"/>
          <w:position w:val="0"/>
          <w:sz w:val="20"/>
          <w:szCs w:val="20"/>
        </w:rPr>
        <w:t>55,993.6</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万元，股份总数</w:t>
      </w:r>
      <w:r>
        <w:rPr>
          <w:rFonts w:ascii="Times New Roman" w:eastAsia="Times New Roman" w:hAnsi="Times New Roman" w:cs="Times New Roman"/>
          <w:b w:val="0"/>
          <w:bCs w:val="0"/>
          <w:color w:val="000000"/>
          <w:spacing w:val="0"/>
          <w:w w:val="100"/>
          <w:position w:val="0"/>
          <w:sz w:val="20"/>
          <w:szCs w:val="20"/>
        </w:rPr>
        <w:t>55,993.6</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万股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每股面值</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。公司已于</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日办 妥工商变更登记。</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日公司控股股东内蒙古仁东科技有限公司的公司名称发生变更，由内蒙古正东云驱 科技有限公司变更为内蒙古仁东科技有限公司。</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日公司召开第四届董事会第二次会议，并于</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30</w:t>
      </w:r>
      <w:r>
        <w:rPr>
          <w:b w:val="0"/>
          <w:bCs w:val="0"/>
          <w:color w:val="000000"/>
          <w:spacing w:val="0"/>
          <w:w w:val="100"/>
          <w:position w:val="0"/>
          <w:sz w:val="20"/>
          <w:szCs w:val="20"/>
        </w:rPr>
        <w:t>日召开</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 xml:space="preserve">年第四次临时股 东大会审议通过了《关于变更公司名称及证券简称的议案》，公司名称变更为：仁东控股股份有限公司。 </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28</w:t>
      </w:r>
      <w:r>
        <w:rPr>
          <w:b w:val="0"/>
          <w:bCs w:val="0"/>
          <w:color w:val="000000"/>
          <w:spacing w:val="0"/>
          <w:w w:val="100"/>
          <w:position w:val="0"/>
          <w:sz w:val="20"/>
          <w:szCs w:val="20"/>
        </w:rPr>
        <w:t>日经北京市工商行政管理局朝阳分局核准，公司控股股东内蒙古仁东科技有限公司名称变更 为北京仁东信息技术有限公司。</w:t>
      </w:r>
    </w:p>
    <w:p>
      <w:pPr>
        <w:pStyle w:val="Style16"/>
        <w:keepNext w:val="0"/>
        <w:keepLines w:val="0"/>
        <w:widowControl w:val="0"/>
        <w:shd w:val="clear" w:color="auto" w:fill="auto"/>
        <w:bidi w:val="0"/>
        <w:spacing w:before="0" w:after="140" w:line="313"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日，北京仁东信息技术有限公司（以下简称仁东信息）、仁东</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天津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科技有限公司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以 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天津仁东</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、仁东（天津）科技发展集团有限公司、霍东与北京海淀科技金融资本控股集团股份有 限公司（以下简称海科金集团）签署了《关于仁东控股股份有限公司的股份委托管理协议》，仁东信息将 其持有的仁东控股</w:t>
      </w:r>
      <w:r>
        <w:rPr>
          <w:rFonts w:ascii="Times New Roman" w:eastAsia="Times New Roman" w:hAnsi="Times New Roman" w:cs="Times New Roman"/>
          <w:b w:val="0"/>
          <w:bCs w:val="0"/>
          <w:color w:val="000000"/>
          <w:spacing w:val="0"/>
          <w:w w:val="100"/>
          <w:position w:val="0"/>
          <w:sz w:val="20"/>
          <w:szCs w:val="20"/>
        </w:rPr>
        <w:t>119,088,160</w:t>
      </w:r>
      <w:r>
        <w:rPr>
          <w:b w:val="0"/>
          <w:bCs w:val="0"/>
          <w:color w:val="000000"/>
          <w:spacing w:val="0"/>
          <w:w w:val="100"/>
          <w:position w:val="0"/>
          <w:sz w:val="20"/>
          <w:szCs w:val="20"/>
        </w:rPr>
        <w:t>股股份（占上市公司总股本的</w:t>
      </w:r>
      <w:r>
        <w:rPr>
          <w:rFonts w:ascii="Times New Roman" w:eastAsia="Times New Roman" w:hAnsi="Times New Roman" w:cs="Times New Roman"/>
          <w:b w:val="0"/>
          <w:bCs w:val="0"/>
          <w:color w:val="000000"/>
          <w:spacing w:val="0"/>
          <w:w w:val="100"/>
          <w:position w:val="0"/>
          <w:sz w:val="20"/>
          <w:szCs w:val="20"/>
        </w:rPr>
        <w:t>21.27%</w:t>
      </w:r>
      <w:r>
        <w:rPr>
          <w:b w:val="0"/>
          <w:bCs w:val="0"/>
          <w:color w:val="000000"/>
          <w:spacing w:val="0"/>
          <w:w w:val="100"/>
          <w:position w:val="0"/>
          <w:sz w:val="20"/>
          <w:szCs w:val="20"/>
        </w:rPr>
        <w:t>）对应的表决权等股东权利委托海科 金集团进行管理。同时，仁东信息、天津仁东与海科金集团签署了《关于仁东控股股份有限公司的一致 行动协议》（以下简称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《一致行动协议》</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），仁东信息、天津仁东、海科金集团同意，托管期限内，在 上市公司所有重大事项决策中，保持一致行动，仁东信息、天津仁东应当与海科金集团取得一致意见，若 无法形成一致意见，以海科金集团的意见为一致表决意见。</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日，上述协议正式生效，海科金 集团将通过股份托管的方式持有上市公司</w:t>
      </w:r>
      <w:r>
        <w:rPr>
          <w:rFonts w:ascii="Times New Roman" w:eastAsia="Times New Roman" w:hAnsi="Times New Roman" w:cs="Times New Roman"/>
          <w:b w:val="0"/>
          <w:bCs w:val="0"/>
          <w:color w:val="000000"/>
          <w:spacing w:val="0"/>
          <w:w w:val="100"/>
          <w:position w:val="0"/>
          <w:sz w:val="20"/>
          <w:szCs w:val="20"/>
        </w:rPr>
        <w:t>119,088,160</w:t>
      </w:r>
      <w:r>
        <w:rPr>
          <w:b w:val="0"/>
          <w:bCs w:val="0"/>
          <w:color w:val="000000"/>
          <w:spacing w:val="0"/>
          <w:w w:val="100"/>
          <w:position w:val="0"/>
          <w:sz w:val="20"/>
          <w:szCs w:val="20"/>
        </w:rPr>
        <w:t>股股份对应的表决权，占上市公司总股本的</w:t>
      </w:r>
      <w:r>
        <w:rPr>
          <w:rFonts w:ascii="Times New Roman" w:eastAsia="Times New Roman" w:hAnsi="Times New Roman" w:cs="Times New Roman"/>
          <w:b w:val="0"/>
          <w:bCs w:val="0"/>
          <w:color w:val="000000"/>
          <w:spacing w:val="0"/>
          <w:w w:val="100"/>
          <w:position w:val="0"/>
          <w:sz w:val="20"/>
          <w:szCs w:val="20"/>
        </w:rPr>
        <w:t>21.27%</w:t>
      </w:r>
      <w:r>
        <w:rPr>
          <w:b w:val="0"/>
          <w:bCs w:val="0"/>
          <w:color w:val="000000"/>
          <w:spacing w:val="0"/>
          <w:w w:val="100"/>
          <w:position w:val="0"/>
          <w:sz w:val="20"/>
          <w:szCs w:val="20"/>
        </w:rPr>
        <w:t xml:space="preserve">。 通过《关于仁东控股股份有限公司的一致行动协议》，海科金集团及其一致行动人将合计控制上市公司 </w:t>
      </w:r>
      <w:r>
        <w:rPr>
          <w:rFonts w:ascii="Times New Roman" w:eastAsia="Times New Roman" w:hAnsi="Times New Roman" w:cs="Times New Roman"/>
          <w:b w:val="0"/>
          <w:bCs w:val="0"/>
          <w:color w:val="000000"/>
          <w:spacing w:val="0"/>
          <w:w w:val="100"/>
          <w:position w:val="0"/>
          <w:sz w:val="20"/>
          <w:szCs w:val="20"/>
        </w:rPr>
        <w:t>29.93%</w:t>
      </w:r>
      <w:r>
        <w:rPr>
          <w:b w:val="0"/>
          <w:bCs w:val="0"/>
          <w:color w:val="000000"/>
          <w:spacing w:val="0"/>
          <w:w w:val="100"/>
          <w:position w:val="0"/>
          <w:sz w:val="20"/>
          <w:szCs w:val="20"/>
        </w:rPr>
        <w:t>的股份表决权。海科金集团成为公司控股股东，其实际控制人北京市海淀区人民政府国有资产监督 管理委员会成为公司的实际控制人。截至</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日，本公司累计发行股本总数</w:t>
      </w:r>
      <w:r>
        <w:rPr>
          <w:rFonts w:ascii="Times New Roman" w:eastAsia="Times New Roman" w:hAnsi="Times New Roman" w:cs="Times New Roman"/>
          <w:b w:val="0"/>
          <w:bCs w:val="0"/>
          <w:color w:val="000000"/>
          <w:spacing w:val="0"/>
          <w:w w:val="100"/>
          <w:position w:val="0"/>
          <w:sz w:val="20"/>
          <w:szCs w:val="20"/>
        </w:rPr>
        <w:t>559,936,650.00</w:t>
      </w:r>
      <w:r>
        <w:rPr>
          <w:b w:val="0"/>
          <w:bCs w:val="0"/>
          <w:color w:val="000000"/>
          <w:spacing w:val="0"/>
          <w:w w:val="100"/>
          <w:position w:val="0"/>
          <w:sz w:val="20"/>
          <w:szCs w:val="20"/>
        </w:rPr>
        <w:t>股，公 司注册资本为</w:t>
      </w:r>
      <w:r>
        <w:rPr>
          <w:rFonts w:ascii="Times New Roman" w:eastAsia="Times New Roman" w:hAnsi="Times New Roman" w:cs="Times New Roman"/>
          <w:b w:val="0"/>
          <w:bCs w:val="0"/>
          <w:color w:val="000000"/>
          <w:spacing w:val="0"/>
          <w:w w:val="100"/>
          <w:position w:val="0"/>
          <w:sz w:val="20"/>
          <w:szCs w:val="20"/>
        </w:rPr>
        <w:t>559,936,650.00</w:t>
      </w:r>
      <w:r>
        <w:rPr>
          <w:b w:val="0"/>
          <w:bCs w:val="0"/>
          <w:color w:val="000000"/>
          <w:spacing w:val="0"/>
          <w:w w:val="100"/>
          <w:position w:val="0"/>
          <w:sz w:val="20"/>
          <w:szCs w:val="20"/>
        </w:rPr>
        <w:t>元。</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日，仁东信息与海科金集团、天津仁东、仁东科技、霍东签署《终止股份委托管理关系 和一致行动关系的协议》，海科金集团不再拥有仁东信息持有的仁东控股</w:t>
      </w:r>
      <w:r>
        <w:rPr>
          <w:rFonts w:ascii="Times New Roman" w:eastAsia="Times New Roman" w:hAnsi="Times New Roman" w:cs="Times New Roman"/>
          <w:b w:val="0"/>
          <w:bCs w:val="0"/>
          <w:color w:val="000000"/>
          <w:spacing w:val="0"/>
          <w:w w:val="100"/>
          <w:position w:val="0"/>
          <w:sz w:val="20"/>
          <w:szCs w:val="20"/>
        </w:rPr>
        <w:t>119,088,160</w:t>
      </w:r>
      <w:r>
        <w:rPr>
          <w:b w:val="0"/>
          <w:bCs w:val="0"/>
          <w:color w:val="000000"/>
          <w:spacing w:val="0"/>
          <w:w w:val="100"/>
          <w:position w:val="0"/>
          <w:sz w:val="20"/>
          <w:szCs w:val="20"/>
        </w:rPr>
        <w:t>股股份对应的表决权 等股东权利。同时，仁东信息及其一致行动人天津仁东与海科金的一致行动关系终止。本次权益变动完成 后，海科金集团不再拥有公司</w:t>
      </w:r>
      <w:r>
        <w:rPr>
          <w:rFonts w:ascii="Times New Roman" w:eastAsia="Times New Roman" w:hAnsi="Times New Roman" w:cs="Times New Roman"/>
          <w:b w:val="0"/>
          <w:bCs w:val="0"/>
          <w:color w:val="000000"/>
          <w:spacing w:val="0"/>
          <w:w w:val="100"/>
          <w:position w:val="0"/>
          <w:sz w:val="20"/>
          <w:szCs w:val="20"/>
        </w:rPr>
        <w:t>160,994,805</w:t>
      </w:r>
      <w:r>
        <w:rPr>
          <w:b w:val="0"/>
          <w:bCs w:val="0"/>
          <w:color w:val="000000"/>
          <w:spacing w:val="0"/>
          <w:w w:val="100"/>
          <w:position w:val="0"/>
          <w:sz w:val="20"/>
          <w:szCs w:val="20"/>
        </w:rPr>
        <w:t>股股份对应的表决权，也未持有公司任何股份。仁东信息持有公 司</w:t>
      </w:r>
      <w:r>
        <w:rPr>
          <w:rFonts w:ascii="Times New Roman" w:eastAsia="Times New Roman" w:hAnsi="Times New Roman" w:cs="Times New Roman"/>
          <w:b w:val="0"/>
          <w:bCs w:val="0"/>
          <w:color w:val="000000"/>
          <w:spacing w:val="0"/>
          <w:w w:val="100"/>
          <w:position w:val="0"/>
          <w:sz w:val="20"/>
          <w:szCs w:val="20"/>
        </w:rPr>
        <w:t>131,513,847</w:t>
      </w:r>
      <w:r>
        <w:rPr>
          <w:b w:val="0"/>
          <w:bCs w:val="0"/>
          <w:color w:val="000000"/>
          <w:spacing w:val="0"/>
          <w:w w:val="100"/>
          <w:position w:val="0"/>
          <w:sz w:val="20"/>
          <w:szCs w:val="20"/>
        </w:rPr>
        <w:t>股股份，其一致行动人天津仁东持有公司</w:t>
      </w:r>
      <w:r>
        <w:rPr>
          <w:rFonts w:ascii="Times New Roman" w:eastAsia="Times New Roman" w:hAnsi="Times New Roman" w:cs="Times New Roman"/>
          <w:b w:val="0"/>
          <w:bCs w:val="0"/>
          <w:color w:val="000000"/>
          <w:spacing w:val="0"/>
          <w:w w:val="100"/>
          <w:position w:val="0"/>
          <w:sz w:val="20"/>
          <w:szCs w:val="20"/>
        </w:rPr>
        <w:t>29,480,958</w:t>
      </w:r>
      <w:r>
        <w:rPr>
          <w:b w:val="0"/>
          <w:bCs w:val="0"/>
          <w:color w:val="000000"/>
          <w:spacing w:val="0"/>
          <w:w w:val="100"/>
          <w:position w:val="0"/>
          <w:sz w:val="20"/>
          <w:szCs w:val="20"/>
        </w:rPr>
        <w:t>股股份，霍东将通过间接方式合计持有 公司</w:t>
      </w:r>
      <w:r>
        <w:rPr>
          <w:rFonts w:ascii="Times New Roman" w:eastAsia="Times New Roman" w:hAnsi="Times New Roman" w:cs="Times New Roman"/>
          <w:b w:val="0"/>
          <w:bCs w:val="0"/>
          <w:color w:val="000000"/>
          <w:spacing w:val="0"/>
          <w:w w:val="100"/>
          <w:position w:val="0"/>
          <w:sz w:val="20"/>
          <w:szCs w:val="20"/>
        </w:rPr>
        <w:t>160,994,805</w:t>
      </w:r>
      <w:r>
        <w:rPr>
          <w:b w:val="0"/>
          <w:bCs w:val="0"/>
          <w:color w:val="000000"/>
          <w:spacing w:val="0"/>
          <w:w w:val="100"/>
          <w:position w:val="0"/>
          <w:sz w:val="20"/>
          <w:szCs w:val="20"/>
        </w:rPr>
        <w:t>股股份，占上市公司总股本的</w:t>
      </w:r>
      <w:r>
        <w:rPr>
          <w:rFonts w:ascii="Times New Roman" w:eastAsia="Times New Roman" w:hAnsi="Times New Roman" w:cs="Times New Roman"/>
          <w:b w:val="0"/>
          <w:bCs w:val="0"/>
          <w:color w:val="000000"/>
          <w:spacing w:val="0"/>
          <w:w w:val="100"/>
          <w:position w:val="0"/>
          <w:sz w:val="20"/>
          <w:szCs w:val="20"/>
        </w:rPr>
        <w:t>28.75%</w:t>
      </w:r>
      <w:r>
        <w:rPr>
          <w:b w:val="0"/>
          <w:bCs w:val="0"/>
          <w:color w:val="000000"/>
          <w:spacing w:val="0"/>
          <w:w w:val="100"/>
          <w:position w:val="0"/>
          <w:sz w:val="20"/>
          <w:szCs w:val="20"/>
        </w:rPr>
        <w:t>。公司控股股东正式变更为仁东信息，实际控制人变 更为霍东。</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法定代表人：王石山</w:t>
      </w:r>
    </w:p>
    <w:p>
      <w:pPr>
        <w:pStyle w:val="Style56"/>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企业法人营业执照统一社会信用代码：</w:t>
      </w:r>
      <w:r>
        <w:rPr>
          <w:color w:val="000000"/>
          <w:spacing w:val="0"/>
          <w:w w:val="100"/>
          <w:position w:val="0"/>
        </w:rPr>
        <w:t>91330000753974205M</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注册地：浙江省诸暨市大唐镇开元东路</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本公司经营范围：实业投资，资产管理。</w:t>
      </w:r>
      <w:r>
        <w:rPr>
          <w:b w:val="0"/>
          <w:bCs w:val="0"/>
          <w:color w:val="000000"/>
          <w:spacing w:val="0"/>
          <w:w w:val="100"/>
          <w:position w:val="0"/>
          <w:sz w:val="20"/>
          <w:szCs w:val="20"/>
        </w:rPr>
        <w:t>（</w:t>
      </w:r>
      <w:r>
        <w:rPr>
          <w:b w:val="0"/>
          <w:bCs w:val="0"/>
          <w:color w:val="000000"/>
          <w:spacing w:val="0"/>
          <w:w w:val="100"/>
          <w:position w:val="0"/>
          <w:sz w:val="20"/>
          <w:szCs w:val="20"/>
        </w:rPr>
        <w:t>未经金融等监管部门批准不得从事向公众融资存款、融资担 保、代客理财等金融服务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，投资咨询服务，信息系统集成服务，信息技术咨询服务，数据处理、数据库服 务，企业征信服务，网络技术的研究开发、技术咨询、技术服务，软件开发，企业管理咨询服务，供应链 管理，从事进出口业务。</w:t>
      </w:r>
      <w:r>
        <w:rPr>
          <w:b w:val="0"/>
          <w:bCs w:val="0"/>
          <w:color w:val="000000"/>
          <w:spacing w:val="0"/>
          <w:w w:val="100"/>
          <w:position w:val="0"/>
          <w:sz w:val="20"/>
          <w:szCs w:val="20"/>
        </w:rPr>
        <w:t>（</w:t>
      </w:r>
      <w:r>
        <w:rPr>
          <w:b w:val="0"/>
          <w:bCs w:val="0"/>
          <w:color w:val="000000"/>
          <w:spacing w:val="0"/>
          <w:w w:val="100"/>
          <w:position w:val="0"/>
          <w:sz w:val="20"/>
          <w:szCs w:val="20"/>
        </w:rPr>
        <w:t>依法须经批准的项目，经相关部门批准后方可开展经营活动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6"/>
        <w:keepNext w:val="0"/>
        <w:keepLines w:val="0"/>
        <w:widowControl w:val="0"/>
        <w:shd w:val="clear" w:color="auto" w:fill="auto"/>
        <w:bidi w:val="0"/>
        <w:spacing w:before="0" w:after="0" w:line="314" w:lineRule="exact"/>
        <w:ind w:left="0" w:right="0" w:firstLine="440"/>
        <w:jc w:val="left"/>
        <w:rPr>
          <w:sz w:val="20"/>
          <w:szCs w:val="20"/>
        </w:rPr>
      </w:pPr>
      <w:r>
        <w:rPr>
          <w:b w:val="0"/>
          <w:bCs w:val="0"/>
          <w:color w:val="000000"/>
          <w:spacing w:val="0"/>
          <w:w w:val="100"/>
          <w:position w:val="0"/>
          <w:sz w:val="20"/>
          <w:szCs w:val="20"/>
        </w:rPr>
        <w:t>本财务报告已于</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日经公司第五届董事会第四次会议批准报出。</w:t>
      </w:r>
    </w:p>
    <w:p>
      <w:pPr>
        <w:pStyle w:val="Style16"/>
        <w:keepNext w:val="0"/>
        <w:keepLines w:val="0"/>
        <w:widowControl w:val="0"/>
        <w:shd w:val="clear" w:color="auto" w:fill="auto"/>
        <w:bidi w:val="0"/>
        <w:spacing w:before="0" w:after="380" w:line="314" w:lineRule="exact"/>
        <w:ind w:left="0" w:right="0" w:firstLine="440"/>
        <w:jc w:val="both"/>
        <w:rPr>
          <w:sz w:val="20"/>
          <w:szCs w:val="20"/>
        </w:rPr>
      </w:pP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年度纳入合并范围的子公司共</w:t>
      </w:r>
      <w:r>
        <w:rPr>
          <w:rFonts w:ascii="Times New Roman" w:eastAsia="Times New Roman" w:hAnsi="Times New Roman" w:cs="Times New Roman"/>
          <w:b w:val="0"/>
          <w:bCs w:val="0"/>
          <w:color w:val="000000"/>
          <w:spacing w:val="0"/>
          <w:w w:val="100"/>
          <w:position w:val="0"/>
          <w:sz w:val="20"/>
          <w:szCs w:val="20"/>
        </w:rPr>
        <w:t>18</w:t>
      </w:r>
      <w:r>
        <w:rPr>
          <w:b w:val="0"/>
          <w:bCs w:val="0"/>
          <w:color w:val="000000"/>
          <w:spacing w:val="0"/>
          <w:w w:val="100"/>
          <w:position w:val="0"/>
          <w:sz w:val="20"/>
          <w:szCs w:val="20"/>
        </w:rPr>
        <w:t>家，详见附注七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在其他主体中的权益</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。与上年度相比， 本公司本年度合并范围减少</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家，详见附注八</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合并范围的变更</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22"/>
        <w:keepNext/>
        <w:keepLines/>
        <w:widowControl w:val="0"/>
        <w:shd w:val="clear" w:color="auto" w:fill="auto"/>
        <w:bidi w:val="0"/>
        <w:spacing w:before="0" w:after="28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rPr>
        <w:t>四</w:t>
      </w:r>
      <w:bookmarkEnd w:id="690"/>
      <w:r>
        <w:rPr>
          <w:color w:val="000000"/>
          <w:spacing w:val="0"/>
          <w:w w:val="100"/>
          <w:position w:val="0"/>
        </w:rPr>
        <w:t>、财务报表的编制基础</w:t>
      </w:r>
      <w:bookmarkEnd w:id="688"/>
      <w:bookmarkEnd w:id="689"/>
      <w:bookmarkEnd w:id="691"/>
    </w:p>
    <w:p>
      <w:pPr>
        <w:pStyle w:val="Style28"/>
        <w:keepNext/>
        <w:keepLines/>
        <w:widowControl w:val="0"/>
        <w:shd w:val="clear" w:color="auto" w:fill="auto"/>
        <w:tabs>
          <w:tab w:pos="368" w:val="left"/>
        </w:tabs>
        <w:bidi w:val="0"/>
        <w:spacing w:before="0" w:after="280" w:line="314" w:lineRule="exact"/>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编制基础</w:t>
      </w:r>
      <w:bookmarkEnd w:id="692"/>
      <w:bookmarkEnd w:id="693"/>
      <w:bookmarkEnd w:id="695"/>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本公司财务报表以持续经营假设为基础，根据实际发生的交易和事项，按照财政部于</w:t>
      </w:r>
      <w:r>
        <w:rPr>
          <w:rFonts w:ascii="Times New Roman" w:eastAsia="Times New Roman" w:hAnsi="Times New Roman" w:cs="Times New Roman"/>
          <w:b w:val="0"/>
          <w:bCs w:val="0"/>
          <w:color w:val="000000"/>
          <w:spacing w:val="0"/>
          <w:w w:val="100"/>
          <w:position w:val="0"/>
          <w:sz w:val="20"/>
          <w:szCs w:val="20"/>
        </w:rPr>
        <w:t>2006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 及以后颁布的《企业会计准则一基本准则》和各项具体会计准则、企业会计准则应用指南、企业会计准 则解释及其他相关规定（以下合称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企业会计准则</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），以及中国证券监督管理委员会《公开发行证券的公 司信息披露编报规则第</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号——财务报告的一般规定》的披露规定编制。</w:t>
      </w:r>
    </w:p>
    <w:p>
      <w:pPr>
        <w:pStyle w:val="Style16"/>
        <w:keepNext w:val="0"/>
        <w:keepLines w:val="0"/>
        <w:widowControl w:val="0"/>
        <w:shd w:val="clear" w:color="auto" w:fill="auto"/>
        <w:bidi w:val="0"/>
        <w:spacing w:before="0" w:after="280" w:line="311" w:lineRule="exact"/>
        <w:ind w:left="0" w:right="0" w:firstLine="0"/>
        <w:jc w:val="left"/>
        <w:rPr>
          <w:sz w:val="20"/>
          <w:szCs w:val="20"/>
        </w:rPr>
      </w:pPr>
      <w:r>
        <w:rPr>
          <w:b w:val="0"/>
          <w:bCs w:val="0"/>
          <w:color w:val="000000"/>
          <w:spacing w:val="0"/>
          <w:w w:val="100"/>
          <w:position w:val="0"/>
          <w:sz w:val="20"/>
          <w:szCs w:val="20"/>
        </w:rPr>
        <w:t>根据企业会计准则的相关规定，本公司会计核算以权责发生制为基础。除某些金融工具外，本财务报表均 以历史成本为计量基础。资产如果发生减值，则按照相关规定计提相应的减值准备。</w:t>
      </w:r>
    </w:p>
    <w:p>
      <w:pPr>
        <w:pStyle w:val="Style28"/>
        <w:keepNext/>
        <w:keepLines/>
        <w:widowControl w:val="0"/>
        <w:shd w:val="clear" w:color="auto" w:fill="auto"/>
        <w:tabs>
          <w:tab w:pos="378" w:val="left"/>
        </w:tabs>
        <w:bidi w:val="0"/>
        <w:spacing w:before="0" w:after="280" w:line="314" w:lineRule="exact"/>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持续经营</w:t>
      </w:r>
      <w:bookmarkEnd w:id="696"/>
      <w:bookmarkEnd w:id="697"/>
      <w:bookmarkEnd w:id="699"/>
    </w:p>
    <w:p>
      <w:pPr>
        <w:pStyle w:val="Style16"/>
        <w:keepNext w:val="0"/>
        <w:keepLines w:val="0"/>
        <w:widowControl w:val="0"/>
        <w:shd w:val="clear" w:color="auto" w:fill="auto"/>
        <w:bidi w:val="0"/>
        <w:spacing w:before="0" w:after="680" w:line="314" w:lineRule="exact"/>
        <w:ind w:left="0" w:right="0" w:firstLine="0"/>
        <w:jc w:val="left"/>
        <w:rPr>
          <w:sz w:val="20"/>
          <w:szCs w:val="20"/>
        </w:rPr>
      </w:pPr>
      <w:r>
        <w:rPr>
          <w:b w:val="0"/>
          <w:bCs w:val="0"/>
          <w:color w:val="000000"/>
          <w:spacing w:val="0"/>
          <w:w w:val="100"/>
          <w:position w:val="0"/>
          <w:sz w:val="20"/>
          <w:szCs w:val="20"/>
        </w:rPr>
        <w:t>公司自本报告期末至少</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个月内具备持续经营能力，无影响持续经营能力的重大事项。</w:t>
      </w:r>
    </w:p>
    <w:p>
      <w:pPr>
        <w:pStyle w:val="Style22"/>
        <w:keepNext/>
        <w:keepLines/>
        <w:widowControl w:val="0"/>
        <w:shd w:val="clear" w:color="auto" w:fill="auto"/>
        <w:bidi w:val="0"/>
        <w:spacing w:before="0" w:after="2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五</w:t>
      </w:r>
      <w:bookmarkEnd w:id="702"/>
      <w:r>
        <w:rPr>
          <w:color w:val="000000"/>
          <w:spacing w:val="0"/>
          <w:w w:val="100"/>
          <w:position w:val="0"/>
        </w:rPr>
        <w:t>、重要会计政策及会计估计</w:t>
      </w:r>
      <w:bookmarkEnd w:id="700"/>
      <w:bookmarkEnd w:id="701"/>
      <w:bookmarkEnd w:id="703"/>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本公司及各子公司根据实际生产经营特点，依据相关企业会计准则的规定，对应收款项的坏账准备的确认标准和计提方法、 收入确认等交易和事项指定了若干具体会计政策和会计估计。</w:t>
      </w:r>
    </w:p>
    <w:p>
      <w:pPr>
        <w:pStyle w:val="Style28"/>
        <w:keepNext/>
        <w:keepLines/>
        <w:widowControl w:val="0"/>
        <w:shd w:val="clear" w:color="auto" w:fill="auto"/>
        <w:bidi w:val="0"/>
        <w:spacing w:before="0" w:after="200" w:line="322"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、遵循企业会计准则的声明</w:t>
      </w:r>
      <w:bookmarkEnd w:id="704"/>
      <w:bookmarkEnd w:id="705"/>
      <w:bookmarkEnd w:id="707"/>
    </w:p>
    <w:p>
      <w:pPr>
        <w:pStyle w:val="Style16"/>
        <w:keepNext w:val="0"/>
        <w:keepLines w:val="0"/>
        <w:widowControl w:val="0"/>
        <w:shd w:val="clear" w:color="auto" w:fill="auto"/>
        <w:bidi w:val="0"/>
        <w:spacing w:before="0" w:after="280" w:line="307" w:lineRule="exact"/>
        <w:ind w:left="0" w:right="0" w:firstLine="0"/>
        <w:jc w:val="left"/>
        <w:rPr>
          <w:sz w:val="20"/>
          <w:szCs w:val="20"/>
        </w:rPr>
      </w:pPr>
      <w:r>
        <w:rPr>
          <w:b w:val="0"/>
          <w:bCs w:val="0"/>
          <w:color w:val="000000"/>
          <w:spacing w:val="0"/>
          <w:w w:val="100"/>
          <w:position w:val="0"/>
          <w:sz w:val="20"/>
          <w:szCs w:val="20"/>
        </w:rPr>
        <w:t>本财务报表符合企业会计准则的要求，真实、完整地反映了本公司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日的合并及公司财务状况 以及</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年度的合并及公司经营成果和现金流量。</w:t>
      </w:r>
    </w:p>
    <w:p>
      <w:pPr>
        <w:pStyle w:val="Style28"/>
        <w:keepNext/>
        <w:keepLines/>
        <w:widowControl w:val="0"/>
        <w:shd w:val="clear" w:color="auto" w:fill="auto"/>
        <w:bidi w:val="0"/>
        <w:spacing w:before="0" w:after="300" w:line="298"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、会计期间</w:t>
      </w:r>
      <w:bookmarkEnd w:id="708"/>
      <w:bookmarkEnd w:id="709"/>
      <w:bookmarkEnd w:id="711"/>
    </w:p>
    <w:p>
      <w:pPr>
        <w:pStyle w:val="Style16"/>
        <w:keepNext w:val="0"/>
        <w:keepLines w:val="0"/>
        <w:widowControl w:val="0"/>
        <w:shd w:val="clear" w:color="auto" w:fill="auto"/>
        <w:bidi w:val="0"/>
        <w:spacing w:before="0" w:after="960" w:line="298" w:lineRule="exact"/>
        <w:ind w:left="0" w:right="0" w:firstLine="440"/>
        <w:jc w:val="both"/>
        <w:rPr>
          <w:sz w:val="20"/>
          <w:szCs w:val="20"/>
        </w:rPr>
      </w:pPr>
      <w:r>
        <w:rPr>
          <w:b w:val="0"/>
          <w:bCs w:val="0"/>
          <w:color w:val="000000"/>
          <w:spacing w:val="0"/>
          <w:w w:val="100"/>
          <w:position w:val="0"/>
          <w:sz w:val="20"/>
          <w:szCs w:val="2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日起至</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日止。</w:t>
      </w:r>
    </w:p>
    <w:p>
      <w:pPr>
        <w:pStyle w:val="Style28"/>
        <w:keepNext/>
        <w:keepLines/>
        <w:widowControl w:val="0"/>
        <w:shd w:val="clear" w:color="auto" w:fill="auto"/>
        <w:bidi w:val="0"/>
        <w:spacing w:before="0" w:after="300" w:line="288" w:lineRule="exact"/>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、营业周期</w:t>
      </w:r>
      <w:bookmarkEnd w:id="712"/>
      <w:bookmarkEnd w:id="713"/>
      <w:bookmarkEnd w:id="715"/>
    </w:p>
    <w:p>
      <w:pPr>
        <w:pStyle w:val="Style16"/>
        <w:keepNext w:val="0"/>
        <w:keepLines w:val="0"/>
        <w:widowControl w:val="0"/>
        <w:shd w:val="clear" w:color="auto" w:fill="auto"/>
        <w:bidi w:val="0"/>
        <w:spacing w:before="0" w:after="620" w:line="288" w:lineRule="exact"/>
        <w:ind w:left="0" w:right="0" w:firstLine="440"/>
        <w:jc w:val="both"/>
        <w:rPr>
          <w:sz w:val="20"/>
          <w:szCs w:val="20"/>
        </w:rPr>
      </w:pPr>
      <w:r>
        <w:rPr>
          <w:b w:val="0"/>
          <w:bCs w:val="0"/>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 作为一个营业周期，并以其作为资产和负债的流动性划分标准。</w:t>
      </w:r>
    </w:p>
    <w:p>
      <w:pPr>
        <w:pStyle w:val="Style28"/>
        <w:keepNext/>
        <w:keepLines/>
        <w:widowControl w:val="0"/>
        <w:shd w:val="clear" w:color="auto" w:fill="auto"/>
        <w:tabs>
          <w:tab w:pos="352" w:val="left"/>
        </w:tabs>
        <w:bidi w:val="0"/>
        <w:spacing w:before="0" w:after="300" w:line="311" w:lineRule="exact"/>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w:t>
        <w:tab/>
        <w:t>记账本位币</w:t>
      </w:r>
      <w:bookmarkEnd w:id="716"/>
      <w:bookmarkEnd w:id="717"/>
      <w:bookmarkEnd w:id="719"/>
    </w:p>
    <w:p>
      <w:pPr>
        <w:pStyle w:val="Style16"/>
        <w:keepNext w:val="0"/>
        <w:keepLines w:val="0"/>
        <w:widowControl w:val="0"/>
        <w:shd w:val="clear" w:color="auto" w:fill="auto"/>
        <w:bidi w:val="0"/>
        <w:spacing w:before="0" w:after="0" w:line="317" w:lineRule="exact"/>
        <w:ind w:left="0" w:right="0" w:firstLine="0"/>
        <w:jc w:val="both"/>
        <w:rPr>
          <w:sz w:val="20"/>
          <w:szCs w:val="20"/>
        </w:rPr>
      </w:pPr>
      <w:r>
        <w:rPr>
          <w:b w:val="0"/>
          <w:bCs w:val="0"/>
          <w:color w:val="000000"/>
          <w:spacing w:val="0"/>
          <w:w w:val="100"/>
          <w:position w:val="0"/>
          <w:sz w:val="20"/>
          <w:szCs w:val="20"/>
        </w:rPr>
        <w:t>本公司以人民币为记账本位币。</w:t>
      </w:r>
    </w:p>
    <w:p>
      <w:pPr>
        <w:pStyle w:val="Style16"/>
        <w:keepNext w:val="0"/>
        <w:keepLines w:val="0"/>
        <w:widowControl w:val="0"/>
        <w:shd w:val="clear" w:color="auto" w:fill="auto"/>
        <w:bidi w:val="0"/>
        <w:spacing w:before="0" w:after="300" w:line="317" w:lineRule="exact"/>
        <w:ind w:left="0" w:right="0" w:firstLine="0"/>
        <w:jc w:val="both"/>
        <w:rPr>
          <w:sz w:val="20"/>
          <w:szCs w:val="20"/>
        </w:rPr>
      </w:pPr>
      <w:r>
        <w:rPr>
          <w:b w:val="0"/>
          <w:bCs w:val="0"/>
          <w:color w:val="000000"/>
          <w:spacing w:val="0"/>
          <w:w w:val="100"/>
          <w:position w:val="0"/>
          <w:sz w:val="20"/>
          <w:szCs w:val="20"/>
        </w:rPr>
        <w:t>本公司下属子公司、合营企业及联营企业，根据其经营所处的主要经济环境自行决定其记账本位币，编制 财务报表时折算为人民币。</w:t>
      </w:r>
    </w:p>
    <w:p>
      <w:pPr>
        <w:pStyle w:val="Style28"/>
        <w:keepNext/>
        <w:keepLines/>
        <w:widowControl w:val="0"/>
        <w:shd w:val="clear" w:color="auto" w:fill="auto"/>
        <w:tabs>
          <w:tab w:pos="352" w:val="left"/>
        </w:tabs>
        <w:bidi w:val="0"/>
        <w:spacing w:before="0" w:after="300" w:line="311" w:lineRule="exact"/>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w:t>
        <w:tab/>
        <w:t>同一控制下和非同一控制下企业合并的会计处理方法</w:t>
      </w:r>
      <w:bookmarkEnd w:id="720"/>
      <w:bookmarkEnd w:id="721"/>
      <w:bookmarkEnd w:id="723"/>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16"/>
        <w:keepNext w:val="0"/>
        <w:keepLines w:val="0"/>
        <w:widowControl w:val="0"/>
        <w:shd w:val="clear" w:color="auto" w:fill="auto"/>
        <w:tabs>
          <w:tab w:pos="902" w:val="left"/>
        </w:tabs>
        <w:bidi w:val="0"/>
        <w:spacing w:before="0" w:after="0" w:line="311" w:lineRule="exact"/>
        <w:ind w:left="0" w:right="0" w:firstLine="440"/>
        <w:jc w:val="both"/>
        <w:rPr>
          <w:sz w:val="20"/>
          <w:szCs w:val="20"/>
        </w:rPr>
      </w:pPr>
      <w:bookmarkStart w:id="724" w:name="bookmark724"/>
      <w:r>
        <w:rPr>
          <w:b w:val="0"/>
          <w:bCs w:val="0"/>
          <w:color w:val="000000"/>
          <w:spacing w:val="0"/>
          <w:w w:val="100"/>
          <w:position w:val="0"/>
          <w:sz w:val="20"/>
          <w:szCs w:val="20"/>
        </w:rPr>
        <w:t>（</w:t>
      </w:r>
      <w:bookmarkEnd w:id="724"/>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同一控制下企业合并</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16"/>
        <w:keepNext w:val="0"/>
        <w:keepLines w:val="0"/>
        <w:widowControl w:val="0"/>
        <w:shd w:val="clear" w:color="auto" w:fill="auto"/>
        <w:bidi w:val="0"/>
        <w:spacing w:before="0" w:after="0" w:line="311" w:lineRule="exact"/>
        <w:ind w:left="0" w:right="0" w:firstLine="440"/>
        <w:jc w:val="left"/>
        <w:rPr>
          <w:sz w:val="20"/>
          <w:szCs w:val="20"/>
        </w:rPr>
      </w:pPr>
      <w:r>
        <w:rPr>
          <w:b w:val="0"/>
          <w:bCs w:val="0"/>
          <w:color w:val="000000"/>
          <w:spacing w:val="0"/>
          <w:w w:val="100"/>
          <w:position w:val="0"/>
          <w:sz w:val="20"/>
          <w:szCs w:val="20"/>
        </w:rPr>
        <w:t>合并方为进行企业合并发生的各项直接费用，于发生时计入当期损益。</w:t>
      </w:r>
    </w:p>
    <w:p>
      <w:pPr>
        <w:pStyle w:val="Style16"/>
        <w:keepNext w:val="0"/>
        <w:keepLines w:val="0"/>
        <w:widowControl w:val="0"/>
        <w:shd w:val="clear" w:color="auto" w:fill="auto"/>
        <w:tabs>
          <w:tab w:pos="902" w:val="left"/>
        </w:tabs>
        <w:bidi w:val="0"/>
        <w:spacing w:before="0" w:after="0" w:line="311" w:lineRule="exact"/>
        <w:ind w:left="0" w:right="0" w:firstLine="440"/>
        <w:jc w:val="left"/>
        <w:rPr>
          <w:sz w:val="20"/>
          <w:szCs w:val="20"/>
        </w:rPr>
      </w:pPr>
      <w:bookmarkStart w:id="725" w:name="bookmark725"/>
      <w:r>
        <w:rPr>
          <w:b w:val="0"/>
          <w:bCs w:val="0"/>
          <w:color w:val="000000"/>
          <w:spacing w:val="0"/>
          <w:w w:val="100"/>
          <w:position w:val="0"/>
          <w:sz w:val="20"/>
          <w:szCs w:val="20"/>
        </w:rPr>
        <w:t>（</w:t>
      </w:r>
      <w:bookmarkEnd w:id="72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非同一控制下企业合并</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16"/>
        <w:keepNext w:val="0"/>
        <w:keepLines w:val="0"/>
        <w:widowControl w:val="0"/>
        <w:shd w:val="clear" w:color="auto" w:fill="auto"/>
        <w:bidi w:val="0"/>
        <w:spacing w:before="0" w:after="300" w:line="311" w:lineRule="exact"/>
        <w:ind w:left="0" w:right="0" w:firstLine="440"/>
        <w:jc w:val="both"/>
        <w:rPr>
          <w:sz w:val="20"/>
          <w:szCs w:val="20"/>
        </w:rPr>
      </w:pPr>
      <w:r>
        <w:rPr>
          <w:b w:val="0"/>
          <w:bCs w:val="0"/>
          <w:color w:val="000000"/>
          <w:spacing w:val="0"/>
          <w:w w:val="100"/>
          <w:position w:val="0"/>
          <w:sz w:val="20"/>
          <w:szCs w:val="2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购买方取得被购买方的可抵扣暂时性差异，在购买日因不符合递延所得税资产确认条件而未予确认 的，在购买日后</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16"/>
        <w:keepNext w:val="0"/>
        <w:keepLines w:val="0"/>
        <w:widowControl w:val="0"/>
        <w:shd w:val="clear" w:color="auto" w:fill="auto"/>
        <w:tabs>
          <w:tab w:pos="2112" w:val="left"/>
        </w:tabs>
        <w:bidi w:val="0"/>
        <w:spacing w:before="0" w:after="0" w:line="314" w:lineRule="exact"/>
        <w:ind w:left="0" w:right="0" w:firstLine="440"/>
        <w:jc w:val="both"/>
        <w:rPr>
          <w:sz w:val="20"/>
          <w:szCs w:val="20"/>
        </w:rPr>
      </w:pPr>
      <w:r>
        <w:rPr>
          <w:b w:val="0"/>
          <w:bCs w:val="0"/>
          <w:color w:val="000000"/>
          <w:spacing w:val="0"/>
          <w:w w:val="100"/>
          <w:position w:val="0"/>
          <w:sz w:val="20"/>
          <w:szCs w:val="20"/>
        </w:rPr>
        <w:t>通过多次交易分步实现的非同一控制下企业合并，根据《财政部关于印发企业会计准则解释第</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号的 通知》（财会〔</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w:t>
        <w:tab/>
      </w:r>
      <w:r>
        <w:rPr>
          <w:rFonts w:ascii="Times New Roman" w:eastAsia="Times New Roman" w:hAnsi="Times New Roman" w:cs="Times New Roman"/>
          <w:b w:val="0"/>
          <w:bCs w:val="0"/>
          <w:color w:val="000000"/>
          <w:spacing w:val="0"/>
          <w:w w:val="100"/>
          <w:position w:val="0"/>
          <w:sz w:val="20"/>
          <w:szCs w:val="20"/>
        </w:rPr>
        <w:t>19</w:t>
      </w:r>
      <w:r>
        <w:rPr>
          <w:b w:val="0"/>
          <w:bCs w:val="0"/>
          <w:color w:val="000000"/>
          <w:spacing w:val="0"/>
          <w:w w:val="100"/>
          <w:position w:val="0"/>
          <w:sz w:val="20"/>
          <w:szCs w:val="20"/>
        </w:rPr>
        <w:t>号）和《企业会计准则第</w:t>
      </w:r>
      <w:r>
        <w:rPr>
          <w:rFonts w:ascii="Times New Roman" w:eastAsia="Times New Roman" w:hAnsi="Times New Roman" w:cs="Times New Roman"/>
          <w:b w:val="0"/>
          <w:bCs w:val="0"/>
          <w:color w:val="000000"/>
          <w:spacing w:val="0"/>
          <w:w w:val="100"/>
          <w:position w:val="0"/>
          <w:sz w:val="20"/>
          <w:szCs w:val="20"/>
        </w:rPr>
        <w:t>33</w:t>
      </w:r>
      <w:r>
        <w:rPr>
          <w:b w:val="0"/>
          <w:bCs w:val="0"/>
          <w:color w:val="000000"/>
          <w:spacing w:val="0"/>
          <w:w w:val="100"/>
          <w:position w:val="0"/>
          <w:sz w:val="20"/>
          <w:szCs w:val="20"/>
        </w:rPr>
        <w:t>号——合并财务报表》第五十一条关于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p>
    <w:p>
      <w:pPr>
        <w:pStyle w:val="Style16"/>
        <w:keepNext w:val="0"/>
        <w:keepLines w:val="0"/>
        <w:widowControl w:val="0"/>
        <w:shd w:val="clear" w:color="auto" w:fill="auto"/>
        <w:bidi w:val="0"/>
        <w:spacing w:before="0" w:after="0" w:line="314" w:lineRule="exact"/>
        <w:ind w:left="0" w:right="0" w:firstLine="0"/>
        <w:jc w:val="both"/>
        <w:rPr>
          <w:sz w:val="20"/>
          <w:szCs w:val="20"/>
        </w:rPr>
      </w:pPr>
      <w:r>
        <w:rPr>
          <w:b w:val="0"/>
          <w:bCs w:val="0"/>
          <w:color w:val="000000"/>
          <w:spacing w:val="0"/>
          <w:w w:val="100"/>
          <w:position w:val="0"/>
          <w:sz w:val="20"/>
          <w:szCs w:val="20"/>
        </w:rPr>
        <w:t>的判断标准（参见本附注三、</w:t>
      </w:r>
      <w:r>
        <w:rPr>
          <w:rFonts w:ascii="Times New Roman" w:eastAsia="Times New Roman" w:hAnsi="Times New Roman" w:cs="Times New Roman"/>
          <w:b w:val="0"/>
          <w:bCs w:val="0"/>
          <w:color w:val="000000"/>
          <w:spacing w:val="0"/>
          <w:w w:val="100"/>
          <w:position w:val="0"/>
          <w:sz w:val="20"/>
          <w:szCs w:val="20"/>
        </w:rPr>
        <w:t xml:space="preserve">6 </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）），判断该多次交易是否属于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 参考本部分前面各段描述及本附注三、</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长期股权投资</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进行会计处理；不属于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的，区分个 别财务报表和合并财务报表进行相关会计处理：</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16"/>
        <w:keepNext w:val="0"/>
        <w:keepLines w:val="0"/>
        <w:widowControl w:val="0"/>
        <w:shd w:val="clear" w:color="auto" w:fill="auto"/>
        <w:bidi w:val="0"/>
        <w:spacing w:before="0" w:after="360" w:line="314" w:lineRule="exact"/>
        <w:ind w:left="0" w:right="0" w:firstLine="440"/>
        <w:jc w:val="both"/>
        <w:rPr>
          <w:sz w:val="20"/>
          <w:szCs w:val="20"/>
        </w:rPr>
      </w:pPr>
      <w:r>
        <w:rPr>
          <w:b w:val="0"/>
          <w:bCs w:val="0"/>
          <w:color w:val="000000"/>
          <w:spacing w:val="0"/>
          <w:w w:val="100"/>
          <w:position w:val="0"/>
          <w:sz w:val="20"/>
          <w:szCs w:val="2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28"/>
        <w:keepNext/>
        <w:keepLines/>
        <w:widowControl w:val="0"/>
        <w:shd w:val="clear" w:color="auto" w:fill="auto"/>
        <w:bidi w:val="0"/>
        <w:spacing w:before="0" w:after="200" w:line="326"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6</w:t>
      </w:r>
      <w:bookmarkEnd w:id="728"/>
      <w:r>
        <w:rPr>
          <w:color w:val="000000"/>
          <w:spacing w:val="0"/>
          <w:w w:val="100"/>
          <w:position w:val="0"/>
        </w:rPr>
        <w:t>、合并财务报表的编制方法</w:t>
      </w:r>
      <w:bookmarkEnd w:id="726"/>
      <w:bookmarkEnd w:id="727"/>
      <w:bookmarkEnd w:id="729"/>
    </w:p>
    <w:p>
      <w:pPr>
        <w:pStyle w:val="Style16"/>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30" w:name="bookmark730"/>
      <w:r>
        <w:rPr>
          <w:b w:val="0"/>
          <w:bCs w:val="0"/>
          <w:color w:val="000000"/>
          <w:spacing w:val="0"/>
          <w:w w:val="100"/>
          <w:position w:val="0"/>
          <w:sz w:val="20"/>
          <w:szCs w:val="20"/>
        </w:rPr>
        <w:t>（</w:t>
      </w:r>
      <w:bookmarkEnd w:id="73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合并财务报表范围的确定原则</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一旦相关事实和情况的变化导致上述控制定义涉及的相关要素发生了变化，本公司将进行重新评估。</w:t>
      </w:r>
    </w:p>
    <w:p>
      <w:pPr>
        <w:pStyle w:val="Style16"/>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31" w:name="bookmark731"/>
      <w:r>
        <w:rPr>
          <w:b w:val="0"/>
          <w:bCs w:val="0"/>
          <w:color w:val="000000"/>
          <w:spacing w:val="0"/>
          <w:w w:val="100"/>
          <w:position w:val="0"/>
          <w:sz w:val="20"/>
          <w:szCs w:val="20"/>
        </w:rPr>
        <w:t>（</w:t>
      </w:r>
      <w:bookmarkEnd w:id="73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合并财务报表编制的方法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公司内往来余额、交易及未实现利润在合并财务报表编制时予以抵销。</w:t>
      </w:r>
    </w:p>
    <w:p>
      <w:pPr>
        <w:pStyle w:val="Style16"/>
        <w:keepNext w:val="0"/>
        <w:keepLines w:val="0"/>
        <w:widowControl w:val="0"/>
        <w:shd w:val="clear" w:color="auto" w:fill="auto"/>
        <w:bidi w:val="0"/>
        <w:spacing w:before="0" w:after="200" w:line="313" w:lineRule="exact"/>
        <w:ind w:left="0" w:right="0" w:firstLine="440"/>
        <w:jc w:val="both"/>
        <w:rPr>
          <w:sz w:val="20"/>
          <w:szCs w:val="20"/>
        </w:rPr>
      </w:pPr>
      <w:r>
        <w:rPr>
          <w:b w:val="0"/>
          <w:bCs w:val="0"/>
          <w:color w:val="000000"/>
          <w:spacing w:val="0"/>
          <w:w w:val="100"/>
          <w:position w:val="0"/>
          <w:sz w:val="20"/>
          <w:szCs w:val="2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少数股东损益''项目列示。少数股东分担的子公司的亏损超过了少数股东在 该子公司期初股东权益中所享有的份额，仍冲减少数股东权益。</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w:t>
      </w:r>
      <w:r>
        <w:rPr>
          <w:b w:val="0"/>
          <w:bCs w:val="0"/>
          <w:color w:val="000000"/>
          <w:spacing w:val="0"/>
          <w:w w:val="100"/>
          <w:position w:val="0"/>
          <w:sz w:val="20"/>
          <w:szCs w:val="20"/>
        </w:rPr>
        <w:t>，</w:t>
      </w:r>
      <w:r>
        <w:rPr>
          <w:b w:val="0"/>
          <w:bCs w:val="0"/>
          <w:color w:val="000000"/>
          <w:spacing w:val="0"/>
          <w:w w:val="100"/>
          <w:position w:val="0"/>
          <w:sz w:val="20"/>
          <w:szCs w:val="20"/>
        </w:rPr>
        <w:t>对该部分剩余股权按照《企业会计准则第</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号一长期股权投资》或 《企业会计准则第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号——金融工具确认和计量》等相关规定进行后续计量，详见本附注三、</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长期股权 投资</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或本附注三、</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金融工具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6"/>
        <w:keepNext w:val="0"/>
        <w:keepLines w:val="0"/>
        <w:widowControl w:val="0"/>
        <w:shd w:val="clear" w:color="auto" w:fill="auto"/>
        <w:bidi w:val="0"/>
        <w:spacing w:before="0" w:after="380" w:line="313" w:lineRule="exact"/>
        <w:ind w:left="0" w:right="0" w:firstLine="0"/>
        <w:jc w:val="both"/>
        <w:rPr>
          <w:sz w:val="20"/>
          <w:szCs w:val="20"/>
        </w:rPr>
      </w:pPr>
      <w:r>
        <w:rPr>
          <w:b w:val="0"/>
          <w:bCs w:val="0"/>
          <w:color w:val="000000"/>
          <w:spacing w:val="0"/>
          <w:w w:val="100"/>
          <w:position w:val="0"/>
          <w:sz w:val="20"/>
          <w:szCs w:val="20"/>
        </w:rPr>
        <w:t>本公司通过多次交易分步处置对子公司股权投资直至丧失控制权的，需区分处置对子公司股权投资直至丧 失控制权的各项交易是否属于一揽子交易。处置对子公司股权投资的各项交易的条款、条件以及经济影响 符合以下一种或多种情况，通常表明应将多次交易事项作为一揽子交易进行会计处理：①这些交易是同 时或者在考虑了彼此影响的情况下订立的；②这些交易整体才能达成一项完整的商业结果；③一项交易 的发生取决于其他至少一项交易的发生；④一项交易单独看是不经济的，但是和其他交易一并考虑时是 经济的。不属于一揽子交易的，对其中的每一项交易视情况分别按照</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不丧失控制权的情况下部分处置对 子公司的长期股权投资'’（详见本附注三、</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）④）和</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因处置部分股权投资或其他原因丧失了对原有 子公司的控制权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（详见前段）适用的原则进行会计处理。处置对子公司股权投资直至丧失控制权的各项 交易属于一揽子交易的，将各项交易作为一项处置子公司并丧失控制权的交易进行会计处理；但是，在丧 失控制权之前每一次处置价款与处置投资对应的享有该子公司净资产份额的差额，在合并财务报表中确认 为其他综合收益，在丧失控制权时一并转入丧失控制权当期的损益。</w:t>
      </w:r>
    </w:p>
    <w:p>
      <w:pPr>
        <w:pStyle w:val="Style28"/>
        <w:keepNext/>
        <w:keepLines/>
        <w:widowControl w:val="0"/>
        <w:shd w:val="clear" w:color="auto" w:fill="auto"/>
        <w:tabs>
          <w:tab w:pos="318" w:val="left"/>
        </w:tabs>
        <w:bidi w:val="0"/>
        <w:spacing w:before="0" w:after="200" w:line="326"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7</w:t>
      </w:r>
      <w:bookmarkEnd w:id="734"/>
      <w:r>
        <w:rPr>
          <w:color w:val="000000"/>
          <w:spacing w:val="0"/>
          <w:w w:val="100"/>
          <w:position w:val="0"/>
        </w:rPr>
        <w:t>、</w:t>
        <w:tab/>
        <w:t>合营安排分类及共同经营会计处理方法</w:t>
      </w:r>
      <w:bookmarkEnd w:id="732"/>
      <w:bookmarkEnd w:id="733"/>
      <w:bookmarkEnd w:id="735"/>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本公司对合营企业的投资采用权益法核算，按照本附注三、</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权益法核算的长期股权投资</w:t>
      </w:r>
      <w:r>
        <w:rPr>
          <w:rFonts w:ascii="Times New Roman" w:eastAsia="Times New Roman" w:hAnsi="Times New Roman" w:cs="Times New Roman"/>
          <w:b w:val="0"/>
          <w:bCs w:val="0"/>
          <w:color w:val="000000"/>
          <w:spacing w:val="0"/>
          <w:w w:val="100"/>
          <w:position w:val="0"/>
          <w:sz w:val="20"/>
          <w:szCs w:val="20"/>
        </w:rPr>
        <w:t xml:space="preserve">” </w:t>
      </w:r>
      <w:r>
        <w:rPr>
          <w:b w:val="0"/>
          <w:bCs w:val="0"/>
          <w:color w:val="000000"/>
          <w:spacing w:val="0"/>
          <w:w w:val="100"/>
          <w:position w:val="0"/>
          <w:sz w:val="20"/>
          <w:szCs w:val="20"/>
        </w:rPr>
        <w:t>中所述的会计政策处理。</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16"/>
        <w:keepNext w:val="0"/>
        <w:keepLines w:val="0"/>
        <w:widowControl w:val="0"/>
        <w:shd w:val="clear" w:color="auto" w:fill="auto"/>
        <w:bidi w:val="0"/>
        <w:spacing w:before="0" w:after="380" w:line="320" w:lineRule="exact"/>
        <w:ind w:left="0" w:right="0" w:firstLine="0"/>
        <w:jc w:val="left"/>
        <w:rPr>
          <w:sz w:val="20"/>
          <w:szCs w:val="20"/>
        </w:rPr>
      </w:pPr>
      <w:r>
        <w:rPr>
          <w:b w:val="0"/>
          <w:bCs w:val="0"/>
          <w:color w:val="000000"/>
          <w:spacing w:val="0"/>
          <w:w w:val="100"/>
          <w:position w:val="0"/>
          <w:sz w:val="20"/>
          <w:szCs w:val="20"/>
        </w:rPr>
        <w:t>当本公司作为合营方向共同经营投出或出售资产（该资产不构成业务，下同）或者自共同经营购买资产时， 在该等资产出售给第三方之前，本公司仅确认因该交易产生的损益中归属于共同经营其他参与方的部分。 该等资产发生符合《企业会计准则第</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号——资产减值》等规定的资产减值损失的，对于由本公司向共同 经营投出或出售资产的情况，本公司全额确认该损失；对于本公司自共同经营购买资产的情况，本公司按 承担的份额确认该损失。</w:t>
      </w:r>
    </w:p>
    <w:p>
      <w:pPr>
        <w:pStyle w:val="Style28"/>
        <w:keepNext/>
        <w:keepLines/>
        <w:widowControl w:val="0"/>
        <w:shd w:val="clear" w:color="auto" w:fill="auto"/>
        <w:tabs>
          <w:tab w:pos="318" w:val="left"/>
        </w:tabs>
        <w:bidi w:val="0"/>
        <w:spacing w:before="0" w:after="200" w:line="326"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w:t>
        <w:tab/>
        <w:t>现金及现金等价物的确定标准</w:t>
      </w:r>
      <w:bookmarkEnd w:id="736"/>
      <w:bookmarkEnd w:id="737"/>
      <w:bookmarkEnd w:id="739"/>
    </w:p>
    <w:p>
      <w:pPr>
        <w:pStyle w:val="Style16"/>
        <w:keepNext w:val="0"/>
        <w:keepLines w:val="0"/>
        <w:widowControl w:val="0"/>
        <w:shd w:val="clear" w:color="auto" w:fill="auto"/>
        <w:bidi w:val="0"/>
        <w:spacing w:before="0" w:after="380" w:line="307" w:lineRule="exact"/>
        <w:ind w:left="0" w:right="0" w:firstLine="0"/>
        <w:jc w:val="left"/>
        <w:rPr>
          <w:sz w:val="20"/>
          <w:szCs w:val="20"/>
        </w:rPr>
      </w:pPr>
      <w:r>
        <w:rPr>
          <w:b w:val="0"/>
          <w:bCs w:val="0"/>
          <w:color w:val="000000"/>
          <w:spacing w:val="0"/>
          <w:w w:val="100"/>
          <w:position w:val="0"/>
          <w:sz w:val="20"/>
          <w:szCs w:val="20"/>
        </w:rPr>
        <w:t>本公司现金及现金等价物包括库存现金、可以随时用于支付的存款以及本公司持有的期限短（一般为从购 买日起，三个月内到期）、流动性强、易于转换为已知金额的现金、价值变动风险很小的投资。</w:t>
      </w:r>
      <w:r>
        <w:rPr>
          <w:rFonts w:ascii="Times New Roman" w:eastAsia="Times New Roman" w:hAnsi="Times New Roman" w:cs="Times New Roman"/>
          <w:b w:val="0"/>
          <w:bCs w:val="0"/>
          <w:color w:val="000000"/>
          <w:spacing w:val="0"/>
          <w:w w:val="100"/>
          <w:position w:val="0"/>
          <w:sz w:val="20"/>
          <w:szCs w:val="20"/>
        </w:rPr>
        <w:t>isticS</w:t>
      </w:r>
    </w:p>
    <w:p>
      <w:pPr>
        <w:pStyle w:val="Style28"/>
        <w:keepNext/>
        <w:keepLines/>
        <w:widowControl w:val="0"/>
        <w:shd w:val="clear" w:color="auto" w:fill="auto"/>
        <w:tabs>
          <w:tab w:pos="318" w:val="left"/>
        </w:tabs>
        <w:bidi w:val="0"/>
        <w:spacing w:before="0" w:after="300" w:line="326"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9</w:t>
      </w:r>
      <w:bookmarkEnd w:id="742"/>
      <w:r>
        <w:rPr>
          <w:color w:val="000000"/>
          <w:spacing w:val="0"/>
          <w:w w:val="100"/>
          <w:position w:val="0"/>
        </w:rPr>
        <w:t>、</w:t>
        <w:tab/>
        <w:t>外币业务和外币报表折算</w:t>
      </w:r>
      <w:bookmarkEnd w:id="740"/>
      <w:bookmarkEnd w:id="741"/>
      <w:bookmarkEnd w:id="743"/>
    </w:p>
    <w:p>
      <w:pPr>
        <w:pStyle w:val="Style16"/>
        <w:keepNext w:val="0"/>
        <w:keepLines w:val="0"/>
        <w:widowControl w:val="0"/>
        <w:shd w:val="clear" w:color="auto" w:fill="auto"/>
        <w:bidi w:val="0"/>
        <w:spacing w:before="0" w:after="340" w:line="240" w:lineRule="auto"/>
        <w:ind w:left="0" w:right="0" w:firstLine="440"/>
        <w:jc w:val="both"/>
        <w:rPr>
          <w:sz w:val="20"/>
          <w:szCs w:val="20"/>
        </w:rPr>
      </w:pPr>
      <w:bookmarkStart w:id="744" w:name="bookmark744"/>
      <w:r>
        <w:rPr>
          <w:b w:val="0"/>
          <w:bCs w:val="0"/>
          <w:color w:val="000000"/>
          <w:spacing w:val="0"/>
          <w:w w:val="100"/>
          <w:position w:val="0"/>
          <w:sz w:val="20"/>
          <w:szCs w:val="20"/>
        </w:rPr>
        <w:t>（</w:t>
      </w:r>
      <w:bookmarkEnd w:id="744"/>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）外币交易的折算方法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16"/>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45" w:name="bookmark745"/>
      <w:r>
        <w:rPr>
          <w:b w:val="0"/>
          <w:bCs w:val="0"/>
          <w:color w:val="000000"/>
          <w:spacing w:val="0"/>
          <w:w w:val="100"/>
          <w:position w:val="0"/>
          <w:sz w:val="20"/>
          <w:szCs w:val="20"/>
        </w:rPr>
        <w:t>（</w:t>
      </w:r>
      <w:bookmarkEnd w:id="74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对于外币货币性项目和外币非货币性项目的折算方法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资产负债表日，对于外币货币性项目采用资产负债表日即期汇率折算，由此产生的汇兑差额，除：属 于与购建符合资本化条件的资产相关的外币专门借款产生的汇兑差额按照借款费用资本化的原则处理，以 及可供出售的外币货币性项目除摊余成本之外的其他账面余额变动产生的汇兑差额计入其他综合收益之 外，均计入当期损益。</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16"/>
        <w:keepNext w:val="0"/>
        <w:keepLines w:val="0"/>
        <w:widowControl w:val="0"/>
        <w:shd w:val="clear" w:color="auto" w:fill="auto"/>
        <w:tabs>
          <w:tab w:pos="868" w:val="left"/>
        </w:tabs>
        <w:bidi w:val="0"/>
        <w:spacing w:before="0" w:after="0" w:line="313" w:lineRule="exact"/>
        <w:ind w:left="0" w:right="0" w:firstLine="440"/>
        <w:jc w:val="both"/>
        <w:rPr>
          <w:sz w:val="20"/>
          <w:szCs w:val="20"/>
        </w:rPr>
      </w:pPr>
      <w:bookmarkStart w:id="746" w:name="bookmark746"/>
      <w:r>
        <w:rPr>
          <w:b w:val="0"/>
          <w:bCs w:val="0"/>
          <w:color w:val="000000"/>
          <w:spacing w:val="0"/>
          <w:w w:val="100"/>
          <w:position w:val="0"/>
          <w:sz w:val="20"/>
          <w:szCs w:val="20"/>
        </w:rPr>
        <w:t>（</w:t>
      </w:r>
      <w:bookmarkEnd w:id="746"/>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外币财务报表的折算方法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编制合并财务报表涉及境外经营的，如有实质上构成对境外经营净投资的外币货币性项目，因汇率变 动而产生的汇兑差额，作为</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外币报表折算差额</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确认为其他综合收益；处置境外经营时，计入处置当期损 益。</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未分配利润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项目外，其他项目采用发生时的即期汇率折算。 利润表中的收入和费用项目，采用交易发生当期平均汇率折算。年初未分配利润为上一年折算后的年末未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外币现金流量以及境外子公司的现金流量，采用现金流量发生当期平均汇率折算。汇率变动对现金的 影响额作为调节项目，在现金流量表中单独列报。</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年初数和上年实际数按照上年财务报表折算后的数额列示。</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在处置本公司在境外经营的全部所有者权益或因处置部分股权投资或其他原因丧失了对境外经营控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16"/>
        <w:keepNext w:val="0"/>
        <w:keepLines w:val="0"/>
        <w:widowControl w:val="0"/>
        <w:shd w:val="clear" w:color="auto" w:fill="auto"/>
        <w:bidi w:val="0"/>
        <w:spacing w:before="0" w:after="360" w:line="313" w:lineRule="exact"/>
        <w:ind w:left="0" w:right="0" w:firstLine="0"/>
        <w:jc w:val="both"/>
        <w:rPr>
          <w:sz w:val="20"/>
          <w:szCs w:val="20"/>
        </w:rPr>
      </w:pPr>
      <w:r>
        <w:rPr>
          <w:b w:val="0"/>
          <w:bCs w:val="0"/>
          <w:color w:val="000000"/>
          <w:spacing w:val="0"/>
          <w:w w:val="100"/>
          <w:position w:val="0"/>
          <w:sz w:val="20"/>
          <w:szCs w:val="20"/>
        </w:rPr>
        <w:t>在处置部分股权投资或其他原因导致持有境外经营权益比例降低但不丧失对境外经营控制权时，与该境外 经营处置部分相关的外币报表折算差额将归属于少数股东权益，不转入当期损益。在处置境外经营为联营 企业或合营企业的部分股权时，与该境外经营相关的外币报表折算差额，按处置该境外经营的比例转入处 置当期损益。</w:t>
      </w:r>
    </w:p>
    <w:p>
      <w:pPr>
        <w:pStyle w:val="Style28"/>
        <w:keepNext/>
        <w:keepLines/>
        <w:widowControl w:val="0"/>
        <w:shd w:val="clear" w:color="auto" w:fill="auto"/>
        <w:bidi w:val="0"/>
        <w:spacing w:before="0" w:after="200" w:line="326"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7"/>
      <w:bookmarkEnd w:id="748"/>
      <w:bookmarkEnd w:id="750"/>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金融工具，是指形成一方的金融资产并形成其他方的金融负债或权益工具的合同。当本公司成为金融 工具合同的一方时，确认相关的金融资产或金融负债。</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16"/>
        <w:keepNext w:val="0"/>
        <w:keepLines w:val="0"/>
        <w:widowControl w:val="0"/>
        <w:shd w:val="clear" w:color="auto" w:fill="auto"/>
        <w:bidi w:val="0"/>
        <w:spacing w:before="0" w:after="100" w:line="314" w:lineRule="exact"/>
        <w:ind w:left="0" w:right="0" w:firstLine="440"/>
        <w:jc w:val="both"/>
        <w:rPr>
          <w:sz w:val="20"/>
          <w:szCs w:val="20"/>
        </w:rPr>
      </w:pPr>
      <w:r>
        <w:rPr>
          <w:b w:val="0"/>
          <w:bCs w:val="0"/>
          <w:color w:val="000000"/>
          <w:spacing w:val="0"/>
          <w:w w:val="100"/>
          <w:position w:val="0"/>
          <w:sz w:val="20"/>
          <w:szCs w:val="2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生工具以及被指定为有效套期工具的衍生工具除外。</w:t>
      </w:r>
    </w:p>
    <w:p>
      <w:pPr>
        <w:pStyle w:val="Style16"/>
        <w:keepNext w:val="0"/>
        <w:keepLines w:val="0"/>
        <w:widowControl w:val="0"/>
        <w:shd w:val="clear" w:color="auto" w:fill="auto"/>
        <w:tabs>
          <w:tab w:pos="868" w:val="left"/>
        </w:tabs>
        <w:bidi w:val="0"/>
        <w:spacing w:before="0" w:after="0" w:line="311" w:lineRule="exact"/>
        <w:ind w:left="0" w:right="0" w:firstLine="440"/>
        <w:jc w:val="both"/>
        <w:rPr>
          <w:sz w:val="20"/>
          <w:szCs w:val="20"/>
        </w:rPr>
      </w:pPr>
      <w:bookmarkStart w:id="751" w:name="bookmark751"/>
      <w:r>
        <w:rPr>
          <w:b w:val="0"/>
          <w:bCs w:val="0"/>
          <w:color w:val="000000"/>
          <w:spacing w:val="0"/>
          <w:w w:val="100"/>
          <w:position w:val="0"/>
          <w:sz w:val="20"/>
          <w:szCs w:val="20"/>
        </w:rPr>
        <w:t>（</w:t>
      </w:r>
      <w:bookmarkEnd w:id="751"/>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债务工具</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16"/>
        <w:keepNext w:val="0"/>
        <w:keepLines w:val="0"/>
        <w:widowControl w:val="0"/>
        <w:numPr>
          <w:ilvl w:val="0"/>
          <w:numId w:val="11"/>
        </w:numPr>
        <w:shd w:val="clear" w:color="auto" w:fill="auto"/>
        <w:tabs>
          <w:tab w:pos="754" w:val="left"/>
        </w:tabs>
        <w:bidi w:val="0"/>
        <w:spacing w:before="0" w:after="0" w:line="311" w:lineRule="exact"/>
        <w:ind w:left="0" w:right="0" w:firstLine="440"/>
        <w:jc w:val="both"/>
        <w:rPr>
          <w:sz w:val="20"/>
          <w:szCs w:val="20"/>
        </w:rPr>
      </w:pPr>
      <w:bookmarkStart w:id="752" w:name="bookmark752"/>
      <w:bookmarkEnd w:id="752"/>
      <w:r>
        <w:rPr>
          <w:b w:val="0"/>
          <w:bCs w:val="0"/>
          <w:color w:val="000000"/>
          <w:spacing w:val="0"/>
          <w:w w:val="100"/>
          <w:position w:val="0"/>
          <w:sz w:val="20"/>
          <w:szCs w:val="20"/>
        </w:rPr>
        <w:t>以摊余成本计量。本公司管理此类金融资产的业务模式为以收取合同现金流量为目标，且此类金融 资产的合同现金流量特征与基本借贷安排相一致，即在特定日期产生的现金流量，仅为对本金和以未偿付 本金金额为基础的利息的支付，同时并未指定此类金融资产为以公允价值计量且其变动计入当期损益。本 公司对于此类金融资产按照实际利率法确认利息收入。此类金融资产因终止确认产生的利得或损失以及因 减值导致的损失直接计入当期损益。</w:t>
      </w:r>
    </w:p>
    <w:p>
      <w:pPr>
        <w:pStyle w:val="Style16"/>
        <w:keepNext w:val="0"/>
        <w:keepLines w:val="0"/>
        <w:widowControl w:val="0"/>
        <w:numPr>
          <w:ilvl w:val="0"/>
          <w:numId w:val="11"/>
        </w:numPr>
        <w:shd w:val="clear" w:color="auto" w:fill="auto"/>
        <w:tabs>
          <w:tab w:pos="754" w:val="left"/>
        </w:tabs>
        <w:bidi w:val="0"/>
        <w:spacing w:before="0" w:after="0" w:line="311" w:lineRule="exact"/>
        <w:ind w:left="0" w:right="0" w:firstLine="440"/>
        <w:jc w:val="both"/>
        <w:rPr>
          <w:sz w:val="20"/>
          <w:szCs w:val="20"/>
        </w:rPr>
      </w:pPr>
      <w:bookmarkStart w:id="753" w:name="bookmark753"/>
      <w:bookmarkEnd w:id="753"/>
      <w:r>
        <w:rPr>
          <w:b w:val="0"/>
          <w:bCs w:val="0"/>
          <w:color w:val="000000"/>
          <w:spacing w:val="0"/>
          <w:w w:val="100"/>
          <w:position w:val="0"/>
          <w:sz w:val="20"/>
          <w:szCs w:val="20"/>
        </w:rPr>
        <w:t>以公允价值计量且其变动计入其他综合收益。本公司管理此类金融资产的业务模式为既以收取合同 现金流量为目标又以出售为目标，且此类金融资产的合同现金流量特征与基本借贷安排相一致，即在特定 日期产生的现金流量，仅为对本金和以未偿付本金金额为基础的利息的支付，同时并未指定此类金融资产 为以公允价值计量且其变动计入当期损益。此类金融资产按照公允价值计量且其变动计入其他综合收益， 但减值损失或利得、汇兑损益和按照实际利率法计算的利息收入计入当期损益。此类金融资产终止确认时， 累计计入其他综合收益的公允价值变动将结转计入当期损益。此类金融资产列示为其他债权投资。</w:t>
      </w:r>
    </w:p>
    <w:p>
      <w:pPr>
        <w:pStyle w:val="Style16"/>
        <w:keepNext w:val="0"/>
        <w:keepLines w:val="0"/>
        <w:widowControl w:val="0"/>
        <w:numPr>
          <w:ilvl w:val="0"/>
          <w:numId w:val="11"/>
        </w:numPr>
        <w:shd w:val="clear" w:color="auto" w:fill="auto"/>
        <w:tabs>
          <w:tab w:pos="750" w:val="left"/>
        </w:tabs>
        <w:bidi w:val="0"/>
        <w:spacing w:before="0" w:after="0" w:line="311" w:lineRule="exact"/>
        <w:ind w:left="0" w:right="0" w:firstLine="440"/>
        <w:jc w:val="both"/>
        <w:rPr>
          <w:sz w:val="20"/>
          <w:szCs w:val="20"/>
        </w:rPr>
      </w:pPr>
      <w:bookmarkStart w:id="754" w:name="bookmark754"/>
      <w:bookmarkEnd w:id="754"/>
      <w:r>
        <w:rPr>
          <w:b w:val="0"/>
          <w:bCs w:val="0"/>
          <w:color w:val="000000"/>
          <w:spacing w:val="0"/>
          <w:w w:val="100"/>
          <w:position w:val="0"/>
          <w:sz w:val="20"/>
          <w:szCs w:val="20"/>
        </w:rPr>
        <w:t>以公允价值计量且其变动计入当期损益。本公司将持有的未划分为以摊余成本计量和以公允价值计 量且其变动计入其他综合收益的债务工具，以公允价值计量且其变动计入当期损益，分类为以公允价值计 量且其变动计入当期损益的金融资产，列示为交易性金融资产或其他非流动金融资产。</w:t>
      </w:r>
    </w:p>
    <w:p>
      <w:pPr>
        <w:pStyle w:val="Style16"/>
        <w:keepNext w:val="0"/>
        <w:keepLines w:val="0"/>
        <w:widowControl w:val="0"/>
        <w:shd w:val="clear" w:color="auto" w:fill="auto"/>
        <w:tabs>
          <w:tab w:pos="868" w:val="left"/>
        </w:tabs>
        <w:bidi w:val="0"/>
        <w:spacing w:before="0" w:after="0" w:line="311" w:lineRule="exact"/>
        <w:ind w:left="0" w:right="0" w:firstLine="440"/>
        <w:jc w:val="both"/>
        <w:rPr>
          <w:sz w:val="20"/>
          <w:szCs w:val="20"/>
        </w:rPr>
      </w:pPr>
      <w:bookmarkStart w:id="755" w:name="bookmark755"/>
      <w:r>
        <w:rPr>
          <w:b w:val="0"/>
          <w:bCs w:val="0"/>
          <w:color w:val="000000"/>
          <w:spacing w:val="0"/>
          <w:w w:val="100"/>
          <w:position w:val="0"/>
          <w:sz w:val="20"/>
          <w:szCs w:val="20"/>
        </w:rPr>
        <w:t>（</w:t>
      </w:r>
      <w:bookmarkEnd w:id="75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权益工具</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16"/>
        <w:keepNext w:val="0"/>
        <w:keepLines w:val="0"/>
        <w:widowControl w:val="0"/>
        <w:shd w:val="clear" w:color="auto" w:fill="auto"/>
        <w:tabs>
          <w:tab w:pos="868" w:val="left"/>
        </w:tabs>
        <w:bidi w:val="0"/>
        <w:spacing w:before="0" w:after="0" w:line="311" w:lineRule="exact"/>
        <w:ind w:left="0" w:right="0" w:firstLine="440"/>
        <w:jc w:val="both"/>
        <w:rPr>
          <w:sz w:val="20"/>
          <w:szCs w:val="20"/>
        </w:rPr>
      </w:pPr>
      <w:bookmarkStart w:id="756" w:name="bookmark756"/>
      <w:r>
        <w:rPr>
          <w:b w:val="0"/>
          <w:bCs w:val="0"/>
          <w:color w:val="000000"/>
          <w:spacing w:val="0"/>
          <w:w w:val="100"/>
          <w:position w:val="0"/>
          <w:sz w:val="20"/>
          <w:szCs w:val="20"/>
        </w:rPr>
        <w:t>（</w:t>
      </w:r>
      <w:bookmarkEnd w:id="756"/>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金融负债</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金融负债于初始确认时分类为以公允价值计量且其变动计入当期损益的金融负债及其他金融负债。</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本公司其他金融负债主要包括短期借款、长期借款、应付债券等。对于此类金融负债，采用实际利率 法，按照摊余成本进行后续计量。</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财务担保合同，是指当特定债务人到期不能按照最初或修改后的债务工具条款偿付债务时，要求发行 方向蒙受损失的合同持有人赔付特定金额的合同。贷款承诺，是指按照预先规定的条款和条件提供信用的 确定性承诺。不属于以公允价值计量且其变动计入当期损益的金融负债的财务担保合同，以及以低于市场 利率贷款的贷款承诺，本公司作为发行方的，在初始确认后按照以下二者孰高进行计量：①损失准备金额; ②初始确认金额扣除依据《企业会计准则第</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号——收入》确定的累计摊销额后的余额。</w:t>
      </w:r>
    </w:p>
    <w:p>
      <w:pPr>
        <w:pStyle w:val="Style16"/>
        <w:keepNext w:val="0"/>
        <w:keepLines w:val="0"/>
        <w:widowControl w:val="0"/>
        <w:shd w:val="clear" w:color="auto" w:fill="auto"/>
        <w:tabs>
          <w:tab w:pos="868" w:val="left"/>
        </w:tabs>
        <w:bidi w:val="0"/>
        <w:spacing w:before="0" w:after="0" w:line="311" w:lineRule="exact"/>
        <w:ind w:left="0" w:right="0" w:firstLine="440"/>
        <w:jc w:val="both"/>
        <w:rPr>
          <w:sz w:val="20"/>
          <w:szCs w:val="20"/>
        </w:rPr>
      </w:pPr>
      <w:bookmarkStart w:id="757" w:name="bookmark757"/>
      <w:r>
        <w:rPr>
          <w:b w:val="0"/>
          <w:bCs w:val="0"/>
          <w:color w:val="000000"/>
          <w:spacing w:val="0"/>
          <w:w w:val="100"/>
          <w:position w:val="0"/>
          <w:sz w:val="20"/>
          <w:szCs w:val="20"/>
        </w:rPr>
        <w:t>（</w:t>
      </w:r>
      <w:bookmarkEnd w:id="757"/>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金融资产和金融负债的终止确认</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金融资产满足下列条件之一的，予以终止确认：</w:t>
      </w:r>
    </w:p>
    <w:p>
      <w:pPr>
        <w:pStyle w:val="Style16"/>
        <w:keepNext w:val="0"/>
        <w:keepLines w:val="0"/>
        <w:widowControl w:val="0"/>
        <w:numPr>
          <w:ilvl w:val="0"/>
          <w:numId w:val="13"/>
        </w:numPr>
        <w:shd w:val="clear" w:color="auto" w:fill="auto"/>
        <w:tabs>
          <w:tab w:pos="816" w:val="left"/>
        </w:tabs>
        <w:bidi w:val="0"/>
        <w:spacing w:before="0" w:after="0" w:line="311" w:lineRule="exact"/>
        <w:ind w:left="0" w:right="0" w:firstLine="440"/>
        <w:jc w:val="both"/>
        <w:rPr>
          <w:sz w:val="20"/>
          <w:szCs w:val="20"/>
        </w:rPr>
      </w:pPr>
      <w:bookmarkStart w:id="758" w:name="bookmark758"/>
      <w:bookmarkEnd w:id="758"/>
      <w:r>
        <w:rPr>
          <w:b w:val="0"/>
          <w:bCs w:val="0"/>
          <w:color w:val="000000"/>
          <w:spacing w:val="0"/>
          <w:w w:val="100"/>
          <w:position w:val="0"/>
          <w:sz w:val="20"/>
          <w:szCs w:val="20"/>
        </w:rPr>
        <w:t>收取该金融资产现金流量的合同权利终止；</w:t>
      </w:r>
    </w:p>
    <w:p>
      <w:pPr>
        <w:pStyle w:val="Style16"/>
        <w:keepNext w:val="0"/>
        <w:keepLines w:val="0"/>
        <w:widowControl w:val="0"/>
        <w:numPr>
          <w:ilvl w:val="0"/>
          <w:numId w:val="13"/>
        </w:numPr>
        <w:shd w:val="clear" w:color="auto" w:fill="auto"/>
        <w:tabs>
          <w:tab w:pos="821" w:val="left"/>
        </w:tabs>
        <w:bidi w:val="0"/>
        <w:spacing w:before="0" w:after="0" w:line="311" w:lineRule="exact"/>
        <w:ind w:left="0" w:right="0" w:firstLine="440"/>
        <w:jc w:val="both"/>
        <w:rPr>
          <w:sz w:val="20"/>
          <w:szCs w:val="20"/>
        </w:rPr>
      </w:pPr>
      <w:bookmarkStart w:id="759" w:name="bookmark759"/>
      <w:bookmarkEnd w:id="759"/>
      <w:r>
        <w:rPr>
          <w:b w:val="0"/>
          <w:bCs w:val="0"/>
          <w:color w:val="000000"/>
          <w:spacing w:val="0"/>
          <w:w w:val="100"/>
          <w:position w:val="0"/>
          <w:sz w:val="20"/>
          <w:szCs w:val="20"/>
        </w:rPr>
        <w:t>该金融资产已转移，且本公司将金融资产所有权上几乎所有的风险和报酬转移给转入方；</w:t>
      </w:r>
    </w:p>
    <w:p>
      <w:pPr>
        <w:pStyle w:val="Style16"/>
        <w:keepNext w:val="0"/>
        <w:keepLines w:val="0"/>
        <w:widowControl w:val="0"/>
        <w:numPr>
          <w:ilvl w:val="0"/>
          <w:numId w:val="13"/>
        </w:numPr>
        <w:shd w:val="clear" w:color="auto" w:fill="auto"/>
        <w:tabs>
          <w:tab w:pos="799" w:val="left"/>
        </w:tabs>
        <w:bidi w:val="0"/>
        <w:spacing w:before="0" w:after="0" w:line="311" w:lineRule="exact"/>
        <w:ind w:left="0" w:right="0" w:firstLine="440"/>
        <w:jc w:val="both"/>
        <w:rPr>
          <w:sz w:val="20"/>
          <w:szCs w:val="20"/>
        </w:rPr>
      </w:pPr>
      <w:bookmarkStart w:id="760" w:name="bookmark760"/>
      <w:bookmarkEnd w:id="760"/>
      <w:r>
        <w:rPr>
          <w:b w:val="0"/>
          <w:bCs w:val="0"/>
          <w:color w:val="000000"/>
          <w:spacing w:val="0"/>
          <w:w w:val="100"/>
          <w:position w:val="0"/>
          <w:sz w:val="20"/>
          <w:szCs w:val="20"/>
        </w:rPr>
        <w:t>该金融资产已转移，虽然本公司既没有转移也没有保留金融资产所有权上几乎所有的风险和报酬， 但是放弃了对该金融资产的控制。</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金融负债（或其一部分）的现时义务已经解除的，本公司终止确认该金融负债（或该部分金融负债）。</w:t>
      </w:r>
    </w:p>
    <w:p>
      <w:pPr>
        <w:pStyle w:val="Style16"/>
        <w:keepNext w:val="0"/>
        <w:keepLines w:val="0"/>
        <w:widowControl w:val="0"/>
        <w:shd w:val="clear" w:color="auto" w:fill="auto"/>
        <w:bidi w:val="0"/>
        <w:spacing w:before="0" w:after="0" w:line="311" w:lineRule="exact"/>
        <w:ind w:left="0" w:right="0" w:firstLine="440"/>
        <w:jc w:val="both"/>
        <w:rPr>
          <w:sz w:val="20"/>
          <w:szCs w:val="20"/>
        </w:rPr>
      </w:pPr>
      <w:bookmarkStart w:id="761" w:name="bookmark761"/>
      <w:r>
        <w:rPr>
          <w:b w:val="0"/>
          <w:bCs w:val="0"/>
          <w:color w:val="000000"/>
          <w:spacing w:val="0"/>
          <w:w w:val="100"/>
          <w:position w:val="0"/>
          <w:sz w:val="20"/>
          <w:szCs w:val="20"/>
        </w:rPr>
        <w:t>（</w:t>
      </w:r>
      <w:bookmarkEnd w:id="761"/>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）金融工具的减值</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16"/>
        <w:keepNext w:val="0"/>
        <w:keepLines w:val="0"/>
        <w:widowControl w:val="0"/>
        <w:numPr>
          <w:ilvl w:val="0"/>
          <w:numId w:val="15"/>
        </w:numPr>
        <w:shd w:val="clear" w:color="auto" w:fill="auto"/>
        <w:tabs>
          <w:tab w:pos="816" w:val="left"/>
        </w:tabs>
        <w:bidi w:val="0"/>
        <w:spacing w:before="0" w:after="0" w:line="311" w:lineRule="exact"/>
        <w:ind w:left="0" w:right="0" w:firstLine="440"/>
        <w:jc w:val="both"/>
        <w:rPr>
          <w:sz w:val="20"/>
          <w:szCs w:val="20"/>
        </w:rPr>
      </w:pPr>
      <w:bookmarkStart w:id="762" w:name="bookmark762"/>
      <w:bookmarkEnd w:id="762"/>
      <w:r>
        <w:rPr>
          <w:b w:val="0"/>
          <w:bCs w:val="0"/>
          <w:color w:val="000000"/>
          <w:spacing w:val="0"/>
          <w:w w:val="100"/>
          <w:position w:val="0"/>
          <w:sz w:val="20"/>
          <w:szCs w:val="20"/>
        </w:rPr>
        <w:t>对于金融资产，信用损失为本公司应收取的合同现金流量与预期收取的现金流量之间差额的现值；</w:t>
      </w:r>
    </w:p>
    <w:p>
      <w:pPr>
        <w:pStyle w:val="Style16"/>
        <w:keepNext w:val="0"/>
        <w:keepLines w:val="0"/>
        <w:widowControl w:val="0"/>
        <w:numPr>
          <w:ilvl w:val="0"/>
          <w:numId w:val="15"/>
        </w:numPr>
        <w:shd w:val="clear" w:color="auto" w:fill="auto"/>
        <w:tabs>
          <w:tab w:pos="799" w:val="left"/>
        </w:tabs>
        <w:bidi w:val="0"/>
        <w:spacing w:before="0" w:after="0" w:line="311" w:lineRule="exact"/>
        <w:ind w:left="0" w:right="0" w:firstLine="440"/>
        <w:jc w:val="both"/>
        <w:rPr>
          <w:sz w:val="20"/>
          <w:szCs w:val="20"/>
        </w:rPr>
      </w:pPr>
      <w:bookmarkStart w:id="763" w:name="bookmark763"/>
      <w:bookmarkEnd w:id="763"/>
      <w:r>
        <w:rPr>
          <w:b w:val="0"/>
          <w:bCs w:val="0"/>
          <w:color w:val="000000"/>
          <w:spacing w:val="0"/>
          <w:w w:val="100"/>
          <w:position w:val="0"/>
          <w:sz w:val="20"/>
          <w:szCs w:val="20"/>
        </w:rPr>
        <w:t>对于租赁应收款项，信用损失为本公司应收取的合同现金流量与预期收取的现金流量之间差额的现 值；</w:t>
      </w:r>
    </w:p>
    <w:p>
      <w:pPr>
        <w:pStyle w:val="Style16"/>
        <w:keepNext w:val="0"/>
        <w:keepLines w:val="0"/>
        <w:widowControl w:val="0"/>
        <w:numPr>
          <w:ilvl w:val="0"/>
          <w:numId w:val="15"/>
        </w:numPr>
        <w:shd w:val="clear" w:color="auto" w:fill="auto"/>
        <w:tabs>
          <w:tab w:pos="799" w:val="left"/>
        </w:tabs>
        <w:bidi w:val="0"/>
        <w:spacing w:before="0" w:after="0" w:line="311" w:lineRule="exact"/>
        <w:ind w:left="0" w:right="0" w:firstLine="440"/>
        <w:jc w:val="both"/>
        <w:rPr>
          <w:sz w:val="20"/>
          <w:szCs w:val="20"/>
        </w:rPr>
      </w:pPr>
      <w:bookmarkStart w:id="764" w:name="bookmark764"/>
      <w:bookmarkEnd w:id="764"/>
      <w:r>
        <w:rPr>
          <w:b w:val="0"/>
          <w:bCs w:val="0"/>
          <w:color w:val="000000"/>
          <w:spacing w:val="0"/>
          <w:w w:val="100"/>
          <w:position w:val="0"/>
          <w:sz w:val="20"/>
          <w:szCs w:val="20"/>
        </w:rPr>
        <w:t>对于未提用的贷款承诺，信用损失为在贷款承诺持有人提用相应贷款的情况下，本公司应收取的合 同现金流量与预期收取的现金流量之间差额的现值。本公司对贷款承诺预期信用损失的估计，与其对该贷 款承诺提用情况的预期保持一致；</w:t>
      </w:r>
    </w:p>
    <w:p>
      <w:pPr>
        <w:pStyle w:val="Style16"/>
        <w:keepNext w:val="0"/>
        <w:keepLines w:val="0"/>
        <w:widowControl w:val="0"/>
        <w:numPr>
          <w:ilvl w:val="0"/>
          <w:numId w:val="15"/>
        </w:numPr>
        <w:shd w:val="clear" w:color="auto" w:fill="auto"/>
        <w:tabs>
          <w:tab w:pos="799" w:val="left"/>
        </w:tabs>
        <w:bidi w:val="0"/>
        <w:spacing w:before="0" w:after="0" w:line="311" w:lineRule="exact"/>
        <w:ind w:left="0" w:right="0" w:firstLine="440"/>
        <w:jc w:val="both"/>
        <w:rPr>
          <w:sz w:val="20"/>
          <w:szCs w:val="20"/>
        </w:rPr>
      </w:pPr>
      <w:bookmarkStart w:id="765" w:name="bookmark765"/>
      <w:bookmarkEnd w:id="765"/>
      <w:r>
        <w:rPr>
          <w:b w:val="0"/>
          <w:bCs w:val="0"/>
          <w:color w:val="000000"/>
          <w:spacing w:val="0"/>
          <w:w w:val="100"/>
          <w:position w:val="0"/>
          <w:sz w:val="20"/>
          <w:szCs w:val="20"/>
        </w:rPr>
        <w:t>对于财务担保合同，信用损失为本公司就该合同持有人发生的信用损失向其做出赔付的预计付款 额，减去本公司预期向该合同持有人、债务人或任何其他方收取的金额之间差额的现值；</w:t>
      </w:r>
    </w:p>
    <w:p>
      <w:pPr>
        <w:pStyle w:val="Style16"/>
        <w:keepNext w:val="0"/>
        <w:keepLines w:val="0"/>
        <w:widowControl w:val="0"/>
        <w:numPr>
          <w:ilvl w:val="0"/>
          <w:numId w:val="15"/>
        </w:numPr>
        <w:shd w:val="clear" w:color="auto" w:fill="auto"/>
        <w:tabs>
          <w:tab w:pos="794" w:val="left"/>
        </w:tabs>
        <w:bidi w:val="0"/>
        <w:spacing w:before="0" w:after="0" w:line="311" w:lineRule="exact"/>
        <w:ind w:left="0" w:right="0" w:firstLine="440"/>
        <w:jc w:val="both"/>
        <w:rPr>
          <w:sz w:val="20"/>
          <w:szCs w:val="20"/>
        </w:rPr>
      </w:pPr>
      <w:bookmarkStart w:id="766" w:name="bookmark766"/>
      <w:bookmarkEnd w:id="766"/>
      <w:r>
        <w:rPr>
          <w:b w:val="0"/>
          <w:bCs w:val="0"/>
          <w:color w:val="000000"/>
          <w:spacing w:val="0"/>
          <w:w w:val="100"/>
          <w:position w:val="0"/>
          <w:sz w:val="20"/>
          <w:szCs w:val="20"/>
        </w:rPr>
        <w:t>对于资产负债表日已发生信用减值但并非购买或源生已发生信用减值的金融资产，信用损失为该金 融资产账面余额与按原实际利率折现的估计未来现金流量的现值之间的差额。</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损失准备的增加或转回，作为减值损失或利得，计入当期损益。对于持有的以公允价值计量且其变动 计入其他综合收益的债务工具，减值损失或利得计入当期损益的同时调整其他综合收益。</w:t>
      </w:r>
    </w:p>
    <w:p>
      <w:pPr>
        <w:pStyle w:val="Style16"/>
        <w:keepNext w:val="0"/>
        <w:keepLines w:val="0"/>
        <w:widowControl w:val="0"/>
        <w:numPr>
          <w:ilvl w:val="0"/>
          <w:numId w:val="17"/>
        </w:numPr>
        <w:shd w:val="clear" w:color="auto" w:fill="auto"/>
        <w:bidi w:val="0"/>
        <w:spacing w:before="0" w:after="0" w:line="311" w:lineRule="exact"/>
        <w:ind w:left="0" w:right="0" w:firstLine="440"/>
        <w:jc w:val="both"/>
        <w:rPr>
          <w:sz w:val="20"/>
          <w:szCs w:val="20"/>
        </w:rPr>
      </w:pPr>
      <w:bookmarkStart w:id="767" w:name="bookmark767"/>
      <w:bookmarkEnd w:id="767"/>
      <w:r>
        <w:rPr>
          <w:b w:val="0"/>
          <w:bCs w:val="0"/>
          <w:color w:val="000000"/>
          <w:spacing w:val="0"/>
          <w:w w:val="100"/>
          <w:position w:val="0"/>
          <w:sz w:val="20"/>
          <w:szCs w:val="20"/>
        </w:rPr>
        <w:t>对于应收票据和应收账款，无论是否存在重大融资成分，本公司均按照整个存续期的预期信用损失 计量损失准备。</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当单项应收票据和应收账款无法以合理成本取得评估预期信用损失的信息时，本公司依据信用风险特 征，将应收票据和应收账款划分为若干组合，在组合基础上计算预期信用损失。</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对于划分为组合的应收票据，本公司参考历史信用损失经验，结合当前状况以及对未来经济状况的预 测，通过违约风险敞口和整个存续期预期信用损失率，计算预期信用损失。确定组合的依据如下：</w:t>
      </w:r>
    </w:p>
    <w:p>
      <w:pPr>
        <w:pStyle w:val="Style16"/>
        <w:keepNext w:val="0"/>
        <w:keepLines w:val="0"/>
        <w:widowControl w:val="0"/>
        <w:shd w:val="clear" w:color="auto" w:fill="auto"/>
        <w:tabs>
          <w:tab w:pos="2274" w:val="left"/>
        </w:tabs>
        <w:bidi w:val="0"/>
        <w:spacing w:before="0" w:after="0" w:line="311" w:lineRule="exact"/>
        <w:ind w:left="0" w:right="0" w:firstLine="440"/>
        <w:jc w:val="both"/>
        <w:rPr>
          <w:sz w:val="20"/>
          <w:szCs w:val="20"/>
        </w:rPr>
      </w:pPr>
      <w:r>
        <w:rPr>
          <w:b w:val="0"/>
          <w:bCs w:val="0"/>
          <w:color w:val="000000"/>
          <w:spacing w:val="0"/>
          <w:w w:val="100"/>
          <w:position w:val="0"/>
          <w:sz w:val="20"/>
          <w:szCs w:val="20"/>
        </w:rPr>
        <w:t>应收票据组合</w:t>
      </w:r>
      <w:r>
        <w:rPr>
          <w:rFonts w:ascii="Times New Roman" w:eastAsia="Times New Roman" w:hAnsi="Times New Roman" w:cs="Times New Roman"/>
          <w:b w:val="0"/>
          <w:bCs w:val="0"/>
          <w:color w:val="000000"/>
          <w:spacing w:val="0"/>
          <w:w w:val="100"/>
          <w:position w:val="0"/>
          <w:sz w:val="20"/>
          <w:szCs w:val="20"/>
        </w:rPr>
        <w:t>1</w:t>
        <w:tab/>
      </w:r>
      <w:r>
        <w:rPr>
          <w:b w:val="0"/>
          <w:bCs w:val="0"/>
          <w:color w:val="000000"/>
          <w:spacing w:val="0"/>
          <w:w w:val="100"/>
          <w:position w:val="0"/>
          <w:sz w:val="20"/>
          <w:szCs w:val="20"/>
        </w:rPr>
        <w:t>商业承兑汇票</w:t>
      </w:r>
    </w:p>
    <w:p>
      <w:pPr>
        <w:pStyle w:val="Style16"/>
        <w:keepNext w:val="0"/>
        <w:keepLines w:val="0"/>
        <w:widowControl w:val="0"/>
        <w:shd w:val="clear" w:color="auto" w:fill="auto"/>
        <w:tabs>
          <w:tab w:pos="2274" w:val="left"/>
        </w:tabs>
        <w:bidi w:val="0"/>
        <w:spacing w:before="0" w:after="0" w:line="311" w:lineRule="exact"/>
        <w:ind w:left="0" w:right="0" w:firstLine="440"/>
        <w:jc w:val="both"/>
        <w:rPr>
          <w:sz w:val="20"/>
          <w:szCs w:val="20"/>
        </w:rPr>
      </w:pPr>
      <w:r>
        <w:rPr>
          <w:b w:val="0"/>
          <w:bCs w:val="0"/>
          <w:color w:val="000000"/>
          <w:spacing w:val="0"/>
          <w:w w:val="100"/>
          <w:position w:val="0"/>
          <w:sz w:val="20"/>
          <w:szCs w:val="20"/>
        </w:rPr>
        <w:t>应收票据组合</w:t>
      </w:r>
      <w:r>
        <w:rPr>
          <w:rFonts w:ascii="Times New Roman" w:eastAsia="Times New Roman" w:hAnsi="Times New Roman" w:cs="Times New Roman"/>
          <w:b w:val="0"/>
          <w:bCs w:val="0"/>
          <w:color w:val="000000"/>
          <w:spacing w:val="0"/>
          <w:w w:val="100"/>
          <w:position w:val="0"/>
          <w:sz w:val="20"/>
          <w:szCs w:val="20"/>
        </w:rPr>
        <w:t>2</w:t>
        <w:tab/>
      </w:r>
      <w:r>
        <w:rPr>
          <w:b w:val="0"/>
          <w:bCs w:val="0"/>
          <w:color w:val="000000"/>
          <w:spacing w:val="0"/>
          <w:w w:val="100"/>
          <w:position w:val="0"/>
          <w:sz w:val="20"/>
          <w:szCs w:val="20"/>
        </w:rPr>
        <w:t>银行承兑汇票</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对于划分为组合的应收账款，本公司参考历史信用损失经验，结合当前状况以及对未来经济状况的预</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测，编制应收账款账龄与整个存续期预期信用损失率对照表，计算预期信用损失。确定组合的依据如下:</w:t>
      </w:r>
    </w:p>
    <w:tbl>
      <w:tblPr>
        <w:tblOverlap w:val="never"/>
        <w:jc w:val="center"/>
        <w:tblLayout w:type="fixed"/>
      </w:tblPr>
      <w:tblGrid>
        <w:gridCol w:w="3274"/>
        <w:gridCol w:w="55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以应收款项的账龄作为信用风险特征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保理业务应收款项及应收利息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贷款业务应收款项及应收利息</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应收本公司合并报表范围内关联方应收款项</w:t>
            </w:r>
          </w:p>
        </w:tc>
      </w:tr>
    </w:tbl>
    <w:p>
      <w:pPr>
        <w:pStyle w:val="Style16"/>
        <w:keepNext w:val="0"/>
        <w:keepLines w:val="0"/>
        <w:widowControl w:val="0"/>
        <w:numPr>
          <w:ilvl w:val="0"/>
          <w:numId w:val="17"/>
        </w:numPr>
        <w:shd w:val="clear" w:color="auto" w:fill="auto"/>
        <w:bidi w:val="0"/>
        <w:spacing w:before="0" w:after="0" w:line="322" w:lineRule="exact"/>
        <w:ind w:left="0" w:right="0" w:firstLine="440"/>
        <w:jc w:val="both"/>
        <w:rPr>
          <w:sz w:val="20"/>
          <w:szCs w:val="20"/>
        </w:rPr>
      </w:pPr>
      <w:bookmarkStart w:id="768" w:name="bookmark768"/>
      <w:bookmarkEnd w:id="768"/>
      <w:r>
        <w:rPr>
          <w:b w:val="0"/>
          <w:bCs w:val="0"/>
          <w:color w:val="000000"/>
          <w:spacing w:val="0"/>
          <w:w w:val="100"/>
          <w:position w:val="0"/>
          <w:sz w:val="20"/>
          <w:szCs w:val="20"/>
        </w:rPr>
        <w:t>当单项其他应收款、长期应收款无法以合理成本取得评估预期信用损失的信息时，本公司依据信用 风险特征将其他应收款、长期应收款划分为若干组合，在组合基础上计算预期信用损失。确定组合的依据 如下：</w:t>
      </w:r>
    </w:p>
    <w:tbl>
      <w:tblPr>
        <w:tblOverlap w:val="never"/>
        <w:jc w:val="left"/>
        <w:tblLayout w:type="fixed"/>
      </w:tblPr>
      <w:tblGrid>
        <w:gridCol w:w="2280"/>
        <w:gridCol w:w="655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以应收款项的账龄作为信用风险特征</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应收取的各类保证金、押金、备用金、代垫及暂付款项等应收款 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应收本公司合并报表范围内关联方应收款项</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长期应收款组合、应收租赁款</w:t>
            </w:r>
          </w:p>
        </w:tc>
      </w:tr>
    </w:tbl>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对于应收租赁款，本公司参考历史信用损失经验，结合当前状况以及对未来经济状况的预测，通过违 约风险敞口和整个存续期预期信用损失率，计算预期信用损失。除应收租赁款之外的划分为组合的其他应 收款和长期应收款，通过违约风险敞口和未来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个月内或整个存续期预期信用损失率，计算预期信用损失。</w:t>
      </w:r>
    </w:p>
    <w:p>
      <w:pPr>
        <w:pStyle w:val="Style16"/>
        <w:keepNext w:val="0"/>
        <w:keepLines w:val="0"/>
        <w:widowControl w:val="0"/>
        <w:shd w:val="clear" w:color="auto" w:fill="auto"/>
        <w:tabs>
          <w:tab w:pos="907" w:val="left"/>
        </w:tabs>
        <w:bidi w:val="0"/>
        <w:spacing w:before="0" w:after="0" w:line="312" w:lineRule="exact"/>
        <w:ind w:left="0" w:right="0" w:firstLine="440"/>
        <w:jc w:val="both"/>
        <w:rPr>
          <w:sz w:val="20"/>
          <w:szCs w:val="20"/>
        </w:rPr>
      </w:pPr>
      <w:bookmarkStart w:id="769" w:name="bookmark769"/>
      <w:r>
        <w:rPr>
          <w:b w:val="0"/>
          <w:bCs w:val="0"/>
          <w:color w:val="000000"/>
          <w:spacing w:val="0"/>
          <w:w w:val="100"/>
          <w:position w:val="0"/>
          <w:sz w:val="20"/>
          <w:szCs w:val="20"/>
        </w:rPr>
        <w:t>（</w:t>
      </w:r>
      <w:bookmarkEnd w:id="769"/>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w:t>
        <w:tab/>
        <w:t>衍生工具及嵌入衍生工具</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本公司衍生工具主要包括远期合同、期货合同、互换合同。衍生工具初始以衍生交易合同签订当日的 公允价值进行计量，并以其公允价值进行后续计量。本公司衍生工具公允价值变动而产生的利得或损失， 直接计入当期损益。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嵌入衍生工具是指嵌入到非衍生工具（即主合同）中的衍生工具，与主合同构成混合合同。混合合同 包含的主合同属于金融工具准则规范的资产的，本公司不从该混合合同中分拆嵌入衍生工具，而是将该混 合合同作为一个整体适用金融工具准则关于金融资产分类的相关规定。</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混合合同包含的主合同不属于金融工具准则规范的资产，且同时符合下列条件的，本公司从主合同中 分拆嵌入衍生工具，将其作为单独存在的衍生工具进行处理：</w:t>
      </w:r>
    </w:p>
    <w:p>
      <w:pPr>
        <w:pStyle w:val="Style16"/>
        <w:keepNext w:val="0"/>
        <w:keepLines w:val="0"/>
        <w:widowControl w:val="0"/>
        <w:numPr>
          <w:ilvl w:val="0"/>
          <w:numId w:val="19"/>
        </w:numPr>
        <w:shd w:val="clear" w:color="auto" w:fill="auto"/>
        <w:tabs>
          <w:tab w:pos="811" w:val="left"/>
        </w:tabs>
        <w:bidi w:val="0"/>
        <w:spacing w:before="0" w:after="0" w:line="312" w:lineRule="exact"/>
        <w:ind w:left="0" w:right="0" w:firstLine="440"/>
        <w:jc w:val="both"/>
        <w:rPr>
          <w:sz w:val="20"/>
          <w:szCs w:val="20"/>
        </w:rPr>
      </w:pPr>
      <w:bookmarkStart w:id="770" w:name="bookmark770"/>
      <w:bookmarkEnd w:id="770"/>
      <w:r>
        <w:rPr>
          <w:b w:val="0"/>
          <w:bCs w:val="0"/>
          <w:color w:val="000000"/>
          <w:spacing w:val="0"/>
          <w:w w:val="100"/>
          <w:position w:val="0"/>
          <w:sz w:val="20"/>
          <w:szCs w:val="20"/>
        </w:rPr>
        <w:t>嵌入衍生工具的经济特征和风险与主合同的经济特征和风险不紧密相关；</w:t>
      </w:r>
    </w:p>
    <w:p>
      <w:pPr>
        <w:pStyle w:val="Style16"/>
        <w:keepNext w:val="0"/>
        <w:keepLines w:val="0"/>
        <w:widowControl w:val="0"/>
        <w:numPr>
          <w:ilvl w:val="0"/>
          <w:numId w:val="19"/>
        </w:numPr>
        <w:shd w:val="clear" w:color="auto" w:fill="auto"/>
        <w:tabs>
          <w:tab w:pos="816" w:val="left"/>
        </w:tabs>
        <w:bidi w:val="0"/>
        <w:spacing w:before="0" w:after="0" w:line="312" w:lineRule="exact"/>
        <w:ind w:left="0" w:right="0" w:firstLine="440"/>
        <w:jc w:val="both"/>
        <w:rPr>
          <w:sz w:val="20"/>
          <w:szCs w:val="20"/>
        </w:rPr>
      </w:pPr>
      <w:bookmarkStart w:id="771" w:name="bookmark771"/>
      <w:bookmarkEnd w:id="771"/>
      <w:r>
        <w:rPr>
          <w:b w:val="0"/>
          <w:bCs w:val="0"/>
          <w:color w:val="000000"/>
          <w:spacing w:val="0"/>
          <w:w w:val="100"/>
          <w:position w:val="0"/>
          <w:sz w:val="20"/>
          <w:szCs w:val="20"/>
        </w:rPr>
        <w:t>与嵌入衍生工具具有相关条款的单独工具符合衍生工具的定义；</w:t>
      </w:r>
    </w:p>
    <w:p>
      <w:pPr>
        <w:pStyle w:val="Style16"/>
        <w:keepNext w:val="0"/>
        <w:keepLines w:val="0"/>
        <w:widowControl w:val="0"/>
        <w:numPr>
          <w:ilvl w:val="0"/>
          <w:numId w:val="19"/>
        </w:numPr>
        <w:shd w:val="clear" w:color="auto" w:fill="auto"/>
        <w:tabs>
          <w:tab w:pos="816" w:val="left"/>
        </w:tabs>
        <w:bidi w:val="0"/>
        <w:spacing w:before="0" w:after="0" w:line="312" w:lineRule="exact"/>
        <w:ind w:left="0" w:right="0" w:firstLine="440"/>
        <w:jc w:val="both"/>
        <w:rPr>
          <w:sz w:val="20"/>
          <w:szCs w:val="20"/>
        </w:rPr>
      </w:pPr>
      <w:bookmarkStart w:id="772" w:name="bookmark772"/>
      <w:bookmarkEnd w:id="772"/>
      <w:r>
        <w:rPr>
          <w:b w:val="0"/>
          <w:bCs w:val="0"/>
          <w:color w:val="000000"/>
          <w:spacing w:val="0"/>
          <w:w w:val="100"/>
          <w:position w:val="0"/>
          <w:sz w:val="20"/>
          <w:szCs w:val="20"/>
        </w:rPr>
        <w:t>该混合合同不是以公允价值计量且其变动计入当期损益进行会计处理。</w:t>
      </w:r>
    </w:p>
    <w:p>
      <w:pPr>
        <w:pStyle w:val="Style16"/>
        <w:keepNext w:val="0"/>
        <w:keepLines w:val="0"/>
        <w:widowControl w:val="0"/>
        <w:shd w:val="clear" w:color="auto" w:fill="auto"/>
        <w:tabs>
          <w:tab w:pos="907" w:val="left"/>
        </w:tabs>
        <w:bidi w:val="0"/>
        <w:spacing w:before="0" w:after="0" w:line="312" w:lineRule="exact"/>
        <w:ind w:left="0" w:right="0" w:firstLine="440"/>
        <w:jc w:val="both"/>
        <w:rPr>
          <w:sz w:val="20"/>
          <w:szCs w:val="20"/>
        </w:rPr>
      </w:pPr>
      <w:bookmarkStart w:id="773" w:name="bookmark773"/>
      <w:r>
        <w:rPr>
          <w:b w:val="0"/>
          <w:bCs w:val="0"/>
          <w:color w:val="000000"/>
          <w:spacing w:val="0"/>
          <w:w w:val="100"/>
          <w:position w:val="0"/>
          <w:sz w:val="20"/>
          <w:szCs w:val="20"/>
        </w:rPr>
        <w:t>（</w:t>
      </w:r>
      <w:bookmarkEnd w:id="773"/>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w:t>
        <w:tab/>
        <w:t>金融资产和金融负债的抵销</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b w:val="0"/>
          <w:bCs w:val="0"/>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16"/>
        <w:keepNext w:val="0"/>
        <w:keepLines w:val="0"/>
        <w:widowControl w:val="0"/>
        <w:shd w:val="clear" w:color="auto" w:fill="auto"/>
        <w:tabs>
          <w:tab w:pos="907" w:val="left"/>
        </w:tabs>
        <w:bidi w:val="0"/>
        <w:spacing w:before="0" w:after="0" w:line="319" w:lineRule="exact"/>
        <w:ind w:left="0" w:right="0" w:firstLine="440"/>
        <w:jc w:val="both"/>
        <w:rPr>
          <w:sz w:val="20"/>
          <w:szCs w:val="20"/>
        </w:rPr>
      </w:pPr>
      <w:bookmarkStart w:id="774" w:name="bookmark774"/>
      <w:r>
        <w:rPr>
          <w:b w:val="0"/>
          <w:bCs w:val="0"/>
          <w:color w:val="000000"/>
          <w:spacing w:val="0"/>
          <w:w w:val="100"/>
          <w:position w:val="0"/>
          <w:sz w:val="20"/>
          <w:szCs w:val="20"/>
        </w:rPr>
        <w:t>（</w:t>
      </w:r>
      <w:bookmarkEnd w:id="774"/>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w:t>
        <w:tab/>
        <w:t>金融工具的公允价值确定</w:t>
      </w:r>
    </w:p>
    <w:p>
      <w:pPr>
        <w:pStyle w:val="Style16"/>
        <w:keepNext w:val="0"/>
        <w:keepLines w:val="0"/>
        <w:widowControl w:val="0"/>
        <w:shd w:val="clear" w:color="auto" w:fill="auto"/>
        <w:bidi w:val="0"/>
        <w:spacing w:before="0" w:after="0" w:line="319" w:lineRule="exact"/>
        <w:ind w:left="0" w:right="0" w:firstLine="0"/>
        <w:jc w:val="both"/>
        <w:rPr>
          <w:sz w:val="20"/>
          <w:szCs w:val="20"/>
        </w:rPr>
      </w:pPr>
      <w:r>
        <w:rPr>
          <w:b w:val="0"/>
          <w:bCs w:val="0"/>
          <w:color w:val="000000"/>
          <w:spacing w:val="0"/>
          <w:w w:val="100"/>
          <w:position w:val="0"/>
          <w:sz w:val="20"/>
          <w:szCs w:val="20"/>
        </w:rPr>
        <w:t>存在活跃市场的金融工具，以市场参与者在计量日发生的有序交易中，出售一项资产所能收到或者转移一 项负债所需支付的价格确定其公允价值。不存在活跃市场的金融工具，采用估值技术确定其公允价值。在 估值时，本公司采用在当前情况下适用并且有足够可利用数据和其他信息支持的估值技术，选择与市场参 与者在相关资产或负债的交易中所考虑的资产或负债特征相一致的输入值，并尽可能优先使用相关可观察 输入值。在相关可观察输入值无法取得或取得不切实可行时，使用不可观察输入值。</w:t>
      </w:r>
    </w:p>
    <w:p>
      <w:pPr>
        <w:pStyle w:val="Style28"/>
        <w:keepNext/>
        <w:keepLines/>
        <w:widowControl w:val="0"/>
        <w:shd w:val="clear" w:color="auto" w:fill="auto"/>
        <w:tabs>
          <w:tab w:pos="458" w:val="left"/>
        </w:tabs>
        <w:bidi w:val="0"/>
        <w:spacing w:before="0" w:after="300" w:line="312"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5"/>
      <w:bookmarkEnd w:id="776"/>
      <w:bookmarkEnd w:id="778"/>
    </w:p>
    <w:p>
      <w:pPr>
        <w:pStyle w:val="Style28"/>
        <w:keepNext/>
        <w:keepLines/>
        <w:widowControl w:val="0"/>
        <w:shd w:val="clear" w:color="auto" w:fill="auto"/>
        <w:tabs>
          <w:tab w:pos="458" w:val="left"/>
        </w:tabs>
        <w:bidi w:val="0"/>
        <w:spacing w:before="0" w:after="300" w:line="31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79"/>
      <w:bookmarkEnd w:id="780"/>
      <w:bookmarkEnd w:id="782"/>
    </w:p>
    <w:p>
      <w:pPr>
        <w:pStyle w:val="Style28"/>
        <w:keepNext/>
        <w:keepLines/>
        <w:widowControl w:val="0"/>
        <w:shd w:val="clear" w:color="auto" w:fill="auto"/>
        <w:tabs>
          <w:tab w:pos="458" w:val="left"/>
        </w:tabs>
        <w:bidi w:val="0"/>
        <w:spacing w:before="0" w:after="300" w:line="312"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83"/>
      <w:bookmarkEnd w:id="784"/>
      <w:bookmarkEnd w:id="786"/>
    </w:p>
    <w:p>
      <w:pPr>
        <w:pStyle w:val="Style28"/>
        <w:keepNext/>
        <w:keepLines/>
        <w:widowControl w:val="0"/>
        <w:shd w:val="clear" w:color="auto" w:fill="auto"/>
        <w:tabs>
          <w:tab w:pos="458" w:val="left"/>
        </w:tabs>
        <w:bidi w:val="0"/>
        <w:spacing w:before="0" w:line="312" w:lineRule="exact"/>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87"/>
      <w:bookmarkEnd w:id="788"/>
      <w:bookmarkEnd w:id="790"/>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其他应收款的预期信用损失的确定方法及会计处理方法</w:t>
      </w:r>
    </w:p>
    <w:p>
      <w:pPr>
        <w:pStyle w:val="Style28"/>
        <w:keepNext/>
        <w:keepLines/>
        <w:widowControl w:val="0"/>
        <w:shd w:val="clear" w:color="auto" w:fill="auto"/>
        <w:tabs>
          <w:tab w:pos="458" w:val="left"/>
        </w:tabs>
        <w:bidi w:val="0"/>
        <w:spacing w:before="0" w:after="300" w:line="312" w:lineRule="exact"/>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91"/>
      <w:bookmarkEnd w:id="792"/>
      <w:bookmarkEnd w:id="794"/>
    </w:p>
    <w:p>
      <w:pPr>
        <w:pStyle w:val="Style16"/>
        <w:keepNext w:val="0"/>
        <w:keepLines w:val="0"/>
        <w:widowControl w:val="0"/>
        <w:shd w:val="clear" w:color="auto" w:fill="auto"/>
        <w:tabs>
          <w:tab w:pos="912" w:val="left"/>
        </w:tabs>
        <w:bidi w:val="0"/>
        <w:spacing w:before="0" w:after="0" w:line="312" w:lineRule="exact"/>
        <w:ind w:left="0" w:right="0" w:firstLine="440"/>
        <w:jc w:val="both"/>
        <w:rPr>
          <w:sz w:val="20"/>
          <w:szCs w:val="20"/>
        </w:rPr>
      </w:pPr>
      <w:bookmarkStart w:id="795" w:name="bookmark795"/>
      <w:r>
        <w:rPr>
          <w:b w:val="0"/>
          <w:bCs w:val="0"/>
          <w:color w:val="000000"/>
          <w:spacing w:val="0"/>
          <w:w w:val="100"/>
          <w:position w:val="0"/>
          <w:sz w:val="20"/>
          <w:szCs w:val="20"/>
        </w:rPr>
        <w:t>（</w:t>
      </w:r>
      <w:bookmarkEnd w:id="795"/>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存货的分类</w:t>
      </w:r>
    </w:p>
    <w:p>
      <w:pPr>
        <w:pStyle w:val="Style16"/>
        <w:keepNext w:val="0"/>
        <w:keepLines w:val="0"/>
        <w:widowControl w:val="0"/>
        <w:shd w:val="clear" w:color="auto" w:fill="auto"/>
        <w:bidi w:val="0"/>
        <w:spacing w:before="0" w:after="0" w:line="312" w:lineRule="exact"/>
        <w:ind w:left="0" w:right="0" w:firstLine="440"/>
        <w:jc w:val="left"/>
        <w:rPr>
          <w:sz w:val="20"/>
          <w:szCs w:val="20"/>
        </w:rPr>
      </w:pPr>
      <w:r>
        <w:rPr>
          <w:b w:val="0"/>
          <w:bCs w:val="0"/>
          <w:color w:val="000000"/>
          <w:spacing w:val="0"/>
          <w:w w:val="100"/>
          <w:position w:val="0"/>
          <w:sz w:val="20"/>
          <w:szCs w:val="20"/>
        </w:rPr>
        <w:t>本公司存货分为原材料、在产品、库存商品、周转材料等。</w:t>
      </w:r>
    </w:p>
    <w:p>
      <w:pPr>
        <w:pStyle w:val="Style16"/>
        <w:keepNext w:val="0"/>
        <w:keepLines w:val="0"/>
        <w:widowControl w:val="0"/>
        <w:shd w:val="clear" w:color="auto" w:fill="auto"/>
        <w:tabs>
          <w:tab w:pos="912" w:val="left"/>
        </w:tabs>
        <w:bidi w:val="0"/>
        <w:spacing w:before="0" w:after="0" w:line="312" w:lineRule="exact"/>
        <w:ind w:left="0" w:right="0" w:firstLine="440"/>
        <w:jc w:val="both"/>
        <w:rPr>
          <w:sz w:val="20"/>
          <w:szCs w:val="20"/>
        </w:rPr>
      </w:pPr>
      <w:bookmarkStart w:id="796" w:name="bookmark796"/>
      <w:r>
        <w:rPr>
          <w:b w:val="0"/>
          <w:bCs w:val="0"/>
          <w:color w:val="000000"/>
          <w:spacing w:val="0"/>
          <w:w w:val="100"/>
          <w:position w:val="0"/>
          <w:sz w:val="20"/>
          <w:szCs w:val="20"/>
        </w:rPr>
        <w:t>（</w:t>
      </w:r>
      <w:bookmarkEnd w:id="796"/>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存货取得和发出的计价方法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本公司存货盘存制度采用永续盘存制，存货取得时按实际成本计价。原材料、在产品、库存商品等发 出时采用加权平均法计价；周转用包装物和低值易耗品领用时采用一次转销法摊销。</w:t>
      </w:r>
    </w:p>
    <w:p>
      <w:pPr>
        <w:pStyle w:val="Style16"/>
        <w:keepNext w:val="0"/>
        <w:keepLines w:val="0"/>
        <w:widowControl w:val="0"/>
        <w:shd w:val="clear" w:color="auto" w:fill="auto"/>
        <w:tabs>
          <w:tab w:pos="912" w:val="left"/>
        </w:tabs>
        <w:bidi w:val="0"/>
        <w:spacing w:before="0" w:after="0" w:line="312" w:lineRule="exact"/>
        <w:ind w:left="0" w:right="0" w:firstLine="440"/>
        <w:jc w:val="both"/>
        <w:rPr>
          <w:sz w:val="20"/>
          <w:szCs w:val="20"/>
        </w:rPr>
      </w:pPr>
      <w:bookmarkStart w:id="797" w:name="bookmark797"/>
      <w:r>
        <w:rPr>
          <w:b w:val="0"/>
          <w:bCs w:val="0"/>
          <w:color w:val="000000"/>
          <w:spacing w:val="0"/>
          <w:w w:val="100"/>
          <w:position w:val="0"/>
          <w:sz w:val="20"/>
          <w:szCs w:val="20"/>
        </w:rPr>
        <w:t>（</w:t>
      </w:r>
      <w:bookmarkEnd w:id="797"/>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存货跌价准备计提方法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本公司期末存货成本高于其可变现净值的，计提存货跌价准备。本公司通常按照类别计提存货跌价准 备，期末，以前减记存货价值的影响因素已经消失的，存货跌价准备在原己计提的金额内转回。</w:t>
      </w:r>
    </w:p>
    <w:p>
      <w:pPr>
        <w:pStyle w:val="Style16"/>
        <w:keepNext w:val="0"/>
        <w:keepLines w:val="0"/>
        <w:widowControl w:val="0"/>
        <w:shd w:val="clear" w:color="auto" w:fill="auto"/>
        <w:tabs>
          <w:tab w:pos="912" w:val="left"/>
        </w:tabs>
        <w:bidi w:val="0"/>
        <w:spacing w:before="0" w:after="0" w:line="312" w:lineRule="exact"/>
        <w:ind w:left="0" w:right="0" w:firstLine="440"/>
        <w:jc w:val="both"/>
        <w:rPr>
          <w:sz w:val="20"/>
          <w:szCs w:val="20"/>
        </w:rPr>
      </w:pPr>
      <w:bookmarkStart w:id="798" w:name="bookmark798"/>
      <w:r>
        <w:rPr>
          <w:b w:val="0"/>
          <w:bCs w:val="0"/>
          <w:color w:val="000000"/>
          <w:spacing w:val="0"/>
          <w:w w:val="100"/>
          <w:position w:val="0"/>
          <w:sz w:val="20"/>
          <w:szCs w:val="20"/>
        </w:rPr>
        <w:t>（</w:t>
      </w:r>
      <w:bookmarkEnd w:id="798"/>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存货可变现净值的确认方法</w:t>
      </w:r>
    </w:p>
    <w:p>
      <w:pPr>
        <w:pStyle w:val="Style16"/>
        <w:keepNext w:val="0"/>
        <w:keepLines w:val="0"/>
        <w:widowControl w:val="0"/>
        <w:shd w:val="clear" w:color="auto" w:fill="auto"/>
        <w:bidi w:val="0"/>
        <w:spacing w:before="0" w:after="300" w:line="312" w:lineRule="exact"/>
        <w:ind w:left="0" w:right="0" w:firstLine="440"/>
        <w:jc w:val="both"/>
        <w:rPr>
          <w:sz w:val="20"/>
          <w:szCs w:val="20"/>
        </w:rPr>
      </w:pPr>
      <w:r>
        <w:rPr>
          <w:b w:val="0"/>
          <w:bCs w:val="0"/>
          <w:color w:val="000000"/>
          <w:spacing w:val="0"/>
          <w:w w:val="100"/>
          <w:position w:val="0"/>
          <w:sz w:val="20"/>
          <w:szCs w:val="20"/>
        </w:rPr>
        <w:t>期末对存货进行全面清查后，按存货的成本与可变现净值孰低提取或调整存货跌价准备。产成品和用 于出售的材料等直接用于出售的商品存货，在正常生产经营过程中，以该存货的估计售价减去估计的销售 费用和相关税费后的金额，确定其可变现净值；需要经过加工的材料存货，在正常生产经营过程中，以所 生产的产成品的估计售价减去至完工时估计将要发生的成本、估计的销售费用和相关税费后的金额，确定 其可变现净值；为执行销售合同或者劳务合同而持有的存货，其可变现净值以合同价格为基础计算，若持 有存货的数量多于销售合同订购数量的，超出部分的存货的可变现净值以一般销售价格为基础计算。期末 按照单个存货项目计提存货跌价准备；但对于数量繁多、单价较低的存货，按照存货类别计提存货跌价准 备；与在同一地区生产和销售的产品系列相关、具有相同或类似最终用途或目的，且难以与其他项目分开 计量的存货，则合并计提存货跌价准备。除有明确证据表明资产负债表日市场价格异常外，存货项目的可 变现净值以资产负债表日市场价格为基础确定。本期期末存货项目的可变现净值以资产负债表日市场价格 为基础确定。</w:t>
      </w:r>
    </w:p>
    <w:p>
      <w:pPr>
        <w:pStyle w:val="Style28"/>
        <w:keepNext/>
        <w:keepLines/>
        <w:widowControl w:val="0"/>
        <w:shd w:val="clear" w:color="auto" w:fill="auto"/>
        <w:tabs>
          <w:tab w:pos="458" w:val="left"/>
        </w:tabs>
        <w:bidi w:val="0"/>
        <w:spacing w:before="0" w:after="300" w:line="312" w:lineRule="exact"/>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99"/>
      <w:bookmarkEnd w:id="800"/>
      <w:bookmarkEnd w:id="802"/>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本公司根据履行履约义务与客户付款之间的关系在资产负债表中列示合同资产或合同负债。合同资产 是本公司已向客户转让商品而有权收取对价的权利，且该权利取决于时间流逝之外的其他因素。合同负债 是本公司已收或应收客户对价而应向客户转让商品的义务。</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合同资产按照预期信用损失法计提减值准备。无论是否包含重大融资成分，本公司在资产负债表日均 按照整个存续期内预期信用损失的金额计量其损失准备，如果该预期信用损失大于当前合同资产减值准 备的账面金额，将其差额确认为减值损失，反之则确认为减值利得。实际发生减值损失，认定相关合同资 产无法收回，经批准予以核销。</w:t>
      </w:r>
    </w:p>
    <w:p>
      <w:pPr>
        <w:pStyle w:val="Style16"/>
        <w:keepNext w:val="0"/>
        <w:keepLines w:val="0"/>
        <w:widowControl w:val="0"/>
        <w:shd w:val="clear" w:color="auto" w:fill="auto"/>
        <w:bidi w:val="0"/>
        <w:spacing w:before="0" w:after="380" w:line="311" w:lineRule="exact"/>
        <w:ind w:left="0" w:right="0" w:firstLine="0"/>
        <w:jc w:val="both"/>
        <w:rPr>
          <w:sz w:val="20"/>
          <w:szCs w:val="20"/>
        </w:rPr>
      </w:pPr>
      <w:r>
        <w:rPr>
          <w:b w:val="0"/>
          <w:bCs w:val="0"/>
          <w:color w:val="000000"/>
          <w:spacing w:val="0"/>
          <w:w w:val="100"/>
          <w:position w:val="0"/>
          <w:sz w:val="20"/>
          <w:szCs w:val="20"/>
        </w:rPr>
        <w:t xml:space="preserve">资产负债表日，对于不同合同下的合同资产、合同负债，分别列示。对于同一合同下的合同资产、合同负 债，以净额列示，净额为借方余额的，根据其流动性分别列示为合同资产或其他非流动资产，己计提减值 准备的，减去合同资产减值准备的期末余额后列示；净额为贷方余额的，根据其流动性列示为合同负债或 </w:t>
      </w:r>
      <w:r>
        <w:rPr>
          <w:b w:val="0"/>
          <w:bCs w:val="0"/>
          <w:color w:val="000000"/>
          <w:spacing w:val="0"/>
          <w:w w:val="100"/>
          <w:position w:val="0"/>
          <w:sz w:val="20"/>
          <w:szCs w:val="20"/>
        </w:rPr>
        <w:t>其他非流动负债。</w:t>
      </w:r>
    </w:p>
    <w:p>
      <w:pPr>
        <w:pStyle w:val="Style28"/>
        <w:keepNext/>
        <w:keepLines/>
        <w:widowControl w:val="0"/>
        <w:shd w:val="clear" w:color="auto" w:fill="auto"/>
        <w:tabs>
          <w:tab w:pos="418" w:val="left"/>
        </w:tabs>
        <w:bidi w:val="0"/>
        <w:spacing w:before="0" w:after="220" w:line="326"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03"/>
      <w:bookmarkEnd w:id="804"/>
      <w:bookmarkEnd w:id="806"/>
    </w:p>
    <w:p>
      <w:pPr>
        <w:pStyle w:val="Style28"/>
        <w:keepNext/>
        <w:keepLines/>
        <w:widowControl w:val="0"/>
        <w:shd w:val="clear" w:color="auto" w:fill="auto"/>
        <w:tabs>
          <w:tab w:pos="418" w:val="left"/>
        </w:tabs>
        <w:bidi w:val="0"/>
        <w:spacing w:before="0" w:after="300" w:line="313"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07"/>
      <w:bookmarkEnd w:id="808"/>
      <w:bookmarkEnd w:id="810"/>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本公司将通过出售（包括具有商业实质的非货币性资产交换，下同）而非持续使用一项非流动资产或 处置组收回其账面价值，并同时满足以下两个条件的，划分为持有待售类别：（</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）某项非流动资产或处 置组根据类似交易中出售此类资产或处置组的惯例，在当前状况下即可立即出售；（</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）本公司已经就出 售计划作出决议且获得确定的购买承诺，预计出售将在一年内完成。（有关规定要求相关权力机构或者监 管部门批准后方可出售的，已经获得批准。）</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本公司将专为转售而取得的非流动资产或处置组，在取得日满足</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预计出售将在一年内完成</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的规定条 件，且短期（通常为</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个月）内很可能满足持有待售类别的其他划分条件的，在取得日划分为持有待售类 别。</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b w:val="0"/>
          <w:bCs w:val="0"/>
          <w:color w:val="000000"/>
          <w:spacing w:val="0"/>
          <w:w w:val="100"/>
          <w:position w:val="0"/>
          <w:sz w:val="20"/>
          <w:szCs w:val="20"/>
        </w:rPr>
        <w:t>42</w:t>
      </w:r>
      <w:r>
        <w:rPr>
          <w:b w:val="0"/>
          <w:bCs w:val="0"/>
          <w:color w:val="000000"/>
          <w:spacing w:val="0"/>
          <w:w w:val="100"/>
          <w:position w:val="0"/>
          <w:sz w:val="20"/>
          <w:szCs w:val="20"/>
        </w:rPr>
        <w:t>号——持有待 售的非流动资产、处置组和终止经营》计量规定的各项非流动资产账面价值所占比重，按比例抵减其账面 价值。</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 持有待售类别后适用《企业会计准则第</w:t>
      </w:r>
      <w:r>
        <w:rPr>
          <w:rFonts w:ascii="Times New Roman" w:eastAsia="Times New Roman" w:hAnsi="Times New Roman" w:cs="Times New Roman"/>
          <w:b w:val="0"/>
          <w:bCs w:val="0"/>
          <w:color w:val="000000"/>
          <w:spacing w:val="0"/>
          <w:w w:val="100"/>
          <w:position w:val="0"/>
          <w:sz w:val="20"/>
          <w:szCs w:val="20"/>
        </w:rPr>
        <w:t>42</w:t>
      </w:r>
      <w:r>
        <w:rPr>
          <w:b w:val="0"/>
          <w:bCs w:val="0"/>
          <w:color w:val="000000"/>
          <w:spacing w:val="0"/>
          <w:w w:val="100"/>
          <w:position w:val="0"/>
          <w:sz w:val="20"/>
          <w:szCs w:val="20"/>
        </w:rPr>
        <w:t>号——持有待售的非流动资产、处置组和终止经营》计量规定的 非流动资产确认的资产减值损失金额内转回，转回金额计入当期损益。已抵减的商誉账面价值，以及适用 《企业会计准则第</w:t>
      </w:r>
      <w:r>
        <w:rPr>
          <w:rFonts w:ascii="Times New Roman" w:eastAsia="Times New Roman" w:hAnsi="Times New Roman" w:cs="Times New Roman"/>
          <w:b w:val="0"/>
          <w:bCs w:val="0"/>
          <w:color w:val="000000"/>
          <w:spacing w:val="0"/>
          <w:w w:val="100"/>
          <w:position w:val="0"/>
          <w:sz w:val="20"/>
          <w:szCs w:val="20"/>
        </w:rPr>
        <w:t>42</w:t>
      </w:r>
      <w:r>
        <w:rPr>
          <w:b w:val="0"/>
          <w:bCs w:val="0"/>
          <w:color w:val="000000"/>
          <w:spacing w:val="0"/>
          <w:w w:val="100"/>
          <w:position w:val="0"/>
          <w:sz w:val="20"/>
          <w:szCs w:val="20"/>
        </w:rPr>
        <w:t>号——持有待售的非流动资产、处置组和终止经营》计量规定的非流动资产在划分为 持有待售类别前确认的资产减值损失不得转回。</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16"/>
        <w:keepNext w:val="0"/>
        <w:keepLines w:val="0"/>
        <w:widowControl w:val="0"/>
        <w:shd w:val="clear" w:color="auto" w:fill="auto"/>
        <w:bidi w:val="0"/>
        <w:spacing w:before="0" w:after="380" w:line="313" w:lineRule="exact"/>
        <w:ind w:left="0" w:right="0" w:firstLine="440"/>
        <w:jc w:val="both"/>
        <w:rPr>
          <w:sz w:val="20"/>
          <w:szCs w:val="20"/>
        </w:rPr>
      </w:pPr>
      <w:r>
        <w:rPr>
          <w:b w:val="0"/>
          <w:bCs w:val="0"/>
          <w:color w:val="000000"/>
          <w:spacing w:val="0"/>
          <w:w w:val="100"/>
          <w:position w:val="0"/>
          <w:sz w:val="20"/>
          <w:szCs w:val="20"/>
        </w:rPr>
        <w:t>非流动资产或处置组因不再满足持有待售类别的划分条件时，本公司不再将其继续划分为持有待售类 别或非流动资产从持有待售的处置组中移除，并按照以下两者孰低计量：（</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可收回金额。终止确认持有待售的非流动资产或处置组时，本公司将尚未确认的利得或损失计入当期损益。</w:t>
      </w:r>
    </w:p>
    <w:p>
      <w:pPr>
        <w:pStyle w:val="Style28"/>
        <w:keepNext/>
        <w:keepLines/>
        <w:widowControl w:val="0"/>
        <w:shd w:val="clear" w:color="auto" w:fill="auto"/>
        <w:tabs>
          <w:tab w:pos="418" w:val="left"/>
        </w:tabs>
        <w:bidi w:val="0"/>
        <w:spacing w:before="0" w:after="220" w:line="326"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1"/>
      <w:bookmarkEnd w:id="812"/>
      <w:bookmarkEnd w:id="814"/>
    </w:p>
    <w:p>
      <w:pPr>
        <w:pStyle w:val="Style28"/>
        <w:keepNext/>
        <w:keepLines/>
        <w:widowControl w:val="0"/>
        <w:shd w:val="clear" w:color="auto" w:fill="auto"/>
        <w:tabs>
          <w:tab w:pos="428" w:val="left"/>
        </w:tabs>
        <w:bidi w:val="0"/>
        <w:spacing w:before="0" w:after="300" w:line="313"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15"/>
      <w:bookmarkEnd w:id="816"/>
      <w:bookmarkEnd w:id="818"/>
    </w:p>
    <w:p>
      <w:pPr>
        <w:pStyle w:val="Style28"/>
        <w:keepNext/>
        <w:keepLines/>
        <w:widowControl w:val="0"/>
        <w:shd w:val="clear" w:color="auto" w:fill="auto"/>
        <w:tabs>
          <w:tab w:pos="428" w:val="left"/>
        </w:tabs>
        <w:bidi w:val="0"/>
        <w:spacing w:before="0" w:after="300" w:line="313" w:lineRule="exact"/>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19"/>
      <w:bookmarkEnd w:id="820"/>
      <w:bookmarkEnd w:id="822"/>
    </w:p>
    <w:p>
      <w:pPr>
        <w:pStyle w:val="Style28"/>
        <w:keepNext/>
        <w:keepLines/>
        <w:widowControl w:val="0"/>
        <w:shd w:val="clear" w:color="auto" w:fill="auto"/>
        <w:tabs>
          <w:tab w:pos="428" w:val="left"/>
        </w:tabs>
        <w:bidi w:val="0"/>
        <w:spacing w:before="0" w:after="300" w:line="313" w:lineRule="exact"/>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23"/>
      <w:bookmarkEnd w:id="824"/>
      <w:bookmarkEnd w:id="826"/>
    </w:p>
    <w:p>
      <w:pPr>
        <w:pStyle w:val="Style16"/>
        <w:keepNext w:val="0"/>
        <w:keepLines w:val="0"/>
        <w:widowControl w:val="0"/>
        <w:shd w:val="clear" w:color="auto" w:fill="auto"/>
        <w:bidi w:val="0"/>
        <w:spacing w:before="0" w:after="300" w:line="312" w:lineRule="exact"/>
        <w:ind w:left="0" w:right="0" w:firstLine="440"/>
        <w:jc w:val="both"/>
        <w:rPr>
          <w:sz w:val="20"/>
          <w:szCs w:val="20"/>
        </w:rPr>
      </w:pPr>
      <w:r>
        <w:rPr>
          <w:b w:val="0"/>
          <w:bCs w:val="0"/>
          <w:color w:val="000000"/>
          <w:spacing w:val="0"/>
          <w:w w:val="100"/>
          <w:position w:val="0"/>
          <w:sz w:val="20"/>
          <w:szCs w:val="20"/>
        </w:rPr>
        <w:t>本部分所指的长期股权投资是指本公司对被投资单位具有控制、共同控制或重大影响的长期股权投 资。本公司对被投资单位不具有控制、共同控制或重大影响的长期股权投资，作为为交易性金融资产或其 他权益工具投资核算，其会计政策详见附注三、</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金融工具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16"/>
        <w:keepNext w:val="0"/>
        <w:keepLines w:val="0"/>
        <w:widowControl w:val="0"/>
        <w:shd w:val="clear" w:color="auto" w:fill="auto"/>
        <w:tabs>
          <w:tab w:pos="868" w:val="left"/>
        </w:tabs>
        <w:bidi w:val="0"/>
        <w:spacing w:before="0" w:after="0" w:line="312" w:lineRule="exact"/>
        <w:ind w:left="0" w:right="0" w:firstLine="440"/>
        <w:jc w:val="both"/>
        <w:rPr>
          <w:sz w:val="20"/>
          <w:szCs w:val="20"/>
        </w:rPr>
      </w:pPr>
      <w:bookmarkStart w:id="827" w:name="bookmark827"/>
      <w:r>
        <w:rPr>
          <w:b w:val="0"/>
          <w:bCs w:val="0"/>
          <w:color w:val="000000"/>
          <w:spacing w:val="0"/>
          <w:w w:val="100"/>
          <w:position w:val="0"/>
          <w:sz w:val="20"/>
          <w:szCs w:val="20"/>
        </w:rPr>
        <w:t>（</w:t>
      </w:r>
      <w:bookmarkEnd w:id="827"/>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投资成本的确定</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对于同一控制下的企业合并取得的长期股权投资，在合并日按照被合并方股东权益</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所有者权益在最终 控制方合并财务报表中的账面价值的份额作为长期股权投资的初始投资成本。长期股权投资初始投资成本 与支付的现金、转让的非现金资产以及所承担债务账面价值之间的差额，调整资本公积；资本公积不足冲 减的，调整留存收益。以发行权益性证券作为合并对价的，在合并日按照被合并方股东权益</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所有者权益在 最终控制方合并财务报表中的账面价值的份额作为长期股权投资的初始投资成本，按照发行股份的面值总 额作为股本，长期股权投资初始投资成本与所发行股份面值总额之间的差额，调整资本公积；资本公积不 足冲减的，调整留存收益。通过多次交易分步取得同一控制下被合并方的股权，最终形成同一控制下企业 合并的，应分别是否属于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进行处理：属于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的，将各项交易作为一项取得控制权 的交易进行会计处理。不属于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的，在合并日按照应享有被合并方股东权益</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所有者权益在最终 控制方合并财务报表中的账面价值的份额作为长期股权投资的初始投资成本，长期股权投资初始投资成本 与达到合并前的长期股权投资账面价值加上合并日进一步取得股份新支付对价的账面价值之和的差额，调 整资本公积；资本公积不足冲减的，调整留存收益。合并日之前持有的股权投资因采用权益法核算或为可 供出售金融资产而确认的其他综合收益，暂不进行会计处理。</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 交易''进行处理：属于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 揽子交易''的，按照原持有被购买方的股权投资账面价值加上新增投资成本之和，作为改按成本法核算的 长期股权投资的初始投资成本。原持有的股权采用权益法核算的，相关其他综合收益暂不进行会计处理。 原持有股权投资为可供出售金融资产的，其公允价值与账面价值之间的差额，以及原计入其他综合收益的 累计公允价值变动转入当期损益。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合并方或购买方为企业合并发生的审计、法律服务、评估咨询等中介费用以及其他相关管理费用，于 发生时计入当期损益。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号——金融工具确认和计量》确定的原持有股权投资的公允价值加上新增投资成本 之和。</w:t>
      </w:r>
    </w:p>
    <w:p>
      <w:pPr>
        <w:pStyle w:val="Style16"/>
        <w:keepNext w:val="0"/>
        <w:keepLines w:val="0"/>
        <w:widowControl w:val="0"/>
        <w:shd w:val="clear" w:color="auto" w:fill="auto"/>
        <w:tabs>
          <w:tab w:pos="868" w:val="left"/>
        </w:tabs>
        <w:bidi w:val="0"/>
        <w:spacing w:before="0" w:after="0" w:line="312" w:lineRule="exact"/>
        <w:ind w:left="0" w:right="0" w:firstLine="440"/>
        <w:jc w:val="both"/>
        <w:rPr>
          <w:sz w:val="20"/>
          <w:szCs w:val="20"/>
        </w:rPr>
      </w:pPr>
      <w:bookmarkStart w:id="828" w:name="bookmark828"/>
      <w:r>
        <w:rPr>
          <w:b w:val="0"/>
          <w:bCs w:val="0"/>
          <w:color w:val="000000"/>
          <w:spacing w:val="0"/>
          <w:w w:val="100"/>
          <w:position w:val="0"/>
          <w:sz w:val="20"/>
          <w:szCs w:val="20"/>
        </w:rPr>
        <w:t>（</w:t>
      </w:r>
      <w:bookmarkEnd w:id="828"/>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后续计量及损益确认方法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对被投资单位具有共同控制（构成共同经营者除外）或重大影响的长期股权投资，采用权益法核算。 此外，公司财务报表采用成本法核算能够对被投资单位实施控制的长期股权投资。</w:t>
      </w:r>
    </w:p>
    <w:p>
      <w:pPr>
        <w:pStyle w:val="Style16"/>
        <w:keepNext w:val="0"/>
        <w:keepLines w:val="0"/>
        <w:widowControl w:val="0"/>
        <w:numPr>
          <w:ilvl w:val="0"/>
          <w:numId w:val="21"/>
        </w:numPr>
        <w:shd w:val="clear" w:color="auto" w:fill="auto"/>
        <w:tabs>
          <w:tab w:pos="772" w:val="left"/>
        </w:tabs>
        <w:bidi w:val="0"/>
        <w:spacing w:before="0" w:after="0" w:line="312" w:lineRule="exact"/>
        <w:ind w:left="0" w:right="0" w:firstLine="440"/>
        <w:jc w:val="both"/>
        <w:rPr>
          <w:sz w:val="20"/>
          <w:szCs w:val="20"/>
        </w:rPr>
      </w:pPr>
      <w:bookmarkStart w:id="829" w:name="bookmark829"/>
      <w:bookmarkEnd w:id="829"/>
      <w:r>
        <w:rPr>
          <w:b w:val="0"/>
          <w:bCs w:val="0"/>
          <w:color w:val="000000"/>
          <w:spacing w:val="0"/>
          <w:w w:val="100"/>
          <w:position w:val="0"/>
          <w:sz w:val="20"/>
          <w:szCs w:val="20"/>
        </w:rPr>
        <w:t>成本法核算的长期股权投资</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16"/>
        <w:keepNext w:val="0"/>
        <w:keepLines w:val="0"/>
        <w:widowControl w:val="0"/>
        <w:numPr>
          <w:ilvl w:val="0"/>
          <w:numId w:val="21"/>
        </w:numPr>
        <w:shd w:val="clear" w:color="auto" w:fill="auto"/>
        <w:tabs>
          <w:tab w:pos="777" w:val="left"/>
        </w:tabs>
        <w:bidi w:val="0"/>
        <w:spacing w:before="0" w:after="0" w:line="312" w:lineRule="exact"/>
        <w:ind w:left="0" w:right="0" w:firstLine="440"/>
        <w:jc w:val="both"/>
        <w:rPr>
          <w:sz w:val="20"/>
          <w:szCs w:val="20"/>
        </w:rPr>
      </w:pPr>
      <w:bookmarkStart w:id="830" w:name="bookmark830"/>
      <w:bookmarkEnd w:id="830"/>
      <w:r>
        <w:rPr>
          <w:b w:val="0"/>
          <w:bCs w:val="0"/>
          <w:color w:val="000000"/>
          <w:spacing w:val="0"/>
          <w:w w:val="100"/>
          <w:position w:val="0"/>
          <w:sz w:val="20"/>
          <w:szCs w:val="20"/>
        </w:rPr>
        <w:t>权益法核算的长期股权投资</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 xml:space="preserve">采用权益法核算时，长期股权投资的初始投资成本大于投资时应享有被投资单位可辨认净资产公允价 值份额的，不调整长期股权投资的初始投资成本；初始投资成本小于投资时应享有被投资单位可辨认净资 </w:t>
      </w:r>
      <w:r>
        <w:rPr>
          <w:b w:val="0"/>
          <w:bCs w:val="0"/>
          <w:color w:val="000000"/>
          <w:spacing w:val="0"/>
          <w:w w:val="100"/>
          <w:position w:val="0"/>
          <w:sz w:val="20"/>
          <w:szCs w:val="20"/>
        </w:rPr>
        <w:t>产公允价值份额的，其差额计入当期损益，同时调整长期股权投资的成本。</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b w:val="0"/>
          <w:bCs w:val="0"/>
          <w:color w:val="000000"/>
          <w:spacing w:val="0"/>
          <w:w w:val="100"/>
          <w:position w:val="0"/>
          <w:sz w:val="20"/>
          <w:szCs w:val="20"/>
        </w:rPr>
        <w:t>20</w:t>
      </w:r>
      <w:r>
        <w:rPr>
          <w:b w:val="0"/>
          <w:bCs w:val="0"/>
          <w:color w:val="000000"/>
          <w:spacing w:val="0"/>
          <w:w w:val="100"/>
          <w:position w:val="0"/>
          <w:sz w:val="20"/>
          <w:szCs w:val="20"/>
        </w:rPr>
        <w:t>号——企业合并》的规定进行会计处理，全额 确认与交易相关的利得或损失。</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16"/>
        <w:keepNext w:val="0"/>
        <w:keepLines w:val="0"/>
        <w:widowControl w:val="0"/>
        <w:numPr>
          <w:ilvl w:val="0"/>
          <w:numId w:val="21"/>
        </w:numPr>
        <w:shd w:val="clear" w:color="auto" w:fill="auto"/>
        <w:tabs>
          <w:tab w:pos="777" w:val="left"/>
        </w:tabs>
        <w:bidi w:val="0"/>
        <w:spacing w:before="0" w:after="0" w:line="312" w:lineRule="exact"/>
        <w:ind w:left="0" w:right="0" w:firstLine="440"/>
        <w:jc w:val="both"/>
        <w:rPr>
          <w:sz w:val="20"/>
          <w:szCs w:val="20"/>
        </w:rPr>
      </w:pPr>
      <w:bookmarkStart w:id="831" w:name="bookmark831"/>
      <w:bookmarkEnd w:id="831"/>
      <w:r>
        <w:rPr>
          <w:b w:val="0"/>
          <w:bCs w:val="0"/>
          <w:color w:val="000000"/>
          <w:spacing w:val="0"/>
          <w:w w:val="100"/>
          <w:position w:val="0"/>
          <w:sz w:val="20"/>
          <w:szCs w:val="20"/>
        </w:rPr>
        <w:t>收购少数股权</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16"/>
        <w:keepNext w:val="0"/>
        <w:keepLines w:val="0"/>
        <w:widowControl w:val="0"/>
        <w:numPr>
          <w:ilvl w:val="0"/>
          <w:numId w:val="21"/>
        </w:numPr>
        <w:shd w:val="clear" w:color="auto" w:fill="auto"/>
        <w:tabs>
          <w:tab w:pos="777" w:val="left"/>
        </w:tabs>
        <w:bidi w:val="0"/>
        <w:spacing w:before="0" w:after="0" w:line="312" w:lineRule="exact"/>
        <w:ind w:left="0" w:right="0" w:firstLine="440"/>
        <w:jc w:val="both"/>
        <w:rPr>
          <w:sz w:val="20"/>
          <w:szCs w:val="20"/>
        </w:rPr>
      </w:pPr>
      <w:bookmarkStart w:id="832" w:name="bookmark832"/>
      <w:bookmarkEnd w:id="832"/>
      <w:r>
        <w:rPr>
          <w:b w:val="0"/>
          <w:bCs w:val="0"/>
          <w:color w:val="000000"/>
          <w:spacing w:val="0"/>
          <w:w w:val="100"/>
          <w:position w:val="0"/>
          <w:sz w:val="20"/>
          <w:szCs w:val="20"/>
        </w:rPr>
        <w:t>处置长期股权投资</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资导致丧失对子公司控制权的，按本附注三、</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合并财务报表编制的方法</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中所述的相关会计政策 处理。</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其他情形下的长期股权投资处置，对于处置的股权，其账面价值与实际取得价款的差额，计入当期损 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 xml:space="preserve">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w:t>
      </w:r>
      <w:r>
        <w:rPr>
          <w:b w:val="0"/>
          <w:bCs w:val="0"/>
          <w:color w:val="000000"/>
          <w:spacing w:val="0"/>
          <w:w w:val="100"/>
          <w:position w:val="0"/>
          <w:sz w:val="20"/>
          <w:szCs w:val="20"/>
        </w:rPr>
        <w:t>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16"/>
        <w:keepNext w:val="0"/>
        <w:keepLines w:val="0"/>
        <w:widowControl w:val="0"/>
        <w:shd w:val="clear" w:color="auto" w:fill="auto"/>
        <w:bidi w:val="0"/>
        <w:spacing w:before="0" w:after="380" w:line="314" w:lineRule="exact"/>
        <w:ind w:left="0" w:right="0" w:firstLine="440"/>
        <w:jc w:val="both"/>
        <w:rPr>
          <w:sz w:val="20"/>
          <w:szCs w:val="20"/>
        </w:rPr>
      </w:pPr>
      <w:r>
        <w:rPr>
          <w:b w:val="0"/>
          <w:bCs w:val="0"/>
          <w:color w:val="000000"/>
          <w:spacing w:val="0"/>
          <w:w w:val="100"/>
          <w:position w:val="0"/>
          <w:sz w:val="20"/>
          <w:szCs w:val="2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28"/>
        <w:keepNext/>
        <w:keepLines/>
        <w:widowControl w:val="0"/>
        <w:shd w:val="clear" w:color="auto" w:fill="auto"/>
        <w:tabs>
          <w:tab w:pos="467" w:val="left"/>
        </w:tabs>
        <w:bidi w:val="0"/>
        <w:spacing w:before="0" w:after="300" w:line="326"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33"/>
      <w:bookmarkEnd w:id="834"/>
      <w:bookmarkEnd w:id="836"/>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467" w:val="left"/>
        </w:tabs>
        <w:bidi w:val="0"/>
        <w:spacing w:before="0" w:after="220" w:line="326"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37"/>
      <w:bookmarkEnd w:id="838"/>
      <w:bookmarkEnd w:id="840"/>
    </w:p>
    <w:p>
      <w:pPr>
        <w:pStyle w:val="Style32"/>
        <w:keepNext/>
        <w:keepLines/>
        <w:widowControl w:val="0"/>
        <w:shd w:val="clear" w:color="auto" w:fill="auto"/>
        <w:bidi w:val="0"/>
        <w:spacing w:before="0" w:line="314" w:lineRule="exact"/>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1"/>
      <w:bookmarkEnd w:id="842"/>
      <w:bookmarkEnd w:id="844"/>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本公司固定资产是指为生产商品、提供劳务、出租或经营管理而持有的，使用寿命超过一个会计年度的有形资产。</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与该固定资产有关的经济利益很可能流入企业，并且该固定资产的成本能够可靠地计量时，固定资产才能予以确认。</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本公司固定资产按照取得时的实际成本进行初始计量。</w:t>
      </w:r>
    </w:p>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845" w:name="bookmark84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45"/>
    </w:p>
    <w:tbl>
      <w:tblPr>
        <w:tblOverlap w:val="never"/>
        <w:jc w:val="center"/>
        <w:tblLayout w:type="fixed"/>
      </w:tblPr>
      <w:tblGrid>
        <w:gridCol w:w="1925"/>
        <w:gridCol w:w="1910"/>
        <w:gridCol w:w="1910"/>
        <w:gridCol w:w="192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18.00-25.00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18.00-33.33</w:t>
            </w:r>
          </w:p>
        </w:tc>
      </w:tr>
    </w:tbl>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本公司采用年限平均法计提折旧。固定资产自达到预定可使用状态时开始计提折旧，终止确认时或划分为 持有待售非流动资产时停止计提折旧。在不考虑减值准备的情况下，按固定资产类别、预计使用寿命和预 计残值，本公司确定各类固定资产的年折旧率如上表所列。</w:t>
      </w:r>
    </w:p>
    <w:p>
      <w:pPr>
        <w:pStyle w:val="Style16"/>
        <w:keepNext w:val="0"/>
        <w:keepLines w:val="0"/>
        <w:widowControl w:val="0"/>
        <w:shd w:val="clear" w:color="auto" w:fill="auto"/>
        <w:bidi w:val="0"/>
        <w:spacing w:before="0" w:after="300" w:line="310" w:lineRule="exact"/>
        <w:ind w:left="0" w:right="0" w:firstLine="440"/>
        <w:jc w:val="both"/>
        <w:rPr>
          <w:sz w:val="20"/>
          <w:szCs w:val="20"/>
        </w:rPr>
      </w:pPr>
      <w:r>
        <w:rPr>
          <w:b w:val="0"/>
          <w:bCs w:val="0"/>
          <w:color w:val="000000"/>
          <w:spacing w:val="0"/>
          <w:w w:val="100"/>
          <w:position w:val="0"/>
          <w:sz w:val="20"/>
          <w:szCs w:val="20"/>
        </w:rPr>
        <w:t>其中，己计提减值准备的固定资产，还应扣除已计提的固定资产减值准备累计金额计算确定折旧率。</w:t>
      </w:r>
    </w:p>
    <w:p>
      <w:pPr>
        <w:pStyle w:val="Style16"/>
        <w:keepNext w:val="0"/>
        <w:keepLines w:val="0"/>
        <w:widowControl w:val="0"/>
        <w:shd w:val="clear" w:color="auto" w:fill="auto"/>
        <w:bidi w:val="0"/>
        <w:spacing w:before="0" w:after="300" w:line="310" w:lineRule="exact"/>
        <w:ind w:left="0" w:right="0" w:firstLine="440"/>
        <w:jc w:val="both"/>
        <w:rPr>
          <w:sz w:val="20"/>
          <w:szCs w:val="20"/>
        </w:rPr>
      </w:pPr>
      <w:r>
        <w:rPr>
          <w:b w:val="0"/>
          <w:bCs w:val="0"/>
          <w:color w:val="000000"/>
          <w:spacing w:val="0"/>
          <w:w w:val="100"/>
          <w:position w:val="0"/>
          <w:sz w:val="20"/>
          <w:szCs w:val="20"/>
        </w:rPr>
        <w:t>每年年度终了，本公司对固定资产的使用寿命、预计净残值和折旧方法进行复核。使用寿命预计数与 原先估计数有差异的，调整固定资产使用寿命；预计净残值预计数与原先估计数有差异的，调整预计净残 值。</w:t>
      </w:r>
    </w:p>
    <w:p>
      <w:pPr>
        <w:pStyle w:val="Style32"/>
        <w:keepNext/>
        <w:keepLines/>
        <w:widowControl w:val="0"/>
        <w:shd w:val="clear" w:color="auto" w:fill="auto"/>
        <w:bidi w:val="0"/>
        <w:spacing w:before="0" w:after="300" w:line="313" w:lineRule="exact"/>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6"/>
      <w:bookmarkEnd w:id="847"/>
      <w:bookmarkEnd w:id="849"/>
    </w:p>
    <w:p>
      <w:pPr>
        <w:pStyle w:val="Style28"/>
        <w:keepNext/>
        <w:keepLines/>
        <w:widowControl w:val="0"/>
        <w:shd w:val="clear" w:color="auto" w:fill="auto"/>
        <w:tabs>
          <w:tab w:pos="451" w:val="left"/>
        </w:tabs>
        <w:bidi w:val="0"/>
        <w:spacing w:before="0" w:after="300" w:line="313"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50"/>
      <w:bookmarkEnd w:id="851"/>
      <w:bookmarkEnd w:id="853"/>
    </w:p>
    <w:p>
      <w:pPr>
        <w:pStyle w:val="Style16"/>
        <w:keepNext w:val="0"/>
        <w:keepLines w:val="0"/>
        <w:widowControl w:val="0"/>
        <w:shd w:val="clear" w:color="auto" w:fill="auto"/>
        <w:bidi w:val="0"/>
        <w:spacing w:before="0" w:after="300" w:line="311" w:lineRule="exact"/>
        <w:ind w:left="0" w:right="0" w:firstLine="440"/>
        <w:jc w:val="both"/>
        <w:rPr>
          <w:sz w:val="20"/>
          <w:szCs w:val="20"/>
        </w:rPr>
      </w:pPr>
      <w:r>
        <w:rPr>
          <w:b w:val="0"/>
          <w:bCs w:val="0"/>
          <w:color w:val="000000"/>
          <w:spacing w:val="0"/>
          <w:w w:val="100"/>
          <w:position w:val="0"/>
          <w:sz w:val="20"/>
          <w:szCs w:val="20"/>
        </w:rPr>
        <w:t>在建工程项目按建造该项资产达到预定可使用状态前所发生的必要支出，作为固定资产的入账价值。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28"/>
        <w:keepNext/>
        <w:keepLines/>
        <w:widowControl w:val="0"/>
        <w:shd w:val="clear" w:color="auto" w:fill="auto"/>
        <w:tabs>
          <w:tab w:pos="451" w:val="left"/>
        </w:tabs>
        <w:bidi w:val="0"/>
        <w:spacing w:before="0" w:after="300" w:line="313" w:lineRule="exact"/>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54"/>
      <w:bookmarkEnd w:id="855"/>
      <w:bookmarkEnd w:id="857"/>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资本化期间内，外币专门借款的汇兑差额全部予以资本化；外币一般借款的汇兑差额计入当期损益。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符合资本化条件的资产指需要经过相当长时间的购建或者生产活动才能达到预定可使用或可销售状 态的固定资产、投资性房地产和存货等资产。</w:t>
      </w:r>
    </w:p>
    <w:p>
      <w:pPr>
        <w:pStyle w:val="Style16"/>
        <w:keepNext w:val="0"/>
        <w:keepLines w:val="0"/>
        <w:widowControl w:val="0"/>
        <w:shd w:val="clear" w:color="auto" w:fill="auto"/>
        <w:bidi w:val="0"/>
        <w:spacing w:before="0" w:after="300" w:line="314" w:lineRule="exact"/>
        <w:ind w:left="0" w:right="0" w:firstLine="440"/>
        <w:jc w:val="both"/>
        <w:rPr>
          <w:sz w:val="20"/>
          <w:szCs w:val="20"/>
        </w:rPr>
      </w:pPr>
      <w:r>
        <w:rPr>
          <w:b w:val="0"/>
          <w:bCs w:val="0"/>
          <w:color w:val="000000"/>
          <w:spacing w:val="0"/>
          <w:w w:val="100"/>
          <w:position w:val="0"/>
          <w:sz w:val="20"/>
          <w:szCs w:val="20"/>
        </w:rPr>
        <w:t>如果符合资本化条件的资产在购建或生产过程中发生非正常中断、并且中断时间连续超过</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个月的， 暂停借款费用的资本化，直至资产的购建或生产活动重新开始。</w:t>
      </w:r>
    </w:p>
    <w:p>
      <w:pPr>
        <w:pStyle w:val="Style28"/>
        <w:keepNext/>
        <w:keepLines/>
        <w:widowControl w:val="0"/>
        <w:shd w:val="clear" w:color="auto" w:fill="auto"/>
        <w:tabs>
          <w:tab w:pos="451" w:val="left"/>
        </w:tabs>
        <w:bidi w:val="0"/>
        <w:spacing w:before="0" w:after="300" w:line="313"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58"/>
      <w:bookmarkEnd w:id="859"/>
      <w:bookmarkEnd w:id="861"/>
    </w:p>
    <w:p>
      <w:pPr>
        <w:pStyle w:val="Style28"/>
        <w:keepNext/>
        <w:keepLines/>
        <w:widowControl w:val="0"/>
        <w:shd w:val="clear" w:color="auto" w:fill="auto"/>
        <w:tabs>
          <w:tab w:pos="451" w:val="left"/>
        </w:tabs>
        <w:bidi w:val="0"/>
        <w:spacing w:before="0" w:after="300" w:line="313"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62"/>
      <w:bookmarkEnd w:id="863"/>
      <w:bookmarkEnd w:id="865"/>
    </w:p>
    <w:p>
      <w:pPr>
        <w:pStyle w:val="Style28"/>
        <w:keepNext/>
        <w:keepLines/>
        <w:widowControl w:val="0"/>
        <w:shd w:val="clear" w:color="auto" w:fill="auto"/>
        <w:tabs>
          <w:tab w:pos="451" w:val="left"/>
        </w:tabs>
        <w:bidi w:val="0"/>
        <w:spacing w:before="0" w:after="300" w:line="313" w:lineRule="exact"/>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66"/>
      <w:bookmarkEnd w:id="867"/>
      <w:bookmarkEnd w:id="869"/>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使用权资产是指本公司可在租赁期内使用租赁资产的权利。本公司租赁资产的类别主要包括房屋建筑 物。</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在租赁期开始日，本公司按照成本对使用权资产进行初始计量，包括：</w:t>
      </w: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 xml:space="preserve">租赁负债的初始计量金额； </w:t>
      </w:r>
      <w:r>
        <w:rPr>
          <w:rFonts w:ascii="Times New Roman" w:eastAsia="Times New Roman" w:hAnsi="Times New Roman" w:cs="Times New Roman"/>
          <w:b w:val="0"/>
          <w:bCs w:val="0"/>
          <w:color w:val="000000"/>
          <w:spacing w:val="0"/>
          <w:w w:val="100"/>
          <w:position w:val="0"/>
          <w:sz w:val="20"/>
          <w:szCs w:val="20"/>
        </w:rPr>
        <w:t>B.</w:t>
      </w:r>
      <w:r>
        <w:rPr>
          <w:b w:val="0"/>
          <w:bCs w:val="0"/>
          <w:color w:val="000000"/>
          <w:spacing w:val="0"/>
          <w:w w:val="100"/>
          <w:position w:val="0"/>
          <w:sz w:val="20"/>
          <w:szCs w:val="20"/>
        </w:rPr>
        <w:t>在租赁期开始日或之前支付的租赁付款额，存在租赁激励的，扣除已享受的租赁激励相关金额；</w:t>
      </w:r>
      <w:r>
        <w:rPr>
          <w:rFonts w:ascii="Times New Roman" w:eastAsia="Times New Roman" w:hAnsi="Times New Roman" w:cs="Times New Roman"/>
          <w:b w:val="0"/>
          <w:bCs w:val="0"/>
          <w:color w:val="000000"/>
          <w:spacing w:val="0"/>
          <w:w w:val="100"/>
          <w:position w:val="0"/>
          <w:sz w:val="20"/>
          <w:szCs w:val="20"/>
        </w:rPr>
        <w:t>C.</w:t>
      </w:r>
      <w:r>
        <w:rPr>
          <w:b w:val="0"/>
          <w:bCs w:val="0"/>
          <w:color w:val="000000"/>
          <w:spacing w:val="0"/>
          <w:w w:val="100"/>
          <w:position w:val="0"/>
          <w:sz w:val="20"/>
          <w:szCs w:val="20"/>
        </w:rPr>
        <w:t>发生 的初始直接费用；</w:t>
      </w:r>
      <w:r>
        <w:rPr>
          <w:rFonts w:ascii="Times New Roman" w:eastAsia="Times New Roman" w:hAnsi="Times New Roman" w:cs="Times New Roman"/>
          <w:b w:val="0"/>
          <w:bCs w:val="0"/>
          <w:color w:val="000000"/>
          <w:spacing w:val="0"/>
          <w:w w:val="100"/>
          <w:position w:val="0"/>
          <w:sz w:val="20"/>
          <w:szCs w:val="20"/>
        </w:rPr>
        <w:t>D.</w:t>
      </w:r>
      <w:r>
        <w:rPr>
          <w:b w:val="0"/>
          <w:bCs w:val="0"/>
          <w:color w:val="000000"/>
          <w:spacing w:val="0"/>
          <w:w w:val="100"/>
          <w:position w:val="0"/>
          <w:sz w:val="20"/>
          <w:szCs w:val="20"/>
        </w:rPr>
        <w:t>为拆卸及移除租赁资产、复原租赁资产所在场地或将租赁资产恢复至租赁条款约定状 态预计将发生的成本，但属于为生产存货而发生的，适用《企业会计准则第</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号一存货》。</w:t>
      </w:r>
    </w:p>
    <w:p>
      <w:pPr>
        <w:pStyle w:val="Style16"/>
        <w:keepNext w:val="0"/>
        <w:keepLines w:val="0"/>
        <w:widowControl w:val="0"/>
        <w:shd w:val="clear" w:color="auto" w:fill="auto"/>
        <w:bidi w:val="0"/>
        <w:spacing w:before="0" w:after="300" w:line="312" w:lineRule="exact"/>
        <w:ind w:left="0" w:right="0" w:firstLine="440"/>
        <w:jc w:val="both"/>
        <w:rPr>
          <w:sz w:val="20"/>
          <w:szCs w:val="20"/>
        </w:rPr>
      </w:pPr>
      <w:r>
        <w:rPr>
          <w:b w:val="0"/>
          <w:bCs w:val="0"/>
          <w:color w:val="000000"/>
          <w:spacing w:val="0"/>
          <w:w w:val="100"/>
          <w:position w:val="0"/>
          <w:sz w:val="20"/>
          <w:szCs w:val="20"/>
        </w:rPr>
        <w:t>在租赁期开始日后，本公司采用成本模式对使用权资产进行后续计量，根据与使用权资产有关的经济 利益的预期实现方式作出决定，以直线法对使用权资产计提折旧</w:t>
      </w:r>
      <w:r>
        <w:rPr>
          <w:b w:val="0"/>
          <w:bCs w:val="0"/>
          <w:color w:val="0000FF"/>
          <w:spacing w:val="0"/>
          <w:w w:val="100"/>
          <w:position w:val="0"/>
          <w:sz w:val="20"/>
          <w:szCs w:val="20"/>
        </w:rPr>
        <w:t>，</w:t>
      </w:r>
      <w:r>
        <w:rPr>
          <w:b w:val="0"/>
          <w:bCs w:val="0"/>
          <w:color w:val="000000"/>
          <w:spacing w:val="0"/>
          <w:w w:val="100"/>
          <w:position w:val="0"/>
          <w:sz w:val="20"/>
          <w:szCs w:val="20"/>
        </w:rPr>
        <w:t>并对已识别的减值损失进行会计处理。 本公司按照租赁准则有关规定重新计量租赁负债的，相应调整使用权资产的账面价值。</w:t>
      </w:r>
    </w:p>
    <w:p>
      <w:pPr>
        <w:pStyle w:val="Style28"/>
        <w:keepNext/>
        <w:keepLines/>
        <w:widowControl w:val="0"/>
        <w:shd w:val="clear" w:color="auto" w:fill="auto"/>
        <w:bidi w:val="0"/>
        <w:spacing w:before="0" w:after="280" w:line="310" w:lineRule="exact"/>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3</w:t>
      </w:r>
      <w:bookmarkEnd w:id="872"/>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70"/>
      <w:bookmarkEnd w:id="871"/>
      <w:bookmarkEnd w:id="873"/>
    </w:p>
    <w:p>
      <w:pPr>
        <w:pStyle w:val="Style32"/>
        <w:keepNext/>
        <w:keepLines/>
        <w:widowControl w:val="0"/>
        <w:shd w:val="clear" w:color="auto" w:fill="auto"/>
        <w:bidi w:val="0"/>
        <w:spacing w:before="0" w:after="280" w:line="310"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4"/>
      <w:bookmarkEnd w:id="875"/>
      <w:bookmarkEnd w:id="877"/>
    </w:p>
    <w:p>
      <w:pPr>
        <w:pStyle w:val="Style16"/>
        <w:keepNext w:val="0"/>
        <w:keepLines w:val="0"/>
        <w:widowControl w:val="0"/>
        <w:shd w:val="clear" w:color="auto" w:fill="auto"/>
        <w:bidi w:val="0"/>
        <w:spacing w:before="0" w:after="0" w:line="310" w:lineRule="exact"/>
        <w:ind w:left="0" w:right="0" w:firstLine="440"/>
        <w:jc w:val="both"/>
        <w:rPr>
          <w:sz w:val="20"/>
          <w:szCs w:val="20"/>
        </w:rPr>
      </w:pPr>
      <w:bookmarkStart w:id="878" w:name="bookmark878"/>
      <w:r>
        <w:rPr>
          <w:b w:val="0"/>
          <w:bCs w:val="0"/>
          <w:color w:val="000000"/>
          <w:spacing w:val="0"/>
          <w:w w:val="100"/>
          <w:position w:val="0"/>
          <w:sz w:val="20"/>
          <w:szCs w:val="20"/>
        </w:rPr>
        <w:t>（</w:t>
      </w:r>
      <w:bookmarkEnd w:id="878"/>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）无形资产的计价方法</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公司取得无形资产时按成本进行初始计量。外购无形资产的成本，包括购买价款、相关税费以及直接 归属于使该项资产达到预定用途所发生的其他支出。购买无形资产的价款超过正常信用条件延期支付，实 质上具有融资性质的，无形资产的成本以购买价款的现值为基础确定。债务重组取得债务人用以抵债的无 形资产，以该无形资产的公允价值为基础确定其入账价值，并将重组债务的账面价值与该用以抵债的无形 资产公允价值之间的差额，计入当期损益。在非货币性资产交换具备商业实质且换入资产或换出资产的公 允价值能够可靠计量的前提下，非货币性资产交换换入的无形资产以换出资产的公允价值为基础确定其入 账价值，除非有确凿证据表明换入资产的公允价值更加可靠；不满足上述前提的非货币性资产交换，以换 出资产的账面价值和应支付的相关税费作为换入无形资产的成本，不确认损益。</w:t>
      </w:r>
    </w:p>
    <w:p>
      <w:pPr>
        <w:pStyle w:val="Style16"/>
        <w:keepNext w:val="0"/>
        <w:keepLines w:val="0"/>
        <w:widowControl w:val="0"/>
        <w:shd w:val="clear" w:color="auto" w:fill="auto"/>
        <w:bidi w:val="0"/>
        <w:spacing w:before="0" w:after="60" w:line="310" w:lineRule="exact"/>
        <w:ind w:left="0" w:right="0" w:firstLine="440"/>
        <w:jc w:val="both"/>
        <w:rPr>
          <w:sz w:val="20"/>
          <w:szCs w:val="20"/>
        </w:rPr>
      </w:pPr>
      <w:r>
        <w:rPr>
          <w:b w:val="0"/>
          <w:bCs w:val="0"/>
          <w:color w:val="000000"/>
          <w:spacing w:val="0"/>
          <w:w w:val="100"/>
          <w:position w:val="0"/>
          <w:sz w:val="20"/>
          <w:szCs w:val="20"/>
        </w:rPr>
        <w:t>对于使用寿命有限的无形资产，在为企业带来经济利益的期限内按直线法摊销；无法预见无形资产为 企业带来经济利益期限的，视为使用寿命不确定的无形资产，不予摊销。</w:t>
      </w:r>
    </w:p>
    <w:tbl>
      <w:tblPr>
        <w:tblOverlap w:val="never"/>
        <w:jc w:val="center"/>
        <w:tblLayout w:type="fixed"/>
      </w:tblPr>
      <w:tblGrid>
        <w:gridCol w:w="2990"/>
        <w:gridCol w:w="3269"/>
        <w:gridCol w:w="3062"/>
      </w:tblGrid>
      <w:tr>
        <w:trPr>
          <w:trHeight w:val="28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使用寿命有限的无形资产的使用寿命估计情况</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预计受益期限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5-10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预计受益期限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预计受益期限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bl>
    <w:p>
      <w:pPr>
        <w:pStyle w:val="Style2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每期末，对使用寿命有限的无形资产的使用寿命及摊销方法进行复核。 经复核，本年期末无形资产的使用寿命及摊销方法与以前估计未有不同。</w:t>
      </w:r>
    </w:p>
    <w:p>
      <w:pPr>
        <w:widowControl w:val="0"/>
        <w:spacing w:after="219" w:line="1" w:lineRule="exact"/>
      </w:pPr>
    </w:p>
    <w:p>
      <w:pPr>
        <w:pStyle w:val="Style32"/>
        <w:keepNext/>
        <w:keepLines/>
        <w:widowControl w:val="0"/>
        <w:shd w:val="clear" w:color="auto" w:fill="auto"/>
        <w:bidi w:val="0"/>
        <w:spacing w:before="0" w:after="280" w:line="314"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9"/>
      <w:bookmarkEnd w:id="880"/>
      <w:bookmarkEnd w:id="882"/>
    </w:p>
    <w:p>
      <w:pPr>
        <w:pStyle w:val="Style16"/>
        <w:keepNext w:val="0"/>
        <w:keepLines w:val="0"/>
        <w:widowControl w:val="0"/>
        <w:shd w:val="clear" w:color="auto" w:fill="auto"/>
        <w:bidi w:val="0"/>
        <w:spacing w:before="0" w:after="0" w:line="314" w:lineRule="exact"/>
        <w:ind w:left="0" w:right="0" w:firstLine="440"/>
        <w:jc w:val="left"/>
        <w:rPr>
          <w:sz w:val="20"/>
          <w:szCs w:val="20"/>
        </w:rPr>
      </w:pPr>
      <w:r>
        <w:rPr>
          <w:b w:val="0"/>
          <w:bCs w:val="0"/>
          <w:color w:val="000000"/>
          <w:spacing w:val="0"/>
          <w:w w:val="100"/>
          <w:position w:val="0"/>
          <w:sz w:val="20"/>
          <w:szCs w:val="20"/>
        </w:rPr>
        <w:t>本公司将内部研究开发项目的支出，区分为研究阶段支出和开发阶段支出。</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研究阶段的支出，于发生时计入当期损益。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16"/>
        <w:keepNext w:val="0"/>
        <w:keepLines w:val="0"/>
        <w:widowControl w:val="0"/>
        <w:shd w:val="clear" w:color="auto" w:fill="auto"/>
        <w:bidi w:val="0"/>
        <w:spacing w:before="0" w:after="600" w:line="314" w:lineRule="exact"/>
        <w:ind w:left="0" w:right="0" w:firstLine="440"/>
        <w:jc w:val="both"/>
        <w:rPr>
          <w:sz w:val="20"/>
          <w:szCs w:val="20"/>
        </w:rPr>
      </w:pPr>
      <w:r>
        <w:rPr>
          <w:b w:val="0"/>
          <w:bCs w:val="0"/>
          <w:color w:val="000000"/>
          <w:spacing w:val="0"/>
          <w:w w:val="100"/>
          <w:position w:val="0"/>
          <w:sz w:val="20"/>
          <w:szCs w:val="20"/>
        </w:rPr>
        <w:t>本公司相应项目在满足上述条件，通过技术可行性及经济可行性研究，形成项目立项后，进入开发阶 段。</w:t>
      </w:r>
    </w:p>
    <w:p>
      <w:pPr>
        <w:pStyle w:val="Style28"/>
        <w:keepNext/>
        <w:keepLines/>
        <w:widowControl w:val="0"/>
        <w:shd w:val="clear" w:color="auto" w:fill="auto"/>
        <w:bidi w:val="0"/>
        <w:spacing w:before="0" w:after="280" w:line="312"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83"/>
      <w:bookmarkEnd w:id="884"/>
      <w:bookmarkEnd w:id="886"/>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 xml:space="preserve">减值测试结果表明资产的可收回金额低于其账面价值的，按其差额计提减值准备并计入减值损失。可 </w:t>
      </w:r>
      <w:r>
        <w:rPr>
          <w:b w:val="0"/>
          <w:bCs w:val="0"/>
          <w:color w:val="000000"/>
          <w:spacing w:val="0"/>
          <w:w w:val="100"/>
          <w:position w:val="0"/>
          <w:sz w:val="20"/>
          <w:szCs w:val="20"/>
        </w:rPr>
        <w:t>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16"/>
        <w:keepNext w:val="0"/>
        <w:keepLines w:val="0"/>
        <w:widowControl w:val="0"/>
        <w:shd w:val="clear" w:color="auto" w:fill="auto"/>
        <w:tabs>
          <w:tab w:pos="6833" w:val="left"/>
        </w:tabs>
        <w:bidi w:val="0"/>
        <w:spacing w:before="0" w:after="380" w:line="313" w:lineRule="exact"/>
        <w:ind w:left="0" w:right="0" w:firstLine="0"/>
        <w:jc w:val="left"/>
        <w:rPr>
          <w:sz w:val="18"/>
          <w:szCs w:val="18"/>
        </w:rPr>
      </w:pPr>
      <w:r>
        <w:rPr>
          <w:b w:val="0"/>
          <w:bCs w:val="0"/>
          <w:color w:val="000000"/>
          <w:spacing w:val="0"/>
          <w:w w:val="100"/>
          <w:position w:val="0"/>
          <w:sz w:val="20"/>
          <w:szCs w:val="20"/>
        </w:rPr>
        <w:t>上述资产减值损失一经确认，以后期间不予转回价值得以恢复的部分。</w:t>
        <w:tab/>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w:t>
      </w:r>
    </w:p>
    <w:p>
      <w:pPr>
        <w:pStyle w:val="Style28"/>
        <w:keepNext/>
        <w:keepLines/>
        <w:widowControl w:val="0"/>
        <w:shd w:val="clear" w:color="auto" w:fill="auto"/>
        <w:tabs>
          <w:tab w:pos="443" w:val="left"/>
        </w:tabs>
        <w:bidi w:val="0"/>
        <w:spacing w:before="0" w:after="200" w:line="326"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7"/>
      <w:bookmarkEnd w:id="888"/>
      <w:bookmarkEnd w:id="890"/>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长期待摊费用按实际支出入账，在受益期或规定的期限内平均摊销。如果长期待摊的费用项目不能使 以后会计期间受益，则将尚未摊销的该项目的摊余价值全部转入当期损益。其中：</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预付经营租入固定资产的租金，按租赁合同规定的期限平均摊销。</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经营租赁方式租入的固定资产改良支出，按剩余租赁期与租赁资产尚可使用年限两者中较短的期限平 均摊销。</w:t>
      </w:r>
    </w:p>
    <w:p>
      <w:pPr>
        <w:pStyle w:val="Style16"/>
        <w:keepNext w:val="0"/>
        <w:keepLines w:val="0"/>
        <w:widowControl w:val="0"/>
        <w:shd w:val="clear" w:color="auto" w:fill="auto"/>
        <w:bidi w:val="0"/>
        <w:spacing w:before="0" w:after="380" w:line="314" w:lineRule="exact"/>
        <w:ind w:left="0" w:right="0" w:firstLine="440"/>
        <w:jc w:val="both"/>
        <w:rPr>
          <w:sz w:val="20"/>
          <w:szCs w:val="20"/>
        </w:rPr>
      </w:pPr>
      <w:r>
        <w:rPr>
          <w:b w:val="0"/>
          <w:bCs w:val="0"/>
          <w:color w:val="000000"/>
          <w:spacing w:val="0"/>
          <w:w w:val="100"/>
          <w:position w:val="0"/>
          <w:sz w:val="20"/>
          <w:szCs w:val="20"/>
        </w:rPr>
        <w:t>融资租赁方式租入的固定资产符合资本化条件的装修费用，按两次装修间隔期间、剩余租赁期与固定 资产尚可使用年限三者中较短的期限平均摊销。</w:t>
      </w:r>
    </w:p>
    <w:p>
      <w:pPr>
        <w:pStyle w:val="Style28"/>
        <w:keepNext/>
        <w:keepLines/>
        <w:widowControl w:val="0"/>
        <w:shd w:val="clear" w:color="auto" w:fill="auto"/>
        <w:tabs>
          <w:tab w:pos="443" w:val="left"/>
        </w:tabs>
        <w:bidi w:val="0"/>
        <w:spacing w:before="0" w:after="200" w:line="326"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1"/>
      <w:bookmarkEnd w:id="892"/>
      <w:bookmarkEnd w:id="894"/>
    </w:p>
    <w:p>
      <w:pPr>
        <w:pStyle w:val="Style16"/>
        <w:keepNext w:val="0"/>
        <w:keepLines w:val="0"/>
        <w:widowControl w:val="0"/>
        <w:shd w:val="clear" w:color="auto" w:fill="auto"/>
        <w:bidi w:val="0"/>
        <w:spacing w:before="0" w:after="0" w:line="309" w:lineRule="exact"/>
        <w:ind w:left="0" w:right="0" w:firstLine="440"/>
        <w:jc w:val="both"/>
        <w:rPr>
          <w:sz w:val="20"/>
          <w:szCs w:val="20"/>
        </w:rPr>
      </w:pPr>
      <w:r>
        <w:rPr>
          <w:b w:val="0"/>
          <w:bCs w:val="0"/>
          <w:color w:val="000000"/>
          <w:spacing w:val="0"/>
          <w:w w:val="100"/>
          <w:position w:val="0"/>
          <w:sz w:val="20"/>
          <w:szCs w:val="20"/>
        </w:rPr>
        <w:t>本公司根据履行履约义务与客户付款之间的关系在资产负债表中列示合同资产或合同负债。合同资产 是本公司已向客户转让商品而有权收取对价的权利，且该权利取决于时间流逝之外的其他因素。合同负债 是本公司已收或应收客户对价而应向客户转让商品的义务。</w:t>
      </w:r>
    </w:p>
    <w:p>
      <w:pPr>
        <w:pStyle w:val="Style16"/>
        <w:keepNext w:val="0"/>
        <w:keepLines w:val="0"/>
        <w:widowControl w:val="0"/>
        <w:shd w:val="clear" w:color="auto" w:fill="auto"/>
        <w:bidi w:val="0"/>
        <w:spacing w:before="0" w:after="0" w:line="309" w:lineRule="exact"/>
        <w:ind w:left="0" w:right="0" w:firstLine="440"/>
        <w:jc w:val="both"/>
        <w:rPr>
          <w:sz w:val="20"/>
          <w:szCs w:val="20"/>
        </w:rPr>
      </w:pPr>
      <w:r>
        <w:rPr>
          <w:b w:val="0"/>
          <w:bCs w:val="0"/>
          <w:color w:val="000000"/>
          <w:spacing w:val="0"/>
          <w:w w:val="100"/>
          <w:position w:val="0"/>
          <w:sz w:val="20"/>
          <w:szCs w:val="20"/>
        </w:rPr>
        <w:t>合同资产按照预期信用损失法计提减值准备。无论是否包含重大融资成分，本公司在资产负债表日均 按照整个存续期内预期信用损失的金额计量其损失准备，如果该预期信用损失大于当前合同资产减值准 备的账面金额，将其差额确认为减值损失，反之则确认为减值利得。实际发生减值损失，认定相关合同资 产无法收回，经批准予以核销。</w:t>
      </w:r>
    </w:p>
    <w:p>
      <w:pPr>
        <w:pStyle w:val="Style16"/>
        <w:keepNext w:val="0"/>
        <w:keepLines w:val="0"/>
        <w:widowControl w:val="0"/>
        <w:shd w:val="clear" w:color="auto" w:fill="auto"/>
        <w:bidi w:val="0"/>
        <w:spacing w:before="0" w:after="380" w:line="311" w:lineRule="exact"/>
        <w:ind w:left="0" w:right="0" w:firstLine="0"/>
        <w:jc w:val="both"/>
        <w:rPr>
          <w:sz w:val="20"/>
          <w:szCs w:val="20"/>
        </w:rPr>
      </w:pPr>
      <w:r>
        <w:rPr>
          <w:b w:val="0"/>
          <w:bCs w:val="0"/>
          <w:color w:val="000000"/>
          <w:spacing w:val="0"/>
          <w:w w:val="100"/>
          <w:position w:val="0"/>
          <w:sz w:val="20"/>
          <w:szCs w:val="20"/>
        </w:rPr>
        <w:t>资产负债表日，对于不同合同下的合同资产、合同负债，分别列示。对于同一合同下的合同资产、合同负 债，以净额列示，净额为借方余额的，根据其流动性分别列示为合同资产或其他非流动资产，已计提减值 准备的，减去合同资产减值准备的期末余额后列示；净额为贷方余额的，根据其流动性列示为合同负债或 其他非流动负债。</w:t>
      </w:r>
    </w:p>
    <w:p>
      <w:pPr>
        <w:pStyle w:val="Style28"/>
        <w:keepNext/>
        <w:keepLines/>
        <w:widowControl w:val="0"/>
        <w:shd w:val="clear" w:color="auto" w:fill="auto"/>
        <w:tabs>
          <w:tab w:pos="443" w:val="left"/>
        </w:tabs>
        <w:bidi w:val="0"/>
        <w:spacing w:before="0" w:after="200" w:line="326"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5"/>
      <w:bookmarkEnd w:id="896"/>
      <w:bookmarkEnd w:id="898"/>
    </w:p>
    <w:p>
      <w:pPr>
        <w:pStyle w:val="Style32"/>
        <w:keepNext/>
        <w:keepLines/>
        <w:widowControl w:val="0"/>
        <w:shd w:val="clear" w:color="auto" w:fill="auto"/>
        <w:bidi w:val="0"/>
        <w:spacing w:before="0" w:after="280" w:line="313" w:lineRule="exact"/>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99"/>
      <w:bookmarkEnd w:id="900"/>
      <w:bookmarkEnd w:id="902"/>
    </w:p>
    <w:p>
      <w:pPr>
        <w:pStyle w:val="Style16"/>
        <w:keepNext w:val="0"/>
        <w:keepLines w:val="0"/>
        <w:widowControl w:val="0"/>
        <w:shd w:val="clear" w:color="auto" w:fill="auto"/>
        <w:bidi w:val="0"/>
        <w:spacing w:before="0" w:after="280" w:line="313" w:lineRule="exact"/>
        <w:ind w:left="0" w:right="0" w:firstLine="0"/>
        <w:jc w:val="both"/>
        <w:rPr>
          <w:sz w:val="18"/>
          <w:szCs w:val="18"/>
        </w:rPr>
      </w:pPr>
      <w:r>
        <w:rPr>
          <w:b w:val="0"/>
          <w:bCs w:val="0"/>
          <w:color w:val="000000"/>
          <w:spacing w:val="0"/>
          <w:w w:val="100"/>
          <w:position w:val="0"/>
          <w:sz w:val="20"/>
          <w:szCs w:val="20"/>
        </w:rPr>
        <w:t xml:space="preserve">本公司职工薪酬主要包括短期职工薪酬、离职后福利、辞退福利。其中：短期薪酬主要包括工资、奖金、 </w:t>
      </w:r>
      <w:r>
        <w:rPr>
          <w:b w:val="0"/>
          <w:bCs w:val="0"/>
          <w:color w:val="000000"/>
          <w:spacing w:val="0"/>
          <w:w w:val="100"/>
          <w:position w:val="0"/>
          <w:sz w:val="20"/>
          <w:szCs w:val="20"/>
        </w:rPr>
        <w:t>津贴和补贴、职工福利费、医疗保险费、生育保险费、工伤保险费、住房公积金、工会经费和职工教育经 费、非货币性福利等。本公司在职工为本公司提供服务的会计期间将实际发生的短期职工薪酬确认为负债， 并计入当期损益或相关资产成本。其中非货币性福利按公允价值计量。</w:t>
      </w:r>
      <w:r>
        <w:rPr>
          <w:rFonts w:ascii="Times New Roman" w:eastAsia="Times New Roman" w:hAnsi="Times New Roman" w:cs="Times New Roman"/>
          <w:b w:val="0"/>
          <w:bCs w:val="0"/>
          <w:color w:val="000000"/>
          <w:spacing w:val="0"/>
          <w:w w:val="100"/>
          <w:position w:val="0"/>
          <w:sz w:val="18"/>
          <w:szCs w:val="18"/>
        </w:rPr>
        <w:t>$</w:t>
      </w:r>
    </w:p>
    <w:p>
      <w:pPr>
        <w:pStyle w:val="Style32"/>
        <w:keepNext/>
        <w:keepLines/>
        <w:widowControl w:val="0"/>
        <w:shd w:val="clear" w:color="auto" w:fill="auto"/>
        <w:bidi w:val="0"/>
        <w:spacing w:before="0" w:after="280" w:line="319" w:lineRule="exact"/>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03"/>
      <w:bookmarkEnd w:id="904"/>
      <w:bookmarkEnd w:id="906"/>
    </w:p>
    <w:p>
      <w:pPr>
        <w:pStyle w:val="Style16"/>
        <w:keepNext w:val="0"/>
        <w:keepLines w:val="0"/>
        <w:widowControl w:val="0"/>
        <w:shd w:val="clear" w:color="auto" w:fill="auto"/>
        <w:bidi w:val="0"/>
        <w:spacing w:before="0" w:after="600" w:line="317" w:lineRule="exact"/>
        <w:ind w:left="0" w:right="0" w:firstLine="360"/>
        <w:jc w:val="left"/>
        <w:rPr>
          <w:sz w:val="20"/>
          <w:szCs w:val="20"/>
        </w:rPr>
      </w:pPr>
      <w:r>
        <w:rPr>
          <w:b w:val="0"/>
          <w:bCs w:val="0"/>
          <w:color w:val="000000"/>
          <w:spacing w:val="0"/>
          <w:w w:val="100"/>
          <w:position w:val="0"/>
          <w:sz w:val="20"/>
          <w:szCs w:val="20"/>
        </w:rPr>
        <w:t>离职后福利主要包括设定提存计划。其中设定提存计划主要包括基本养老保险、失业保险，相应的应 缴存金额于发生时计入相关资产成本或当期损益。</w:t>
      </w:r>
    </w:p>
    <w:p>
      <w:pPr>
        <w:pStyle w:val="Style32"/>
        <w:keepNext/>
        <w:keepLines/>
        <w:widowControl w:val="0"/>
        <w:shd w:val="clear" w:color="auto" w:fill="auto"/>
        <w:tabs>
          <w:tab w:pos="466" w:val="left"/>
        </w:tabs>
        <w:bidi w:val="0"/>
        <w:spacing w:before="0" w:after="280" w:line="314"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7"/>
      <w:bookmarkEnd w:id="908"/>
      <w:bookmarkEnd w:id="910"/>
    </w:p>
    <w:p>
      <w:pPr>
        <w:pStyle w:val="Style16"/>
        <w:keepNext w:val="0"/>
        <w:keepLines w:val="0"/>
        <w:widowControl w:val="0"/>
        <w:shd w:val="clear" w:color="auto" w:fill="auto"/>
        <w:bidi w:val="0"/>
        <w:spacing w:before="0" w:after="280" w:line="314" w:lineRule="exact"/>
        <w:ind w:left="0" w:right="0" w:firstLine="360"/>
        <w:jc w:val="left"/>
        <w:rPr>
          <w:sz w:val="20"/>
          <w:szCs w:val="20"/>
        </w:rPr>
      </w:pPr>
      <w:r>
        <w:rPr>
          <w:b w:val="0"/>
          <w:bCs w:val="0"/>
          <w:color w:val="000000"/>
          <w:spacing w:val="0"/>
          <w:w w:val="100"/>
          <w:position w:val="0"/>
          <w:sz w:val="20"/>
          <w:szCs w:val="20"/>
        </w:rPr>
        <w:t>在职工劳动合同到期之前解除与职工的劳动关系，或为鼓励职工自愿接受裁减而提出给予补偿的建议，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pStyle w:val="Style32"/>
        <w:keepNext/>
        <w:keepLines/>
        <w:widowControl w:val="0"/>
        <w:shd w:val="clear" w:color="auto" w:fill="auto"/>
        <w:tabs>
          <w:tab w:pos="466" w:val="left"/>
        </w:tabs>
        <w:bidi w:val="0"/>
        <w:spacing w:before="0" w:after="280" w:line="314"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1"/>
      <w:bookmarkEnd w:id="912"/>
      <w:bookmarkEnd w:id="914"/>
    </w:p>
    <w:p>
      <w:pPr>
        <w:pStyle w:val="Style16"/>
        <w:keepNext w:val="0"/>
        <w:keepLines w:val="0"/>
        <w:widowControl w:val="0"/>
        <w:shd w:val="clear" w:color="auto" w:fill="auto"/>
        <w:bidi w:val="0"/>
        <w:spacing w:before="0" w:after="600" w:line="312" w:lineRule="exact"/>
        <w:ind w:left="0" w:right="0" w:firstLine="440"/>
        <w:jc w:val="both"/>
        <w:rPr>
          <w:sz w:val="20"/>
          <w:szCs w:val="20"/>
        </w:rPr>
      </w:pPr>
      <w:r>
        <w:rPr>
          <w:b w:val="0"/>
          <w:bCs w:val="0"/>
          <w:color w:val="000000"/>
          <w:spacing w:val="0"/>
          <w:w w:val="100"/>
          <w:position w:val="0"/>
          <w:sz w:val="20"/>
          <w:szCs w:val="20"/>
        </w:rPr>
        <w:t>本公司向职工提供的其他长期职工福利，符合设定提存计划的，按照设定提存计划进行会计处理，除 此之外按照设定收益计划进行会计处理。</w:t>
      </w:r>
    </w:p>
    <w:p>
      <w:pPr>
        <w:pStyle w:val="Style28"/>
        <w:keepNext/>
        <w:keepLines/>
        <w:widowControl w:val="0"/>
        <w:shd w:val="clear" w:color="auto" w:fill="auto"/>
        <w:bidi w:val="0"/>
        <w:spacing w:before="0" w:after="280" w:line="310"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15"/>
      <w:bookmarkEnd w:id="916"/>
      <w:bookmarkEnd w:id="918"/>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租赁负债反映本公司尚未支付的租赁付款额的现值。本公司按照租赁期开始日尚未支付的租赁付款额 的现值对租赁负债进行初始计量。</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租赁付款额，是指本公司向出租人支付的与在租赁期内使用租赁资产的权利相关的款项，包括：</w:t>
      </w: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固 定付款额及实质固定付款额，存在租赁激励的，扣除租赁激励相关金额；</w:t>
      </w:r>
      <w:r>
        <w:rPr>
          <w:rFonts w:ascii="Times New Roman" w:eastAsia="Times New Roman" w:hAnsi="Times New Roman" w:cs="Times New Roman"/>
          <w:b w:val="0"/>
          <w:bCs w:val="0"/>
          <w:color w:val="000000"/>
          <w:spacing w:val="0"/>
          <w:w w:val="100"/>
          <w:position w:val="0"/>
          <w:sz w:val="20"/>
          <w:szCs w:val="20"/>
        </w:rPr>
        <w:t>B.</w:t>
      </w:r>
      <w:r>
        <w:rPr>
          <w:b w:val="0"/>
          <w:bCs w:val="0"/>
          <w:color w:val="000000"/>
          <w:spacing w:val="0"/>
          <w:w w:val="100"/>
          <w:position w:val="0"/>
          <w:sz w:val="20"/>
          <w:szCs w:val="20"/>
        </w:rPr>
        <w:t>取决于指数或比率的可变租赁 付款额，该款项在初始计量时根据租赁期开始日的指数或比率确定；</w:t>
      </w:r>
      <w:r>
        <w:rPr>
          <w:rFonts w:ascii="Times New Roman" w:eastAsia="Times New Roman" w:hAnsi="Times New Roman" w:cs="Times New Roman"/>
          <w:b w:val="0"/>
          <w:bCs w:val="0"/>
          <w:color w:val="000000"/>
          <w:spacing w:val="0"/>
          <w:w w:val="100"/>
          <w:position w:val="0"/>
          <w:sz w:val="20"/>
          <w:szCs w:val="20"/>
        </w:rPr>
        <w:t>C.</w:t>
      </w:r>
      <w:r>
        <w:rPr>
          <w:b w:val="0"/>
          <w:bCs w:val="0"/>
          <w:color w:val="000000"/>
          <w:spacing w:val="0"/>
          <w:w w:val="100"/>
          <w:position w:val="0"/>
          <w:sz w:val="20"/>
          <w:szCs w:val="20"/>
        </w:rPr>
        <w:t>本公司合理确定将行使购买选择权 时，购买选择权的行权价格；</w:t>
      </w:r>
      <w:r>
        <w:rPr>
          <w:rFonts w:ascii="Times New Roman" w:eastAsia="Times New Roman" w:hAnsi="Times New Roman" w:cs="Times New Roman"/>
          <w:b w:val="0"/>
          <w:bCs w:val="0"/>
          <w:color w:val="000000"/>
          <w:spacing w:val="0"/>
          <w:w w:val="100"/>
          <w:position w:val="0"/>
          <w:sz w:val="20"/>
          <w:szCs w:val="20"/>
        </w:rPr>
        <w:t>D.</w:t>
      </w:r>
      <w:r>
        <w:rPr>
          <w:b w:val="0"/>
          <w:bCs w:val="0"/>
          <w:color w:val="000000"/>
          <w:spacing w:val="0"/>
          <w:w w:val="100"/>
          <w:position w:val="0"/>
          <w:sz w:val="20"/>
          <w:szCs w:val="20"/>
        </w:rPr>
        <w:t>租赁期反映出本公司将行使终止租赁选择权时，行使终止租赁选择权需支 付的款项；</w:t>
      </w:r>
      <w:r>
        <w:rPr>
          <w:rFonts w:ascii="Times New Roman" w:eastAsia="Times New Roman" w:hAnsi="Times New Roman" w:cs="Times New Roman"/>
          <w:b w:val="0"/>
          <w:bCs w:val="0"/>
          <w:color w:val="000000"/>
          <w:spacing w:val="0"/>
          <w:w w:val="100"/>
          <w:position w:val="0"/>
          <w:sz w:val="20"/>
          <w:szCs w:val="20"/>
        </w:rPr>
        <w:t>E.</w:t>
      </w:r>
      <w:r>
        <w:rPr>
          <w:b w:val="0"/>
          <w:bCs w:val="0"/>
          <w:color w:val="000000"/>
          <w:spacing w:val="0"/>
          <w:w w:val="100"/>
          <w:position w:val="0"/>
          <w:sz w:val="20"/>
          <w:szCs w:val="20"/>
        </w:rPr>
        <w:t>根据本公司提供的担保余值预计应支付的款项。</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在计算租赁付款额的现值时，本公司采用租赁内含利率作为折现率；无法确定租赁内含利率时，采用 增量借款利率作为折现率，以同期银行贷款利率为基础，考虑相关因素调整得出增量借款利率。</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本公司按照固定的周期性利率计算租赁负债在租赁期内各期间的利息费用，并计入当期损益，但应当 资本化的计入相关资产成本。</w:t>
      </w:r>
    </w:p>
    <w:p>
      <w:pPr>
        <w:pStyle w:val="Style16"/>
        <w:keepNext w:val="0"/>
        <w:keepLines w:val="0"/>
        <w:widowControl w:val="0"/>
        <w:shd w:val="clear" w:color="auto" w:fill="auto"/>
        <w:bidi w:val="0"/>
        <w:spacing w:before="0" w:after="280" w:line="310" w:lineRule="exact"/>
        <w:ind w:left="0" w:right="0" w:firstLine="440"/>
        <w:jc w:val="both"/>
        <w:rPr>
          <w:sz w:val="20"/>
          <w:szCs w:val="20"/>
        </w:rPr>
      </w:pPr>
      <w:r>
        <w:rPr>
          <w:b w:val="0"/>
          <w:bCs w:val="0"/>
          <w:color w:val="000000"/>
          <w:spacing w:val="0"/>
          <w:w w:val="100"/>
          <w:position w:val="0"/>
          <w:sz w:val="20"/>
          <w:szCs w:val="20"/>
        </w:rPr>
        <w:t>当购买选择权、续租选择权、终止租赁选择权的评估结果发生变化，续租选择权、终止租赁选择权实 际行使情况与原评估结果不一致，根据担保余值预计的应付金额发生变动，用于确定租赁付款额的指数或 比率发生变动，或者实质固定付款额发生变动时，重新计量租赁负债。</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9"/>
      <w:bookmarkEnd w:id="920"/>
      <w:bookmarkEnd w:id="922"/>
    </w:p>
    <w:p>
      <w:pPr>
        <w:pStyle w:val="Style28"/>
        <w:keepNext/>
        <w:keepLines/>
        <w:widowControl w:val="0"/>
        <w:shd w:val="clear" w:color="auto" w:fill="auto"/>
        <w:tabs>
          <w:tab w:pos="483" w:val="left"/>
        </w:tabs>
        <w:bidi w:val="0"/>
        <w:spacing w:before="0" w:after="280" w:line="312"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23"/>
      <w:bookmarkEnd w:id="924"/>
      <w:bookmarkEnd w:id="926"/>
    </w:p>
    <w:p>
      <w:pPr>
        <w:pStyle w:val="Style28"/>
        <w:keepNext/>
        <w:keepLines/>
        <w:widowControl w:val="0"/>
        <w:shd w:val="clear" w:color="auto" w:fill="auto"/>
        <w:tabs>
          <w:tab w:pos="483" w:val="left"/>
        </w:tabs>
        <w:bidi w:val="0"/>
        <w:spacing w:before="0" w:after="280" w:line="312"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27"/>
      <w:bookmarkEnd w:id="928"/>
      <w:bookmarkEnd w:id="930"/>
    </w:p>
    <w:p>
      <w:pPr>
        <w:pStyle w:val="Style28"/>
        <w:keepNext/>
        <w:keepLines/>
        <w:widowControl w:val="0"/>
        <w:shd w:val="clear" w:color="auto" w:fill="auto"/>
        <w:tabs>
          <w:tab w:pos="483" w:val="left"/>
        </w:tabs>
        <w:bidi w:val="0"/>
        <w:spacing w:before="0" w:after="280" w:line="312"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1"/>
      <w:bookmarkEnd w:id="932"/>
      <w:bookmarkEnd w:id="934"/>
    </w:p>
    <w:p>
      <w:pPr>
        <w:pStyle w:val="Style19"/>
        <w:keepNext w:val="0"/>
        <w:keepLines w:val="0"/>
        <w:widowControl w:val="0"/>
        <w:shd w:val="clear" w:color="auto" w:fill="auto"/>
        <w:bidi w:val="0"/>
        <w:spacing w:before="0" w:after="80" w:line="310" w:lineRule="exact"/>
        <w:ind w:left="0" w:right="0" w:firstLine="0"/>
        <w:jc w:val="left"/>
      </w:pPr>
      <w:r>
        <w:rPr>
          <w:color w:val="000000"/>
          <w:spacing w:val="0"/>
          <w:w w:val="100"/>
          <w:position w:val="0"/>
        </w:rPr>
        <w:t>收入确认和计量所采用的会计政策</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合同中包含两项或多项履约义务的，本公司在合同开始日，按照各单项履约义务所承诺商品的单独售 价的相对比例，将交易价格分摊至各单项履约义务，按照分摊至各单项履约义务的交易价格计量收入。</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交易价格是本公司因向客户转让商品而预期有权收取的对价金额，不包括代第三方收取的款项。本公 司确认的交易价格不超过在相关不确定性消除时累计已确认收入极可能不会发生重大转回的金额。合同中 存在重大融资成分的，本公司按照假定客户在取得商品控制权时即以现金支付的应付金额确定交易价格， 该交易价格与合同承诺的对价之间的差额，在合同期间内采用实际利率法摊销。</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满足下列条件之一时，属于在某一时段内履行履约义务，否则，属于在某一时点履行履约义务：①客 户在本公司履约的同时即取得并消耗本公司履约所带来的经济利益；②客户能够控制本公司履约过程中在 建的商品；③本公司履约过程中所产出的商品具有不可替代用途，且本公司在整个合同期间内有权就累计 至今已完成的履约部分收取款项。</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对于在某一时段内履行的履约义务，本公司在该时段内按照履约进度确认收入。履约进度不能合理确 定时，本公司已经发生的成本预计能够得到补偿的，按照已经发生的成本金额确认收入，直至履约进度能 够合理确定。对于在某一时点履行的履约义务，本公司在客户取得相关商品控制权时点确认收入。</w:t>
      </w:r>
    </w:p>
    <w:p>
      <w:pPr>
        <w:pStyle w:val="Style16"/>
        <w:keepNext w:val="0"/>
        <w:keepLines w:val="0"/>
        <w:widowControl w:val="0"/>
        <w:numPr>
          <w:ilvl w:val="0"/>
          <w:numId w:val="23"/>
        </w:numPr>
        <w:shd w:val="clear" w:color="auto" w:fill="auto"/>
        <w:bidi w:val="0"/>
        <w:spacing w:before="0" w:after="0" w:line="312" w:lineRule="exact"/>
        <w:ind w:left="0" w:right="0" w:firstLine="440"/>
        <w:jc w:val="both"/>
        <w:rPr>
          <w:sz w:val="20"/>
          <w:szCs w:val="20"/>
        </w:rPr>
      </w:pPr>
      <w:bookmarkStart w:id="935" w:name="bookmark935"/>
      <w:bookmarkEnd w:id="935"/>
      <w:r>
        <w:rPr>
          <w:b w:val="0"/>
          <w:bCs w:val="0"/>
          <w:color w:val="000000"/>
          <w:spacing w:val="0"/>
          <w:w w:val="100"/>
          <w:position w:val="0"/>
          <w:sz w:val="20"/>
          <w:szCs w:val="20"/>
        </w:rPr>
        <w:t>本公司收入的具体确认原则</w:t>
      </w:r>
    </w:p>
    <w:p>
      <w:pPr>
        <w:pStyle w:val="Style16"/>
        <w:keepNext w:val="0"/>
        <w:keepLines w:val="0"/>
        <w:widowControl w:val="0"/>
        <w:shd w:val="clear" w:color="auto" w:fill="auto"/>
        <w:tabs>
          <w:tab w:pos="928" w:val="left"/>
        </w:tabs>
        <w:bidi w:val="0"/>
        <w:spacing w:before="0" w:after="0" w:line="312" w:lineRule="exact"/>
        <w:ind w:left="0" w:right="0" w:firstLine="440"/>
        <w:jc w:val="both"/>
        <w:rPr>
          <w:sz w:val="20"/>
          <w:szCs w:val="20"/>
        </w:rPr>
      </w:pPr>
      <w:bookmarkStart w:id="936" w:name="bookmark936"/>
      <w:r>
        <w:rPr>
          <w:b w:val="0"/>
          <w:bCs w:val="0"/>
          <w:color w:val="000000"/>
          <w:spacing w:val="0"/>
          <w:w w:val="100"/>
          <w:position w:val="0"/>
          <w:sz w:val="20"/>
          <w:szCs w:val="20"/>
        </w:rPr>
        <w:t>（</w:t>
      </w:r>
      <w:bookmarkEnd w:id="936"/>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供应链业务收入的确认</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公司已根据合同约定将产品交付给购货方，已获取客户的签收或者验收回单，作为控制权转移时点， 确认收入。本公司给予客户的信用期，根据客户的信用风险特征确定，不存在重大融资成分。</w:t>
      </w:r>
    </w:p>
    <w:p>
      <w:pPr>
        <w:pStyle w:val="Style16"/>
        <w:keepNext w:val="0"/>
        <w:keepLines w:val="0"/>
        <w:widowControl w:val="0"/>
        <w:shd w:val="clear" w:color="auto" w:fill="auto"/>
        <w:tabs>
          <w:tab w:pos="928" w:val="left"/>
        </w:tabs>
        <w:bidi w:val="0"/>
        <w:spacing w:before="0" w:after="0" w:line="312" w:lineRule="exact"/>
        <w:ind w:left="0" w:right="0" w:firstLine="440"/>
        <w:jc w:val="left"/>
        <w:rPr>
          <w:sz w:val="20"/>
          <w:szCs w:val="20"/>
        </w:rPr>
      </w:pPr>
      <w:bookmarkStart w:id="937" w:name="bookmark937"/>
      <w:r>
        <w:rPr>
          <w:b w:val="0"/>
          <w:bCs w:val="0"/>
          <w:color w:val="000000"/>
          <w:spacing w:val="0"/>
          <w:w w:val="100"/>
          <w:position w:val="0"/>
          <w:sz w:val="20"/>
          <w:szCs w:val="20"/>
        </w:rPr>
        <w:t>（</w:t>
      </w:r>
      <w:bookmarkEnd w:id="937"/>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第三方支付、信用卡推广、助贷等服务收入的确认</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公司在已根据合同约定提供了相应服务，取得明确的收款证据，相关成本能够可靠地计量时，确认收 入。</w:t>
      </w:r>
    </w:p>
    <w:p>
      <w:pPr>
        <w:pStyle w:val="Style16"/>
        <w:keepNext w:val="0"/>
        <w:keepLines w:val="0"/>
        <w:widowControl w:val="0"/>
        <w:shd w:val="clear" w:color="auto" w:fill="auto"/>
        <w:bidi w:val="0"/>
        <w:spacing w:before="0" w:after="0" w:line="312" w:lineRule="exact"/>
        <w:ind w:left="0" w:right="0" w:firstLine="440"/>
        <w:jc w:val="both"/>
        <w:rPr>
          <w:sz w:val="20"/>
          <w:szCs w:val="20"/>
        </w:rPr>
      </w:pPr>
      <w:bookmarkStart w:id="938" w:name="bookmark938"/>
      <w:r>
        <w:rPr>
          <w:b w:val="0"/>
          <w:bCs w:val="0"/>
          <w:color w:val="000000"/>
          <w:spacing w:val="0"/>
          <w:w w:val="100"/>
          <w:position w:val="0"/>
          <w:sz w:val="20"/>
          <w:szCs w:val="20"/>
        </w:rPr>
        <w:t>（</w:t>
      </w:r>
      <w:bookmarkEnd w:id="938"/>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 保理业务、小额贷款业务等收入的确认</w:t>
      </w:r>
    </w:p>
    <w:p>
      <w:pPr>
        <w:pStyle w:val="Style16"/>
        <w:keepNext w:val="0"/>
        <w:keepLines w:val="0"/>
        <w:widowControl w:val="0"/>
        <w:shd w:val="clear" w:color="auto" w:fill="auto"/>
        <w:bidi w:val="0"/>
        <w:spacing w:before="0" w:after="0" w:line="312" w:lineRule="exact"/>
        <w:ind w:left="0" w:right="0" w:firstLine="0"/>
        <w:jc w:val="both"/>
        <w:rPr>
          <w:sz w:val="20"/>
          <w:szCs w:val="20"/>
        </w:rPr>
      </w:pPr>
      <w:r>
        <w:rPr>
          <w:b w:val="0"/>
          <w:bCs w:val="0"/>
          <w:color w:val="000000"/>
          <w:spacing w:val="0"/>
          <w:w w:val="100"/>
          <w:position w:val="0"/>
          <w:sz w:val="20"/>
          <w:szCs w:val="20"/>
        </w:rPr>
        <w:t>公司按照他人使用本公司货币资金的本金、时间和双方约定的实际利率计算确定；通过在一定期间内提供 保理、贷款收取的服务费、利息在相应的服务期间内平均确认收入。</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注：收入确认和计量所采用的会计政策，以及对确定收入确认的时点和金额具有重大影响的判断以及判断的变更，包括确定 履约进度的方法及采用该方法的原因、评估客户取得所转让商品控制权时点的相关判断，在确定交易价格、估计计入交易价 格的可变对价、分摊交易价格以及计量预期将退还给客户的款项等类似义务时所采用的方法等。</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同类业务采用不同经营模式导致收入确认会计政策存在差异的情况</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注：同类业务因采用不同经营模式导致收入确认会计政策存在差异的，应当分别披露。</w:t>
      </w:r>
    </w:p>
    <w:p>
      <w:pPr>
        <w:pStyle w:val="Style19"/>
        <w:keepNext w:val="0"/>
        <w:keepLines w:val="0"/>
        <w:widowControl w:val="0"/>
        <w:shd w:val="clear" w:color="auto" w:fill="auto"/>
        <w:bidi w:val="0"/>
        <w:spacing w:before="0" w:after="80" w:line="310" w:lineRule="exact"/>
        <w:ind w:left="0" w:right="0" w:firstLine="0"/>
        <w:jc w:val="both"/>
      </w:pPr>
      <w:r>
        <w:rPr>
          <w:color w:val="000000"/>
          <w:spacing w:val="0"/>
          <w:w w:val="100"/>
          <w:position w:val="0"/>
        </w:rPr>
        <w:t>收入确认和计量所采用的会计政策</w:t>
      </w:r>
    </w:p>
    <w:p>
      <w:pPr>
        <w:pStyle w:val="Style16"/>
        <w:keepNext w:val="0"/>
        <w:keepLines w:val="0"/>
        <w:widowControl w:val="0"/>
        <w:shd w:val="clear" w:color="auto" w:fill="auto"/>
        <w:bidi w:val="0"/>
        <w:spacing w:before="0" w:after="0" w:line="307" w:lineRule="exact"/>
        <w:ind w:left="0" w:right="0" w:firstLine="440"/>
        <w:jc w:val="both"/>
        <w:rPr>
          <w:sz w:val="20"/>
          <w:szCs w:val="20"/>
        </w:rPr>
      </w:pPr>
      <w:r>
        <w:rPr>
          <w:b w:val="0"/>
          <w:bCs w:val="0"/>
          <w:color w:val="000000"/>
          <w:spacing w:val="0"/>
          <w:w w:val="100"/>
          <w:position w:val="0"/>
          <w:sz w:val="20"/>
          <w:szCs w:val="2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16"/>
        <w:keepNext w:val="0"/>
        <w:keepLines w:val="0"/>
        <w:widowControl w:val="0"/>
        <w:shd w:val="clear" w:color="auto" w:fill="auto"/>
        <w:bidi w:val="0"/>
        <w:spacing w:before="0" w:after="0" w:line="307" w:lineRule="exact"/>
        <w:ind w:left="0" w:right="0" w:firstLine="440"/>
        <w:jc w:val="both"/>
        <w:rPr>
          <w:sz w:val="20"/>
          <w:szCs w:val="20"/>
        </w:rPr>
      </w:pPr>
      <w:r>
        <w:rPr>
          <w:b w:val="0"/>
          <w:bCs w:val="0"/>
          <w:color w:val="000000"/>
          <w:spacing w:val="0"/>
          <w:w w:val="100"/>
          <w:position w:val="0"/>
          <w:sz w:val="20"/>
          <w:szCs w:val="20"/>
        </w:rPr>
        <w:t>合同中包含两项或多项履约义务的，本公司在合同开始日，按照各单项履约义务所承诺商品的单独售 价的相对比例，将交易价格分摊至各单项履约义务，按照分摊至各单项履约义务的交易价格计量收入。</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交易价格是本公司因向客户转让商品而预期有权收取的对价金额，不包括代第三方收取的款项。本公 司确认的交易价格不超过在相关不确定性消除时累计已确认收入极可能不会发生重大转回的金额。合同中 存在重大融资成分的，本公司按照假定客户在取得商品控制权时即以现金支付的应付金额确定交易价格， 该交易价格与合同承诺的对价之间的差额，在合同期间内采用实际利率法摊销。</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满足下列条件之一时，属于在某一时段内履行履约义务，否则，属于在某一时点履行履约义务：①客 户在本公司履约的同时即取得并消耗本公司履约所带来的经济利益；②客户能够控制本公司履约过程中在 建的商品；③本公司履约过程中所产出的商品具有不可替代用途，且本公司在整个合同期间内有权就累计 至今已完成的履约部分收取款项。</w:t>
      </w:r>
    </w:p>
    <w:p>
      <w:pPr>
        <w:pStyle w:val="Style16"/>
        <w:keepNext w:val="0"/>
        <w:keepLines w:val="0"/>
        <w:widowControl w:val="0"/>
        <w:shd w:val="clear" w:color="auto" w:fill="auto"/>
        <w:bidi w:val="0"/>
        <w:spacing w:before="0" w:after="60" w:line="314" w:lineRule="exact"/>
        <w:ind w:left="0" w:right="0" w:firstLine="440"/>
        <w:jc w:val="both"/>
        <w:rPr>
          <w:sz w:val="20"/>
          <w:szCs w:val="20"/>
        </w:rPr>
      </w:pPr>
      <w:r>
        <w:rPr>
          <w:b w:val="0"/>
          <w:bCs w:val="0"/>
          <w:color w:val="000000"/>
          <w:spacing w:val="0"/>
          <w:w w:val="100"/>
          <w:position w:val="0"/>
          <w:sz w:val="20"/>
          <w:szCs w:val="20"/>
        </w:rPr>
        <w:t>对于在某一时段内履行的履约义务，本公司在该时段内按照履约进度确认收入。履约进度不能合理确 定时，本公司已经发生的成本预计能够得到补偿的，按照已经发生的成本金额确认收入，直至履约进度能 够合理确定。对于在某一时点履行的履约义务，本公司在客户取得相关商品控制权时点确认收入。</w:t>
      </w:r>
    </w:p>
    <w:p>
      <w:pPr>
        <w:pStyle w:val="Style16"/>
        <w:keepNext w:val="0"/>
        <w:keepLines w:val="0"/>
        <w:widowControl w:val="0"/>
        <w:numPr>
          <w:ilvl w:val="0"/>
          <w:numId w:val="25"/>
        </w:numPr>
        <w:shd w:val="clear" w:color="auto" w:fill="auto"/>
        <w:bidi w:val="0"/>
        <w:spacing w:before="0" w:after="0" w:line="329" w:lineRule="auto"/>
        <w:ind w:left="0" w:right="0" w:firstLine="440"/>
        <w:jc w:val="both"/>
        <w:rPr>
          <w:sz w:val="20"/>
          <w:szCs w:val="20"/>
        </w:rPr>
      </w:pPr>
      <w:bookmarkStart w:id="939" w:name="bookmark939"/>
      <w:bookmarkEnd w:id="939"/>
      <w:r>
        <w:rPr>
          <w:b w:val="0"/>
          <w:bCs w:val="0"/>
          <w:color w:val="000000"/>
          <w:spacing w:val="0"/>
          <w:w w:val="100"/>
          <w:position w:val="0"/>
          <w:sz w:val="20"/>
          <w:szCs w:val="20"/>
        </w:rPr>
        <w:t>本公司收入的具体确认原则</w:t>
      </w:r>
    </w:p>
    <w:p>
      <w:pPr>
        <w:pStyle w:val="Style16"/>
        <w:keepNext w:val="0"/>
        <w:keepLines w:val="0"/>
        <w:widowControl w:val="0"/>
        <w:numPr>
          <w:ilvl w:val="0"/>
          <w:numId w:val="27"/>
        </w:numPr>
        <w:shd w:val="clear" w:color="auto" w:fill="auto"/>
        <w:tabs>
          <w:tab w:pos="902" w:val="left"/>
        </w:tabs>
        <w:bidi w:val="0"/>
        <w:spacing w:before="0" w:after="0" w:line="314" w:lineRule="exact"/>
        <w:ind w:left="0" w:right="0" w:firstLine="440"/>
        <w:jc w:val="both"/>
        <w:rPr>
          <w:sz w:val="20"/>
          <w:szCs w:val="20"/>
        </w:rPr>
      </w:pPr>
      <w:bookmarkStart w:id="940" w:name="bookmark940"/>
      <w:bookmarkEnd w:id="940"/>
      <w:r>
        <w:rPr>
          <w:b w:val="0"/>
          <w:bCs w:val="0"/>
          <w:color w:val="000000"/>
          <w:spacing w:val="0"/>
          <w:w w:val="100"/>
          <w:position w:val="0"/>
          <w:sz w:val="20"/>
          <w:szCs w:val="20"/>
        </w:rPr>
        <w:t>供应链业务收入的确认</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公司已根据合同约定将产品交付给购货方，已获取客户的签收或者验收回单，作为控制权转移时点， 确认收入。本公司给予客户的信用期，根据客户的信用风险特征确定，不存在重大融资成分。</w:t>
      </w:r>
    </w:p>
    <w:p>
      <w:pPr>
        <w:pStyle w:val="Style16"/>
        <w:keepNext w:val="0"/>
        <w:keepLines w:val="0"/>
        <w:widowControl w:val="0"/>
        <w:numPr>
          <w:ilvl w:val="0"/>
          <w:numId w:val="27"/>
        </w:numPr>
        <w:shd w:val="clear" w:color="auto" w:fill="auto"/>
        <w:tabs>
          <w:tab w:pos="902" w:val="left"/>
        </w:tabs>
        <w:bidi w:val="0"/>
        <w:spacing w:before="0" w:after="0" w:line="314" w:lineRule="exact"/>
        <w:ind w:left="0" w:right="0" w:firstLine="440"/>
        <w:jc w:val="both"/>
        <w:rPr>
          <w:sz w:val="20"/>
          <w:szCs w:val="20"/>
        </w:rPr>
      </w:pPr>
      <w:bookmarkStart w:id="941" w:name="bookmark941"/>
      <w:bookmarkEnd w:id="941"/>
      <w:r>
        <w:rPr>
          <w:b w:val="0"/>
          <w:bCs w:val="0"/>
          <w:color w:val="000000"/>
          <w:spacing w:val="0"/>
          <w:w w:val="100"/>
          <w:position w:val="0"/>
          <w:sz w:val="20"/>
          <w:szCs w:val="20"/>
        </w:rPr>
        <w:t>第三方支付、信用卡推广、助贷等服务收入的确认</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公司在已根据合同约定提供了相应服务，取得明确的收款证据，相关成本能够可靠地计量时，确认收 入。</w:t>
      </w:r>
    </w:p>
    <w:p>
      <w:pPr>
        <w:pStyle w:val="Style16"/>
        <w:keepNext w:val="0"/>
        <w:keepLines w:val="0"/>
        <w:widowControl w:val="0"/>
        <w:numPr>
          <w:ilvl w:val="0"/>
          <w:numId w:val="27"/>
        </w:numPr>
        <w:shd w:val="clear" w:color="auto" w:fill="auto"/>
        <w:bidi w:val="0"/>
        <w:spacing w:before="0" w:after="60" w:line="314" w:lineRule="exact"/>
        <w:ind w:left="0" w:right="0" w:firstLine="440"/>
        <w:jc w:val="both"/>
        <w:rPr>
          <w:sz w:val="20"/>
          <w:szCs w:val="20"/>
        </w:rPr>
      </w:pPr>
      <w:bookmarkStart w:id="942" w:name="bookmark942"/>
      <w:bookmarkEnd w:id="942"/>
      <w:r>
        <w:rPr>
          <w:b w:val="0"/>
          <w:bCs w:val="0"/>
          <w:color w:val="000000"/>
          <w:spacing w:val="0"/>
          <w:w w:val="100"/>
          <w:position w:val="0"/>
          <w:sz w:val="20"/>
          <w:szCs w:val="20"/>
        </w:rPr>
        <w:t xml:space="preserve"> 保理业务、小额贷款业务等收入的确认</w:t>
      </w:r>
    </w:p>
    <w:p>
      <w:pPr>
        <w:pStyle w:val="Style16"/>
        <w:keepNext w:val="0"/>
        <w:keepLines w:val="0"/>
        <w:widowControl w:val="0"/>
        <w:shd w:val="clear" w:color="auto" w:fill="auto"/>
        <w:bidi w:val="0"/>
        <w:spacing w:before="0" w:after="140" w:line="307" w:lineRule="exact"/>
        <w:ind w:left="0" w:right="0" w:firstLine="0"/>
        <w:jc w:val="both"/>
        <w:rPr>
          <w:sz w:val="20"/>
          <w:szCs w:val="20"/>
        </w:rPr>
      </w:pPr>
      <w:r>
        <w:rPr>
          <w:b w:val="0"/>
          <w:bCs w:val="0"/>
          <w:color w:val="000000"/>
          <w:spacing w:val="0"/>
          <w:w w:val="100"/>
          <w:position w:val="0"/>
          <w:sz w:val="20"/>
          <w:szCs w:val="20"/>
        </w:rPr>
        <w:t>公司按照他人使用本公司货币资金的本金、时间和双方约定的实际利率计算确定；通过在一定期间内提供 保理、贷款收取的服务费、利息在相应的服务期间内平均确认收入。</w:t>
      </w:r>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220" w:line="326"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4</w:t>
      </w:r>
      <w:bookmarkEnd w:id="94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43"/>
      <w:bookmarkEnd w:id="944"/>
      <w:bookmarkEnd w:id="946"/>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政府补助是指本公司从政府无偿取得货币性资产或非货币性资产，不包括政府以投资者身份并享有相 应所有者权益而投入的资本。政府补助为货币性资产的，按照收到或应收的金额计量。政府补助为非货币 性资产的，应当按照公允价值计量；公允价值不能可靠取得的，按照名义金额计量。按照名义金额计量的 政府补助，直接计入当期损益。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当本公司能够满足政府补助所附条件，且能够收到政府补助时，才能确认政府补助。</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政府补助分为与资产相关的政府补助和与收益相关的政府补助。与资产相关的政府补助，是指公司取 得的、用于购建或以其他方式形成长期资产的政府补助。与收益相关的政府补助，是指除与资产相关的政 府补助之外的政府补助。</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与资产相关的政府补助，采用总额法，确认为递延收益，在相关资产使用寿命内按照合理、系统的方 法分期计入损益，相关资产在使用寿命结束前被出售、转让、报废或发生毁损的，将尚未分配的相关递延 收益余额转入资产处置当期的损益，已确认的政府补助需要退回的，冲减相关递延收益账面余额，超出部 分计入当期损益。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与收益相关的政府补助，采用总额法，用于补偿公司已发生的相关成本费用或损失时，直接计入当期 损益；用于补偿以后期间的相关成本费用或损失时，确认为递延收益，并在确认相关成本费用或损失的期 间，计入当期损益。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对于同时包含与资产相关部分和与收益相关部分的政府补助，应当区分不同部分分别进行会计处理； 难以区分的应当整体归类为与收益相关的政府补助。</w:t>
      </w:r>
    </w:p>
    <w:p>
      <w:pPr>
        <w:pStyle w:val="Style16"/>
        <w:keepNext w:val="0"/>
        <w:keepLines w:val="0"/>
        <w:widowControl w:val="0"/>
        <w:shd w:val="clear" w:color="auto" w:fill="auto"/>
        <w:bidi w:val="0"/>
        <w:spacing w:before="0" w:after="100" w:line="312" w:lineRule="exact"/>
        <w:ind w:left="0" w:right="0" w:firstLine="440"/>
        <w:jc w:val="both"/>
        <w:rPr>
          <w:sz w:val="20"/>
          <w:szCs w:val="20"/>
        </w:rPr>
      </w:pPr>
      <w:r>
        <w:rPr>
          <w:b w:val="0"/>
          <w:bCs w:val="0"/>
          <w:color w:val="000000"/>
          <w:spacing w:val="0"/>
          <w:w w:val="100"/>
          <w:position w:val="0"/>
          <w:sz w:val="20"/>
          <w:szCs w:val="20"/>
        </w:rPr>
        <w:t>与企业日常活动相关的政府补助，应当按照经济业务实质，计入其他收益或冲减相关成本费用。与企 业日常活动无关的政府补助，计入营业外收支。</w:t>
      </w:r>
    </w:p>
    <w:p>
      <w:pPr>
        <w:pStyle w:val="Style28"/>
        <w:keepNext/>
        <w:keepLines/>
        <w:widowControl w:val="0"/>
        <w:shd w:val="clear" w:color="auto" w:fill="auto"/>
        <w:tabs>
          <w:tab w:pos="436" w:val="left"/>
        </w:tabs>
        <w:bidi w:val="0"/>
        <w:spacing w:before="0" w:after="280" w:line="312" w:lineRule="exact"/>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4</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7"/>
      <w:bookmarkEnd w:id="948"/>
      <w:bookmarkEnd w:id="950"/>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对于能够结转以后年度的可抵扣亏损和税款抵减，以很可能获得用来抵扣可抵扣亏损和税款抵减的未 来应纳税所得额为限，确认相应的递延所得税资产。</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资产负债表日，对于递延所得税资产和递延所得税负债，根据税法规定，按照预期收回相关资产或清 偿相关负债期间的适用税率计量。</w:t>
      </w:r>
    </w:p>
    <w:p>
      <w:pPr>
        <w:pStyle w:val="Style16"/>
        <w:keepNext w:val="0"/>
        <w:keepLines w:val="0"/>
        <w:widowControl w:val="0"/>
        <w:shd w:val="clear" w:color="auto" w:fill="auto"/>
        <w:bidi w:val="0"/>
        <w:spacing w:before="0" w:after="280" w:line="312" w:lineRule="exact"/>
        <w:ind w:left="0" w:right="0" w:firstLine="360"/>
        <w:jc w:val="both"/>
        <w:rPr>
          <w:sz w:val="20"/>
          <w:szCs w:val="20"/>
        </w:rPr>
      </w:pPr>
      <w:r>
        <w:rPr>
          <w:b w:val="0"/>
          <w:bCs w:val="0"/>
          <w:color w:val="000000"/>
          <w:spacing w:val="0"/>
          <w:w w:val="100"/>
          <w:position w:val="0"/>
          <w:sz w:val="20"/>
          <w:szCs w:val="2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28"/>
        <w:keepNext/>
        <w:keepLines/>
        <w:widowControl w:val="0"/>
        <w:shd w:val="clear" w:color="auto" w:fill="auto"/>
        <w:tabs>
          <w:tab w:pos="436" w:val="left"/>
        </w:tabs>
        <w:bidi w:val="0"/>
        <w:spacing w:before="0" w:after="280" w:line="312"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4</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51"/>
      <w:bookmarkEnd w:id="952"/>
      <w:bookmarkEnd w:id="954"/>
    </w:p>
    <w:p>
      <w:pPr>
        <w:pStyle w:val="Style32"/>
        <w:keepNext/>
        <w:keepLines/>
        <w:widowControl w:val="0"/>
        <w:shd w:val="clear" w:color="auto" w:fill="auto"/>
        <w:bidi w:val="0"/>
        <w:spacing w:before="0" w:after="280" w:line="312"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5"/>
      <w:bookmarkEnd w:id="956"/>
      <w:bookmarkEnd w:id="958"/>
    </w:p>
    <w:p>
      <w:pPr>
        <w:pStyle w:val="Style16"/>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租赁期内各个期间，本公司采用直线法，将经营租赁的租赁收款额确认为租金收入。未计入租赁收款 额的可变租赁付款额在实际发生时计入当期损益。</w:t>
      </w:r>
    </w:p>
    <w:p>
      <w:pPr>
        <w:pStyle w:val="Style16"/>
        <w:keepNext w:val="0"/>
        <w:keepLines w:val="0"/>
        <w:widowControl w:val="0"/>
        <w:shd w:val="clear" w:color="auto" w:fill="auto"/>
        <w:bidi w:val="0"/>
        <w:spacing w:before="0" w:after="600" w:line="310" w:lineRule="exact"/>
        <w:ind w:left="0" w:right="0" w:firstLine="440"/>
        <w:jc w:val="both"/>
        <w:rPr>
          <w:sz w:val="20"/>
          <w:szCs w:val="20"/>
        </w:rPr>
      </w:pPr>
      <w:r>
        <w:rPr>
          <w:b w:val="0"/>
          <w:bCs w:val="0"/>
          <w:color w:val="000000"/>
          <w:spacing w:val="0"/>
          <w:w w:val="100"/>
          <w:position w:val="0"/>
          <w:sz w:val="20"/>
          <w:szCs w:val="20"/>
        </w:rPr>
        <w:t>经营租赁发生变更的，本公司自变更生效日起将其作为一项新租赁进行会计处理，与变更前租赁有关 的预收或应收租赁收款额视为新租赁的收款额。</w:t>
      </w:r>
    </w:p>
    <w:p>
      <w:pPr>
        <w:pStyle w:val="Style32"/>
        <w:keepNext/>
        <w:keepLines/>
        <w:widowControl w:val="0"/>
        <w:shd w:val="clear" w:color="auto" w:fill="auto"/>
        <w:bidi w:val="0"/>
        <w:spacing w:before="0" w:after="280" w:line="314"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59"/>
      <w:bookmarkEnd w:id="960"/>
      <w:bookmarkEnd w:id="962"/>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在租赁期开始日，本公司对融资租赁确认应收融资租赁款，并终止确认融资租赁资产。对应收融资租 赁款进行初始计量时，以租赁投资净额作为应收融资租赁款的入账价值。租赁投资净额为未担保余值和租 赁期开始日尚未收到的租赁收款额按照租赁内含利率折现的现值之和。</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租赁收款额，是指本公司因让渡在租赁期内使用租赁资产的权利而应向承租人收取的款项，包括：</w:t>
      </w:r>
      <w:r>
        <w:rPr>
          <w:rFonts w:ascii="Times New Roman" w:eastAsia="Times New Roman" w:hAnsi="Times New Roman" w:cs="Times New Roman"/>
          <w:b w:val="0"/>
          <w:bCs w:val="0"/>
          <w:color w:val="000000"/>
          <w:spacing w:val="0"/>
          <w:w w:val="100"/>
          <w:position w:val="0"/>
          <w:sz w:val="20"/>
          <w:szCs w:val="20"/>
        </w:rPr>
        <w:t xml:space="preserve">A. </w:t>
      </w:r>
      <w:r>
        <w:rPr>
          <w:b w:val="0"/>
          <w:bCs w:val="0"/>
          <w:color w:val="000000"/>
          <w:spacing w:val="0"/>
          <w:w w:val="100"/>
          <w:position w:val="0"/>
          <w:sz w:val="20"/>
          <w:szCs w:val="20"/>
        </w:rPr>
        <w:t>承租人需支付的固定付款额及实质固定付款额，存在租赁激励的，扣除租赁激励相关金额；</w:t>
      </w:r>
      <w:r>
        <w:rPr>
          <w:rFonts w:ascii="Times New Roman" w:eastAsia="Times New Roman" w:hAnsi="Times New Roman" w:cs="Times New Roman"/>
          <w:b w:val="0"/>
          <w:bCs w:val="0"/>
          <w:color w:val="000000"/>
          <w:spacing w:val="0"/>
          <w:w w:val="100"/>
          <w:position w:val="0"/>
          <w:sz w:val="20"/>
          <w:szCs w:val="20"/>
        </w:rPr>
        <w:t>B.</w:t>
      </w:r>
      <w:r>
        <w:rPr>
          <w:b w:val="0"/>
          <w:bCs w:val="0"/>
          <w:color w:val="000000"/>
          <w:spacing w:val="0"/>
          <w:w w:val="100"/>
          <w:position w:val="0"/>
          <w:sz w:val="20"/>
          <w:szCs w:val="20"/>
        </w:rPr>
        <w:t>取决于指数 或比率的可变租赁付款额；</w:t>
      </w:r>
      <w:r>
        <w:rPr>
          <w:rFonts w:ascii="Times New Roman" w:eastAsia="Times New Roman" w:hAnsi="Times New Roman" w:cs="Times New Roman"/>
          <w:b w:val="0"/>
          <w:bCs w:val="0"/>
          <w:color w:val="000000"/>
          <w:spacing w:val="0"/>
          <w:w w:val="100"/>
          <w:position w:val="0"/>
          <w:sz w:val="20"/>
          <w:szCs w:val="20"/>
        </w:rPr>
        <w:t>C.</w:t>
      </w:r>
      <w:r>
        <w:rPr>
          <w:b w:val="0"/>
          <w:bCs w:val="0"/>
          <w:color w:val="000000"/>
          <w:spacing w:val="0"/>
          <w:w w:val="100"/>
          <w:position w:val="0"/>
          <w:sz w:val="20"/>
          <w:szCs w:val="20"/>
        </w:rPr>
        <w:t>购买选择权的行权价格，前提是合理确定承租人将行使该选择权；</w:t>
      </w:r>
      <w:r>
        <w:rPr>
          <w:rFonts w:ascii="Times New Roman" w:eastAsia="Times New Roman" w:hAnsi="Times New Roman" w:cs="Times New Roman"/>
          <w:b w:val="0"/>
          <w:bCs w:val="0"/>
          <w:color w:val="000000"/>
          <w:spacing w:val="0"/>
          <w:w w:val="100"/>
          <w:position w:val="0"/>
          <w:sz w:val="20"/>
          <w:szCs w:val="20"/>
        </w:rPr>
        <w:t>D.</w:t>
      </w:r>
      <w:r>
        <w:rPr>
          <w:b w:val="0"/>
          <w:bCs w:val="0"/>
          <w:color w:val="000000"/>
          <w:spacing w:val="0"/>
          <w:w w:val="100"/>
          <w:position w:val="0"/>
          <w:sz w:val="20"/>
          <w:szCs w:val="20"/>
        </w:rPr>
        <w:t>承租人 行使终止租赁选择权需支付的款项，前提是租赁期反映出承租人将行使终止租赁选择权；</w:t>
      </w:r>
      <w:r>
        <w:rPr>
          <w:rFonts w:ascii="Times New Roman" w:eastAsia="Times New Roman" w:hAnsi="Times New Roman" w:cs="Times New Roman"/>
          <w:b w:val="0"/>
          <w:bCs w:val="0"/>
          <w:color w:val="000000"/>
          <w:spacing w:val="0"/>
          <w:w w:val="100"/>
          <w:position w:val="0"/>
          <w:sz w:val="20"/>
          <w:szCs w:val="20"/>
        </w:rPr>
        <w:t>E.</w:t>
      </w:r>
      <w:r>
        <w:rPr>
          <w:b w:val="0"/>
          <w:bCs w:val="0"/>
          <w:color w:val="000000"/>
          <w:spacing w:val="0"/>
          <w:w w:val="100"/>
          <w:position w:val="0"/>
          <w:sz w:val="20"/>
          <w:szCs w:val="20"/>
        </w:rPr>
        <w:t>由承租人、与 承租人有关的一方以及有经济能力履行担保义务的独立第三方向本公司提供的担保余值。</w:t>
      </w:r>
    </w:p>
    <w:p>
      <w:pPr>
        <w:pStyle w:val="Style16"/>
        <w:keepNext w:val="0"/>
        <w:keepLines w:val="0"/>
        <w:widowControl w:val="0"/>
        <w:shd w:val="clear" w:color="auto" w:fill="auto"/>
        <w:bidi w:val="0"/>
        <w:spacing w:before="0" w:after="280" w:line="314" w:lineRule="exact"/>
        <w:ind w:left="0" w:right="0" w:firstLine="440"/>
        <w:jc w:val="both"/>
        <w:rPr>
          <w:sz w:val="20"/>
          <w:szCs w:val="20"/>
        </w:rPr>
      </w:pPr>
      <w:r>
        <w:rPr>
          <w:b w:val="0"/>
          <w:bCs w:val="0"/>
          <w:color w:val="000000"/>
          <w:spacing w:val="0"/>
          <w:w w:val="100"/>
          <w:position w:val="0"/>
          <w:sz w:val="20"/>
          <w:szCs w:val="20"/>
        </w:rPr>
        <w:t>本公司按照固定的周期性利率计算并确认租赁期内各个期间的利息收入。本公司取得的未纳入租赁投</w:t>
      </w:r>
    </w:p>
    <w:p>
      <w:pPr>
        <w:pStyle w:val="Style16"/>
        <w:keepNext w:val="0"/>
        <w:keepLines w:val="0"/>
        <w:widowControl w:val="0"/>
        <w:shd w:val="clear" w:color="auto" w:fill="auto"/>
        <w:bidi w:val="0"/>
        <w:spacing w:before="0" w:after="600" w:line="240" w:lineRule="auto"/>
        <w:ind w:left="0" w:right="0" w:firstLine="0"/>
        <w:jc w:val="both"/>
        <w:rPr>
          <w:sz w:val="20"/>
          <w:szCs w:val="20"/>
        </w:rPr>
      </w:pPr>
      <w:r>
        <w:rPr>
          <w:b w:val="0"/>
          <w:bCs w:val="0"/>
          <w:color w:val="000000"/>
          <w:spacing w:val="0"/>
          <w:w w:val="100"/>
          <w:position w:val="0"/>
          <w:sz w:val="20"/>
          <w:szCs w:val="20"/>
        </w:rPr>
        <w:t>资净额计量的可变租赁付款额在实际发生时计入当期损益。</w:t>
      </w:r>
    </w:p>
    <w:p>
      <w:pPr>
        <w:pStyle w:val="Style28"/>
        <w:keepNext/>
        <w:keepLines/>
        <w:widowControl w:val="0"/>
        <w:shd w:val="clear" w:color="auto" w:fill="auto"/>
        <w:tabs>
          <w:tab w:pos="483" w:val="left"/>
        </w:tabs>
        <w:bidi w:val="0"/>
        <w:spacing w:before="0" w:after="280" w:line="319" w:lineRule="exact"/>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63"/>
      <w:bookmarkEnd w:id="964"/>
      <w:bookmarkEnd w:id="966"/>
    </w:p>
    <w:p>
      <w:pPr>
        <w:pStyle w:val="Style16"/>
        <w:keepNext w:val="0"/>
        <w:keepLines w:val="0"/>
        <w:widowControl w:val="0"/>
        <w:shd w:val="clear" w:color="auto" w:fill="auto"/>
        <w:bidi w:val="0"/>
        <w:spacing w:before="0" w:after="0" w:line="319" w:lineRule="exact"/>
        <w:ind w:left="0" w:right="0" w:firstLine="440"/>
        <w:jc w:val="both"/>
        <w:rPr>
          <w:sz w:val="20"/>
          <w:szCs w:val="20"/>
        </w:rPr>
      </w:pPr>
      <w:bookmarkStart w:id="967" w:name="bookmark967"/>
      <w:r>
        <w:rPr>
          <w:b w:val="0"/>
          <w:bCs w:val="0"/>
          <w:color w:val="000000"/>
          <w:spacing w:val="0"/>
          <w:w w:val="100"/>
          <w:position w:val="0"/>
          <w:sz w:val="20"/>
          <w:szCs w:val="20"/>
        </w:rPr>
        <w:t>（</w:t>
      </w:r>
      <w:bookmarkEnd w:id="967"/>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）终止经营</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b w:val="0"/>
          <w:bCs w:val="0"/>
          <w:color w:val="000000"/>
          <w:spacing w:val="0"/>
          <w:w w:val="100"/>
          <w:position w:val="0"/>
          <w:sz w:val="20"/>
          <w:szCs w:val="20"/>
        </w:rPr>
        <w:t>终止经营，是指企业满足下列条件之一的、能够单独区分的组成部分，且该组成部分已经处置或划分 为持有待售类别：</w:t>
      </w:r>
    </w:p>
    <w:p>
      <w:pPr>
        <w:pStyle w:val="Style16"/>
        <w:keepNext w:val="0"/>
        <w:keepLines w:val="0"/>
        <w:widowControl w:val="0"/>
        <w:numPr>
          <w:ilvl w:val="0"/>
          <w:numId w:val="29"/>
        </w:numPr>
        <w:shd w:val="clear" w:color="auto" w:fill="auto"/>
        <w:tabs>
          <w:tab w:pos="832" w:val="left"/>
        </w:tabs>
        <w:bidi w:val="0"/>
        <w:spacing w:before="0" w:after="0" w:line="319" w:lineRule="exact"/>
        <w:ind w:left="0" w:right="0" w:firstLine="440"/>
        <w:jc w:val="both"/>
        <w:rPr>
          <w:sz w:val="20"/>
          <w:szCs w:val="20"/>
        </w:rPr>
      </w:pPr>
      <w:bookmarkStart w:id="968" w:name="bookmark968"/>
      <w:bookmarkEnd w:id="968"/>
      <w:r>
        <w:rPr>
          <w:b w:val="0"/>
          <w:bCs w:val="0"/>
          <w:color w:val="000000"/>
          <w:spacing w:val="0"/>
          <w:w w:val="100"/>
          <w:position w:val="0"/>
          <w:sz w:val="20"/>
          <w:szCs w:val="20"/>
        </w:rPr>
        <w:t>该组成部分代表一项独立的主要业务或一个单独的主要经营地区；</w:t>
      </w:r>
    </w:p>
    <w:p>
      <w:pPr>
        <w:pStyle w:val="Style16"/>
        <w:keepNext w:val="0"/>
        <w:keepLines w:val="0"/>
        <w:widowControl w:val="0"/>
        <w:numPr>
          <w:ilvl w:val="0"/>
          <w:numId w:val="29"/>
        </w:numPr>
        <w:shd w:val="clear" w:color="auto" w:fill="auto"/>
        <w:tabs>
          <w:tab w:pos="810" w:val="left"/>
        </w:tabs>
        <w:bidi w:val="0"/>
        <w:spacing w:before="0" w:after="0" w:line="319" w:lineRule="exact"/>
        <w:ind w:left="0" w:right="0" w:firstLine="440"/>
        <w:jc w:val="both"/>
        <w:rPr>
          <w:sz w:val="20"/>
          <w:szCs w:val="20"/>
        </w:rPr>
      </w:pPr>
      <w:bookmarkStart w:id="969" w:name="bookmark969"/>
      <w:bookmarkEnd w:id="969"/>
      <w:r>
        <w:rPr>
          <w:b w:val="0"/>
          <w:bCs w:val="0"/>
          <w:color w:val="000000"/>
          <w:spacing w:val="0"/>
          <w:w w:val="100"/>
          <w:position w:val="0"/>
          <w:sz w:val="20"/>
          <w:szCs w:val="20"/>
        </w:rPr>
        <w:t>该组成部分是拟对一项独立的主要业务或一个单独的主要经营地区进行处置的一项相关联计划的 一部分；</w:t>
      </w:r>
    </w:p>
    <w:p>
      <w:pPr>
        <w:pStyle w:val="Style16"/>
        <w:keepNext w:val="0"/>
        <w:keepLines w:val="0"/>
        <w:widowControl w:val="0"/>
        <w:numPr>
          <w:ilvl w:val="0"/>
          <w:numId w:val="29"/>
        </w:numPr>
        <w:shd w:val="clear" w:color="auto" w:fill="auto"/>
        <w:tabs>
          <w:tab w:pos="837" w:val="left"/>
        </w:tabs>
        <w:bidi w:val="0"/>
        <w:spacing w:before="0" w:after="600" w:line="319" w:lineRule="exact"/>
        <w:ind w:left="0" w:right="0" w:firstLine="440"/>
        <w:jc w:val="both"/>
        <w:rPr>
          <w:sz w:val="20"/>
          <w:szCs w:val="20"/>
        </w:rPr>
      </w:pPr>
      <w:bookmarkStart w:id="970" w:name="bookmark970"/>
      <w:bookmarkEnd w:id="970"/>
      <w:r>
        <w:rPr>
          <w:b w:val="0"/>
          <w:bCs w:val="0"/>
          <w:color w:val="000000"/>
          <w:spacing w:val="0"/>
          <w:w w:val="100"/>
          <w:position w:val="0"/>
          <w:sz w:val="20"/>
          <w:szCs w:val="20"/>
        </w:rPr>
        <w:t>该组成部分是专为转售而取得的子公司。</w:t>
      </w:r>
    </w:p>
    <w:p>
      <w:pPr>
        <w:pStyle w:val="Style28"/>
        <w:keepNext/>
        <w:keepLines/>
        <w:widowControl w:val="0"/>
        <w:shd w:val="clear" w:color="auto" w:fill="auto"/>
        <w:tabs>
          <w:tab w:pos="483" w:val="left"/>
        </w:tabs>
        <w:bidi w:val="0"/>
        <w:spacing w:before="0" w:after="280" w:line="319"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71"/>
      <w:bookmarkEnd w:id="972"/>
      <w:bookmarkEnd w:id="974"/>
    </w:p>
    <w:p>
      <w:pPr>
        <w:pStyle w:val="Style32"/>
        <w:keepNext/>
        <w:keepLines/>
        <w:widowControl w:val="0"/>
        <w:shd w:val="clear" w:color="auto" w:fill="auto"/>
        <w:tabs>
          <w:tab w:pos="493" w:val="left"/>
        </w:tabs>
        <w:bidi w:val="0"/>
        <w:spacing w:before="0" w:line="319"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75"/>
      <w:bookmarkEnd w:id="976"/>
      <w:bookmarkEnd w:id="978"/>
    </w:p>
    <w:p>
      <w:pPr>
        <w:pStyle w:val="Style1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14" w:val="left"/>
          <w:tab w:pos="7817" w:val="left"/>
        </w:tabs>
        <w:bidi w:val="0"/>
        <w:spacing w:before="0" w:after="200" w:line="240" w:lineRule="auto"/>
        <w:ind w:left="0" w:right="0" w:firstLine="540"/>
        <w:jc w:val="both"/>
      </w:pPr>
      <w:r>
        <w:rPr>
          <w:color w:val="000000"/>
          <w:spacing w:val="0"/>
          <w:w w:val="100"/>
          <w:position w:val="0"/>
        </w:rPr>
        <w:t>会计政策变更的内容和原因</w:t>
        <w:tab/>
        <w:t>审批程序</w:t>
        <w:tab/>
        <w:t>备注</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both"/>
      </w:pPr>
      <w:r>
        <w:rPr>
          <w:color w:val="000000"/>
          <w:spacing w:val="0"/>
          <w:w w:val="100"/>
          <w:position w:val="0"/>
        </w:rPr>
        <w:t>新租赁准则</w:t>
      </w:r>
    </w:p>
    <w:p>
      <w:pPr>
        <w:pStyle w:val="Style16"/>
        <w:keepNext w:val="0"/>
        <w:keepLines w:val="0"/>
        <w:widowControl w:val="0"/>
        <w:shd w:val="clear" w:color="auto" w:fill="auto"/>
        <w:bidi w:val="0"/>
        <w:spacing w:before="0" w:after="280" w:line="315" w:lineRule="exact"/>
        <w:ind w:left="0" w:right="0" w:firstLine="440"/>
        <w:jc w:val="both"/>
        <w:rPr>
          <w:sz w:val="20"/>
          <w:szCs w:val="20"/>
        </w:rPr>
      </w:pPr>
      <w:r>
        <w:rPr>
          <w:b w:val="0"/>
          <w:bCs w:val="0"/>
          <w:color w:val="000000"/>
          <w:spacing w:val="0"/>
          <w:w w:val="100"/>
          <w:position w:val="0"/>
          <w:sz w:val="20"/>
          <w:szCs w:val="20"/>
        </w:rPr>
        <w:t>财政部</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日发布了修订后的《企业会计准则第</w:t>
      </w:r>
      <w:r>
        <w:rPr>
          <w:rFonts w:ascii="Times New Roman" w:eastAsia="Times New Roman" w:hAnsi="Times New Roman" w:cs="Times New Roman"/>
          <w:b w:val="0"/>
          <w:bCs w:val="0"/>
          <w:color w:val="000000"/>
          <w:spacing w:val="0"/>
          <w:w w:val="100"/>
          <w:position w:val="0"/>
          <w:sz w:val="20"/>
          <w:szCs w:val="20"/>
        </w:rPr>
        <w:t>21</w:t>
      </w:r>
      <w:r>
        <w:rPr>
          <w:b w:val="0"/>
          <w:bCs w:val="0"/>
          <w:color w:val="000000"/>
          <w:spacing w:val="0"/>
          <w:w w:val="100"/>
          <w:position w:val="0"/>
          <w:sz w:val="20"/>
          <w:szCs w:val="20"/>
        </w:rPr>
        <w:t>号</w:t>
      </w:r>
      <w:r>
        <w:rPr>
          <w:b w:val="0"/>
          <w:bCs w:val="0"/>
          <w:color w:val="000000"/>
          <w:spacing w:val="0"/>
          <w:w w:val="100"/>
          <w:position w:val="0"/>
          <w:sz w:val="20"/>
          <w:szCs w:val="20"/>
        </w:rPr>
        <w:t>一</w:t>
      </w:r>
      <w:r>
        <w:rPr>
          <w:b w:val="0"/>
          <w:bCs w:val="0"/>
          <w:color w:val="000000"/>
          <w:spacing w:val="0"/>
          <w:w w:val="100"/>
          <w:position w:val="0"/>
          <w:sz w:val="20"/>
          <w:szCs w:val="20"/>
        </w:rPr>
        <w:t>租赁》（财会</w:t>
      </w:r>
      <w:r>
        <w:rPr>
          <w:rFonts w:ascii="Times New Roman" w:eastAsia="Times New Roman" w:hAnsi="Times New Roman" w:cs="Times New Roman"/>
          <w:b w:val="0"/>
          <w:bCs w:val="0"/>
          <w:color w:val="000000"/>
          <w:spacing w:val="0"/>
          <w:w w:val="100"/>
          <w:position w:val="0"/>
          <w:sz w:val="20"/>
          <w:szCs w:val="20"/>
        </w:rPr>
        <w:t>[2018]35</w:t>
      </w:r>
      <w:r>
        <w:rPr>
          <w:b w:val="0"/>
          <w:bCs w:val="0"/>
          <w:color w:val="000000"/>
          <w:spacing w:val="0"/>
          <w:w w:val="100"/>
          <w:position w:val="0"/>
          <w:sz w:val="20"/>
          <w:szCs w:val="20"/>
        </w:rPr>
        <w:t xml:space="preserve">号）（以下简称 </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新租赁准则</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日起执行新租赁准则。根据新租赁准则的相关规定，本公司对于首次 执行本准则的累积影响数，调整首次执行本准则当年年初留存收益及财务报表其他相关项目金额，不调整 可比期间信息。</w:t>
      </w:r>
    </w:p>
    <w:p>
      <w:pPr>
        <w:pStyle w:val="Style32"/>
        <w:keepNext/>
        <w:keepLines/>
        <w:widowControl w:val="0"/>
        <w:shd w:val="clear" w:color="auto" w:fill="auto"/>
        <w:tabs>
          <w:tab w:pos="493" w:val="left"/>
        </w:tabs>
        <w:bidi w:val="0"/>
        <w:spacing w:before="0" w:line="319" w:lineRule="exact"/>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9"/>
      <w:bookmarkEnd w:id="980"/>
      <w:bookmarkEnd w:id="982"/>
    </w:p>
    <w:p>
      <w:pPr>
        <w:pStyle w:val="Style1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19" w:lineRule="exact"/>
        <w:ind w:left="0" w:right="0" w:firstLine="0"/>
        <w:jc w:val="both"/>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83"/>
      <w:bookmarkEnd w:id="984"/>
      <w:bookmarkEnd w:id="98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1,835,647,301.12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1,835,647,301.12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106,904,702.88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106,904,702.88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5,160,646.84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35,814,646.65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35,814,646.65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43,616,083.67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43,616,083.67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53,742,600.33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53,742,600.33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2,081,006,176.86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2,081,006,176.86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57,580,118.66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57,580,118.66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29,095,395.89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29,095,395.89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341,157,500.00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341,157,500.00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147,338,618.92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147,338,618.92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76,335,650.37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76,335,650.37</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25,732,100.90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25,732,100.90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894,356,808.55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894,356,808.55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7,423,307.01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7,423,307.01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33,194,625.35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33,194,625.35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1,536,783,807.36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1,536,783,807.36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3,617,789,984.22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3,617,789,984.22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378,999,681.10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378,999,681.10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178,360,094.52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178,360,094.52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33,293,112.45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33,293,112.45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18,248,063.64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264,738,890.62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264,738,890.62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506,541,700.88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520,247,980.94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13,706,280.06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1,595,047,400.31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1,595,047,400.31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2,975,390,446.82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2,975,390,446.82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64,185,479.34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64,185,479.34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198,140,000.04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198,140,000.04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3,173,530,446.86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3,173,530,446.86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-98,226,299.52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-98,226,299.52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-292,870,244.36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-294,427,419.62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-1,557,175.26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403,530,712.52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403,530,712.52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40,728,824.84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40,729,891.07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444,259,537.36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444,259,537.36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3,617,789,984.22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3,617,789,984.22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20" w:line="240" w:lineRule="auto"/>
        <w:ind w:left="0" w:right="0" w:firstLine="0"/>
        <w:jc w:val="left"/>
        <w:rPr>
          <w:sz w:val="20"/>
          <w:szCs w:val="20"/>
        </w:rPr>
      </w:pPr>
      <w:r>
        <w:rPr>
          <w:b w:val="0"/>
          <w:bCs w:val="0"/>
          <w:color w:val="000000"/>
          <w:spacing w:val="0"/>
          <w:w w:val="100"/>
          <w:position w:val="0"/>
          <w:sz w:val="20"/>
          <w:szCs w:val="20"/>
        </w:rPr>
        <w:t>对合并利润表的影响：无</w:t>
      </w: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3,326,092.25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432,264,596.37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432,264,596.37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1,492,043.98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1,492,043.98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437,341,780.08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437,341,780.08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5,051,677,591.00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5,051,677,591.00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6,369,927.13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6,369,927.13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22,299,320.51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22,299,320.51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6,681,182.60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6,681,182.60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5,214,862,773.51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5,214,862,773.51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5,652,204,553.59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5,652,204,553.59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358,974,319.95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358,974,319.95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1,085,521.48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1,085,521.48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4,010,942,889.00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4,010,942,889.00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326,103,755.56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332,246,396.20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6,142,640.64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4,697,711,544.57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4,697,711,544.57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17,385,043.86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17,385,043.86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4,892,711,544.57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4,892,711,544.57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309,684,562.96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309,684,562.96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-153,673,018.60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-154,901,382.59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-1,228,363.99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759,493,009.02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759,493,009.02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5,652,204,553.59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5,652,204,553.59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680" w:line="240" w:lineRule="auto"/>
        <w:ind w:left="0" w:right="0" w:firstLine="0"/>
        <w:jc w:val="left"/>
        <w:rPr>
          <w:sz w:val="20"/>
          <w:szCs w:val="20"/>
        </w:rPr>
      </w:pPr>
      <w:r>
        <w:rPr>
          <w:b w:val="0"/>
          <w:bCs w:val="0"/>
          <w:color w:val="000000"/>
          <w:spacing w:val="0"/>
          <w:w w:val="100"/>
          <w:position w:val="0"/>
          <w:sz w:val="20"/>
          <w:szCs w:val="20"/>
        </w:rPr>
        <w:t>对母公司利润表的影响：无</w:t>
      </w:r>
    </w:p>
    <w:p>
      <w:pPr>
        <w:pStyle w:val="Style32"/>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87"/>
      <w:bookmarkEnd w:id="988"/>
      <w:bookmarkEnd w:id="99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1"/>
      <w:bookmarkEnd w:id="992"/>
      <w:bookmarkEnd w:id="993"/>
    </w:p>
    <w:p>
      <w:pPr>
        <w:pStyle w:val="Style22"/>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六</w:t>
      </w:r>
      <w:bookmarkEnd w:id="996"/>
      <w:r>
        <w:rPr>
          <w:color w:val="000000"/>
          <w:spacing w:val="0"/>
          <w:w w:val="100"/>
          <w:position w:val="0"/>
        </w:rPr>
        <w:t>、税项</w:t>
      </w:r>
      <w:bookmarkEnd w:id="994"/>
      <w:bookmarkEnd w:id="995"/>
      <w:bookmarkEnd w:id="997"/>
    </w:p>
    <w:p>
      <w:pPr>
        <w:pStyle w:val="Style28"/>
        <w:keepNext/>
        <w:keepLines/>
        <w:widowControl w:val="0"/>
        <w:shd w:val="clear" w:color="auto" w:fill="auto"/>
        <w:bidi w:val="0"/>
        <w:spacing w:before="0" w:after="30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color w:val="000000"/>
          <w:spacing w:val="0"/>
          <w:w w:val="100"/>
          <w:position w:val="0"/>
        </w:rPr>
        <w:t>、主要税种及税率</w:t>
      </w:r>
      <w:bookmarkEnd w:id="1001"/>
      <w:bookmarkEnd w:id="998"/>
      <w:bookmarkEnd w:id="99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3240" w:right="0" w:firstLine="0"/>
        <w:jc w:val="left"/>
      </w:pPr>
      <w:r>
        <w:rPr>
          <w:color w:val="000000"/>
          <w:spacing w:val="0"/>
          <w:w w:val="100"/>
          <w:position w:val="0"/>
        </w:rPr>
        <w:t>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87" w:val="left"/>
          <w:tab w:pos="6374" w:val="left"/>
        </w:tabs>
        <w:bidi w:val="0"/>
        <w:spacing w:before="0" w:after="200" w:line="240" w:lineRule="auto"/>
        <w:ind w:left="0" w:right="0" w:firstLine="0"/>
        <w:jc w:val="left"/>
        <w:rPr>
          <w:sz w:val="18"/>
          <w:szCs w:val="18"/>
        </w:rPr>
      </w:pPr>
      <w:r>
        <w:rPr>
          <w:color w:val="000000"/>
          <w:spacing w:val="0"/>
          <w:w w:val="100"/>
          <w:position w:val="0"/>
          <w:sz w:val="17"/>
          <w:szCs w:val="17"/>
        </w:rPr>
        <w:t>教育费附加</w:t>
        <w:tab/>
        <w:t>应纳流转税额</w:t>
        <w:tab/>
      </w:r>
      <w:r>
        <w:rPr>
          <w:rFonts w:ascii="Times New Roman" w:eastAsia="Times New Roman" w:hAnsi="Times New Roman" w:cs="Times New Roman"/>
          <w:color w:val="000000"/>
          <w:spacing w:val="0"/>
          <w:w w:val="100"/>
          <w:position w:val="0"/>
          <w:sz w:val="18"/>
          <w:szCs w:val="18"/>
        </w:rPr>
        <w:t>5%</w:t>
      </w:r>
    </w:p>
    <w:p>
      <w:pPr>
        <w:pStyle w:val="Style19"/>
        <w:keepNext w:val="0"/>
        <w:keepLines w:val="0"/>
        <w:widowControl w:val="0"/>
        <w:shd w:val="clear" w:color="auto" w:fill="auto"/>
        <w:bidi w:val="0"/>
        <w:spacing w:before="0" w:after="85" w:line="240" w:lineRule="auto"/>
        <w:ind w:left="0" w:right="0" w:firstLine="0"/>
        <w:jc w:val="left"/>
      </w:pPr>
      <w:r>
        <w:rPr>
          <w:color w:val="000000"/>
          <w:spacing w:val="0"/>
          <w:w w:val="100"/>
          <w:position w:val="0"/>
        </w:rPr>
        <w:t>存在不同企业所得税税率纳税主体的，披露情况说明</w:t>
      </w:r>
    </w:p>
    <w:p>
      <w:pPr>
        <w:pStyle w:val="Style19"/>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4872" w:val="left"/>
        </w:tabs>
        <w:bidi w:val="0"/>
        <w:spacing w:before="0" w:after="166" w:line="240" w:lineRule="auto"/>
        <w:ind w:left="0" w:right="0" w:firstLine="0"/>
        <w:jc w:val="center"/>
      </w:pPr>
      <w:r>
        <w:rPr>
          <w:color w:val="000000"/>
          <w:spacing w:val="0"/>
          <w:w w:val="100"/>
          <w:position w:val="0"/>
        </w:rPr>
        <w:t>纳税主体名称</w:t>
        <w:tab/>
        <w:t>所得税税率</w:t>
      </w:r>
    </w:p>
    <w:p>
      <w:pPr>
        <w:pStyle w:val="Style28"/>
        <w:keepNext/>
        <w:keepLines/>
        <w:widowControl w:val="0"/>
        <w:shd w:val="clear" w:color="auto" w:fill="auto"/>
        <w:bidi w:val="0"/>
        <w:spacing w:before="0" w:after="300" w:line="352" w:lineRule="exact"/>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color w:val="000000"/>
          <w:spacing w:val="0"/>
          <w:w w:val="100"/>
          <w:position w:val="0"/>
        </w:rPr>
        <w:t>、税收优惠</w:t>
      </w:r>
      <w:bookmarkEnd w:id="1002"/>
      <w:bookmarkEnd w:id="1003"/>
      <w:bookmarkEnd w:id="1005"/>
    </w:p>
    <w:p>
      <w:pPr>
        <w:pStyle w:val="Style16"/>
        <w:keepNext w:val="0"/>
        <w:keepLines w:val="0"/>
        <w:widowControl w:val="0"/>
        <w:shd w:val="clear" w:color="auto" w:fill="auto"/>
        <w:bidi w:val="0"/>
        <w:spacing w:before="0" w:after="0" w:line="310" w:lineRule="exact"/>
        <w:ind w:left="0" w:right="0" w:firstLine="0"/>
        <w:jc w:val="both"/>
        <w:rPr>
          <w:sz w:val="20"/>
          <w:szCs w:val="20"/>
        </w:rPr>
      </w:pPr>
      <w:r>
        <w:rPr>
          <w:b w:val="0"/>
          <w:bCs w:val="0"/>
          <w:color w:val="000000"/>
          <w:spacing w:val="0"/>
          <w:w w:val="100"/>
          <w:position w:val="0"/>
          <w:sz w:val="20"/>
          <w:szCs w:val="20"/>
        </w:rPr>
        <w:t>税收优惠及批文</w:t>
      </w:r>
    </w:p>
    <w:p>
      <w:pPr>
        <w:pStyle w:val="Style16"/>
        <w:keepNext w:val="0"/>
        <w:keepLines w:val="0"/>
        <w:widowControl w:val="0"/>
        <w:shd w:val="clear" w:color="auto" w:fill="auto"/>
        <w:bidi w:val="0"/>
        <w:spacing w:before="0" w:after="0" w:line="310" w:lineRule="exact"/>
        <w:ind w:left="0" w:right="0" w:firstLine="440"/>
        <w:jc w:val="both"/>
        <w:rPr>
          <w:sz w:val="20"/>
          <w:szCs w:val="20"/>
        </w:rPr>
      </w:pPr>
      <w:bookmarkStart w:id="1006" w:name="bookmark1006"/>
      <w:r>
        <w:rPr>
          <w:b w:val="0"/>
          <w:bCs w:val="0"/>
          <w:color w:val="000000"/>
          <w:spacing w:val="0"/>
          <w:w w:val="100"/>
          <w:position w:val="0"/>
          <w:sz w:val="20"/>
          <w:szCs w:val="20"/>
        </w:rPr>
        <w:t>（</w:t>
      </w:r>
      <w:bookmarkEnd w:id="1006"/>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 本公司之子公司广州合利宝支付科技有限公司被认定为高新技术企业（已经公示</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，从</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年开 始，享受国家高新技术企业</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的企业所得税税率，期间三年。</w:t>
      </w:r>
    </w:p>
    <w:p>
      <w:pPr>
        <w:pStyle w:val="Style16"/>
        <w:keepNext w:val="0"/>
        <w:keepLines w:val="0"/>
        <w:widowControl w:val="0"/>
        <w:shd w:val="clear" w:color="auto" w:fill="auto"/>
        <w:tabs>
          <w:tab w:leader="underscore" w:pos="8798" w:val="left"/>
        </w:tabs>
        <w:bidi w:val="0"/>
        <w:spacing w:before="0" w:after="0" w:line="310" w:lineRule="exact"/>
        <w:ind w:left="0" w:right="0" w:firstLine="440"/>
        <w:jc w:val="both"/>
        <w:rPr>
          <w:sz w:val="20"/>
          <w:szCs w:val="20"/>
        </w:rPr>
      </w:pPr>
      <w:bookmarkStart w:id="1007" w:name="bookmark1007"/>
      <w:r>
        <w:rPr>
          <w:b w:val="0"/>
          <w:bCs w:val="0"/>
          <w:color w:val="000000"/>
          <w:spacing w:val="0"/>
          <w:w w:val="100"/>
          <w:position w:val="0"/>
          <w:sz w:val="20"/>
          <w:szCs w:val="20"/>
        </w:rPr>
        <w:t>（</w:t>
      </w:r>
      <w:bookmarkEnd w:id="1007"/>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根据财政部、国家税务总局《关于实施小微企业普惠性税收减免政策的通知》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财税〔</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 xml:space="preserve">13 </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的有关规定，下列子公司本年应纳税所得额不超过</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万元的部分，减按</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计入应纳税所得额，按</w:t>
      </w:r>
      <w:r>
        <w:rPr>
          <w:rFonts w:ascii="Times New Roman" w:eastAsia="Times New Roman" w:hAnsi="Times New Roman" w:cs="Times New Roman"/>
          <w:b w:val="0"/>
          <w:bCs w:val="0"/>
          <w:color w:val="000000"/>
          <w:spacing w:val="0"/>
          <w:w w:val="100"/>
          <w:position w:val="0"/>
          <w:sz w:val="20"/>
          <w:szCs w:val="20"/>
        </w:rPr>
        <w:t xml:space="preserve">20% </w:t>
      </w:r>
      <w:r>
        <w:rPr>
          <w:b w:val="0"/>
          <w:bCs w:val="0"/>
          <w:color w:val="000000"/>
          <w:spacing w:val="0"/>
          <w:w w:val="100"/>
          <w:position w:val="0"/>
          <w:sz w:val="20"/>
          <w:szCs w:val="20"/>
        </w:rPr>
        <w:t>的税率缴纳企业所得税；对年应纳税所得额超过</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万元但不超过</w:t>
      </w:r>
      <w:r>
        <w:rPr>
          <w:rFonts w:ascii="Times New Roman" w:eastAsia="Times New Roman" w:hAnsi="Times New Roman" w:cs="Times New Roman"/>
          <w:b w:val="0"/>
          <w:bCs w:val="0"/>
          <w:color w:val="000000"/>
          <w:spacing w:val="0"/>
          <w:w w:val="100"/>
          <w:position w:val="0"/>
          <w:sz w:val="20"/>
          <w:szCs w:val="20"/>
        </w:rPr>
        <w:t>300</w:t>
      </w:r>
      <w:r>
        <w:rPr>
          <w:b w:val="0"/>
          <w:bCs w:val="0"/>
          <w:color w:val="000000"/>
          <w:spacing w:val="0"/>
          <w:w w:val="100"/>
          <w:position w:val="0"/>
          <w:sz w:val="20"/>
          <w:szCs w:val="20"/>
        </w:rPr>
        <w:t>万元的部分，减按</w:t>
      </w:r>
      <w:r>
        <w:rPr>
          <w:rFonts w:ascii="Times New Roman" w:eastAsia="Times New Roman" w:hAnsi="Times New Roman" w:cs="Times New Roman"/>
          <w:b w:val="0"/>
          <w:bCs w:val="0"/>
          <w:color w:val="000000"/>
          <w:spacing w:val="0"/>
          <w:w w:val="100"/>
          <w:position w:val="0"/>
          <w:sz w:val="20"/>
          <w:szCs w:val="20"/>
        </w:rPr>
        <w:t>50%</w:t>
      </w:r>
      <w:r>
        <w:rPr>
          <w:b w:val="0"/>
          <w:bCs w:val="0"/>
          <w:color w:val="000000"/>
          <w:spacing w:val="0"/>
          <w:w w:val="100"/>
          <w:position w:val="0"/>
          <w:sz w:val="20"/>
          <w:szCs w:val="20"/>
        </w:rPr>
        <w:t xml:space="preserve">计入应纳税所 </w:t>
      </w:r>
      <w:r>
        <w:rPr>
          <w:b w:val="0"/>
          <w:bCs w:val="0"/>
          <w:color w:val="000000"/>
          <w:spacing w:val="0"/>
          <w:w w:val="100"/>
          <w:position w:val="0"/>
          <w:sz w:val="20"/>
          <w:szCs w:val="20"/>
          <w:u w:val="single"/>
        </w:rPr>
        <w:t>得额，按</w:t>
      </w:r>
      <w:r>
        <w:rPr>
          <w:rFonts w:ascii="Times New Roman" w:eastAsia="Times New Roman" w:hAnsi="Times New Roman" w:cs="Times New Roman"/>
          <w:b w:val="0"/>
          <w:bCs w:val="0"/>
          <w:color w:val="000000"/>
          <w:spacing w:val="0"/>
          <w:w w:val="100"/>
          <w:position w:val="0"/>
          <w:sz w:val="20"/>
          <w:szCs w:val="20"/>
          <w:u w:val="single"/>
        </w:rPr>
        <w:t>20%</w:t>
      </w:r>
      <w:r>
        <w:rPr>
          <w:b w:val="0"/>
          <w:bCs w:val="0"/>
          <w:color w:val="000000"/>
          <w:spacing w:val="0"/>
          <w:w w:val="100"/>
          <w:position w:val="0"/>
          <w:sz w:val="20"/>
          <w:szCs w:val="20"/>
          <w:u w:val="single"/>
        </w:rPr>
        <w:t>的税率缴纳企业所得税</w:t>
      </w:r>
      <w:r>
        <w:rPr>
          <w:b w:val="0"/>
          <w:bCs w:val="0"/>
          <w:color w:val="000000"/>
          <w:spacing w:val="0"/>
          <w:w w:val="100"/>
          <w:position w:val="0"/>
          <w:sz w:val="20"/>
          <w:szCs w:val="20"/>
        </w:rPr>
        <w:tab/>
      </w:r>
    </w:p>
    <w:p>
      <w:pPr>
        <w:pStyle w:val="Style16"/>
        <w:keepNext w:val="0"/>
        <w:keepLines w:val="0"/>
        <w:widowControl w:val="0"/>
        <w:shd w:val="clear" w:color="auto" w:fill="auto"/>
        <w:bidi w:val="0"/>
        <w:spacing w:before="0" w:after="1080" w:line="352" w:lineRule="exact"/>
        <w:ind w:left="0" w:right="0" w:firstLine="0"/>
        <w:jc w:val="left"/>
        <w:rPr>
          <w:sz w:val="20"/>
          <w:szCs w:val="20"/>
        </w:rPr>
      </w:pPr>
      <w:r>
        <w:rPr>
          <w:color w:val="000000"/>
          <w:spacing w:val="0"/>
          <w:w w:val="100"/>
          <w:position w:val="0"/>
          <w:sz w:val="20"/>
          <w:szCs w:val="20"/>
          <w:u w:val="single"/>
        </w:rPr>
        <w:t xml:space="preserve">子公司名称 </w:t>
      </w:r>
      <w:r>
        <w:rPr>
          <w:b w:val="0"/>
          <w:bCs w:val="0"/>
          <w:color w:val="000000"/>
          <w:spacing w:val="0"/>
          <w:w w:val="100"/>
          <w:position w:val="0"/>
          <w:sz w:val="20"/>
          <w:szCs w:val="20"/>
          <w:u w:val="single"/>
        </w:rPr>
        <w:t xml:space="preserve">浙江仁东新材料科技有限公司 民盛租赁有限公司 仁东（深圳）大数据技术有限公司 共青城仁东投资管理有限公司 广东合利金融科技服务有限公司 天津仁东信息技术有限公司 天津民盛国际融资租赁有限公司 北京仁东科技有限公司 北京仁东无双信息科技有限公司 广州合利征信服务有限公司 深圳前海合利商业保理有限公司 深圳前海民盛天宫供应链管理有限公司 广州仁东互联网小额贷款有限公司 </w:t>
      </w:r>
      <w:r>
        <w:rPr>
          <w:b w:val="0"/>
          <w:bCs w:val="0"/>
          <w:color w:val="000000"/>
          <w:spacing w:val="0"/>
          <w:w w:val="100"/>
          <w:position w:val="0"/>
          <w:sz w:val="20"/>
          <w:szCs w:val="20"/>
        </w:rPr>
        <w:t>民盛友租（北京）科技有限公司</w:t>
      </w:r>
    </w:p>
    <w:p>
      <w:pPr>
        <w:pStyle w:val="Style28"/>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color w:val="000000"/>
          <w:spacing w:val="0"/>
          <w:w w:val="100"/>
          <w:position w:val="0"/>
        </w:rPr>
        <w:t>、其他</w:t>
      </w:r>
      <w:bookmarkEnd w:id="1008"/>
      <w:bookmarkEnd w:id="1009"/>
      <w:bookmarkEnd w:id="1011"/>
    </w:p>
    <w:p>
      <w:pPr>
        <w:pStyle w:val="Style22"/>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七</w:t>
      </w:r>
      <w:bookmarkEnd w:id="1014"/>
      <w:r>
        <w:rPr>
          <w:color w:val="000000"/>
          <w:spacing w:val="0"/>
          <w:w w:val="100"/>
          <w:position w:val="0"/>
        </w:rPr>
        <w:t>、合并财务报表项目注释</w:t>
      </w:r>
      <w:bookmarkEnd w:id="1012"/>
      <w:bookmarkEnd w:id="1013"/>
      <w:bookmarkEnd w:id="1015"/>
    </w:p>
    <w:p>
      <w:pPr>
        <w:pStyle w:val="Style28"/>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color w:val="000000"/>
          <w:spacing w:val="0"/>
          <w:w w:val="100"/>
          <w:position w:val="0"/>
        </w:rPr>
        <w:t>、货币资金</w:t>
      </w:r>
      <w:bookmarkEnd w:id="1016"/>
      <w:bookmarkEnd w:id="1017"/>
      <w:bookmarkEnd w:id="10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19,805,256.69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62,866,977.35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1,859,651,438.15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1,772,780,071.29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1,879,456,994.84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1,835,647,301.12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214,140.79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22" w:lineRule="exact"/>
        <w:ind w:left="0" w:right="0" w:firstLine="440"/>
        <w:jc w:val="both"/>
        <w:rPr>
          <w:sz w:val="20"/>
          <w:szCs w:val="20"/>
        </w:rPr>
      </w:pP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日，其他货币资金主要为客户备付金、保证金及风险准备金，其中支付宝账 户金额</w:t>
      </w:r>
      <w:r>
        <w:rPr>
          <w:rFonts w:ascii="Times New Roman" w:eastAsia="Times New Roman" w:hAnsi="Times New Roman" w:cs="Times New Roman"/>
          <w:b w:val="0"/>
          <w:bCs w:val="0"/>
          <w:color w:val="000000"/>
          <w:spacing w:val="0"/>
          <w:w w:val="100"/>
          <w:position w:val="0"/>
          <w:sz w:val="20"/>
          <w:szCs w:val="20"/>
        </w:rPr>
        <w:t>223,777.89</w:t>
      </w:r>
      <w:r>
        <w:rPr>
          <w:b w:val="0"/>
          <w:bCs w:val="0"/>
          <w:color w:val="000000"/>
          <w:spacing w:val="0"/>
          <w:w w:val="100"/>
          <w:position w:val="0"/>
          <w:sz w:val="20"/>
          <w:szCs w:val="20"/>
        </w:rPr>
        <w:t>，不受限。</w:t>
      </w:r>
    </w:p>
    <w:p>
      <w:pPr>
        <w:pStyle w:val="Style16"/>
        <w:keepNext w:val="0"/>
        <w:keepLines w:val="0"/>
        <w:widowControl w:val="0"/>
        <w:shd w:val="clear" w:color="auto" w:fill="auto"/>
        <w:bidi w:val="0"/>
        <w:spacing w:before="0" w:after="680" w:line="322" w:lineRule="exact"/>
        <w:ind w:left="0" w:right="0" w:firstLine="440"/>
        <w:jc w:val="both"/>
        <w:rPr>
          <w:sz w:val="20"/>
          <w:szCs w:val="20"/>
        </w:rPr>
      </w:pP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日，受限资金为</w:t>
      </w:r>
      <w:r>
        <w:rPr>
          <w:rFonts w:ascii="Times New Roman" w:eastAsia="Times New Roman" w:hAnsi="Times New Roman" w:cs="Times New Roman"/>
          <w:b w:val="0"/>
          <w:bCs w:val="0"/>
          <w:color w:val="000000"/>
          <w:spacing w:val="0"/>
          <w:w w:val="100"/>
          <w:position w:val="0"/>
          <w:sz w:val="20"/>
          <w:szCs w:val="20"/>
        </w:rPr>
        <w:t>1,861,531,975.20</w:t>
      </w:r>
      <w:r>
        <w:rPr>
          <w:b w:val="0"/>
          <w:bCs w:val="0"/>
          <w:color w:val="000000"/>
          <w:spacing w:val="0"/>
          <w:w w:val="100"/>
          <w:position w:val="0"/>
          <w:sz w:val="20"/>
          <w:szCs w:val="20"/>
        </w:rPr>
        <w:t>元，主要是客户备付金、保证金、风险准备 金及冻结资金。</w:t>
      </w:r>
    </w:p>
    <w:p>
      <w:pPr>
        <w:pStyle w:val="Style28"/>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color w:val="000000"/>
          <w:spacing w:val="0"/>
          <w:w w:val="100"/>
          <w:position w:val="0"/>
        </w:rPr>
        <w:t>、交易性金融资产</w:t>
      </w:r>
      <w:bookmarkEnd w:id="1020"/>
      <w:bookmarkEnd w:id="1021"/>
      <w:bookmarkEnd w:id="102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color w:val="000000"/>
          <w:spacing w:val="0"/>
          <w:w w:val="100"/>
          <w:position w:val="0"/>
        </w:rPr>
        <w:t>、衍生金融资产</w:t>
      </w:r>
      <w:bookmarkEnd w:id="1024"/>
      <w:bookmarkEnd w:id="1025"/>
      <w:bookmarkEnd w:id="102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color w:val="000000"/>
          <w:spacing w:val="0"/>
          <w:w w:val="100"/>
          <w:position w:val="0"/>
        </w:rPr>
        <w:t>、应收票据</w:t>
      </w:r>
      <w:bookmarkEnd w:id="1028"/>
      <w:bookmarkEnd w:id="1029"/>
      <w:bookmarkEnd w:id="1031"/>
    </w:p>
    <w:p>
      <w:pPr>
        <w:pStyle w:val="Style32"/>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2"/>
      <w:bookmarkEnd w:id="1033"/>
      <w:bookmarkEnd w:id="103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p>
    <w:p>
      <w:pPr>
        <w:widowControl w:val="0"/>
        <w:jc w:val="center"/>
        <w:rPr>
          <w:sz w:val="2"/>
          <w:szCs w:val="2"/>
        </w:rPr>
      </w:pPr>
      <w:r>
        <w:drawing>
          <wp:inline>
            <wp:extent cx="6126480" cy="18656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6126480" cy="1865630"/>
                    </a:xfrm>
                    <a:prstGeom prst="rect"/>
                  </pic:spPr>
                </pic:pic>
              </a:graphicData>
            </a:graphic>
          </wp:inline>
        </w:drawing>
      </w:r>
    </w:p>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6"/>
      <w:bookmarkEnd w:id="1037"/>
      <w:bookmarkEnd w:id="103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40"/>
      <w:bookmarkEnd w:id="1041"/>
      <w:bookmarkEnd w:id="1043"/>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44"/>
      <w:bookmarkEnd w:id="1045"/>
      <w:bookmarkEnd w:id="1047"/>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48"/>
      <w:bookmarkEnd w:id="1049"/>
      <w:bookmarkEnd w:id="105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52"/>
      <w:bookmarkEnd w:id="1053"/>
      <w:bookmarkEnd w:id="1055"/>
    </w:p>
    <w:p>
      <w:pPr>
        <w:pStyle w:val="Style19"/>
        <w:keepNext w:val="0"/>
        <w:keepLines w:val="0"/>
        <w:widowControl w:val="0"/>
        <w:shd w:val="clear" w:color="auto" w:fill="auto"/>
        <w:bidi w:val="0"/>
        <w:spacing w:before="0" w:after="2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其中重要的应收票据核销情况：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、应收账款</w:t>
      </w:r>
      <w:bookmarkEnd w:id="1056"/>
      <w:bookmarkEnd w:id="1057"/>
      <w:bookmarkEnd w:id="1059"/>
    </w:p>
    <w:p>
      <w:pPr>
        <w:pStyle w:val="Style32"/>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0"/>
      <w:bookmarkEnd w:id="1061"/>
      <w:bookmarkEnd w:id="106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97,536,8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5,436,61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92,100,25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3,887,39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32,267,856.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85,130,3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83,603,67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73,148,611.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97,536,8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5,436,61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92,100,25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7,359,344.85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62,487.80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10,658.14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3,765,122.33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3,765,122.33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11,278,824.12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3,887,395.05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按组合计提坏账准备：保理业务组合</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1,127,704.83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1,127,704.83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22,554.10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按组合计提坏账准备：融资租赁项目</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85,130,336.36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1,526,665.10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85,130,336.36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1,526,665.10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该项目已收取客户保证金</w:t>
      </w:r>
      <w:r>
        <w:rPr>
          <w:rFonts w:ascii="Times New Roman" w:eastAsia="Times New Roman" w:hAnsi="Times New Roman" w:cs="Times New Roman"/>
          <w:color w:val="000000"/>
          <w:spacing w:val="0"/>
          <w:w w:val="100"/>
          <w:position w:val="0"/>
          <w:sz w:val="18"/>
          <w:szCs w:val="18"/>
        </w:rPr>
        <w:t>8,797,081.08</w:t>
      </w:r>
      <w:r>
        <w:rPr>
          <w:color w:val="000000"/>
          <w:spacing w:val="0"/>
          <w:w w:val="100"/>
          <w:position w:val="0"/>
        </w:rPr>
        <w:t>元，故计提坏账基数为账面余额减去保证金的金额。</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93,698,597.04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3,765,122.33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3,765,122.33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97,536,865.31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4"/>
      <w:bookmarkEnd w:id="1065"/>
      <w:bookmarkEnd w:id="1067"/>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2,159,969.67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3,600,097.04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5,436,614.25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2,159,969.67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3,600,097.04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323,452.46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5,436,614.25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8"/>
      <w:bookmarkEnd w:id="1069"/>
      <w:bookmarkEnd w:id="10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2"/>
      <w:bookmarkEnd w:id="1073"/>
      <w:bookmarkEnd w:id="1075"/>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54,850,121.05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1,004,933.79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17,247,984.07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13,032,231.24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237,121.51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89,919,316.19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92.19%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keepLines/>
        <w:widowControl w:val="0"/>
        <w:shd w:val="clear" w:color="auto" w:fill="auto"/>
        <w:tabs>
          <w:tab w:pos="493" w:val="left"/>
        </w:tabs>
        <w:bidi w:val="0"/>
        <w:spacing w:before="0" w:line="240" w:lineRule="auto"/>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76"/>
      <w:bookmarkEnd w:id="1077"/>
      <w:bookmarkEnd w:id="1079"/>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493" w:val="left"/>
        </w:tabs>
        <w:bidi w:val="0"/>
        <w:spacing w:before="0" w:line="240" w:lineRule="auto"/>
        <w:ind w:left="0" w:right="0" w:firstLine="0"/>
        <w:jc w:val="both"/>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080"/>
      <w:bookmarkEnd w:id="1081"/>
      <w:bookmarkEnd w:id="1083"/>
    </w:p>
    <w:p>
      <w:pPr>
        <w:pStyle w:val="Style28"/>
        <w:keepNext/>
        <w:keepLines/>
        <w:widowControl w:val="0"/>
        <w:shd w:val="clear" w:color="auto" w:fill="auto"/>
        <w:tabs>
          <w:tab w:pos="378" w:val="left"/>
        </w:tabs>
        <w:bidi w:val="0"/>
        <w:spacing w:before="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6</w:t>
      </w:r>
      <w:bookmarkEnd w:id="1086"/>
      <w:r>
        <w:rPr>
          <w:color w:val="000000"/>
          <w:spacing w:val="0"/>
          <w:w w:val="100"/>
          <w:position w:val="0"/>
        </w:rPr>
        <w:t>、</w:t>
        <w:tab/>
        <w:t>应收款项融资</w:t>
      </w:r>
      <w:bookmarkEnd w:id="1084"/>
      <w:bookmarkEnd w:id="1085"/>
      <w:bookmarkEnd w:id="1087"/>
    </w:p>
    <w:p>
      <w:pPr>
        <w:pStyle w:val="Style19"/>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19"/>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5" w:val="left"/>
          <w:tab w:pos="6197" w:val="left"/>
        </w:tabs>
        <w:bidi w:val="0"/>
        <w:spacing w:before="0" w:after="66" w:line="240" w:lineRule="auto"/>
        <w:ind w:left="0" w:right="0" w:firstLine="0"/>
        <w:jc w:val="center"/>
      </w:pPr>
      <w:r>
        <w:rPr>
          <w:color w:val="000000"/>
          <w:spacing w:val="0"/>
          <w:w w:val="100"/>
          <w:position w:val="0"/>
        </w:rPr>
        <w:t>项目</w:t>
        <w:tab/>
        <w:t>期末余额</w:t>
        <w:tab/>
        <w:t>期初余额</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3" w:val="left"/>
        </w:tabs>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7</w:t>
      </w:r>
      <w:bookmarkEnd w:id="1090"/>
      <w:r>
        <w:rPr>
          <w:color w:val="000000"/>
          <w:spacing w:val="0"/>
          <w:w w:val="100"/>
          <w:position w:val="0"/>
        </w:rPr>
        <w:t>、</w:t>
        <w:tab/>
        <w:t>预付款项</w:t>
      </w:r>
      <w:bookmarkEnd w:id="1088"/>
      <w:bookmarkEnd w:id="1089"/>
      <w:bookmarkEnd w:id="1091"/>
    </w:p>
    <w:p>
      <w:pPr>
        <w:pStyle w:val="Style32"/>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2"/>
      <w:bookmarkEnd w:id="1093"/>
      <w:bookmarkEnd w:id="1095"/>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8,595,817.81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4,386,388.86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83,435.06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8,923,872.67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5,160,646.84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6"/>
      <w:bookmarkEnd w:id="1097"/>
      <w:bookmarkEnd w:id="1099"/>
    </w:p>
    <w:tbl>
      <w:tblPr>
        <w:tblOverlap w:val="never"/>
        <w:jc w:val="center"/>
        <w:tblLayout w:type="fixed"/>
      </w:tblPr>
      <w:tblGrid>
        <w:gridCol w:w="3274"/>
        <w:gridCol w:w="806"/>
        <w:gridCol w:w="1459"/>
        <w:gridCol w:w="1051"/>
        <w:gridCol w:w="1075"/>
        <w:gridCol w:w="1834"/>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与本公 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占预付账</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款总额的 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未结算原因</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湖南众享信息科技有限公司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2,096,577.69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山东汇办事信息技术有限公司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1,576,757.70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海南浚聚科技有限公司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非关联 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1,395,781.79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15.64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bl>
    <w:p>
      <w:pPr>
        <w:widowControl w:val="0"/>
        <w:spacing w:line="1" w:lineRule="exact"/>
      </w:pPr>
    </w:p>
    <w:tbl>
      <w:tblPr>
        <w:tblOverlap w:val="never"/>
        <w:jc w:val="center"/>
        <w:tblLayout w:type="fixed"/>
      </w:tblPr>
      <w:tblGrid>
        <w:gridCol w:w="3274"/>
        <w:gridCol w:w="806"/>
        <w:gridCol w:w="1459"/>
        <w:gridCol w:w="1051"/>
        <w:gridCol w:w="1075"/>
        <w:gridCol w:w="1834"/>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687,031.00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未达到结算条件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湖南接职数字科技有限公司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非关联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456,106.75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未达到结算条件</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6,212,254.93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y</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8</w:t>
      </w:r>
      <w:bookmarkEnd w:id="1102"/>
      <w:r>
        <w:rPr>
          <w:color w:val="000000"/>
          <w:spacing w:val="0"/>
          <w:w w:val="100"/>
          <w:position w:val="0"/>
        </w:rPr>
        <w:t>、其他应收款</w:t>
      </w:r>
      <w:bookmarkEnd w:id="1100"/>
      <w:bookmarkEnd w:id="1101"/>
      <w:bookmarkEnd w:id="110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10,246,500.00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17,693,182.09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25,568,146.65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17,693,182.09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35,814,646.65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4"/>
      <w:bookmarkEnd w:id="1105"/>
      <w:bookmarkEnd w:id="1107"/>
    </w:p>
    <w:p>
      <w:pPr>
        <w:pStyle w:val="Style75"/>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color w:val="000000"/>
          <w:spacing w:val="0"/>
          <w:w w:val="100"/>
          <w:position w:val="0"/>
        </w:rPr>
        <w:t>）应收利息分类</w:t>
      </w:r>
      <w:bookmarkEnd w:id="1108"/>
      <w:bookmarkEnd w:id="1109"/>
      <w:bookmarkEnd w:id="111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）重要逾期利息</w:t>
      </w:r>
      <w:bookmarkEnd w:id="1112"/>
      <w:bookmarkEnd w:id="1113"/>
      <w:bookmarkEnd w:id="111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）坏账准备计提情况</w:t>
      </w:r>
      <w:bookmarkEnd w:id="1116"/>
      <w:bookmarkEnd w:id="1117"/>
      <w:bookmarkEnd w:id="111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0"/>
      <w:bookmarkEnd w:id="1121"/>
      <w:bookmarkEnd w:id="1123"/>
    </w:p>
    <w:p>
      <w:pPr>
        <w:pStyle w:val="Style75"/>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color w:val="000000"/>
          <w:spacing w:val="0"/>
          <w:w w:val="100"/>
          <w:position w:val="0"/>
        </w:rPr>
        <w:t>）应收股利分类</w:t>
      </w:r>
      <w:bookmarkEnd w:id="1124"/>
      <w:bookmarkEnd w:id="1125"/>
      <w:bookmarkEnd w:id="112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山西银行股份有限公司（原长治银行股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10,246,500.00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10,246,500.00</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28"/>
      <w:bookmarkEnd w:id="1129"/>
      <w:bookmarkEnd w:id="11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）坏账准备计提情况</w:t>
      </w:r>
      <w:bookmarkEnd w:id="1132"/>
      <w:bookmarkEnd w:id="1133"/>
      <w:bookmarkEnd w:id="113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36"/>
      <w:bookmarkEnd w:id="1137"/>
      <w:bookmarkEnd w:id="1139"/>
    </w:p>
    <w:p>
      <w:pPr>
        <w:pStyle w:val="Style75"/>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color w:val="000000"/>
          <w:spacing w:val="0"/>
          <w:w w:val="100"/>
          <w:position w:val="0"/>
        </w:rPr>
        <w:t>）其他应收款按款项性质分类情况</w:t>
      </w:r>
      <w:bookmarkEnd w:id="1140"/>
      <w:bookmarkEnd w:id="1141"/>
      <w:bookmarkEnd w:id="114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16,941,162.73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13,284,791.96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623,154.22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原保理本金转入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295,706,761.48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300,706,761.48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227,487.98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313,415,662.21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329,342,195.64</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）坏账准备计提情况</w:t>
      </w:r>
      <w:bookmarkEnd w:id="1144"/>
      <w:bookmarkEnd w:id="1145"/>
      <w:bookmarkEnd w:id="114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303,206,761.48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303,774,048.99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14,327.98</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8,065,896.85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295,715,032.48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295,722,480.12</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14,972,827.69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742,688.23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26,731,571.13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270,968,575.16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270,968,575.16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313,415,662.21</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）本期计提、收回或转回的坏账准备情况</w:t>
      </w:r>
      <w:bookmarkEnd w:id="1148"/>
      <w:bookmarkEnd w:id="1149"/>
      <w:bookmarkEnd w:id="115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303,774,048.0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14,327.98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8,065,896.85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295,722,480.12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303,774,048.0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14,327.98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8,065,896.85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295,722,480.12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）本期实际核销的其他应收款情况</w:t>
      </w:r>
      <w:bookmarkEnd w:id="1152"/>
      <w:bookmarkEnd w:id="1153"/>
      <w:bookmarkEnd w:id="115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9"/>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156" w:name="bookmark115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56"/>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太原市圣地雅矿用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原保理本金转入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河北冠瑞贸易有限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原保理本金转入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山西天欣意矿业发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原保理本金转入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华讯方舟科技有限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原保理本金转入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26,706,761.48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26,706,761.48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正大侨商房地产开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正大侨商房地产开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1,968,575.16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297,704,950.48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295,706,761.48</w:t>
            </w:r>
          </w:p>
        </w:tc>
      </w:tr>
    </w:tbl>
    <w:p>
      <w:pPr>
        <w:widowControl w:val="0"/>
        <w:spacing w:after="339" w:line="1" w:lineRule="exact"/>
      </w:pPr>
    </w:p>
    <w:p>
      <w:pPr>
        <w:pStyle w:val="Style75"/>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6</w:t>
      </w:r>
      <w:bookmarkEnd w:id="1159"/>
      <w:r>
        <w:rPr>
          <w:color w:val="000000"/>
          <w:spacing w:val="0"/>
          <w:w w:val="100"/>
          <w:position w:val="0"/>
        </w:rPr>
        <w:t>）涉及政府补助的应收款项</w:t>
      </w:r>
      <w:bookmarkEnd w:id="1157"/>
      <w:bookmarkEnd w:id="1158"/>
      <w:bookmarkEnd w:id="11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75"/>
        <w:keepNext/>
        <w:keepLines/>
        <w:widowControl w:val="0"/>
        <w:shd w:val="clear" w:color="auto" w:fill="auto"/>
        <w:tabs>
          <w:tab w:pos="387" w:val="left"/>
        </w:tabs>
        <w:bidi w:val="0"/>
        <w:spacing w:before="0" w:after="34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7</w:t>
      </w:r>
      <w:bookmarkEnd w:id="1163"/>
      <w:r>
        <w:rPr>
          <w:color w:val="000000"/>
          <w:spacing w:val="0"/>
          <w:w w:val="100"/>
          <w:position w:val="0"/>
        </w:rPr>
        <w:t>）</w:t>
        <w:tab/>
        <w:t>因金融资产转移而终止确认的其他应收款</w:t>
      </w:r>
      <w:bookmarkEnd w:id="1161"/>
      <w:bookmarkEnd w:id="1162"/>
      <w:bookmarkEnd w:id="1164"/>
    </w:p>
    <w:p>
      <w:pPr>
        <w:pStyle w:val="Style75"/>
        <w:keepNext/>
        <w:keepLines/>
        <w:widowControl w:val="0"/>
        <w:shd w:val="clear" w:color="auto" w:fill="auto"/>
        <w:tabs>
          <w:tab w:pos="392" w:val="left"/>
        </w:tabs>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8</w:t>
      </w:r>
      <w:bookmarkEnd w:id="1167"/>
      <w:r>
        <w:rPr>
          <w:color w:val="000000"/>
          <w:spacing w:val="0"/>
          <w:w w:val="100"/>
          <w:position w:val="0"/>
        </w:rPr>
        <w:t>）</w:t>
        <w:tab/>
        <w:t>转移其他应收款且继续涉入形成的资产、负债金额</w:t>
      </w:r>
      <w:bookmarkEnd w:id="1165"/>
      <w:bookmarkEnd w:id="1166"/>
      <w:bookmarkEnd w:id="116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9</w:t>
      </w:r>
      <w:bookmarkEnd w:id="1171"/>
      <w:r>
        <w:rPr>
          <w:color w:val="000000"/>
          <w:spacing w:val="0"/>
          <w:w w:val="100"/>
          <w:position w:val="0"/>
        </w:rPr>
        <w:t>、存货</w:t>
      </w:r>
      <w:bookmarkEnd w:id="1169"/>
      <w:bookmarkEnd w:id="1170"/>
      <w:bookmarkEnd w:id="117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32"/>
        <w:keepNext/>
        <w:keepLines/>
        <w:widowControl w:val="0"/>
        <w:shd w:val="clear" w:color="auto" w:fill="auto"/>
        <w:bidi w:val="0"/>
        <w:spacing w:before="0" w:after="360" w:line="240" w:lineRule="auto"/>
        <w:ind w:left="0" w:right="0" w:firstLine="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3"/>
      <w:bookmarkEnd w:id="1174"/>
      <w:bookmarkEnd w:id="11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105,128.92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120,195.37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77"/>
      <w:bookmarkEnd w:id="1178"/>
      <w:bookmarkEnd w:id="11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1"/>
      <w:bookmarkEnd w:id="1182"/>
      <w:bookmarkEnd w:id="1184"/>
    </w:p>
    <w:p>
      <w:pPr>
        <w:pStyle w:val="Style32"/>
        <w:keepNext/>
        <w:keepLines/>
        <w:widowControl w:val="0"/>
        <w:shd w:val="clear" w:color="auto" w:fill="auto"/>
        <w:tabs>
          <w:tab w:pos="493" w:val="left"/>
        </w:tabs>
        <w:bidi w:val="0"/>
        <w:spacing w:before="0" w:after="360" w:line="240" w:lineRule="auto"/>
        <w:ind w:left="0" w:right="0" w:firstLine="0"/>
        <w:jc w:val="both"/>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85"/>
      <w:bookmarkEnd w:id="1186"/>
      <w:bookmarkEnd w:id="1188"/>
    </w:p>
    <w:p>
      <w:pPr>
        <w:pStyle w:val="Style28"/>
        <w:keepNext/>
        <w:keepLines/>
        <w:widowControl w:val="0"/>
        <w:shd w:val="clear" w:color="auto" w:fill="auto"/>
        <w:bidi w:val="0"/>
        <w:spacing w:before="0" w:after="360" w:line="240" w:lineRule="auto"/>
        <w:ind w:left="0" w:right="0" w:firstLine="0"/>
        <w:jc w:val="both"/>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89"/>
      <w:bookmarkEnd w:id="1190"/>
      <w:bookmarkEnd w:id="119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93"/>
      <w:bookmarkEnd w:id="1194"/>
      <w:bookmarkEnd w:id="119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7"/>
      <w:bookmarkEnd w:id="1198"/>
      <w:bookmarkEnd w:id="12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40,213,343.33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43,616,083.67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40,213,343.33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43,616,083.67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1"/>
      <w:bookmarkEnd w:id="1202"/>
      <w:bookmarkEnd w:id="12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预缴或留抵的税费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60,245,555.05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51,508,343.39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第三方支付业务待清算款项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2,221,416.03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6,142,850.86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66,403,913.67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53,742,600.33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4</w:t>
      </w:r>
      <w:r>
        <w:rPr>
          <w:color w:val="000000"/>
          <w:spacing w:val="0"/>
          <w:w w:val="100"/>
          <w:position w:val="0"/>
        </w:rPr>
        <w:t>、发放贷款及垫款</w:t>
      </w:r>
      <w:bookmarkEnd w:id="1205"/>
      <w:bookmarkEnd w:id="1206"/>
      <w:bookmarkEnd w:id="1208"/>
    </w:p>
    <w:p>
      <w:pPr>
        <w:pStyle w:val="Style24"/>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1085"/>
        <w:gridCol w:w="1430"/>
        <w:gridCol w:w="1536"/>
        <w:gridCol w:w="1358"/>
        <w:gridCol w:w="1344"/>
        <w:gridCol w:w="1402"/>
        <w:gridCol w:w="13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33,704,065.39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10,455,194.57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23,248,870.82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61,923,247.01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4,495,211.25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57,428,035.76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575,968.70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507,805.76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713,216.85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561,133.95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152,082.90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34,280,034.09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10,963,000.33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23,317,033.76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62,636,463.86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5,056,345.20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57,580,118.66</w:t>
            </w:r>
          </w:p>
        </w:tc>
      </w:tr>
    </w:tbl>
    <w:p>
      <w:pPr>
        <w:widowControl w:val="0"/>
        <w:spacing w:line="1" w:lineRule="exact"/>
      </w:pPr>
    </w:p>
    <w:p>
      <w:pPr>
        <w:pStyle w:val="Style24"/>
        <w:keepNext w:val="0"/>
        <w:keepLines w:val="0"/>
        <w:widowControl w:val="0"/>
        <w:shd w:val="clear" w:color="auto" w:fill="auto"/>
        <w:bidi w:val="0"/>
        <w:spacing w:before="0" w:after="80" w:line="240" w:lineRule="auto"/>
        <w:ind w:left="43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）风险分类情况</w:t>
      </w:r>
    </w:p>
    <w:p>
      <w:pPr>
        <w:pStyle w:val="Style24"/>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①贷款本金</w:t>
      </w:r>
    </w:p>
    <w:tbl>
      <w:tblPr>
        <w:tblOverlap w:val="never"/>
        <w:jc w:val="center"/>
        <w:tblLayout w:type="fixed"/>
      </w:tblPr>
      <w:tblGrid>
        <w:gridCol w:w="3202"/>
        <w:gridCol w:w="2818"/>
        <w:gridCol w:w="314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18,690,915.62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57,032,537.05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1,071,403.80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955,286.39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605,209.91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351,322.96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8,438,525.74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196,082.26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4,898,010.32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r>
    </w:tbl>
    <w:p>
      <w:pPr>
        <w:widowControl w:val="0"/>
        <w:spacing w:line="1" w:lineRule="exact"/>
      </w:pPr>
      <w:r>
        <w:br w:type="page"/>
      </w:r>
    </w:p>
    <w:tbl>
      <w:tblPr>
        <w:tblOverlap w:val="never"/>
        <w:jc w:val="center"/>
        <w:tblLayout w:type="fixed"/>
      </w:tblPr>
      <w:tblGrid>
        <w:gridCol w:w="3202"/>
        <w:gridCol w:w="2818"/>
        <w:gridCol w:w="314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33,704,065.39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61,923,247.01</w:t>
            </w:r>
          </w:p>
        </w:tc>
      </w:tr>
      <w:tr>
        <w:trPr>
          <w:trHeight w:val="33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②贷款利息</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118,092.26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34,786.26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17,334.49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17,918.90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16,010.82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575,968.70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713,216.85</w:t>
            </w:r>
          </w:p>
        </w:tc>
      </w:tr>
    </w:tbl>
    <w:p>
      <w:pPr>
        <w:pStyle w:val="Style24"/>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）贷款损失准备情况</w:t>
      </w:r>
    </w:p>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624" w:right="0" w:firstLine="0"/>
        <w:jc w:val="left"/>
        <w:rPr>
          <w:sz w:val="20"/>
          <w:szCs w:val="20"/>
        </w:rPr>
      </w:pPr>
      <w:r>
        <w:rPr>
          <w:color w:val="000000"/>
          <w:spacing w:val="0"/>
          <w:w w:val="100"/>
          <w:position w:val="0"/>
          <w:sz w:val="20"/>
          <w:szCs w:val="20"/>
        </w:rPr>
        <w:t>①贷款本金</w:t>
      </w:r>
    </w:p>
    <w:tbl>
      <w:tblPr>
        <w:tblOverlap w:val="never"/>
        <w:jc w:val="center"/>
        <w:tblLayout w:type="fixed"/>
      </w:tblPr>
      <w:tblGrid>
        <w:gridCol w:w="1819"/>
        <w:gridCol w:w="2136"/>
        <w:gridCol w:w="1315"/>
        <w:gridCol w:w="1862"/>
        <w:gridCol w:w="19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整个存续期预期信用 损失率</w:t>
            </w:r>
            <w:r>
              <w:rPr>
                <w:b/>
                <w:bCs/>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18,690,915.62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280,363.73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1,071,403.80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32,142.11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605,209.91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181,562.97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8,438,525.74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5,063,115.44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4,898,010.32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4,898,010.32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33,704,065.39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10,455,194.57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619" w:right="0" w:firstLine="0"/>
        <w:jc w:val="left"/>
        <w:rPr>
          <w:sz w:val="20"/>
          <w:szCs w:val="20"/>
        </w:rPr>
      </w:pPr>
      <w:r>
        <w:rPr>
          <w:color w:val="000000"/>
          <w:spacing w:val="0"/>
          <w:w w:val="100"/>
          <w:position w:val="0"/>
          <w:sz w:val="20"/>
          <w:szCs w:val="20"/>
        </w:rPr>
        <w:t>②贷款利息</w:t>
      </w:r>
    </w:p>
    <w:tbl>
      <w:tblPr>
        <w:tblOverlap w:val="never"/>
        <w:jc w:val="center"/>
        <w:tblLayout w:type="fixed"/>
      </w:tblPr>
      <w:tblGrid>
        <w:gridCol w:w="1819"/>
        <w:gridCol w:w="2131"/>
        <w:gridCol w:w="1320"/>
        <w:gridCol w:w="1862"/>
        <w:gridCol w:w="19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整个存续期预期信用 损失率</w:t>
            </w:r>
            <w:r>
              <w:rPr>
                <w:b/>
                <w:bCs/>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34,786.26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575,968.70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507,805.76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续前表:</w:t>
      </w:r>
    </w:p>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624" w:right="0" w:firstLine="0"/>
        <w:jc w:val="left"/>
        <w:rPr>
          <w:sz w:val="20"/>
          <w:szCs w:val="20"/>
        </w:rPr>
      </w:pPr>
      <w:r>
        <w:rPr>
          <w:color w:val="000000"/>
          <w:spacing w:val="0"/>
          <w:w w:val="100"/>
          <w:position w:val="0"/>
          <w:sz w:val="20"/>
          <w:szCs w:val="20"/>
        </w:rPr>
        <w:t>①贷款本金</w:t>
      </w:r>
    </w:p>
    <w:tbl>
      <w:tblPr>
        <w:tblOverlap w:val="never"/>
        <w:jc w:val="center"/>
        <w:tblLayout w:type="fixed"/>
      </w:tblPr>
      <w:tblGrid>
        <w:gridCol w:w="1819"/>
        <w:gridCol w:w="2136"/>
        <w:gridCol w:w="1315"/>
        <w:gridCol w:w="1862"/>
        <w:gridCol w:w="19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57,032,537.05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855,488.06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955,286.39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351,322.96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196,082.26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117,649.36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61,923,247.01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4,495,211.25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②贷款利息</w:t>
      </w:r>
    </w:p>
    <w:tbl>
      <w:tblPr>
        <w:tblOverlap w:val="never"/>
        <w:jc w:val="center"/>
        <w:tblLayout w:type="fixed"/>
      </w:tblPr>
      <w:tblGrid>
        <w:gridCol w:w="1819"/>
        <w:gridCol w:w="2136"/>
        <w:gridCol w:w="1315"/>
        <w:gridCol w:w="1862"/>
        <w:gridCol w:w="19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118,092.26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713,216.85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561,133.95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5</w:t>
      </w:r>
      <w:r>
        <w:rPr>
          <w:color w:val="000000"/>
          <w:spacing w:val="0"/>
          <w:w w:val="100"/>
          <w:position w:val="0"/>
        </w:rPr>
        <w:t>、债权投资</w:t>
      </w:r>
      <w:bookmarkEnd w:id="1209"/>
      <w:bookmarkEnd w:id="1210"/>
      <w:bookmarkEnd w:id="1212"/>
    </w:p>
    <w:tbl>
      <w:tblPr>
        <w:tblOverlap w:val="never"/>
        <w:jc w:val="center"/>
        <w:tblLayout w:type="fixed"/>
      </w:tblPr>
      <w:tblGrid>
        <w:gridCol w:w="1378"/>
        <w:gridCol w:w="1368"/>
        <w:gridCol w:w="1368"/>
        <w:gridCol w:w="1363"/>
        <w:gridCol w:w="1368"/>
        <w:gridCol w:w="1368"/>
        <w:gridCol w:w="1430"/>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1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tc>
      </w:tr>
    </w:tbl>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减值准备计提情况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、其他债权投资</w:t>
      </w:r>
      <w:bookmarkEnd w:id="1213"/>
      <w:bookmarkEnd w:id="1214"/>
      <w:bookmarkEnd w:id="1216"/>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、长期应收款</w:t>
      </w:r>
      <w:bookmarkEnd w:id="1217"/>
      <w:bookmarkEnd w:id="1218"/>
      <w:bookmarkEnd w:id="1220"/>
    </w:p>
    <w:p>
      <w:pPr>
        <w:pStyle w:val="Style3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1"/>
      <w:bookmarkEnd w:id="1222"/>
      <w:bookmarkEnd w:id="1224"/>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65,293,113.25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1,196,194.49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64,096,918.76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73,049,373.32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72,711,479.56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12,870,589.33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12,870,589.33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24,208,451.86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24,208,451.86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重分类至一年内 到期的非流动资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-40,213,343.33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-40,213,343.33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-43,616,083.67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-43,616,083.67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25,079,769.92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1,196,194.49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23,883,575.43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29,433,289.65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29,095,395.89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337,893.76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1,033,337.86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1,033,337.86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175,037.14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1,196,194.48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1,196,194.48</w:t>
            </w:r>
          </w:p>
        </w:tc>
      </w:tr>
    </w:tbl>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5"/>
      <w:bookmarkEnd w:id="1226"/>
      <w:bookmarkEnd w:id="1228"/>
    </w:p>
    <w:p>
      <w:pPr>
        <w:pStyle w:val="Style32"/>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29"/>
      <w:bookmarkEnd w:id="1230"/>
      <w:bookmarkEnd w:id="123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1233"/>
      <w:bookmarkEnd w:id="1234"/>
      <w:bookmarkEnd w:id="12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9</w:t>
      </w:r>
      <w:r>
        <w:rPr>
          <w:color w:val="000000"/>
          <w:spacing w:val="0"/>
          <w:w w:val="100"/>
          <w:position w:val="0"/>
        </w:rPr>
        <w:t>、其他权益工具投资</w:t>
      </w:r>
      <w:bookmarkEnd w:id="1237"/>
      <w:bookmarkEnd w:id="1238"/>
      <w:bookmarkEnd w:id="124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北京海淀科技金融资本控股集团股份有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北京荷月科技有限公司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上海蔚洁信息科技服务有限公司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山西银行股份有限公司（原长治银行股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107,633,980.00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108,157,500.00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340,633,980.00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341,157,500.00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北京海淀科技金 融资本控股集团 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以长期持有为投 资目标的权益投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山西银行股份有 限公司（原长治 银行股份有限公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上海蔚洁信息科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北京荷月科技有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241"/>
      <w:bookmarkEnd w:id="1242"/>
      <w:bookmarkEnd w:id="124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45"/>
      <w:bookmarkEnd w:id="1246"/>
      <w:bookmarkEnd w:id="1248"/>
    </w:p>
    <w:p>
      <w:pPr>
        <w:pStyle w:val="Style32"/>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9"/>
      <w:bookmarkEnd w:id="1250"/>
      <w:bookmarkEnd w:id="125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53"/>
      <w:bookmarkEnd w:id="1254"/>
      <w:bookmarkEnd w:id="125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7"/>
      <w:bookmarkEnd w:id="1258"/>
      <w:bookmarkEnd w:id="126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61"/>
      <w:bookmarkEnd w:id="1262"/>
      <w:bookmarkEnd w:id="126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245,925,037.45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147,338,618.92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245,925,037.45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147,338,618.92</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5"/>
      <w:bookmarkEnd w:id="1266"/>
      <w:bookmarkEnd w:id="12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5,298,225.91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175,530,082.19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180,832,210.74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194,003,811.55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194,003,811.55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194,003,811.55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194,003,811.55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13,499,094.15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13,499,094.15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13,499,094.15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13,499,094.15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5,298,225.91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356,034,799.59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361,336,928.14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3,620,682.84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29,872,229.29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33,493,591.82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88,533,461.01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89,347,548.72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88,533,461.01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89,347,548.72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7,429,249.85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7,429,249.85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4,434,029.07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110,976,440.45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115,411,890.69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245,058,359.14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245,925,037.45</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1,677,543.07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145,657,852.90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147,338,618.92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69"/>
      <w:bookmarkEnd w:id="1270"/>
      <w:bookmarkEnd w:id="127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73"/>
      <w:bookmarkEnd w:id="1274"/>
      <w:bookmarkEnd w:id="127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77"/>
      <w:bookmarkEnd w:id="1278"/>
      <w:bookmarkEnd w:id="128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81"/>
      <w:bookmarkEnd w:id="1282"/>
      <w:bookmarkEnd w:id="128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85"/>
      <w:bookmarkEnd w:id="1286"/>
      <w:bookmarkEnd w:id="128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9"/>
      <w:bookmarkEnd w:id="1290"/>
      <w:bookmarkEnd w:id="1292"/>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3"/>
      <w:bookmarkEnd w:id="1294"/>
      <w:bookmarkEnd w:id="129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97"/>
      <w:bookmarkEnd w:id="1298"/>
      <w:bookmarkEnd w:id="13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01"/>
      <w:bookmarkEnd w:id="1302"/>
      <w:bookmarkEnd w:id="130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w:t>
        <w:tab/>
        <w:t>生产性生物资产</w:t>
      </w:r>
      <w:bookmarkEnd w:id="1305"/>
      <w:bookmarkEnd w:id="1306"/>
      <w:bookmarkEnd w:id="1308"/>
    </w:p>
    <w:p>
      <w:pPr>
        <w:pStyle w:val="Style32"/>
        <w:keepNext/>
        <w:keepLines/>
        <w:widowControl w:val="0"/>
        <w:shd w:val="clear" w:color="auto" w:fill="auto"/>
        <w:tabs>
          <w:tab w:pos="493"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09"/>
      <w:bookmarkEnd w:id="1310"/>
      <w:bookmarkEnd w:id="131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13"/>
      <w:bookmarkEnd w:id="1314"/>
      <w:bookmarkEnd w:id="131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317"/>
      <w:bookmarkEnd w:id="1318"/>
      <w:bookmarkEnd w:id="132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1321"/>
      <w:bookmarkEnd w:id="1322"/>
      <w:bookmarkEnd w:id="1324"/>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85,024,587.16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85,024,587.16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85,024,587.16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85,024,587.16</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8,688,936.79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8,688,936.79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15,714,087.29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15,714,087.29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15,714,087.29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15,714,087.29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24,403,024.08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24,403,024.08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60,621,563.08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60,621,563.08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76,335,650.37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76,335,650.37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325"/>
      <w:bookmarkEnd w:id="1326"/>
      <w:bookmarkEnd w:id="1328"/>
    </w:p>
    <w:p>
      <w:pPr>
        <w:pStyle w:val="Style32"/>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9"/>
      <w:bookmarkEnd w:id="1330"/>
      <w:bookmarkEnd w:id="13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商标使用权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140,920.97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59,147,555.18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59,316,876.15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57,449,441.97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57,618,762.94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32,344,865.33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32,436,636.05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8,150,638.05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8,178,822.21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8,150,638.05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8,178,822.21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39,504,937.30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39,624,892.18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16,796,365.47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16,845,731.56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25,654,550.65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25,732,100.90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32"/>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3"/>
      <w:bookmarkEnd w:id="1334"/>
      <w:bookmarkEnd w:id="13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337"/>
      <w:bookmarkEnd w:id="1338"/>
      <w:bookmarkEnd w:id="134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29</w:t>
      </w:r>
      <w:r>
        <w:rPr>
          <w:color w:val="000000"/>
          <w:spacing w:val="0"/>
          <w:w w:val="100"/>
          <w:position w:val="0"/>
        </w:rPr>
        <w:t>、商誉</w:t>
      </w:r>
      <w:bookmarkEnd w:id="1341"/>
      <w:bookmarkEnd w:id="1342"/>
      <w:bookmarkEnd w:id="1343"/>
    </w:p>
    <w:p>
      <w:pPr>
        <w:pStyle w:val="Style32"/>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4"/>
      <w:bookmarkEnd w:id="1345"/>
      <w:bookmarkEnd w:id="1347"/>
    </w:p>
    <w:p>
      <w:pPr>
        <w:pStyle w:val="Style19"/>
        <w:keepNext w:val="0"/>
        <w:keepLines w:val="0"/>
        <w:widowControl w:val="0"/>
        <w:shd w:val="clear" w:color="auto" w:fill="auto"/>
        <w:bidi w:val="0"/>
        <w:spacing w:before="0" w:after="80" w:line="240" w:lineRule="auto"/>
        <w:ind w:left="8940" w:right="0" w:firstLine="0"/>
        <w:jc w:val="left"/>
      </w:pPr>
      <w:bookmarkStart w:id="1348" w:name="bookmark1348"/>
      <w:r>
        <w:rPr>
          <w:color w:val="000000"/>
          <w:spacing w:val="0"/>
          <w:w w:val="100"/>
          <w:position w:val="0"/>
        </w:rPr>
        <w:t>单</w:t>
      </w:r>
      <w:bookmarkEnd w:id="1348"/>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广东合利金融科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民盛友联金融有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602,997.90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602,997.90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1,194,495,398.41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1,194,495,398.41</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9"/>
      <w:bookmarkEnd w:id="1350"/>
      <w:bookmarkEnd w:id="135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广东合利金融科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299,535,591.96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299,535,591.96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民盛友联金融有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602,997.90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602,997.90</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300,138,589.86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300,138,589.86</w:t>
            </w:r>
          </w:p>
        </w:tc>
      </w:tr>
    </w:tbl>
    <w:p>
      <w:pPr>
        <w:pStyle w:val="Style19"/>
        <w:keepNext w:val="0"/>
        <w:keepLines w:val="0"/>
        <w:widowControl w:val="0"/>
        <w:shd w:val="clear" w:color="auto" w:fill="auto"/>
        <w:bidi w:val="0"/>
        <w:spacing w:before="0" w:after="60" w:line="319" w:lineRule="exact"/>
        <w:ind w:left="0" w:right="0" w:firstLine="0"/>
        <w:jc w:val="left"/>
      </w:pPr>
      <w:r>
        <w:rPr>
          <w:color w:val="000000"/>
          <w:spacing w:val="0"/>
          <w:w w:val="100"/>
          <w:position w:val="0"/>
        </w:rPr>
        <w:t>商誉所在资产组或资产组组合的相关信息</w:t>
      </w:r>
    </w:p>
    <w:p>
      <w:pPr>
        <w:pStyle w:val="Style39"/>
        <w:keepNext w:val="0"/>
        <w:keepLines w:val="0"/>
        <w:widowControl w:val="0"/>
        <w:shd w:val="clear" w:color="auto" w:fill="auto"/>
        <w:bidi w:val="0"/>
        <w:spacing w:before="0" w:after="0"/>
        <w:ind w:left="0" w:right="0"/>
        <w:jc w:val="both"/>
        <w:rPr>
          <w:sz w:val="20"/>
          <w:szCs w:val="20"/>
        </w:rPr>
      </w:pPr>
      <w:r>
        <w:rPr>
          <w:color w:val="000000"/>
          <w:spacing w:val="0"/>
          <w:w w:val="100"/>
          <w:position w:val="0"/>
          <w:sz w:val="20"/>
          <w:szCs w:val="20"/>
        </w:rPr>
        <w:t>与商誉减值测试相关的资产组或资产组组合，是能够从企业合并的协同效应中受益的资产组或者资产 组组合。资产负债表日的测试范围为与商誉相关的最小资产组所涉及的资产及负债，具体包括营运资金和 长期资产。</w:t>
      </w:r>
    </w:p>
    <w:p>
      <w:pPr>
        <w:pStyle w:val="Style39"/>
        <w:keepNext w:val="0"/>
        <w:keepLines w:val="0"/>
        <w:widowControl w:val="0"/>
        <w:shd w:val="clear" w:color="auto" w:fill="auto"/>
        <w:bidi w:val="0"/>
        <w:spacing w:before="0" w:after="360"/>
        <w:ind w:left="0" w:right="0"/>
        <w:jc w:val="both"/>
        <w:rPr>
          <w:sz w:val="20"/>
          <w:szCs w:val="20"/>
        </w:rPr>
      </w:pPr>
      <w:r>
        <w:rPr>
          <w:color w:val="000000"/>
          <w:spacing w:val="0"/>
          <w:w w:val="100"/>
          <w:position w:val="0"/>
          <w:sz w:val="20"/>
          <w:szCs w:val="20"/>
        </w:rPr>
        <w:t>本期资产组本期没有变动。</w:t>
      </w:r>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9"/>
        <w:keepNext w:val="0"/>
        <w:keepLines w:val="0"/>
        <w:widowControl w:val="0"/>
        <w:shd w:val="clear" w:color="auto" w:fill="auto"/>
        <w:bidi w:val="0"/>
        <w:spacing w:before="0" w:after="360" w:line="317" w:lineRule="exact"/>
        <w:ind w:left="0" w:right="0"/>
        <w:jc w:val="both"/>
        <w:rPr>
          <w:sz w:val="20"/>
          <w:szCs w:val="20"/>
        </w:rPr>
      </w:pPr>
      <w:r>
        <w:rPr>
          <w:color w:val="000000"/>
          <w:spacing w:val="0"/>
          <w:w w:val="100"/>
          <w:position w:val="0"/>
          <w:sz w:val="20"/>
          <w:szCs w:val="20"/>
        </w:rPr>
        <w:t>资产组和资产组组合的可收回金额是基于管理层批准的三年至五年期预算，之后进入稳定期为基础进 行估计，采用现金流量预测方法计算。</w:t>
      </w:r>
    </w:p>
    <w:p>
      <w:pPr>
        <w:pStyle w:val="Style19"/>
        <w:keepNext w:val="0"/>
        <w:keepLines w:val="0"/>
        <w:widowControl w:val="0"/>
        <w:shd w:val="clear" w:color="auto" w:fill="auto"/>
        <w:bidi w:val="0"/>
        <w:spacing w:before="0" w:after="60" w:line="319" w:lineRule="exact"/>
        <w:ind w:left="0" w:right="0" w:firstLine="0"/>
        <w:jc w:val="both"/>
      </w:pPr>
      <w:r>
        <w:rPr>
          <w:color w:val="000000"/>
          <w:spacing w:val="0"/>
          <w:w w:val="100"/>
          <w:position w:val="0"/>
        </w:rPr>
        <w:t>商誉减值测试的影响</w:t>
      </w:r>
    </w:p>
    <w:p>
      <w:pPr>
        <w:pStyle w:val="Style39"/>
        <w:keepNext w:val="0"/>
        <w:keepLines w:val="0"/>
        <w:widowControl w:val="0"/>
        <w:shd w:val="clear" w:color="auto" w:fill="auto"/>
        <w:bidi w:val="0"/>
        <w:spacing w:before="0" w:after="0" w:line="317" w:lineRule="exact"/>
        <w:ind w:left="0" w:right="0"/>
        <w:jc w:val="both"/>
        <w:rPr>
          <w:sz w:val="20"/>
          <w:szCs w:val="20"/>
        </w:rPr>
      </w:pPr>
      <w:r>
        <w:rPr>
          <w:color w:val="000000"/>
          <w:spacing w:val="0"/>
          <w:w w:val="100"/>
          <w:position w:val="0"/>
          <w:sz w:val="20"/>
          <w:szCs w:val="20"/>
        </w:rPr>
        <w:t>深圳中联资产评估有限公司对资产组在</w:t>
      </w:r>
      <w:r>
        <w:rPr>
          <w:rFonts w:ascii="Tahoma" w:eastAsia="Tahoma" w:hAnsi="Tahoma" w:cs="Tahoma"/>
          <w:color w:val="000000"/>
          <w:spacing w:val="0"/>
          <w:w w:val="100"/>
          <w:position w:val="0"/>
          <w:sz w:val="19"/>
          <w:szCs w:val="19"/>
        </w:rPr>
        <w:t>2021</w:t>
      </w:r>
      <w:r>
        <w:rPr>
          <w:color w:val="000000"/>
          <w:spacing w:val="0"/>
          <w:w w:val="100"/>
          <w:position w:val="0"/>
          <w:sz w:val="20"/>
          <w:szCs w:val="20"/>
        </w:rPr>
        <w:t>年</w:t>
      </w:r>
      <w:r>
        <w:rPr>
          <w:rFonts w:ascii="Tahoma" w:eastAsia="Tahoma" w:hAnsi="Tahoma" w:cs="Tahoma"/>
          <w:color w:val="000000"/>
          <w:spacing w:val="0"/>
          <w:w w:val="100"/>
          <w:position w:val="0"/>
          <w:sz w:val="19"/>
          <w:szCs w:val="19"/>
        </w:rPr>
        <w:t>12</w:t>
      </w:r>
      <w:r>
        <w:rPr>
          <w:color w:val="000000"/>
          <w:spacing w:val="0"/>
          <w:w w:val="100"/>
          <w:position w:val="0"/>
          <w:sz w:val="20"/>
          <w:szCs w:val="20"/>
        </w:rPr>
        <w:t>月</w:t>
      </w:r>
      <w:r>
        <w:rPr>
          <w:rFonts w:ascii="Tahoma" w:eastAsia="Tahoma" w:hAnsi="Tahoma" w:cs="Tahoma"/>
          <w:color w:val="000000"/>
          <w:spacing w:val="0"/>
          <w:w w:val="100"/>
          <w:position w:val="0"/>
          <w:sz w:val="19"/>
          <w:szCs w:val="19"/>
        </w:rPr>
        <w:t>31</w:t>
      </w:r>
      <w:r>
        <w:rPr>
          <w:color w:val="000000"/>
          <w:spacing w:val="0"/>
          <w:w w:val="100"/>
          <w:position w:val="0"/>
          <w:sz w:val="20"/>
          <w:szCs w:val="20"/>
        </w:rPr>
        <w:t>日的未来现金流量的现值进行了评估确认， 并出具了评估报告。</w:t>
      </w:r>
    </w:p>
    <w:p>
      <w:pPr>
        <w:pStyle w:val="Style39"/>
        <w:keepNext w:val="0"/>
        <w:keepLines w:val="0"/>
        <w:widowControl w:val="0"/>
        <w:shd w:val="clear" w:color="auto" w:fill="auto"/>
        <w:bidi w:val="0"/>
        <w:spacing w:before="0" w:after="0" w:line="326" w:lineRule="exact"/>
        <w:ind w:left="0" w:right="0"/>
        <w:jc w:val="both"/>
        <w:rPr>
          <w:sz w:val="20"/>
          <w:szCs w:val="20"/>
        </w:rPr>
      </w:pPr>
      <w:r>
        <w:rPr>
          <w:color w:val="000000"/>
          <w:spacing w:val="0"/>
          <w:w w:val="100"/>
          <w:position w:val="0"/>
          <w:sz w:val="20"/>
          <w:szCs w:val="20"/>
        </w:rPr>
        <w:t>合利金融资产组，经中联报字</w:t>
      </w:r>
      <w:r>
        <w:rPr>
          <w:rFonts w:ascii="Tahoma" w:eastAsia="Tahoma" w:hAnsi="Tahoma" w:cs="Tahoma"/>
          <w:color w:val="000000"/>
          <w:spacing w:val="0"/>
          <w:w w:val="100"/>
          <w:position w:val="0"/>
          <w:sz w:val="19"/>
          <w:szCs w:val="19"/>
        </w:rPr>
        <w:t>［2021］</w:t>
      </w:r>
      <w:r>
        <w:rPr>
          <w:color w:val="000000"/>
          <w:spacing w:val="0"/>
          <w:w w:val="100"/>
          <w:position w:val="0"/>
          <w:sz w:val="20"/>
          <w:szCs w:val="20"/>
        </w:rPr>
        <w:t>第</w:t>
      </w:r>
      <w:r>
        <w:rPr>
          <w:rFonts w:ascii="Tahoma" w:eastAsia="Tahoma" w:hAnsi="Tahoma" w:cs="Tahoma"/>
          <w:color w:val="000000"/>
          <w:spacing w:val="0"/>
          <w:w w:val="100"/>
          <w:position w:val="0"/>
          <w:sz w:val="19"/>
          <w:szCs w:val="19"/>
        </w:rPr>
        <w:t>59</w:t>
      </w:r>
      <w:r>
        <w:rPr>
          <w:color w:val="000000"/>
          <w:spacing w:val="0"/>
          <w:w w:val="100"/>
          <w:position w:val="0"/>
          <w:sz w:val="20"/>
          <w:szCs w:val="20"/>
        </w:rPr>
        <w:t>号评估报告确认，期末商誉不存在减值，本报告期无需计 提商誉减值准备。</w:t>
      </w:r>
    </w:p>
    <w:p>
      <w:pPr>
        <w:pStyle w:val="Style19"/>
        <w:keepNext w:val="0"/>
        <w:keepLines w:val="0"/>
        <w:widowControl w:val="0"/>
        <w:shd w:val="clear" w:color="auto" w:fill="auto"/>
        <w:bidi w:val="0"/>
        <w:spacing w:before="0" w:after="60" w:line="326" w:lineRule="exact"/>
        <w:ind w:left="0" w:right="0"/>
        <w:jc w:val="both"/>
      </w:pPr>
      <w:r>
        <w:rPr>
          <w:color w:val="000000"/>
          <w:spacing w:val="0"/>
          <w:w w:val="100"/>
          <w:position w:val="0"/>
        </w:rPr>
        <w:t>其他说明</w:t>
      </w:r>
    </w:p>
    <w:p>
      <w:pPr>
        <w:pStyle w:val="Style39"/>
        <w:keepNext w:val="0"/>
        <w:keepLines w:val="0"/>
        <w:widowControl w:val="0"/>
        <w:shd w:val="clear" w:color="auto" w:fill="auto"/>
        <w:bidi w:val="0"/>
        <w:spacing w:before="0" w:after="360" w:line="302" w:lineRule="exact"/>
        <w:ind w:left="0" w:right="0"/>
        <w:jc w:val="both"/>
        <w:rPr>
          <w:sz w:val="20"/>
          <w:szCs w:val="20"/>
        </w:rPr>
      </w:pPr>
      <w:r>
        <w:rPr>
          <w:color w:val="000000"/>
          <w:spacing w:val="0"/>
          <w:w w:val="100"/>
          <w:position w:val="0"/>
          <w:sz w:val="20"/>
          <w:szCs w:val="20"/>
        </w:rPr>
        <w:t>因民盛友联金融有限公司本期经营情况不佳，未来盈利能力不确定性，公司基于财务报表谨慎性考虑， 对收购民盛友联金融有限公司形成的商誉</w:t>
      </w:r>
      <w:r>
        <w:rPr>
          <w:rFonts w:ascii="Times New Roman" w:eastAsia="Times New Roman" w:hAnsi="Times New Roman" w:cs="Times New Roman"/>
          <w:color w:val="000000"/>
          <w:spacing w:val="0"/>
          <w:w w:val="100"/>
          <w:position w:val="0"/>
          <w:sz w:val="20"/>
          <w:szCs w:val="20"/>
        </w:rPr>
        <w:t>602,997.9</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年度全额计提商誉减值准备。</w:t>
      </w:r>
    </w:p>
    <w:p>
      <w:pPr>
        <w:pStyle w:val="Style28"/>
        <w:keepNext/>
        <w:keepLines/>
        <w:widowControl w:val="0"/>
        <w:shd w:val="clear" w:color="auto" w:fill="auto"/>
        <w:bidi w:val="0"/>
        <w:spacing w:before="0" w:after="360" w:line="329"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353"/>
      <w:bookmarkEnd w:id="1354"/>
      <w:bookmarkEnd w:id="135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7,423,307.01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946,630.29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2,532,460.68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5,837,476.62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7,423,307.01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946,630.29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2,532,460.68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5,837,476.62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7"/>
      <w:bookmarkEnd w:id="1358"/>
      <w:bookmarkEnd w:id="1360"/>
    </w:p>
    <w:p>
      <w:pPr>
        <w:pStyle w:val="Style32"/>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1"/>
      <w:bookmarkEnd w:id="1362"/>
      <w:bookmarkEnd w:id="1364"/>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1,938,297.99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462,750.35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131,451,020.00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130,927,500.00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32,731,875.00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134,392,477.51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33,578,514.99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132,865,797.99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33,194,625.35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65"/>
      <w:bookmarkEnd w:id="1366"/>
      <w:bookmarkEnd w:id="13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14,653,333.54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20,933,333.50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3,140,000.04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14,653,333.54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20,933,333.50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3,140,000.04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69"/>
      <w:bookmarkEnd w:id="1370"/>
      <w:bookmarkEnd w:id="13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33,578,514.99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33,194,625.35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3,140,000.04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73"/>
      <w:bookmarkEnd w:id="1374"/>
      <w:bookmarkEnd w:id="137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306,014,694.37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288,650,727.16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605,386,099.89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484,147,410.37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911,400,794.26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772,798,137.53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77"/>
      <w:bookmarkEnd w:id="1378"/>
      <w:bookmarkEnd w:id="138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3,778,285.59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106,641,802.61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106,641,802.61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89,653,315.03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94,987,658.43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102,411,825.84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122,201,391.97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125,320,015.03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156,538,271.77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181,359,141.38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605,386,099.89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484,147,410.37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381"/>
      <w:bookmarkEnd w:id="1382"/>
      <w:bookmarkEnd w:id="138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905,332.08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385"/>
      <w:bookmarkEnd w:id="1386"/>
      <w:bookmarkEnd w:id="1388"/>
    </w:p>
    <w:p>
      <w:pPr>
        <w:pStyle w:val="Style3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89"/>
      <w:bookmarkEnd w:id="1390"/>
      <w:bookmarkEnd w:id="139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124,183,268.15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279,974,541.63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61,753,278.32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98,999,778.32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25,361.15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185,936,546.47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378,999,681.10</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短期借款分类的说明：</w:t>
      </w:r>
    </w:p>
    <w:p>
      <w:pPr>
        <w:pStyle w:val="Style56"/>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期末借款</w:t>
      </w:r>
      <w:r>
        <w:rPr>
          <w:color w:val="000000"/>
          <w:spacing w:val="0"/>
          <w:w w:val="100"/>
          <w:position w:val="0"/>
        </w:rPr>
        <w:t>185,936,546.47</w:t>
      </w:r>
      <w:r>
        <w:rPr>
          <w:rFonts w:ascii="SimSun" w:eastAsia="SimSun" w:hAnsi="SimSun" w:cs="SimSun"/>
          <w:color w:val="000000"/>
          <w:spacing w:val="0"/>
          <w:w w:val="100"/>
          <w:position w:val="0"/>
        </w:rPr>
        <w:t>元，其中保证借款：</w:t>
      </w:r>
    </w:p>
    <w:p>
      <w:pPr>
        <w:pStyle w:val="Style39"/>
        <w:keepNext w:val="0"/>
        <w:keepLines w:val="0"/>
        <w:widowControl w:val="0"/>
        <w:shd w:val="clear" w:color="auto" w:fill="auto"/>
        <w:bidi w:val="0"/>
        <w:spacing w:before="0" w:after="0" w:line="322" w:lineRule="exact"/>
        <w:ind w:left="0" w:right="0"/>
        <w:jc w:val="left"/>
        <w:rPr>
          <w:sz w:val="20"/>
          <w:szCs w:val="20"/>
        </w:rPr>
      </w:pPr>
      <w:bookmarkStart w:id="1393" w:name="bookmark1393"/>
      <w:r>
        <w:rPr>
          <w:color w:val="000000"/>
          <w:spacing w:val="0"/>
          <w:w w:val="100"/>
          <w:position w:val="0"/>
          <w:sz w:val="20"/>
          <w:szCs w:val="20"/>
        </w:rPr>
        <w:t>（</w:t>
      </w:r>
      <w:bookmarkEnd w:id="13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）公司保证借款</w:t>
      </w:r>
      <w:r>
        <w:rPr>
          <w:rFonts w:ascii="Times New Roman" w:eastAsia="Times New Roman" w:hAnsi="Times New Roman" w:cs="Times New Roman"/>
          <w:color w:val="000000"/>
          <w:spacing w:val="0"/>
          <w:w w:val="100"/>
          <w:position w:val="0"/>
          <w:sz w:val="20"/>
          <w:szCs w:val="20"/>
        </w:rPr>
        <w:t>61,753,278.32</w:t>
      </w:r>
      <w:r>
        <w:rPr>
          <w:color w:val="000000"/>
          <w:spacing w:val="0"/>
          <w:w w:val="100"/>
          <w:position w:val="0"/>
          <w:sz w:val="20"/>
          <w:szCs w:val="20"/>
        </w:rPr>
        <w:t>元，由北京仁东信息技术有限公司提供担保。</w:t>
      </w:r>
    </w:p>
    <w:p>
      <w:pPr>
        <w:pStyle w:val="Style39"/>
        <w:keepNext w:val="0"/>
        <w:keepLines w:val="0"/>
        <w:widowControl w:val="0"/>
        <w:shd w:val="clear" w:color="auto" w:fill="auto"/>
        <w:bidi w:val="0"/>
        <w:spacing w:before="0" w:after="0" w:line="322" w:lineRule="exact"/>
        <w:ind w:left="0" w:right="0"/>
        <w:jc w:val="both"/>
        <w:rPr>
          <w:sz w:val="20"/>
          <w:szCs w:val="20"/>
        </w:rPr>
      </w:pPr>
      <w:r>
        <w:rPr>
          <w:color w:val="000000"/>
          <w:spacing w:val="0"/>
          <w:w w:val="100"/>
          <w:position w:val="0"/>
          <w:sz w:val="20"/>
          <w:szCs w:val="20"/>
        </w:rPr>
        <w:t>质押借款：</w:t>
      </w:r>
    </w:p>
    <w:p>
      <w:pPr>
        <w:pStyle w:val="Style39"/>
        <w:keepNext w:val="0"/>
        <w:keepLines w:val="0"/>
        <w:widowControl w:val="0"/>
        <w:shd w:val="clear" w:color="auto" w:fill="auto"/>
        <w:bidi w:val="0"/>
        <w:spacing w:before="0" w:after="660" w:line="322" w:lineRule="exact"/>
        <w:ind w:left="0" w:right="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）公司质押借款</w:t>
      </w:r>
      <w:r>
        <w:rPr>
          <w:rFonts w:ascii="Times New Roman" w:eastAsia="Times New Roman" w:hAnsi="Times New Roman" w:cs="Times New Roman"/>
          <w:color w:val="000000"/>
          <w:spacing w:val="0"/>
          <w:w w:val="100"/>
          <w:position w:val="0"/>
          <w:sz w:val="20"/>
          <w:szCs w:val="20"/>
        </w:rPr>
        <w:t>124,183,268.15</w:t>
      </w:r>
      <w:r>
        <w:rPr>
          <w:color w:val="000000"/>
          <w:spacing w:val="0"/>
          <w:w w:val="100"/>
          <w:position w:val="0"/>
          <w:sz w:val="20"/>
          <w:szCs w:val="20"/>
        </w:rPr>
        <w:t>元，由广东合利金融科技服务有限公司、霍东提供担保，由北京仁 东信息技术有限公司提供质押担保</w:t>
      </w:r>
      <w:r>
        <w:rPr>
          <w:color w:val="000000"/>
          <w:spacing w:val="0"/>
          <w:w w:val="100"/>
          <w:position w:val="0"/>
          <w:sz w:val="20"/>
          <w:szCs w:val="20"/>
        </w:rPr>
        <w:t>，</w:t>
      </w:r>
      <w:r>
        <w:rPr>
          <w:color w:val="000000"/>
          <w:spacing w:val="0"/>
          <w:w w:val="100"/>
          <w:position w:val="0"/>
          <w:sz w:val="20"/>
          <w:szCs w:val="20"/>
        </w:rPr>
        <w:t>质押物为北京仁东信息技术有限公司持有的本公司</w:t>
      </w:r>
      <w:r>
        <w:rPr>
          <w:rFonts w:ascii="Times New Roman" w:eastAsia="Times New Roman" w:hAnsi="Times New Roman" w:cs="Times New Roman"/>
          <w:color w:val="000000"/>
          <w:spacing w:val="0"/>
          <w:w w:val="100"/>
          <w:position w:val="0"/>
          <w:sz w:val="20"/>
          <w:szCs w:val="20"/>
        </w:rPr>
        <w:t>916.833</w:t>
      </w:r>
      <w:r>
        <w:rPr>
          <w:color w:val="000000"/>
          <w:spacing w:val="0"/>
          <w:w w:val="100"/>
          <w:position w:val="0"/>
          <w:sz w:val="20"/>
          <w:szCs w:val="20"/>
        </w:rPr>
        <w:t>万股股票。</w:t>
      </w:r>
    </w:p>
    <w:p>
      <w:pPr>
        <w:pStyle w:val="Style3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4"/>
      <w:bookmarkEnd w:id="1395"/>
      <w:bookmarkEnd w:id="1397"/>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185,936,546.47</w:t>
      </w:r>
      <w:r>
        <w:rPr>
          <w:color w:val="000000"/>
          <w:spacing w:val="0"/>
          <w:w w:val="100"/>
          <w:position w:val="0"/>
        </w:rPr>
        <w:t>元，其中重要的已逾期未偿还的短期借款情况如下:</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兴业银行股份有限公司 北京月坛支行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27,233,268.15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兴业银行股份有限公司 北京月坛支行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山西融金振兴私募投资 基金合伙企业（有限合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61,753,278.32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185,936,546.47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、交易性金融负债</w:t>
      </w:r>
      <w:bookmarkEnd w:id="1398"/>
      <w:bookmarkEnd w:id="1399"/>
      <w:bookmarkEnd w:id="140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、衍生金融负债</w:t>
      </w:r>
      <w:bookmarkEnd w:id="1402"/>
      <w:bookmarkEnd w:id="1403"/>
      <w:bookmarkEnd w:id="140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406"/>
      <w:bookmarkEnd w:id="1407"/>
      <w:bookmarkEnd w:id="140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410"/>
      <w:bookmarkEnd w:id="1411"/>
      <w:bookmarkEnd w:id="1413"/>
    </w:p>
    <w:p>
      <w:pPr>
        <w:pStyle w:val="Style32"/>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4"/>
      <w:bookmarkEnd w:id="1415"/>
      <w:bookmarkEnd w:id="141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应付库存商品款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5,251,292.46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68,951,707.60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78,290,315.70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应付中介服务机构款项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83,854,900.32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56,086,355.50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8,078,544.32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36,641,204.97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908,670.72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168,046,254.46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178,360,094.52</w:t>
            </w:r>
          </w:p>
        </w:tc>
      </w:tr>
    </w:tbl>
    <w:p>
      <w:pPr>
        <w:sectPr>
          <w:footnotePr>
            <w:pos w:val="pageBottom"/>
            <w:numFmt w:val="decimal"/>
            <w:numRestart w:val="continuous"/>
          </w:footnotePr>
          <w:pgSz w:w="11900" w:h="16840"/>
          <w:pgMar w:top="1383" w:right="1056" w:bottom="1421" w:left="1052" w:header="0" w:footer="3" w:gutter="0"/>
          <w:cols w:space="720"/>
          <w:noEndnote/>
          <w:rtlGutter w:val="0"/>
          <w:docGrid w:linePitch="360"/>
        </w:sectPr>
      </w:pPr>
    </w:p>
    <w:p>
      <w:pPr>
        <w:pStyle w:val="Style32"/>
        <w:keepNext/>
        <w:keepLines/>
        <w:widowControl w:val="0"/>
        <w:shd w:val="clear" w:color="auto" w:fill="auto"/>
        <w:bidi w:val="0"/>
        <w:spacing w:before="6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7"/>
      <w:bookmarkEnd w:id="1418"/>
      <w:bookmarkEnd w:id="142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松子家（北京）科技有限公司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浙江贝客支付科技有限公司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2,869,207.55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421"/>
      <w:bookmarkEnd w:id="1422"/>
      <w:bookmarkEnd w:id="1424"/>
    </w:p>
    <w:p>
      <w:pPr>
        <w:pStyle w:val="Style3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5"/>
      <w:bookmarkEnd w:id="1426"/>
      <w:bookmarkEnd w:id="142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8"/>
      <w:bookmarkEnd w:id="1429"/>
      <w:bookmarkEnd w:id="143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432"/>
      <w:bookmarkEnd w:id="1433"/>
      <w:bookmarkEnd w:id="143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62,312.26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161,503.30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436"/>
      <w:bookmarkEnd w:id="1437"/>
      <w:bookmarkEnd w:id="1439"/>
    </w:p>
    <w:p>
      <w:pPr>
        <w:pStyle w:val="Style32"/>
        <w:keepNext/>
        <w:keepLines/>
        <w:widowControl w:val="0"/>
        <w:shd w:val="clear" w:color="auto" w:fill="auto"/>
        <w:bidi w:val="0"/>
        <w:spacing w:before="0" w:after="32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0"/>
      <w:bookmarkEnd w:id="1441"/>
      <w:bookmarkEnd w:id="1442"/>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33,089,964.45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125,040,071.91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114,623,505.86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43,506,530.50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4,853,868.32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4,706,618.96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350,397.36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675,104.44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33,293,112.45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130,569,044.67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120,005,229.26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43,856,927.86</w:t>
            </w:r>
          </w:p>
        </w:tc>
      </w:tr>
    </w:tbl>
    <w:p>
      <w:pPr>
        <w:widowControl w:val="0"/>
        <w:spacing w:after="319" w:line="1" w:lineRule="exact"/>
      </w:pPr>
    </w:p>
    <w:p>
      <w:pPr>
        <w:pStyle w:val="Style32"/>
        <w:keepNext/>
        <w:keepLines/>
        <w:widowControl w:val="0"/>
        <w:numPr>
          <w:ilvl w:val="0"/>
          <w:numId w:val="31"/>
        </w:numPr>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短期薪酬列示</w:t>
      </w:r>
      <w:bookmarkEnd w:id="1443"/>
      <w:bookmarkEnd w:id="1444"/>
      <w:bookmarkEnd w:id="14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32,786,946.41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116,235,176.02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105,759,394.35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43,262,728.08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1,215,398.81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1,215,398.81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2,998,907.10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3,058,122.72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204,432.42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2,804,849.94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2,864,490.01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4,577,506.60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4,577,506.60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33,089,964.45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125,040,071.91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114,623,505.86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43,506,530.50</w:t>
            </w:r>
          </w:p>
        </w:tc>
      </w:tr>
    </w:tbl>
    <w:p>
      <w:pPr>
        <w:widowControl w:val="0"/>
        <w:spacing w:after="319" w:line="1" w:lineRule="exact"/>
      </w:pPr>
    </w:p>
    <w:p>
      <w:pPr>
        <w:pStyle w:val="Style32"/>
        <w:keepNext/>
        <w:keepLines/>
        <w:widowControl w:val="0"/>
        <w:numPr>
          <w:ilvl w:val="0"/>
          <w:numId w:val="31"/>
        </w:numPr>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设定提存计划列示</w:t>
      </w:r>
      <w:bookmarkEnd w:id="1447"/>
      <w:bookmarkEnd w:id="1448"/>
      <w:bookmarkEnd w:id="14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4,720,732.24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4,577,947.48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337,724.76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4,853,868.32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4,706,618.96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350,397.36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451"/>
      <w:bookmarkEnd w:id="1452"/>
      <w:bookmarkEnd w:id="145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5,363,337.86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9,964,937.71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3,881,957.04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971,484.33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4,227,849.75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13,000,855.63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18,248,063.64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55"/>
      <w:bookmarkEnd w:id="1456"/>
      <w:bookmarkEnd w:id="145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63,385,274.46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481,355,359.77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263,687,529.84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544,740,634.23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264,738,890.62</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59"/>
      <w:bookmarkEnd w:id="1460"/>
      <w:bookmarkEnd w:id="146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63,361,107.79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1,027,194.11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应付股东利息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63,385,274.46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1,051,360.78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62"/>
      <w:bookmarkEnd w:id="1463"/>
      <w:bookmarkEnd w:id="146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66"/>
      <w:bookmarkEnd w:id="1467"/>
      <w:bookmarkEnd w:id="1469"/>
    </w:p>
    <w:p>
      <w:pPr>
        <w:pStyle w:val="Style75"/>
        <w:keepNext/>
        <w:keepLines/>
        <w:widowControl w:val="0"/>
        <w:shd w:val="clear" w:color="auto" w:fill="auto"/>
        <w:bidi w:val="0"/>
        <w:spacing w:before="0" w:after="2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color w:val="000000"/>
          <w:spacing w:val="0"/>
          <w:w w:val="100"/>
          <w:position w:val="0"/>
        </w:rPr>
        <w:t>）按款项性质列示其他应付款</w:t>
      </w:r>
      <w:bookmarkEnd w:id="1470"/>
      <w:bookmarkEnd w:id="1471"/>
      <w:bookmarkEnd w:id="147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股权对价款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149,899,166.66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121,413,266.24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84,974,233.20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59,017,604.58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2,055,418.30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2,019,871.45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240,939,332.96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80,544,958.34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3,487,208.65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691,829.23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481,355,359.77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263,687,529.84</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74"/>
      <w:bookmarkEnd w:id="1475"/>
      <w:bookmarkEnd w:id="147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121,413,266.24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未付股权对价款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121,413,266.24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、持有待售负债</w:t>
      </w:r>
      <w:bookmarkEnd w:id="1478"/>
      <w:bookmarkEnd w:id="1479"/>
      <w:bookmarkEnd w:id="148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482"/>
      <w:bookmarkEnd w:id="1483"/>
      <w:bookmarkEnd w:id="148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684,602,288.21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17,252,892.67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13,706,280.06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2,524,172.26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1,541,700.88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704,379,353.14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520,247,980.94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486"/>
      <w:bookmarkEnd w:id="1487"/>
      <w:bookmarkEnd w:id="14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3,802,066,110.34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3,525,307,781.34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第三方支付业务结存客户备付金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-2,154,513,465.15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-1,930,271,370.85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1,647,564,535.90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1,595,047,400.31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490"/>
      <w:bookmarkEnd w:id="1491"/>
      <w:bookmarkEnd w:id="1493"/>
    </w:p>
    <w:p>
      <w:pPr>
        <w:pStyle w:val="Style32"/>
        <w:keepNext/>
        <w:keepLines/>
        <w:widowControl w:val="0"/>
        <w:shd w:val="clear" w:color="auto" w:fill="auto"/>
        <w:bidi w:val="0"/>
        <w:spacing w:before="0" w:after="360" w:line="240" w:lineRule="auto"/>
        <w:ind w:left="0" w:right="0" w:firstLine="0"/>
        <w:jc w:val="both"/>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94"/>
      <w:bookmarkEnd w:id="1495"/>
      <w:bookmarkEnd w:id="14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539,602,288.21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2,524,172.26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1,541,700.88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-684,602,288.21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-2,524,172.26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-1,541,700.88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9" w:line="1" w:lineRule="exact"/>
      </w:pPr>
    </w:p>
    <w:p>
      <w:pPr>
        <w:pStyle w:val="Style39"/>
        <w:keepNext w:val="0"/>
        <w:keepLines w:val="0"/>
        <w:widowControl w:val="0"/>
        <w:shd w:val="clear" w:color="auto" w:fill="auto"/>
        <w:bidi w:val="0"/>
        <w:spacing w:before="0" w:line="314" w:lineRule="exact"/>
        <w:ind w:left="0" w:right="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：保证借款</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亿借款由北京仁东信息技术有限公司、仁东（天津）科技有限公司、广东合利金融 科技服务有限公司、广州合利宝支付科技有限公司为公司提供担保。为保证海科金集团债权的实现，</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月份，公司增加了海科金集团子公司北京海淀科技企业融资担保有限公司作为担保人，为公司本笔借 款提供担保，公司以自身持有的海科金集团</w:t>
      </w: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的股权向其提供质押反担保。</w:t>
      </w:r>
    </w:p>
    <w:p>
      <w:pPr>
        <w:pStyle w:val="Style39"/>
        <w:keepNext w:val="0"/>
        <w:keepLines w:val="0"/>
        <w:widowControl w:val="0"/>
        <w:shd w:val="clear" w:color="auto" w:fill="auto"/>
        <w:bidi w:val="0"/>
        <w:spacing w:before="0" w:after="440" w:line="314" w:lineRule="exact"/>
        <w:ind w:left="0" w:right="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：①质押借款中</w:t>
      </w:r>
      <w:r>
        <w:rPr>
          <w:rFonts w:ascii="Times New Roman" w:eastAsia="Times New Roman" w:hAnsi="Times New Roman" w:cs="Times New Roman"/>
          <w:color w:val="000000"/>
          <w:spacing w:val="0"/>
          <w:w w:val="100"/>
          <w:position w:val="0"/>
          <w:sz w:val="20"/>
          <w:szCs w:val="20"/>
        </w:rPr>
        <w:t>164,602,288.21</w:t>
      </w:r>
      <w:r>
        <w:rPr>
          <w:color w:val="000000"/>
          <w:spacing w:val="0"/>
          <w:w w:val="100"/>
          <w:position w:val="0"/>
          <w:sz w:val="20"/>
          <w:szCs w:val="20"/>
        </w:rPr>
        <w:t>借款既为质押借款也为保证借款，质押物为广东合利金融科技服务 有限公司持有的</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深圳前海合利商业保理有限公司股权以及天津民盛金科信息技术有限公司持有的长 治银行股份有限公司</w:t>
      </w:r>
      <w:r>
        <w:rPr>
          <w:rFonts w:ascii="Times New Roman" w:eastAsia="Times New Roman" w:hAnsi="Times New Roman" w:cs="Times New Roman"/>
          <w:color w:val="000000"/>
          <w:spacing w:val="0"/>
          <w:w w:val="100"/>
          <w:position w:val="0"/>
          <w:sz w:val="20"/>
          <w:szCs w:val="20"/>
        </w:rPr>
        <w:t>11,385</w:t>
      </w:r>
      <w:r>
        <w:rPr>
          <w:color w:val="000000"/>
          <w:spacing w:val="0"/>
          <w:w w:val="100"/>
          <w:position w:val="0"/>
          <w:sz w:val="20"/>
          <w:szCs w:val="20"/>
        </w:rPr>
        <w:t>万股股份。北京仁东信息技术有限公司、仁东控股股份有限公司、霍东提供连 带责任保证。②</w:t>
      </w:r>
      <w:r>
        <w:rPr>
          <w:rFonts w:ascii="Times New Roman" w:eastAsia="Times New Roman" w:hAnsi="Times New Roman" w:cs="Times New Roman"/>
          <w:color w:val="000000"/>
          <w:spacing w:val="0"/>
          <w:w w:val="100"/>
          <w:position w:val="0"/>
          <w:sz w:val="20"/>
          <w:szCs w:val="20"/>
        </w:rPr>
        <w:t>3.75</w:t>
      </w:r>
      <w:r>
        <w:rPr>
          <w:color w:val="000000"/>
          <w:spacing w:val="0"/>
          <w:w w:val="100"/>
          <w:position w:val="0"/>
          <w:sz w:val="20"/>
          <w:szCs w:val="20"/>
        </w:rPr>
        <w:t>亿元借款，由天津和柚技术有限公司、郝江波及配偶田文军、张永东及其配偶黎碧、 霍东、北京仁东信息技术有限公司提供担保，广东合利金融科技服务有限公司（质押其拥有的广州合利宝 支付科技有限公司</w:t>
      </w: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股权）、仁东控股股份有限公司（质押广东合利金融科技服务有限公司</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股权）、 郝江波提供（拥有的天津和柚技术有限公司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股权）质押担保。</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其他说明，包括利率区间：</w:t>
      </w:r>
    </w:p>
    <w:p>
      <w:pPr>
        <w:pStyle w:val="Style39"/>
        <w:keepNext w:val="0"/>
        <w:keepLines w:val="0"/>
        <w:widowControl w:val="0"/>
        <w:shd w:val="clear" w:color="auto" w:fill="auto"/>
        <w:bidi w:val="0"/>
        <w:spacing w:before="0" w:after="100" w:line="314" w:lineRule="exact"/>
        <w:ind w:left="0" w:right="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：已逾期未偿还的长期借款情况</w:t>
      </w:r>
    </w:p>
    <w:p>
      <w:pPr>
        <w:pStyle w:val="Style39"/>
        <w:keepNext w:val="0"/>
        <w:keepLines w:val="0"/>
        <w:widowControl w:val="0"/>
        <w:shd w:val="clear" w:color="auto" w:fill="auto"/>
        <w:bidi w:val="0"/>
        <w:spacing w:before="0" w:line="314" w:lineRule="exact"/>
        <w:ind w:left="0" w:right="0" w:firstLine="0"/>
        <w:jc w:val="left"/>
        <w:rPr>
          <w:sz w:val="20"/>
          <w:szCs w:val="20"/>
        </w:rPr>
      </w:pPr>
      <w:r>
        <w:rPr>
          <w:color w:val="000000"/>
          <w:spacing w:val="0"/>
          <w:w w:val="100"/>
          <w:position w:val="0"/>
          <w:sz w:val="20"/>
          <w:szCs w:val="20"/>
          <w:u w:val="single"/>
        </w:rPr>
        <w:t>本年末已逾期未偿还的长期借款总额</w:t>
      </w:r>
      <w:r>
        <w:rPr>
          <w:rFonts w:ascii="Times New Roman" w:eastAsia="Times New Roman" w:hAnsi="Times New Roman" w:cs="Times New Roman"/>
          <w:color w:val="000000"/>
          <w:spacing w:val="0"/>
          <w:w w:val="100"/>
          <w:position w:val="0"/>
          <w:sz w:val="20"/>
          <w:szCs w:val="20"/>
          <w:u w:val="single"/>
        </w:rPr>
        <w:t>634,602,288.21</w:t>
      </w:r>
      <w:r>
        <w:rPr>
          <w:color w:val="000000"/>
          <w:spacing w:val="0"/>
          <w:w w:val="100"/>
          <w:position w:val="0"/>
          <w:sz w:val="20"/>
          <w:szCs w:val="20"/>
          <w:u w:val="single"/>
        </w:rPr>
        <w:t>元，已逾期未偿还的长期借款情况如下：</w:t>
      </w:r>
    </w:p>
    <w:p>
      <w:pPr>
        <w:pStyle w:val="Style39"/>
        <w:keepNext w:val="0"/>
        <w:keepLines w:val="0"/>
        <w:widowControl w:val="0"/>
        <w:shd w:val="clear" w:color="auto" w:fill="auto"/>
        <w:tabs>
          <w:tab w:pos="1886" w:val="left"/>
          <w:tab w:pos="4810" w:val="left"/>
          <w:tab w:pos="6269" w:val="left"/>
        </w:tabs>
        <w:bidi w:val="0"/>
        <w:spacing w:before="0" w:after="100" w:line="314" w:lineRule="exact"/>
        <w:ind w:left="0" w:right="0" w:firstLine="0"/>
        <w:jc w:val="center"/>
        <w:rPr>
          <w:sz w:val="20"/>
          <w:szCs w:val="20"/>
        </w:rPr>
      </w:pPr>
      <w:r>
        <w:rPr>
          <w:b/>
          <w:bCs/>
          <w:color w:val="000000"/>
          <w:spacing w:val="0"/>
          <w:w w:val="100"/>
          <w:position w:val="0"/>
          <w:sz w:val="20"/>
          <w:szCs w:val="20"/>
        </w:rPr>
        <w:t>借款单位</w:t>
        <w:tab/>
        <w:t>借款期末金额借款利率</w:t>
        <w:tab/>
        <w:t>逾期时间</w:t>
        <w:tab/>
        <w:t>逾期利率</w:t>
      </w:r>
      <w:r>
        <w:br w:type="page"/>
      </w:r>
    </w:p>
    <w:tbl>
      <w:tblPr>
        <w:tblOverlap w:val="never"/>
        <w:jc w:val="left"/>
        <w:tblLayout w:type="fixed"/>
      </w:tblPr>
      <w:tblGrid>
        <w:gridCol w:w="3125"/>
        <w:gridCol w:w="1584"/>
        <w:gridCol w:w="1186"/>
        <w:gridCol w:w="1450"/>
        <w:gridCol w:w="148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华融前海财务管理股份有限公司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164,602,288.21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10.95%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北京海淀科技金融资本控股集团 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10.74%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中信银行深圳西乡支行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中信银行深圳西乡支行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中信银行深圳西乡支行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10.95%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634,602,288.21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8"/>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497"/>
      <w:bookmarkEnd w:id="1498"/>
      <w:bookmarkEnd w:id="1500"/>
    </w:p>
    <w:p>
      <w:pPr>
        <w:pStyle w:val="Style32"/>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1"/>
      <w:bookmarkEnd w:id="1502"/>
      <w:bookmarkEnd w:id="15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1504" w:name="bookmark150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bookmarkEnd w:id="1504"/>
    </w:p>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1505" w:name="bookmark150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）可转换公司债券的转股条件、转股时间说明</w:t>
      </w:r>
      <w:bookmarkEnd w:id="1505"/>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506"/>
      <w:bookmarkEnd w:id="1507"/>
      <w:bookmarkEnd w:id="150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510"/>
      <w:bookmarkEnd w:id="1511"/>
      <w:bookmarkEnd w:id="15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67,863,572.22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87,885,963.22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-6,127,325.30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-9,994,203.82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-17,252,892.67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-13,706,280.06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44,483,354.25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64,185,479.34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514"/>
      <w:bookmarkEnd w:id="1515"/>
      <w:bookmarkEnd w:id="151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18"/>
      <w:bookmarkEnd w:id="1519"/>
      <w:bookmarkEnd w:id="152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21"/>
      <w:bookmarkEnd w:id="1522"/>
      <w:bookmarkEnd w:id="152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524"/>
      <w:bookmarkEnd w:id="1525"/>
      <w:bookmarkEnd w:id="1527"/>
    </w:p>
    <w:p>
      <w:pPr>
        <w:pStyle w:val="Style32"/>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28"/>
      <w:bookmarkEnd w:id="1529"/>
      <w:bookmarkEnd w:id="153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31"/>
      <w:bookmarkEnd w:id="1532"/>
      <w:bookmarkEnd w:id="1533"/>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pStyle w:val="Style19"/>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534"/>
      <w:bookmarkEnd w:id="1535"/>
      <w:bookmarkEnd w:id="153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538"/>
      <w:bookmarkEnd w:id="1539"/>
      <w:bookmarkEnd w:id="15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594"/>
        <w:gridCol w:w="1598"/>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542"/>
      <w:bookmarkEnd w:id="1543"/>
      <w:bookmarkEnd w:id="154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54</w:t>
      </w:r>
      <w:r>
        <w:rPr>
          <w:color w:val="000000"/>
          <w:spacing w:val="0"/>
          <w:w w:val="100"/>
          <w:position w:val="0"/>
        </w:rPr>
        <w:t>、股本</w:t>
      </w:r>
      <w:bookmarkEnd w:id="1546"/>
      <w:bookmarkEnd w:id="1547"/>
      <w:bookmarkEnd w:id="15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559,936,650.00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559,936,650.00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49"/>
      <w:bookmarkEnd w:id="1550"/>
      <w:bookmarkEnd w:id="1552"/>
    </w:p>
    <w:p>
      <w:pPr>
        <w:pStyle w:val="Style32"/>
        <w:keepNext/>
        <w:keepLines/>
        <w:widowControl w:val="0"/>
        <w:shd w:val="clear" w:color="auto" w:fill="auto"/>
        <w:tabs>
          <w:tab w:pos="493"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53"/>
      <w:bookmarkEnd w:id="1554"/>
      <w:bookmarkEnd w:id="1556"/>
    </w:p>
    <w:p>
      <w:pPr>
        <w:pStyle w:val="Style32"/>
        <w:keepNext/>
        <w:keepLines/>
        <w:widowControl w:val="0"/>
        <w:shd w:val="clear" w:color="auto" w:fill="auto"/>
        <w:tabs>
          <w:tab w:pos="493"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57"/>
      <w:bookmarkEnd w:id="1558"/>
      <w:bookmarkEnd w:id="15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61"/>
      <w:bookmarkEnd w:id="1562"/>
      <w:bookmarkEnd w:id="15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40,760,485.01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40,760,485.01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150,381,533.57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150,381,533.57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191,142,018.58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191,142,018.58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565"/>
      <w:bookmarkEnd w:id="1566"/>
      <w:bookmarkEnd w:id="1568"/>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569"/>
      <w:bookmarkEnd w:id="1570"/>
      <w:bookmarkEnd w:id="157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-98,195,625.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-392,640.0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其中：重新计量设定受益计划变 动额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-98,195,625.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-392,640.0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-98,226,299.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573"/>
      <w:bookmarkEnd w:id="1574"/>
      <w:bookmarkEnd w:id="15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577"/>
      <w:bookmarkEnd w:id="1578"/>
      <w:bookmarkEnd w:id="15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、一般风险准备</w:t>
      </w:r>
      <w:bookmarkEnd w:id="1581"/>
      <w:bookmarkEnd w:id="1582"/>
      <w:bookmarkEnd w:id="1584"/>
    </w:p>
    <w:tbl>
      <w:tblPr>
        <w:tblOverlap w:val="never"/>
        <w:jc w:val="center"/>
        <w:tblLayout w:type="fixed"/>
      </w:tblPr>
      <w:tblGrid>
        <w:gridCol w:w="1838"/>
        <w:gridCol w:w="1829"/>
        <w:gridCol w:w="1824"/>
        <w:gridCol w:w="1829"/>
        <w:gridCol w:w="18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3,773.16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3,773.16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3,773.16</w:t>
            </w:r>
          </w:p>
        </w:tc>
      </w:tr>
    </w:tbl>
    <w:p>
      <w:pPr>
        <w:pStyle w:val="Style39"/>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注：公司按保理业务年末余额</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计提保理业务风险准备。</w:t>
      </w:r>
    </w:p>
    <w:p>
      <w:pPr>
        <w:pStyle w:val="Style28"/>
        <w:keepNext/>
        <w:keepLines/>
        <w:widowControl w:val="0"/>
        <w:shd w:val="clear" w:color="auto" w:fill="auto"/>
        <w:bidi w:val="0"/>
        <w:spacing w:before="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585"/>
      <w:bookmarkEnd w:id="1586"/>
      <w:bookmarkEnd w:id="158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-292,870,244.36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137,792,366.38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-1,557,175.26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-294,427,419.62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137,792,366.38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-52,383,346.23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-430,662,610.74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-346,810,765.85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-292,870,244.36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19"/>
        <w:keepNext w:val="0"/>
        <w:keepLines w:val="0"/>
        <w:widowControl w:val="0"/>
        <w:shd w:val="clear" w:color="auto" w:fill="auto"/>
        <w:tabs>
          <w:tab w:pos="330" w:val="left"/>
        </w:tabs>
        <w:bidi w:val="0"/>
        <w:spacing w:before="0" w:after="140" w:line="240" w:lineRule="auto"/>
        <w:ind w:left="0" w:right="0" w:firstLine="0"/>
        <w:jc w:val="left"/>
      </w:pPr>
      <w:bookmarkStart w:id="1589" w:name="bookmark1589"/>
      <w:r>
        <w:rPr>
          <w:rFonts w:ascii="Times New Roman" w:eastAsia="Times New Roman" w:hAnsi="Times New Roman" w:cs="Times New Roman"/>
          <w:color w:val="000000"/>
          <w:spacing w:val="0"/>
          <w:w w:val="100"/>
          <w:position w:val="0"/>
          <w:sz w:val="18"/>
          <w:szCs w:val="18"/>
        </w:rPr>
        <w:t>1</w:t>
      </w:r>
      <w:bookmarkEnd w:id="15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sz w:val="18"/>
          <w:szCs w:val="18"/>
        </w:rPr>
        <w:t>2</w:t>
      </w:r>
      <w:bookmarkEnd w:id="15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-1,557,175.26</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sz w:val="18"/>
          <w:szCs w:val="18"/>
        </w:rPr>
        <w:t>3</w:t>
      </w:r>
      <w:bookmarkEnd w:id="15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sz w:val="18"/>
          <w:szCs w:val="18"/>
        </w:rPr>
        <w:t>4</w:t>
      </w:r>
      <w:bookmarkEnd w:id="15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80" w:line="240" w:lineRule="auto"/>
        <w:ind w:left="0" w:right="0" w:firstLine="0"/>
        <w:jc w:val="left"/>
      </w:pPr>
      <w:bookmarkStart w:id="1593" w:name="bookmark1593"/>
      <w:r>
        <w:rPr>
          <w:rFonts w:ascii="Times New Roman" w:eastAsia="Times New Roman" w:hAnsi="Times New Roman" w:cs="Times New Roman"/>
          <w:color w:val="000000"/>
          <w:spacing w:val="0"/>
          <w:w w:val="100"/>
          <w:position w:val="0"/>
          <w:sz w:val="18"/>
          <w:szCs w:val="18"/>
        </w:rPr>
        <w:t>5</w:t>
      </w:r>
      <w:bookmarkEnd w:id="15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594"/>
      <w:bookmarkEnd w:id="1595"/>
      <w:bookmarkEnd w:id="15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1,701,934,665.86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1,379,114,081.46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2,092,294,665.35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1,884,317,529.57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1,854,439.79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1,379,212,168.12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1,886,171,969.36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1,728,120,815.54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支付、融资租赁等业务收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2,110,399,581.50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支付、融资租赁等业 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二、不具备商业实质 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28"/>
        <w:gridCol w:w="2078"/>
        <w:gridCol w:w="2030"/>
        <w:gridCol w:w="2030"/>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1,701,934,665.86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2,092,294,665.35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本公司根据合同的约定，作为主要责任人按照客户需求的品类、标准及时履行供货义务</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598"/>
      <w:bookmarkEnd w:id="1599"/>
      <w:bookmarkEnd w:id="160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607,957.18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855,371.25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434,255.11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610,933.22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174,756.56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307,863.88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1,223,938.85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1,780,388.35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602"/>
      <w:bookmarkEnd w:id="1603"/>
      <w:bookmarkEnd w:id="160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27,608,952.52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25,747,472.99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1,658,249.09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1,213,919.05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2,160,065.13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1,792,166.19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46,869.57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91,475.73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1,611,760.28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1,527,002.33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6,531,407.71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2,419,755.67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16,949,472.72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14,256,741.35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90,341.12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56,754,196.54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47,073,296.88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606"/>
      <w:bookmarkEnd w:id="1607"/>
      <w:bookmarkEnd w:id="160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47,595,717.22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76,457,823.03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1,467,154.29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1,092,900.56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2,101,164.93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3,656,374.17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676,002.22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406,682.80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5,923,688.35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5,671,893.41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263,138.59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13,859,362.19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25,790,679.40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8,716,385.69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821,363.89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107,726.67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4,103,698.01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20,181,630.97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586,103.70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263,348.35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装修与维修费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2,688,835.47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2,998,304.33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444,652.36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271,049.18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291,618.47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网络和专业服务费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11,512,192.12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560,596.83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3,882,413.18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976,422.17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9,894,703.61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118,043,125.81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135,297,283.06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610"/>
      <w:bookmarkEnd w:id="1611"/>
      <w:bookmarkEnd w:id="161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53,720,731.41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30,336,417.28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996,484.44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1,780,367.92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3,179,339.21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2,519,977.32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15,293,000.74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8,057,115.77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289,570.75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712,326.53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73,479,126.55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43,411,988.99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614"/>
      <w:bookmarkEnd w:id="1615"/>
      <w:bookmarkEnd w:id="161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147,849,225.04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91,563,039.19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4,632,604.50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6,147,574.34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143,339,500.24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85,562,033.53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618"/>
      <w:bookmarkEnd w:id="1619"/>
      <w:bookmarkEnd w:id="162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3,195,733.01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5,959,318.92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225,971.62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8,668,006.93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5,410,907.27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12,050,586.70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11,596,197.81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7</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22"/>
      <w:bookmarkEnd w:id="1623"/>
      <w:bookmarkEnd w:id="162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10,272,954.79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7</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、净敞口套期收益</w:t>
      </w:r>
      <w:bookmarkEnd w:id="1626"/>
      <w:bookmarkEnd w:id="1627"/>
      <w:bookmarkEnd w:id="162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630"/>
      <w:bookmarkEnd w:id="1631"/>
      <w:bookmarkEnd w:id="163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634"/>
      <w:bookmarkEnd w:id="1635"/>
      <w:bookmarkEnd w:id="1637"/>
    </w:p>
    <w:p>
      <w:pPr>
        <w:pStyle w:val="Style1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8,051,568.87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-269,458,570.93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-3,276,644.58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-1,062,983.65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-5,959,983.33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-1,469,469.64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-448,923.51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-1,033,337.86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-2,165,068.70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-272,777,841.49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638"/>
      <w:bookmarkEnd w:id="1639"/>
      <w:bookmarkEnd w:id="164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-104,285,503.00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-104,285,503.00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7</w:t>
      </w:r>
      <w:bookmarkEnd w:id="1644"/>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642"/>
      <w:bookmarkEnd w:id="1643"/>
      <w:bookmarkEnd w:id="164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646"/>
      <w:bookmarkEnd w:id="1647"/>
      <w:bookmarkEnd w:id="164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532,264.00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19,460,900.00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11,342,800.00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994,246.59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994,246.59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1,528,580.68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32,186,657.04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r>
        <w:br w:type="page"/>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广州市南沙 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 融服务业企 业扶持奖励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经营贡献奖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广州南沙经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济技术开发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广州市南沙 区财政局</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年度总 部企业奖励 补贴资金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广州南沙经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济技术开发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650"/>
      <w:bookmarkEnd w:id="1651"/>
      <w:bookmarkEnd w:id="165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112,298.15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319,468.25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1,638,982.13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319,468.25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654"/>
      <w:bookmarkEnd w:id="1655"/>
      <w:bookmarkEnd w:id="1657"/>
    </w:p>
    <w:p>
      <w:pPr>
        <w:pStyle w:val="Style3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8"/>
      <w:bookmarkEnd w:id="1659"/>
      <w:bookmarkEnd w:id="166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20,374,177.96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13,119,717.02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19,179,168.32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13,569,663.47</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1"/>
      <w:bookmarkEnd w:id="1662"/>
      <w:bookmarkEnd w:id="166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-26,718,219.06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-6,679,554.77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-15,536,555.07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1,148,234.81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-3,359,098.93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52,156,881.02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-8,651,221.49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19,179,168.32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664"/>
      <w:bookmarkEnd w:id="1665"/>
      <w:bookmarkEnd w:id="166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83" w:val="left"/>
        </w:tabs>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8</w:t>
      </w:r>
      <w:bookmarkEnd w:id="1670"/>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668"/>
      <w:bookmarkEnd w:id="1669"/>
      <w:bookmarkEnd w:id="1671"/>
    </w:p>
    <w:p>
      <w:pPr>
        <w:pStyle w:val="Style32"/>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72"/>
      <w:bookmarkEnd w:id="1673"/>
      <w:bookmarkEnd w:id="167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收回的保理本金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3,088,120.82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140,762,405.31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4,632,604.50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6,147,574.34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3,453,697.01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25,168,018.92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平台提现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11,602,608.36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209,267,122.49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3,086,283.40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收回的融资租赁本金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196,581,802.69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154,700,878.57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468,351.00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186,846.76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225,971.62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1,710,561.52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156,887.40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5,642.66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合同补偿金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994,246.59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1,143,153.85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99,267,185.72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机具押金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153,022,619.08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375,908,345.73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639,888,473.31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5"/>
      <w:bookmarkEnd w:id="1676"/>
      <w:bookmarkEnd w:id="1677"/>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126,648.66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83,827,769.38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85,399,481.12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支付的保理本金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支付保证金、押金、备用金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4,938,602.51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25,791,926.77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支付的预付</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79,210,150.00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平台充值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11,157,199.81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209,063,954.97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195,819,554.22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171,235,477.54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303,451.00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1,242,709.75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捐赠及罚款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311,298.15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851,556.24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97,796,110.61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付机具款押金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105,434,474.99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401,919,348.17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670,737,935.68</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8"/>
      <w:bookmarkEnd w:id="1679"/>
      <w:bookmarkEnd w:id="168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292,386,006.16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296,728,806.16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82"/>
      <w:bookmarkEnd w:id="1683"/>
      <w:bookmarkEnd w:id="1685"/>
    </w:p>
    <w:p>
      <w:pPr>
        <w:pStyle w:val="Style19"/>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86"/>
      <w:bookmarkEnd w:id="1687"/>
      <w:bookmarkEnd w:id="1689"/>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收到股东借款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144,844,890.86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收到质押存单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501,036.07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155,845,926.93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90"/>
      <w:bookmarkEnd w:id="1691"/>
      <w:bookmarkEnd w:id="1693"/>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归还股东的借款及利息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25,902,013.03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2,104,314.94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32,006,327.97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8</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4"/>
      <w:bookmarkEnd w:id="1695"/>
      <w:bookmarkEnd w:id="1697"/>
    </w:p>
    <w:p>
      <w:pPr>
        <w:pStyle w:val="Style32"/>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8"/>
      <w:bookmarkEnd w:id="1699"/>
      <w:bookmarkEnd w:id="1700"/>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-45,897,387.38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-427,135,127.41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2,872,615.83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377,063,344.49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89,347,548.72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22,702,447.22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15,714,087.29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8,178,822.21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7,804,724.26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2,920,048.12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147,854,143.38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91,563,039.19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-298,201.93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-946,851.62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-23,070,831.95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-36,585,121.22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76,166,218.48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39,458,580.57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265,699,930.58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76,738,004.55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17,925,019.64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52,367,229.83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52,367,229.83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89,106,145.61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-34,442,210.19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-36,738,915.78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01"/>
      <w:bookmarkEnd w:id="1702"/>
      <w:bookmarkEnd w:id="170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04"/>
      <w:bookmarkEnd w:id="1705"/>
      <w:bookmarkEnd w:id="170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08"/>
      <w:bookmarkEnd w:id="1709"/>
      <w:bookmarkEnd w:id="171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17,925,019.64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52,367,229.83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17,925,019.64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52,367,229.83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8</w:t>
      </w:r>
      <w:bookmarkEnd w:id="1714"/>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712"/>
      <w:bookmarkEnd w:id="1713"/>
      <w:bookmarkEnd w:id="171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8</w:t>
      </w:r>
      <w:bookmarkEnd w:id="1718"/>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716"/>
      <w:bookmarkEnd w:id="1717"/>
      <w:bookmarkEnd w:id="171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1,861,531,975.20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客户备付金、保证金及风险准备金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257,633,980.00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作为质押物取得借款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2,119,165,955.20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8</w:t>
      </w:r>
      <w:bookmarkEnd w:id="1722"/>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720"/>
      <w:bookmarkEnd w:id="1721"/>
      <w:bookmarkEnd w:id="1723"/>
    </w:p>
    <w:p>
      <w:pPr>
        <w:pStyle w:val="Style32"/>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4"/>
      <w:bookmarkEnd w:id="1725"/>
      <w:bookmarkEnd w:id="1726"/>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157,040.15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128,396.03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17,006.08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326" w:lineRule="exact"/>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7"/>
      <w:bookmarkEnd w:id="1728"/>
      <w:bookmarkEnd w:id="1729"/>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326"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8</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730"/>
      <w:bookmarkEnd w:id="1731"/>
      <w:bookmarkEnd w:id="1733"/>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26"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734"/>
      <w:bookmarkEnd w:id="1735"/>
      <w:bookmarkEnd w:id="1737"/>
    </w:p>
    <w:p>
      <w:pPr>
        <w:pStyle w:val="Style32"/>
        <w:keepNext/>
        <w:keepLines/>
        <w:widowControl w:val="0"/>
        <w:shd w:val="clear" w:color="auto" w:fill="auto"/>
        <w:bidi w:val="0"/>
        <w:spacing w:before="0" w:line="326" w:lineRule="exact"/>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38"/>
      <w:bookmarkEnd w:id="1739"/>
      <w:bookmarkEnd w:id="174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南沙区财政局高企认定补贴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天津东疆管委会促进产业发 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797,251.36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797,251.36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《广州市科技计划项目管理 办法》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企业所得税先征后返、即征即 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南沙区财政局高企认定补贴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3,727,997.01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3,727,997.01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1"/>
      <w:bookmarkEnd w:id="1742"/>
      <w:bookmarkEnd w:id="174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87</w:t>
      </w:r>
      <w:r>
        <w:rPr>
          <w:color w:val="000000"/>
          <w:spacing w:val="0"/>
          <w:w w:val="100"/>
          <w:position w:val="0"/>
        </w:rPr>
        <w:t>、其他</w:t>
      </w:r>
      <w:bookmarkEnd w:id="1744"/>
      <w:bookmarkEnd w:id="1745"/>
      <w:bookmarkEnd w:id="1746"/>
    </w:p>
    <w:p>
      <w:pPr>
        <w:pStyle w:val="Style22"/>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八</w:t>
      </w:r>
      <w:bookmarkEnd w:id="1749"/>
      <w:r>
        <w:rPr>
          <w:color w:val="000000"/>
          <w:spacing w:val="0"/>
          <w:w w:val="100"/>
          <w:position w:val="0"/>
        </w:rPr>
        <w:t>、合并范围的变更</w:t>
      </w:r>
      <w:bookmarkEnd w:id="1747"/>
      <w:bookmarkEnd w:id="1748"/>
      <w:bookmarkEnd w:id="1750"/>
    </w:p>
    <w:p>
      <w:pPr>
        <w:pStyle w:val="Style28"/>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bookmarkEnd w:id="1753"/>
      <w:r>
        <w:rPr>
          <w:color w:val="000000"/>
          <w:spacing w:val="0"/>
          <w:w w:val="100"/>
          <w:position w:val="0"/>
        </w:rPr>
        <w:t>、非同一控制下企业合并</w:t>
      </w:r>
      <w:bookmarkEnd w:id="1751"/>
      <w:bookmarkEnd w:id="1752"/>
      <w:bookmarkEnd w:id="1754"/>
    </w:p>
    <w:p>
      <w:pPr>
        <w:pStyle w:val="Style32"/>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55"/>
      <w:bookmarkEnd w:id="1756"/>
      <w:bookmarkEnd w:id="175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58"/>
      <w:bookmarkEnd w:id="1759"/>
      <w:bookmarkEnd w:id="17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14"/>
        <w:gridCol w:w="489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61"/>
      <w:bookmarkEnd w:id="1762"/>
      <w:bookmarkEnd w:id="17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65"/>
      <w:bookmarkEnd w:id="1766"/>
      <w:bookmarkEnd w:id="176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80" w:line="326" w:lineRule="exact"/>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69"/>
      <w:bookmarkEnd w:id="1770"/>
      <w:bookmarkEnd w:id="1772"/>
    </w:p>
    <w:p>
      <w:pPr>
        <w:pStyle w:val="Style32"/>
        <w:keepNext/>
        <w:keepLines/>
        <w:widowControl w:val="0"/>
        <w:shd w:val="clear" w:color="auto" w:fill="auto"/>
        <w:tabs>
          <w:tab w:pos="493" w:val="left"/>
        </w:tabs>
        <w:bidi w:val="0"/>
        <w:spacing w:before="0" w:after="280" w:line="326" w:lineRule="exact"/>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73"/>
      <w:bookmarkEnd w:id="1774"/>
      <w:bookmarkEnd w:id="1776"/>
    </w:p>
    <w:p>
      <w:pPr>
        <w:pStyle w:val="Style3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本期注销的子公司</w:t>
      </w:r>
    </w:p>
    <w:p>
      <w:pPr>
        <w:pStyle w:val="Style39"/>
        <w:keepNext w:val="0"/>
        <w:keepLines w:val="0"/>
        <w:widowControl w:val="0"/>
        <w:shd w:val="clear" w:color="auto" w:fill="auto"/>
        <w:bidi w:val="0"/>
        <w:spacing w:before="0" w:after="0" w:line="326" w:lineRule="exact"/>
        <w:ind w:left="0" w:right="0" w:firstLine="0"/>
        <w:jc w:val="left"/>
        <w:rPr>
          <w:sz w:val="20"/>
          <w:szCs w:val="20"/>
        </w:rPr>
      </w:pPr>
      <w:bookmarkStart w:id="1777" w:name="bookmark1777"/>
      <w:r>
        <w:rPr>
          <w:color w:val="000000"/>
          <w:spacing w:val="0"/>
          <w:w w:val="100"/>
          <w:position w:val="0"/>
          <w:sz w:val="20"/>
          <w:szCs w:val="20"/>
        </w:rPr>
        <w:t>（</w:t>
      </w:r>
      <w:bookmarkEnd w:id="177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股份的民盛金科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有限公司，己协议注销 解散。</w:t>
      </w:r>
    </w:p>
    <w:p>
      <w:pPr>
        <w:pStyle w:val="Style39"/>
        <w:keepNext w:val="0"/>
        <w:keepLines w:val="0"/>
        <w:widowControl w:val="0"/>
        <w:shd w:val="clear" w:color="auto" w:fill="auto"/>
        <w:bidi w:val="0"/>
        <w:spacing w:before="0" w:after="0" w:line="326" w:lineRule="exact"/>
        <w:ind w:left="0" w:right="0" w:firstLine="0"/>
        <w:jc w:val="left"/>
        <w:rPr>
          <w:sz w:val="20"/>
          <w:szCs w:val="20"/>
        </w:rPr>
      </w:pPr>
      <w:bookmarkStart w:id="1778" w:name="bookmark1778"/>
      <w:r>
        <w:rPr>
          <w:color w:val="000000"/>
          <w:spacing w:val="0"/>
          <w:w w:val="100"/>
          <w:position w:val="0"/>
          <w:sz w:val="20"/>
          <w:szCs w:val="20"/>
        </w:rPr>
        <w:t>（</w:t>
      </w:r>
      <w:bookmarkEnd w:id="177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股份的民盛支付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有限公司，己协议注销 解散。</w:t>
      </w:r>
    </w:p>
    <w:p>
      <w:pPr>
        <w:pStyle w:val="Style39"/>
        <w:keepNext w:val="0"/>
        <w:keepLines w:val="0"/>
        <w:widowControl w:val="0"/>
        <w:shd w:val="clear" w:color="auto" w:fill="auto"/>
        <w:tabs>
          <w:tab w:pos="598" w:val="left"/>
        </w:tabs>
        <w:bidi w:val="0"/>
        <w:spacing w:before="0" w:after="580" w:line="331" w:lineRule="exact"/>
        <w:ind w:left="0" w:right="0" w:firstLine="0"/>
        <w:jc w:val="left"/>
        <w:rPr>
          <w:sz w:val="20"/>
          <w:szCs w:val="20"/>
        </w:rPr>
      </w:pPr>
      <w:bookmarkStart w:id="1779" w:name="bookmark1779"/>
      <w:r>
        <w:rPr>
          <w:color w:val="000000"/>
          <w:spacing w:val="0"/>
          <w:w w:val="100"/>
          <w:position w:val="0"/>
          <w:sz w:val="20"/>
          <w:szCs w:val="20"/>
        </w:rPr>
        <w:t>（</w:t>
      </w:r>
      <w:bookmarkEnd w:id="177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股份的天津亿东科技有限公司，己协议注销解 散。</w:t>
      </w:r>
    </w:p>
    <w:p>
      <w:pPr>
        <w:pStyle w:val="Style28"/>
        <w:keepNext/>
        <w:keepLines/>
        <w:widowControl w:val="0"/>
        <w:shd w:val="clear" w:color="auto" w:fill="auto"/>
        <w:bidi w:val="0"/>
        <w:spacing w:before="0" w:after="280" w:line="326" w:lineRule="exact"/>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bookmarkEnd w:id="1782"/>
      <w:r>
        <w:rPr>
          <w:color w:val="000000"/>
          <w:spacing w:val="0"/>
          <w:w w:val="100"/>
          <w:position w:val="0"/>
        </w:rPr>
        <w:t>、同一控制下企业合并</w:t>
      </w:r>
      <w:bookmarkEnd w:id="1780"/>
      <w:bookmarkEnd w:id="1781"/>
      <w:bookmarkEnd w:id="1783"/>
    </w:p>
    <w:p>
      <w:pPr>
        <w:pStyle w:val="Style32"/>
        <w:keepNext/>
        <w:keepLines/>
        <w:widowControl w:val="0"/>
        <w:shd w:val="clear" w:color="auto" w:fill="auto"/>
        <w:bidi w:val="0"/>
        <w:spacing w:before="0" w:line="326" w:lineRule="exact"/>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84"/>
      <w:bookmarkEnd w:id="1785"/>
      <w:bookmarkEnd w:id="17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87"/>
      <w:bookmarkEnd w:id="1788"/>
      <w:bookmarkEnd w:id="17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90"/>
      <w:bookmarkEnd w:id="1791"/>
      <w:bookmarkEnd w:id="1793"/>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80" w:line="326" w:lineRule="exact"/>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w:t>
        <w:tab/>
        <w:t>反向购买</w:t>
      </w:r>
      <w:bookmarkEnd w:id="1794"/>
      <w:bookmarkEnd w:id="1795"/>
      <w:bookmarkEnd w:id="1797"/>
    </w:p>
    <w:p>
      <w:pPr>
        <w:pStyle w:val="Style19"/>
        <w:keepNext w:val="0"/>
        <w:keepLines w:val="0"/>
        <w:widowControl w:val="0"/>
        <w:shd w:val="clear" w:color="auto" w:fill="auto"/>
        <w:bidi w:val="0"/>
        <w:spacing w:before="0" w:after="2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80" w:line="326" w:lineRule="exact"/>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w:t>
        <w:tab/>
        <w:t>处置子公司</w:t>
      </w:r>
      <w:bookmarkEnd w:id="1798"/>
      <w:bookmarkEnd w:id="1799"/>
      <w:bookmarkEnd w:id="1801"/>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after="280" w:line="326" w:lineRule="exact"/>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color w:val="000000"/>
          <w:spacing w:val="0"/>
          <w:w w:val="100"/>
          <w:position w:val="0"/>
        </w:rPr>
        <w:t>、</w:t>
        <w:tab/>
        <w:t>其他原因的合并范围变动</w:t>
      </w:r>
      <w:bookmarkEnd w:id="1802"/>
      <w:bookmarkEnd w:id="1803"/>
      <w:bookmarkEnd w:id="1805"/>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9"/>
        <w:keepNext w:val="0"/>
        <w:keepLines w:val="0"/>
        <w:widowControl w:val="0"/>
        <w:shd w:val="clear" w:color="auto" w:fill="auto"/>
        <w:bidi w:val="0"/>
        <w:spacing w:before="0" w:after="0" w:line="326" w:lineRule="exact"/>
        <w:ind w:left="0" w:right="0" w:firstLine="420"/>
        <w:jc w:val="both"/>
        <w:rPr>
          <w:sz w:val="20"/>
          <w:szCs w:val="20"/>
        </w:rPr>
      </w:pPr>
      <w:r>
        <w:rPr>
          <w:color w:val="000000"/>
          <w:spacing w:val="0"/>
          <w:w w:val="100"/>
          <w:position w:val="0"/>
          <w:sz w:val="20"/>
          <w:szCs w:val="20"/>
        </w:rPr>
        <w:t>本期注销的子公司</w:t>
      </w:r>
    </w:p>
    <w:p>
      <w:pPr>
        <w:pStyle w:val="Style39"/>
        <w:keepNext w:val="0"/>
        <w:keepLines w:val="0"/>
        <w:widowControl w:val="0"/>
        <w:shd w:val="clear" w:color="auto" w:fill="auto"/>
        <w:tabs>
          <w:tab w:pos="1018" w:val="left"/>
        </w:tabs>
        <w:bidi w:val="0"/>
        <w:spacing w:before="0" w:after="0" w:line="326" w:lineRule="exact"/>
        <w:ind w:left="420" w:right="0" w:firstLine="0"/>
        <w:jc w:val="both"/>
        <w:rPr>
          <w:sz w:val="20"/>
          <w:szCs w:val="20"/>
        </w:rPr>
      </w:pPr>
      <w:bookmarkStart w:id="1806" w:name="bookmark1806"/>
      <w:r>
        <w:rPr>
          <w:color w:val="000000"/>
          <w:spacing w:val="0"/>
          <w:w w:val="100"/>
          <w:position w:val="0"/>
          <w:sz w:val="20"/>
          <w:szCs w:val="20"/>
        </w:rPr>
        <w:t>（</w:t>
      </w:r>
      <w:bookmarkEnd w:id="180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股份的民盛金科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有限公司，己协议 注销解散。</w:t>
      </w:r>
    </w:p>
    <w:p>
      <w:pPr>
        <w:pStyle w:val="Style39"/>
        <w:keepNext w:val="0"/>
        <w:keepLines w:val="0"/>
        <w:widowControl w:val="0"/>
        <w:shd w:val="clear" w:color="auto" w:fill="auto"/>
        <w:tabs>
          <w:tab w:pos="1018" w:val="left"/>
        </w:tabs>
        <w:bidi w:val="0"/>
        <w:spacing w:before="0" w:after="0" w:line="326" w:lineRule="exact"/>
        <w:ind w:left="420" w:right="0" w:firstLine="0"/>
        <w:jc w:val="both"/>
        <w:rPr>
          <w:sz w:val="20"/>
          <w:szCs w:val="20"/>
        </w:rPr>
      </w:pPr>
      <w:bookmarkStart w:id="1807" w:name="bookmark1807"/>
      <w:r>
        <w:rPr>
          <w:color w:val="000000"/>
          <w:spacing w:val="0"/>
          <w:w w:val="100"/>
          <w:position w:val="0"/>
          <w:sz w:val="20"/>
          <w:szCs w:val="20"/>
        </w:rPr>
        <w:t>（</w:t>
      </w:r>
      <w:bookmarkEnd w:id="180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股份的民盛支付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有限公司，己协议 注销解散。</w:t>
      </w:r>
    </w:p>
    <w:p>
      <w:pPr>
        <w:pStyle w:val="Style39"/>
        <w:keepNext w:val="0"/>
        <w:keepLines w:val="0"/>
        <w:widowControl w:val="0"/>
        <w:shd w:val="clear" w:color="auto" w:fill="auto"/>
        <w:tabs>
          <w:tab w:pos="1021" w:val="left"/>
        </w:tabs>
        <w:bidi w:val="0"/>
        <w:spacing w:before="0" w:after="220"/>
        <w:ind w:left="0" w:right="0" w:firstLine="420"/>
        <w:jc w:val="both"/>
        <w:rPr>
          <w:sz w:val="20"/>
          <w:szCs w:val="20"/>
        </w:rPr>
      </w:pPr>
      <w:bookmarkStart w:id="1808" w:name="bookmark1808"/>
      <w:r>
        <w:rPr>
          <w:color w:val="000000"/>
          <w:spacing w:val="0"/>
          <w:w w:val="100"/>
          <w:position w:val="0"/>
          <w:sz w:val="20"/>
          <w:szCs w:val="20"/>
        </w:rPr>
        <w:t>（</w:t>
      </w:r>
      <w:bookmarkEnd w:id="180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日，仁东控股股份有限公司间接持有</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股份的天津亿东科技有限公司，己协议注 销解散</w:t>
      </w:r>
      <w:r>
        <w:br w:type="page"/>
      </w:r>
    </w:p>
    <w:p>
      <w:pPr>
        <w:pStyle w:val="Style28"/>
        <w:keepNext/>
        <w:keepLines/>
        <w:widowControl w:val="0"/>
        <w:shd w:val="clear" w:color="auto" w:fill="auto"/>
        <w:bidi w:val="0"/>
        <w:spacing w:before="0" w:after="34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color w:val="000000"/>
          <w:spacing w:val="0"/>
          <w:w w:val="100"/>
          <w:position w:val="0"/>
        </w:rPr>
        <w:t>、其他</w:t>
      </w:r>
      <w:bookmarkEnd w:id="1809"/>
      <w:bookmarkEnd w:id="1810"/>
      <w:bookmarkEnd w:id="1812"/>
    </w:p>
    <w:p>
      <w:pPr>
        <w:pStyle w:val="Style22"/>
        <w:keepNext/>
        <w:keepLines/>
        <w:widowControl w:val="0"/>
        <w:shd w:val="clear" w:color="auto" w:fill="auto"/>
        <w:bidi w:val="0"/>
        <w:spacing w:before="0" w:after="34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九</w:t>
      </w:r>
      <w:bookmarkEnd w:id="1815"/>
      <w:r>
        <w:rPr>
          <w:color w:val="000000"/>
          <w:spacing w:val="0"/>
          <w:w w:val="100"/>
          <w:position w:val="0"/>
        </w:rPr>
        <w:t>、在其他主体中的权益</w:t>
      </w:r>
      <w:bookmarkEnd w:id="1813"/>
      <w:bookmarkEnd w:id="1814"/>
      <w:bookmarkEnd w:id="1816"/>
    </w:p>
    <w:p>
      <w:pPr>
        <w:pStyle w:val="Style28"/>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7"/>
      <w:bookmarkEnd w:id="1818"/>
      <w:bookmarkEnd w:id="1819"/>
    </w:p>
    <w:p>
      <w:pPr>
        <w:pStyle w:val="Style32"/>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0"/>
      <w:bookmarkEnd w:id="1821"/>
      <w:bookmarkEnd w:id="182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浙江仁东新材料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民盛租赁有限公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仁东（深圳）大 数据技术有限公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共青城仁东投资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广东合利金融科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天津仁东信息技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天津民盛国际融 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北京仁东无双信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广州合利征信服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广州合利宝支付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深圳前海合利商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深圳前海民盛天 宫供应链管理有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广州仁东互联网 小额贷款有限公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民盛友联金融有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仁东资产管理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民盛友租（北京）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科技推广和应用 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3"/>
      <w:bookmarkEnd w:id="1824"/>
      <w:bookmarkEnd w:id="18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广州合利宝支付科技有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6,971,472.74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32,313,392.20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6"/>
      <w:bookmarkEnd w:id="1827"/>
      <w:bookmarkEnd w:id="182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负债合</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利宝支 付科技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231,298.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259,337.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广州合利宝 支付科技有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168,147.17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13,942.95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13,942.95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17,797.96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12,790.85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0"/>
      <w:bookmarkEnd w:id="1831"/>
      <w:bookmarkEnd w:id="1833"/>
    </w:p>
    <w:p>
      <w:pPr>
        <w:pStyle w:val="Style32"/>
        <w:keepNext/>
        <w:keepLines/>
        <w:widowControl w:val="0"/>
        <w:shd w:val="clear" w:color="auto" w:fill="auto"/>
        <w:tabs>
          <w:tab w:pos="493"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4"/>
      <w:bookmarkEnd w:id="1835"/>
      <w:bookmarkEnd w:id="183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38"/>
      <w:bookmarkEnd w:id="1839"/>
      <w:bookmarkEnd w:id="1840"/>
    </w:p>
    <w:p>
      <w:pPr>
        <w:pStyle w:val="Style32"/>
        <w:keepNext/>
        <w:keepLines/>
        <w:widowControl w:val="0"/>
        <w:shd w:val="clear" w:color="auto" w:fill="auto"/>
        <w:tabs>
          <w:tab w:pos="493"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41"/>
      <w:bookmarkEnd w:id="1842"/>
      <w:bookmarkEnd w:id="1844"/>
    </w:p>
    <w:p>
      <w:pPr>
        <w:pStyle w:val="Style32"/>
        <w:keepNext/>
        <w:keepLines/>
        <w:widowControl w:val="0"/>
        <w:shd w:val="clear" w:color="auto" w:fill="auto"/>
        <w:tabs>
          <w:tab w:pos="49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5"/>
      <w:bookmarkEnd w:id="1846"/>
      <w:bookmarkEnd w:id="18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、在合营安排或联营企业中的权益</w:t>
      </w:r>
      <w:bookmarkEnd w:id="1849"/>
      <w:bookmarkEnd w:id="1850"/>
      <w:bookmarkEnd w:id="1852"/>
    </w:p>
    <w:p>
      <w:pPr>
        <w:pStyle w:val="Style32"/>
        <w:keepNext/>
        <w:keepLines/>
        <w:widowControl w:val="0"/>
        <w:shd w:val="clear" w:color="auto" w:fill="auto"/>
        <w:bidi w:val="0"/>
        <w:spacing w:before="0" w:after="32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3"/>
      <w:bookmarkEnd w:id="1854"/>
      <w:bookmarkEnd w:id="185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6"/>
      <w:bookmarkEnd w:id="1857"/>
      <w:bookmarkEnd w:id="18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numPr>
          <w:ilvl w:val="0"/>
          <w:numId w:val="33"/>
        </w:numPr>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重要联营企业的主要财务信息</w:t>
      </w:r>
      <w:bookmarkEnd w:id="1859"/>
      <w:bookmarkEnd w:id="1860"/>
      <w:bookmarkEnd w:id="18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33"/>
        </w:numPr>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不重要的合营企业和联营企业的汇总财务信息</w:t>
      </w:r>
      <w:bookmarkEnd w:id="1863"/>
      <w:bookmarkEnd w:id="1864"/>
      <w:bookmarkEnd w:id="186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67"/>
      <w:bookmarkEnd w:id="1868"/>
      <w:bookmarkEnd w:id="1870"/>
    </w:p>
    <w:p>
      <w:pPr>
        <w:pStyle w:val="Style32"/>
        <w:keepNext/>
        <w:keepLines/>
        <w:widowControl w:val="0"/>
        <w:shd w:val="clear" w:color="auto" w:fill="auto"/>
        <w:tabs>
          <w:tab w:pos="493"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71"/>
      <w:bookmarkEnd w:id="1872"/>
      <w:bookmarkEnd w:id="18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5"/>
      <w:bookmarkEnd w:id="1876"/>
      <w:bookmarkEnd w:id="1878"/>
    </w:p>
    <w:p>
      <w:pPr>
        <w:pStyle w:val="Style32"/>
        <w:keepNext/>
        <w:keepLines/>
        <w:widowControl w:val="0"/>
        <w:shd w:val="clear" w:color="auto" w:fill="auto"/>
        <w:tabs>
          <w:tab w:pos="493" w:val="left"/>
        </w:tabs>
        <w:bidi w:val="0"/>
        <w:spacing w:before="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79"/>
      <w:bookmarkEnd w:id="1880"/>
      <w:bookmarkEnd w:id="1882"/>
    </w:p>
    <w:p>
      <w:pPr>
        <w:pStyle w:val="Style28"/>
        <w:keepNext/>
        <w:keepLines/>
        <w:widowControl w:val="0"/>
        <w:shd w:val="clear" w:color="auto" w:fill="auto"/>
        <w:bidi w:val="0"/>
        <w:spacing w:before="0" w:after="30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、重要的共同经营</w:t>
      </w:r>
      <w:bookmarkEnd w:id="1883"/>
      <w:bookmarkEnd w:id="1884"/>
      <w:bookmarkEnd w:id="188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378" w:val="left"/>
        </w:tabs>
        <w:bidi w:val="0"/>
        <w:spacing w:before="0" w:after="300" w:line="324"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color w:val="000000"/>
          <w:spacing w:val="0"/>
          <w:w w:val="100"/>
          <w:position w:val="0"/>
        </w:rPr>
        <w:t>、</w:t>
        <w:tab/>
        <w:t>在未纳入合并财务报表范围的结构化主体中的权益</w:t>
      </w:r>
      <w:bookmarkEnd w:id="1887"/>
      <w:bookmarkEnd w:id="1888"/>
      <w:bookmarkEnd w:id="189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78" w:val="left"/>
        </w:tabs>
        <w:bidi w:val="0"/>
        <w:spacing w:before="0" w:after="300" w:line="324"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6</w:t>
      </w:r>
      <w:bookmarkEnd w:id="1893"/>
      <w:r>
        <w:rPr>
          <w:color w:val="000000"/>
          <w:spacing w:val="0"/>
          <w:w w:val="100"/>
          <w:position w:val="0"/>
        </w:rPr>
        <w:t>、</w:t>
        <w:tab/>
        <w:t>其他</w:t>
      </w:r>
      <w:bookmarkEnd w:id="1891"/>
      <w:bookmarkEnd w:id="1892"/>
      <w:bookmarkEnd w:id="1894"/>
    </w:p>
    <w:p>
      <w:pPr>
        <w:pStyle w:val="Style22"/>
        <w:keepNext/>
        <w:keepLines/>
        <w:widowControl w:val="0"/>
        <w:shd w:val="clear" w:color="auto" w:fill="auto"/>
        <w:bidi w:val="0"/>
        <w:spacing w:before="0" w:after="300" w:line="240" w:lineRule="auto"/>
        <w:ind w:left="0" w:right="0" w:firstLine="0"/>
        <w:jc w:val="left"/>
      </w:pPr>
      <w:bookmarkStart w:id="1895" w:name="bookmark1895"/>
      <w:bookmarkStart w:id="1896" w:name="bookmark1896"/>
      <w:bookmarkStart w:id="1897" w:name="bookmark1897"/>
      <w:r>
        <w:rPr>
          <w:color w:val="000000"/>
          <w:spacing w:val="0"/>
          <w:w w:val="100"/>
          <w:position w:val="0"/>
        </w:rPr>
        <w:t>十、与金融工具相关的风险</w:t>
      </w:r>
      <w:bookmarkEnd w:id="1895"/>
      <w:bookmarkEnd w:id="1896"/>
      <w:bookmarkEnd w:id="1897"/>
    </w:p>
    <w:p>
      <w:pPr>
        <w:pStyle w:val="Style39"/>
        <w:keepNext w:val="0"/>
        <w:keepLines w:val="0"/>
        <w:widowControl w:val="0"/>
        <w:numPr>
          <w:ilvl w:val="0"/>
          <w:numId w:val="35"/>
        </w:numPr>
        <w:shd w:val="clear" w:color="auto" w:fill="auto"/>
        <w:tabs>
          <w:tab w:pos="376" w:val="left"/>
        </w:tabs>
        <w:bidi w:val="0"/>
        <w:spacing w:before="0" w:after="80" w:line="310" w:lineRule="exact"/>
        <w:ind w:left="380" w:right="0" w:hanging="380"/>
        <w:jc w:val="left"/>
        <w:rPr>
          <w:sz w:val="20"/>
          <w:szCs w:val="20"/>
        </w:rPr>
      </w:pPr>
      <w:bookmarkStart w:id="1898" w:name="bookmark1898"/>
      <w:bookmarkEnd w:id="1898"/>
      <w:r>
        <w:rPr>
          <w:color w:val="000000"/>
          <w:spacing w:val="0"/>
          <w:w w:val="100"/>
          <w:position w:val="0"/>
          <w:sz w:val="20"/>
          <w:szCs w:val="20"/>
        </w:rPr>
        <w:t>本公司的经营活动会面临各种金融风险：市场风险、信用风险和流动性风险。本公司已制定风险管理 政策，力求减少各种风险对财务业绩的潜在不利影响。</w:t>
      </w:r>
    </w:p>
    <w:p>
      <w:pPr>
        <w:pStyle w:val="Style39"/>
        <w:keepNext w:val="0"/>
        <w:keepLines w:val="0"/>
        <w:widowControl w:val="0"/>
        <w:numPr>
          <w:ilvl w:val="0"/>
          <w:numId w:val="35"/>
        </w:numPr>
        <w:shd w:val="clear" w:color="auto" w:fill="auto"/>
        <w:tabs>
          <w:tab w:pos="376" w:val="left"/>
        </w:tabs>
        <w:bidi w:val="0"/>
        <w:spacing w:before="0" w:after="0" w:line="324" w:lineRule="auto"/>
        <w:ind w:left="0" w:right="0" w:firstLine="0"/>
        <w:jc w:val="both"/>
        <w:rPr>
          <w:sz w:val="20"/>
          <w:szCs w:val="20"/>
        </w:rPr>
      </w:pPr>
      <w:bookmarkStart w:id="1899" w:name="bookmark1899"/>
      <w:bookmarkEnd w:id="1899"/>
      <w:r>
        <w:rPr>
          <w:color w:val="000000"/>
          <w:spacing w:val="0"/>
          <w:w w:val="100"/>
          <w:position w:val="0"/>
          <w:sz w:val="20"/>
          <w:szCs w:val="20"/>
        </w:rPr>
        <w:t>市场风险</w:t>
      </w:r>
    </w:p>
    <w:p>
      <w:pPr>
        <w:pStyle w:val="Style39"/>
        <w:keepNext w:val="0"/>
        <w:keepLines w:val="0"/>
        <w:widowControl w:val="0"/>
        <w:shd w:val="clear" w:color="auto" w:fill="auto"/>
        <w:tabs>
          <w:tab w:pos="868" w:val="left"/>
        </w:tabs>
        <w:bidi w:val="0"/>
        <w:spacing w:before="0" w:after="0" w:line="310" w:lineRule="exact"/>
        <w:ind w:left="0" w:right="0" w:firstLine="380"/>
        <w:jc w:val="left"/>
        <w:rPr>
          <w:sz w:val="20"/>
          <w:szCs w:val="20"/>
        </w:rPr>
      </w:pPr>
      <w:bookmarkStart w:id="1900" w:name="bookmark1900"/>
      <w:r>
        <w:rPr>
          <w:color w:val="000000"/>
          <w:spacing w:val="0"/>
          <w:w w:val="100"/>
          <w:position w:val="0"/>
          <w:sz w:val="20"/>
          <w:szCs w:val="20"/>
        </w:rPr>
        <w:t>（</w:t>
      </w:r>
      <w:bookmarkEnd w:id="190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利率风险</w:t>
      </w:r>
    </w:p>
    <w:p>
      <w:pPr>
        <w:pStyle w:val="Style39"/>
        <w:keepNext w:val="0"/>
        <w:keepLines w:val="0"/>
        <w:widowControl w:val="0"/>
        <w:shd w:val="clear" w:color="auto" w:fill="auto"/>
        <w:bidi w:val="0"/>
        <w:spacing w:before="0" w:after="0" w:line="310" w:lineRule="exact"/>
        <w:ind w:left="0" w:right="0" w:firstLine="380"/>
        <w:jc w:val="left"/>
        <w:rPr>
          <w:sz w:val="20"/>
          <w:szCs w:val="20"/>
        </w:rPr>
      </w:pPr>
      <w:r>
        <w:rPr>
          <w:color w:val="000000"/>
          <w:spacing w:val="0"/>
          <w:w w:val="100"/>
          <w:position w:val="0"/>
          <w:sz w:val="20"/>
          <w:szCs w:val="20"/>
        </w:rPr>
        <w:t>本公司的利率风险主要产生于银行借款，固定利率的金融负债使本公司面临公允价值利率风险。</w:t>
      </w:r>
    </w:p>
    <w:p>
      <w:pPr>
        <w:pStyle w:val="Style39"/>
        <w:keepNext w:val="0"/>
        <w:keepLines w:val="0"/>
        <w:widowControl w:val="0"/>
        <w:shd w:val="clear" w:color="auto" w:fill="auto"/>
        <w:bidi w:val="0"/>
        <w:spacing w:before="0" w:after="0" w:line="310" w:lineRule="exact"/>
        <w:ind w:left="0" w:right="0" w:firstLine="420"/>
        <w:jc w:val="both"/>
        <w:rPr>
          <w:sz w:val="20"/>
          <w:szCs w:val="20"/>
        </w:rPr>
      </w:pPr>
      <w:r>
        <w:rPr>
          <w:color w:val="000000"/>
          <w:spacing w:val="0"/>
          <w:w w:val="100"/>
          <w:position w:val="0"/>
          <w:sz w:val="20"/>
          <w:szCs w:val="20"/>
        </w:rPr>
        <w:t>管理层会依据最新市场状况及时作出调整，未来利率变化不会对本公司的经营业绩造成重大不利影 响。</w:t>
      </w:r>
    </w:p>
    <w:p>
      <w:pPr>
        <w:pStyle w:val="Style39"/>
        <w:keepNext w:val="0"/>
        <w:keepLines w:val="0"/>
        <w:widowControl w:val="0"/>
        <w:shd w:val="clear" w:color="auto" w:fill="auto"/>
        <w:tabs>
          <w:tab w:pos="868" w:val="left"/>
        </w:tabs>
        <w:bidi w:val="0"/>
        <w:spacing w:before="0" w:after="380" w:line="310" w:lineRule="exact"/>
        <w:ind w:left="0" w:right="0" w:firstLine="380"/>
        <w:jc w:val="left"/>
        <w:rPr>
          <w:sz w:val="20"/>
          <w:szCs w:val="20"/>
        </w:rPr>
      </w:pPr>
      <w:bookmarkStart w:id="1901" w:name="bookmark1901"/>
      <w:r>
        <w:rPr>
          <w:color w:val="000000"/>
          <w:spacing w:val="0"/>
          <w:w w:val="100"/>
          <w:position w:val="0"/>
          <w:sz w:val="20"/>
          <w:szCs w:val="20"/>
        </w:rPr>
        <w:t>（</w:t>
      </w:r>
      <w:bookmarkEnd w:id="190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其他价格风险</w:t>
      </w:r>
    </w:p>
    <w:p>
      <w:pPr>
        <w:pStyle w:val="Style39"/>
        <w:keepNext w:val="0"/>
        <w:keepLines w:val="0"/>
        <w:widowControl w:val="0"/>
        <w:shd w:val="clear" w:color="auto" w:fill="auto"/>
        <w:bidi w:val="0"/>
        <w:spacing w:before="0" w:after="0" w:line="314" w:lineRule="exact"/>
        <w:ind w:left="0" w:right="0" w:firstLine="940"/>
        <w:jc w:val="both"/>
        <w:rPr>
          <w:sz w:val="20"/>
          <w:szCs w:val="20"/>
        </w:rPr>
      </w:pPr>
      <w:r>
        <w:rPr>
          <w:color w:val="000000"/>
          <w:spacing w:val="0"/>
          <w:w w:val="100"/>
          <w:position w:val="0"/>
          <w:sz w:val="20"/>
          <w:szCs w:val="20"/>
        </w:rPr>
        <w:t>无</w:t>
      </w:r>
    </w:p>
    <w:p>
      <w:pPr>
        <w:pStyle w:val="Style39"/>
        <w:keepNext w:val="0"/>
        <w:keepLines w:val="0"/>
        <w:widowControl w:val="0"/>
        <w:shd w:val="clear" w:color="auto" w:fill="auto"/>
        <w:tabs>
          <w:tab w:pos="803" w:val="left"/>
        </w:tabs>
        <w:bidi w:val="0"/>
        <w:spacing w:before="0" w:after="0" w:line="314" w:lineRule="exact"/>
        <w:ind w:left="0" w:right="0"/>
        <w:jc w:val="both"/>
        <w:rPr>
          <w:sz w:val="20"/>
          <w:szCs w:val="20"/>
        </w:rPr>
      </w:pPr>
      <w:bookmarkStart w:id="1902" w:name="bookmark1902"/>
      <w:r>
        <w:rPr>
          <w:rFonts w:ascii="Times New Roman" w:eastAsia="Times New Roman" w:hAnsi="Times New Roman" w:cs="Times New Roman"/>
          <w:color w:val="000000"/>
          <w:spacing w:val="0"/>
          <w:w w:val="100"/>
          <w:position w:val="0"/>
          <w:sz w:val="20"/>
          <w:szCs w:val="20"/>
        </w:rPr>
        <w:t>3</w:t>
      </w:r>
      <w:bookmarkEnd w:id="1902"/>
      <w:r>
        <w:rPr>
          <w:color w:val="000000"/>
          <w:spacing w:val="0"/>
          <w:w w:val="100"/>
          <w:position w:val="0"/>
          <w:sz w:val="20"/>
          <w:szCs w:val="20"/>
        </w:rPr>
        <w:t>、</w:t>
        <w:tab/>
        <w:t>信用风险</w:t>
      </w:r>
    </w:p>
    <w:p>
      <w:pPr>
        <w:pStyle w:val="Style39"/>
        <w:keepNext w:val="0"/>
        <w:keepLines w:val="0"/>
        <w:widowControl w:val="0"/>
        <w:shd w:val="clear" w:color="auto" w:fill="auto"/>
        <w:bidi w:val="0"/>
        <w:spacing w:before="0" w:after="0" w:line="314" w:lineRule="exact"/>
        <w:ind w:left="0" w:right="0"/>
        <w:jc w:val="both"/>
        <w:rPr>
          <w:sz w:val="20"/>
          <w:szCs w:val="20"/>
        </w:rPr>
      </w:pPr>
      <w:r>
        <w:rPr>
          <w:color w:val="000000"/>
          <w:spacing w:val="0"/>
          <w:w w:val="100"/>
          <w:position w:val="0"/>
          <w:sz w:val="20"/>
          <w:szCs w:val="20"/>
        </w:rPr>
        <w:t>本公司对信用风险按组合分类进行管理。信用风险主要产生于银行存款、应收账款、其他应收款、应 收票据、应收融资租赁款、贷款、以及债券、基金、理财产品等其他金融资产。</w:t>
      </w:r>
    </w:p>
    <w:p>
      <w:pPr>
        <w:pStyle w:val="Style39"/>
        <w:keepNext w:val="0"/>
        <w:keepLines w:val="0"/>
        <w:widowControl w:val="0"/>
        <w:shd w:val="clear" w:color="auto" w:fill="auto"/>
        <w:bidi w:val="0"/>
        <w:spacing w:before="0" w:after="0" w:line="314" w:lineRule="exact"/>
        <w:ind w:left="0" w:right="0"/>
        <w:jc w:val="both"/>
        <w:rPr>
          <w:sz w:val="20"/>
          <w:szCs w:val="20"/>
        </w:rPr>
      </w:pPr>
      <w:r>
        <w:rPr>
          <w:color w:val="000000"/>
          <w:spacing w:val="0"/>
          <w:w w:val="100"/>
          <w:position w:val="0"/>
          <w:sz w:val="20"/>
          <w:szCs w:val="20"/>
        </w:rPr>
        <w:t>本公司银行存款主要存放于国有银行和其它大中型上市银行，本公司认为其不存在重大的信用风险， 不会产生因对方单位违约而导致的任何重大损失。</w:t>
      </w:r>
    </w:p>
    <w:p>
      <w:pPr>
        <w:pStyle w:val="Style39"/>
        <w:keepNext w:val="0"/>
        <w:keepLines w:val="0"/>
        <w:widowControl w:val="0"/>
        <w:shd w:val="clear" w:color="auto" w:fill="auto"/>
        <w:bidi w:val="0"/>
        <w:spacing w:before="0" w:after="0" w:line="314" w:lineRule="exact"/>
        <w:ind w:left="0" w:right="0"/>
        <w:jc w:val="both"/>
        <w:rPr>
          <w:sz w:val="20"/>
          <w:szCs w:val="20"/>
        </w:rPr>
      </w:pPr>
      <w:r>
        <w:rPr>
          <w:color w:val="000000"/>
          <w:spacing w:val="0"/>
          <w:w w:val="100"/>
          <w:position w:val="0"/>
          <w:sz w:val="20"/>
          <w:szCs w:val="20"/>
        </w:rPr>
        <w:t>对于应收账款、其他应收款和应收票据，本公司设定相关政策以控制信用风险敞口。本公司基于对客 户的财务状况、从第三方获取担保的可能性、信用记录及目前市场状况等其它因素评估客户的信用资质并 设置相应信用期。</w:t>
      </w:r>
    </w:p>
    <w:p>
      <w:pPr>
        <w:pStyle w:val="Style39"/>
        <w:keepNext w:val="0"/>
        <w:keepLines w:val="0"/>
        <w:widowControl w:val="0"/>
        <w:shd w:val="clear" w:color="auto" w:fill="auto"/>
        <w:bidi w:val="0"/>
        <w:spacing w:before="0" w:after="0" w:line="314" w:lineRule="exact"/>
        <w:ind w:left="0" w:right="0"/>
        <w:jc w:val="both"/>
        <w:rPr>
          <w:sz w:val="20"/>
          <w:szCs w:val="20"/>
        </w:rPr>
      </w:pPr>
      <w:r>
        <w:rPr>
          <w:color w:val="000000"/>
          <w:spacing w:val="0"/>
          <w:w w:val="100"/>
          <w:position w:val="0"/>
          <w:sz w:val="20"/>
          <w:szCs w:val="20"/>
        </w:rPr>
        <w:t>对于租赁公司提供的租赁业务，本公司仅与经认可的、信誉良好的第三方进行交易。按照本公司的政 策，对所有采用信用方式进行交易的客户均需进行信用审核。本公司对于长期应收租赁款余额进行持续监 控，以确保不导致本公司面临重大坏账风险。</w:t>
      </w:r>
    </w:p>
    <w:p>
      <w:pPr>
        <w:pStyle w:val="Style39"/>
        <w:keepNext w:val="0"/>
        <w:keepLines w:val="0"/>
        <w:widowControl w:val="0"/>
        <w:shd w:val="clear" w:color="auto" w:fill="auto"/>
        <w:bidi w:val="0"/>
        <w:spacing w:before="0" w:after="0" w:line="314" w:lineRule="exact"/>
        <w:ind w:left="0" w:right="0" w:firstLine="520"/>
        <w:jc w:val="both"/>
        <w:rPr>
          <w:sz w:val="20"/>
          <w:szCs w:val="20"/>
        </w:rPr>
      </w:pPr>
      <w:r>
        <w:rPr>
          <w:color w:val="000000"/>
          <w:spacing w:val="0"/>
          <w:w w:val="100"/>
          <w:position w:val="0"/>
          <w:sz w:val="20"/>
          <w:szCs w:val="20"/>
        </w:rPr>
        <w:t>本公司其他金融资产包括理财产品等金融工具。本公司对合作的银行、信托公司、证券公司和基金 公司实行评级准入制度，对信托收益权回购方、同业理财产品发行方、定向资产管理计划最终融资方设定 授信额度，并定期进行后续风险管理；对单个金融机构的信用风险进行定期的审阅和管理；对于与本公司 有资金往来的单个银行或非银行金融机构均设定有信用额度。本公司通过控制投资规模、设定发行主体准 入名单、评级准入、投后管理等机制管理上述金融资产的信用风险敞口。</w:t>
      </w:r>
    </w:p>
    <w:p>
      <w:pPr>
        <w:pStyle w:val="Style39"/>
        <w:keepNext w:val="0"/>
        <w:keepLines w:val="0"/>
        <w:widowControl w:val="0"/>
        <w:shd w:val="clear" w:color="auto" w:fill="auto"/>
        <w:bidi w:val="0"/>
        <w:spacing w:before="0" w:after="0" w:line="314" w:lineRule="exact"/>
        <w:ind w:left="0" w:right="0"/>
        <w:jc w:val="both"/>
        <w:rPr>
          <w:sz w:val="20"/>
          <w:szCs w:val="20"/>
        </w:rPr>
      </w:pPr>
      <w:r>
        <w:rPr>
          <w:color w:val="000000"/>
          <w:spacing w:val="0"/>
          <w:w w:val="100"/>
          <w:position w:val="0"/>
          <w:sz w:val="20"/>
          <w:szCs w:val="20"/>
        </w:rPr>
        <w:t>本公司定期对客户信用记录进行监控，对于信用记录不良的客户，本公司采用书面催款、缩短信用期 或取消信用期等方式，以确保本公司整体信用风险可控。</w:t>
      </w:r>
    </w:p>
    <w:p>
      <w:pPr>
        <w:pStyle w:val="Style39"/>
        <w:keepNext w:val="0"/>
        <w:keepLines w:val="0"/>
        <w:widowControl w:val="0"/>
        <w:shd w:val="clear" w:color="auto" w:fill="auto"/>
        <w:tabs>
          <w:tab w:pos="803" w:val="left"/>
        </w:tabs>
        <w:bidi w:val="0"/>
        <w:spacing w:before="0" w:after="0" w:line="310" w:lineRule="exact"/>
        <w:ind w:left="0" w:right="0"/>
        <w:jc w:val="both"/>
        <w:rPr>
          <w:sz w:val="20"/>
          <w:szCs w:val="20"/>
        </w:rPr>
      </w:pPr>
      <w:bookmarkStart w:id="1903" w:name="bookmark1903"/>
      <w:r>
        <w:rPr>
          <w:rFonts w:ascii="Times New Roman" w:eastAsia="Times New Roman" w:hAnsi="Times New Roman" w:cs="Times New Roman"/>
          <w:color w:val="000000"/>
          <w:spacing w:val="0"/>
          <w:w w:val="100"/>
          <w:position w:val="0"/>
          <w:sz w:val="20"/>
          <w:szCs w:val="20"/>
        </w:rPr>
        <w:t>4</w:t>
      </w:r>
      <w:bookmarkEnd w:id="1903"/>
      <w:r>
        <w:rPr>
          <w:color w:val="000000"/>
          <w:spacing w:val="0"/>
          <w:w w:val="100"/>
          <w:position w:val="0"/>
          <w:sz w:val="20"/>
          <w:szCs w:val="20"/>
        </w:rPr>
        <w:t>、</w:t>
        <w:tab/>
        <w:t>流动性风险</w:t>
      </w:r>
    </w:p>
    <w:p>
      <w:pPr>
        <w:pStyle w:val="Style39"/>
        <w:keepNext w:val="0"/>
        <w:keepLines w:val="0"/>
        <w:widowControl w:val="0"/>
        <w:shd w:val="clear" w:color="auto" w:fill="auto"/>
        <w:bidi w:val="0"/>
        <w:spacing w:before="0" w:after="0" w:line="310" w:lineRule="exact"/>
        <w:ind w:left="0" w:right="0"/>
        <w:jc w:val="both"/>
        <w:rPr>
          <w:sz w:val="20"/>
          <w:szCs w:val="20"/>
        </w:rPr>
      </w:pPr>
      <w:r>
        <w:rPr>
          <w:color w:val="000000"/>
          <w:spacing w:val="0"/>
          <w:w w:val="100"/>
          <w:position w:val="0"/>
          <w:sz w:val="20"/>
          <w:szCs w:val="20"/>
        </w:rPr>
        <w:t>流动性风险，是指本公司在履行以交付现金或其他金融资产的方式结算的义务时发生资金短缺的风 险。</w:t>
      </w:r>
    </w:p>
    <w:p>
      <w:pPr>
        <w:pStyle w:val="Style39"/>
        <w:keepNext w:val="0"/>
        <w:keepLines w:val="0"/>
        <w:widowControl w:val="0"/>
        <w:shd w:val="clear" w:color="auto" w:fill="auto"/>
        <w:bidi w:val="0"/>
        <w:spacing w:before="0" w:after="360" w:line="310" w:lineRule="exact"/>
        <w:ind w:left="0" w:right="0"/>
        <w:jc w:val="both"/>
        <w:rPr>
          <w:sz w:val="20"/>
          <w:szCs w:val="20"/>
        </w:rPr>
      </w:pPr>
      <w:r>
        <w:rPr>
          <w:color w:val="000000"/>
          <w:spacing w:val="0"/>
          <w:w w:val="100"/>
          <w:position w:val="0"/>
          <w:sz w:val="20"/>
          <w:szCs w:val="20"/>
        </w:rPr>
        <w:t>管理流动风险时，本公司保持管理层认为充分的现金及现金等价物并对其进行监控，以满足本公司的 经营需要，并降低现金流量波动的影响。本公司管理层对银行借款的使用情况进行监控并确保遵守借款协 议。同时从主要金融机构获得提供足够备用资金的承诺，以满足短期和长期的资金需求。</w:t>
      </w:r>
    </w:p>
    <w:p>
      <w:pPr>
        <w:pStyle w:val="Style22"/>
        <w:keepNext/>
        <w:keepLines/>
        <w:widowControl w:val="0"/>
        <w:shd w:val="clear" w:color="auto" w:fill="auto"/>
        <w:bidi w:val="0"/>
        <w:spacing w:before="0" w:after="300" w:line="240" w:lineRule="auto"/>
        <w:ind w:left="0" w:right="0" w:firstLine="0"/>
        <w:jc w:val="both"/>
      </w:pPr>
      <w:bookmarkStart w:id="1904" w:name="bookmark1904"/>
      <w:bookmarkStart w:id="1905" w:name="bookmark1905"/>
      <w:bookmarkStart w:id="1906" w:name="bookmark1906"/>
      <w:r>
        <w:rPr>
          <w:color w:val="000000"/>
          <w:spacing w:val="0"/>
          <w:w w:val="100"/>
          <w:position w:val="0"/>
        </w:rPr>
        <w:t>十一、公允价值的披露</w:t>
      </w:r>
      <w:bookmarkEnd w:id="1904"/>
      <w:bookmarkEnd w:id="1905"/>
      <w:bookmarkEnd w:id="1906"/>
    </w:p>
    <w:p>
      <w:pPr>
        <w:pStyle w:val="Style28"/>
        <w:keepNext/>
        <w:keepLines/>
        <w:widowControl w:val="0"/>
        <w:shd w:val="clear" w:color="auto" w:fill="auto"/>
        <w:bidi w:val="0"/>
        <w:spacing w:before="0" w:after="360" w:line="314" w:lineRule="exact"/>
        <w:ind w:left="0" w:right="0" w:firstLine="0"/>
        <w:jc w:val="both"/>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7"/>
      <w:bookmarkEnd w:id="1908"/>
      <w:bookmarkEnd w:id="19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340,633,980.00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340,633,980.00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340,633,980.00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340,633,980.00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tabs>
          <w:tab w:pos="378" w:val="left"/>
        </w:tabs>
        <w:bidi w:val="0"/>
        <w:spacing w:before="0" w:after="300" w:line="314" w:lineRule="exact"/>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2</w:t>
      </w:r>
      <w:bookmarkEnd w:id="1912"/>
      <w:r>
        <w:rPr>
          <w:color w:val="000000"/>
          <w:spacing w:val="0"/>
          <w:w w:val="100"/>
          <w:position w:val="0"/>
        </w:rPr>
        <w:t>、</w:t>
        <w:tab/>
        <w:t>持续和非持续第一层次公允价值计量项目市价的确定依据</w:t>
      </w:r>
      <w:bookmarkEnd w:id="1910"/>
      <w:bookmarkEnd w:id="1911"/>
      <w:bookmarkEnd w:id="1913"/>
    </w:p>
    <w:p>
      <w:pPr>
        <w:pStyle w:val="Style28"/>
        <w:keepNext/>
        <w:keepLines/>
        <w:widowControl w:val="0"/>
        <w:shd w:val="clear" w:color="auto" w:fill="auto"/>
        <w:tabs>
          <w:tab w:pos="378" w:val="left"/>
        </w:tabs>
        <w:bidi w:val="0"/>
        <w:spacing w:before="0" w:after="300" w:line="314" w:lineRule="exact"/>
        <w:ind w:left="0" w:right="0" w:firstLine="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w:t>
        <w:tab/>
        <w:t>持续和非持续第二层次公允价值计量项目，采用的估值技术和重要参数的定性及定量信息</w:t>
      </w:r>
      <w:bookmarkEnd w:id="1914"/>
      <w:bookmarkEnd w:id="1915"/>
      <w:bookmarkEnd w:id="1917"/>
    </w:p>
    <w:p>
      <w:pPr>
        <w:pStyle w:val="Style28"/>
        <w:keepNext/>
        <w:keepLines/>
        <w:widowControl w:val="0"/>
        <w:shd w:val="clear" w:color="auto" w:fill="auto"/>
        <w:tabs>
          <w:tab w:pos="378" w:val="left"/>
        </w:tabs>
        <w:bidi w:val="0"/>
        <w:spacing w:before="0" w:after="300" w:line="314" w:lineRule="exact"/>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4</w:t>
      </w:r>
      <w:bookmarkEnd w:id="1920"/>
      <w:r>
        <w:rPr>
          <w:color w:val="000000"/>
          <w:spacing w:val="0"/>
          <w:w w:val="100"/>
          <w:position w:val="0"/>
        </w:rPr>
        <w:t>、</w:t>
        <w:tab/>
        <w:t>持续和非持续第三层次公允价值计量项目，采用的估值技术和重要参数的定性及定量信息</w:t>
      </w:r>
      <w:bookmarkEnd w:id="1918"/>
      <w:bookmarkEnd w:id="1919"/>
      <w:bookmarkEnd w:id="1921"/>
    </w:p>
    <w:p>
      <w:pPr>
        <w:pStyle w:val="Style28"/>
        <w:keepNext/>
        <w:keepLines/>
        <w:widowControl w:val="0"/>
        <w:shd w:val="clear" w:color="auto" w:fill="auto"/>
        <w:tabs>
          <w:tab w:pos="378" w:val="left"/>
        </w:tabs>
        <w:bidi w:val="0"/>
        <w:spacing w:before="0" w:after="300" w:line="314" w:lineRule="exact"/>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5</w:t>
      </w:r>
      <w:bookmarkEnd w:id="1924"/>
      <w:r>
        <w:rPr>
          <w:color w:val="000000"/>
          <w:spacing w:val="0"/>
          <w:w w:val="100"/>
          <w:position w:val="0"/>
        </w:rPr>
        <w:t>、</w:t>
        <w:tab/>
        <w:t>持续的第三层次公允价值计量项目，期初与期末账面价值间的调节信息及不可观察参数敏感性分析</w:t>
      </w:r>
      <w:bookmarkEnd w:id="1922"/>
      <w:bookmarkEnd w:id="1923"/>
      <w:bookmarkEnd w:id="1925"/>
    </w:p>
    <w:p>
      <w:pPr>
        <w:pStyle w:val="Style28"/>
        <w:keepNext/>
        <w:keepLines/>
        <w:widowControl w:val="0"/>
        <w:shd w:val="clear" w:color="auto" w:fill="auto"/>
        <w:tabs>
          <w:tab w:pos="378" w:val="left"/>
        </w:tabs>
        <w:bidi w:val="0"/>
        <w:spacing w:before="0" w:after="300" w:line="314" w:lineRule="exact"/>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6</w:t>
      </w:r>
      <w:bookmarkEnd w:id="1928"/>
      <w:r>
        <w:rPr>
          <w:color w:val="000000"/>
          <w:spacing w:val="0"/>
          <w:w w:val="100"/>
          <w:position w:val="0"/>
        </w:rPr>
        <w:t>、</w:t>
        <w:tab/>
        <w:t>持续的公允价值计量项目，本期内发生各层级之间转换的，转换的原因及确定转换时点的政策</w:t>
      </w:r>
      <w:bookmarkEnd w:id="1926"/>
      <w:bookmarkEnd w:id="1927"/>
      <w:bookmarkEnd w:id="1929"/>
    </w:p>
    <w:p>
      <w:pPr>
        <w:pStyle w:val="Style28"/>
        <w:keepNext/>
        <w:keepLines/>
        <w:widowControl w:val="0"/>
        <w:shd w:val="clear" w:color="auto" w:fill="auto"/>
        <w:tabs>
          <w:tab w:pos="378" w:val="left"/>
        </w:tabs>
        <w:bidi w:val="0"/>
        <w:spacing w:before="0" w:after="300" w:line="314" w:lineRule="exact"/>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7</w:t>
      </w:r>
      <w:bookmarkEnd w:id="1932"/>
      <w:r>
        <w:rPr>
          <w:color w:val="000000"/>
          <w:spacing w:val="0"/>
          <w:w w:val="100"/>
          <w:position w:val="0"/>
        </w:rPr>
        <w:t>、</w:t>
        <w:tab/>
        <w:t>本期内发生的估值技术变更及变更原因</w:t>
      </w:r>
      <w:bookmarkEnd w:id="1930"/>
      <w:bookmarkEnd w:id="1931"/>
      <w:bookmarkEnd w:id="1933"/>
    </w:p>
    <w:p>
      <w:pPr>
        <w:pStyle w:val="Style28"/>
        <w:keepNext/>
        <w:keepLines/>
        <w:widowControl w:val="0"/>
        <w:shd w:val="clear" w:color="auto" w:fill="auto"/>
        <w:tabs>
          <w:tab w:pos="378" w:val="left"/>
        </w:tabs>
        <w:bidi w:val="0"/>
        <w:spacing w:before="0" w:after="300" w:line="314" w:lineRule="exact"/>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8</w:t>
      </w:r>
      <w:bookmarkEnd w:id="1936"/>
      <w:r>
        <w:rPr>
          <w:color w:val="000000"/>
          <w:spacing w:val="0"/>
          <w:w w:val="100"/>
          <w:position w:val="0"/>
        </w:rPr>
        <w:t>、</w:t>
        <w:tab/>
        <w:t>不以公允价值计量的金融资产和金融负债的公允价值情况</w:t>
      </w:r>
      <w:bookmarkEnd w:id="1934"/>
      <w:bookmarkEnd w:id="1935"/>
      <w:bookmarkEnd w:id="1937"/>
    </w:p>
    <w:p>
      <w:pPr>
        <w:pStyle w:val="Style28"/>
        <w:keepNext/>
        <w:keepLines/>
        <w:widowControl w:val="0"/>
        <w:shd w:val="clear" w:color="auto" w:fill="auto"/>
        <w:tabs>
          <w:tab w:pos="378" w:val="left"/>
        </w:tabs>
        <w:bidi w:val="0"/>
        <w:spacing w:before="0" w:after="300" w:line="314" w:lineRule="exact"/>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9</w:t>
      </w:r>
      <w:bookmarkEnd w:id="1940"/>
      <w:r>
        <w:rPr>
          <w:color w:val="000000"/>
          <w:spacing w:val="0"/>
          <w:w w:val="100"/>
          <w:position w:val="0"/>
        </w:rPr>
        <w:t>、</w:t>
        <w:tab/>
        <w:t>其他</w:t>
      </w:r>
      <w:bookmarkEnd w:id="1938"/>
      <w:bookmarkEnd w:id="1939"/>
      <w:bookmarkEnd w:id="1941"/>
    </w:p>
    <w:p>
      <w:pPr>
        <w:pStyle w:val="Style39"/>
        <w:keepNext w:val="0"/>
        <w:keepLines w:val="0"/>
        <w:widowControl w:val="0"/>
        <w:shd w:val="clear" w:color="auto" w:fill="auto"/>
        <w:bidi w:val="0"/>
        <w:spacing w:before="0" w:after="380" w:line="314" w:lineRule="exact"/>
        <w:ind w:left="0" w:right="0"/>
        <w:jc w:val="both"/>
        <w:rPr>
          <w:sz w:val="20"/>
          <w:szCs w:val="20"/>
        </w:rPr>
      </w:pPr>
      <w:r>
        <w:rPr>
          <w:color w:val="000000"/>
          <w:spacing w:val="0"/>
          <w:w w:val="100"/>
          <w:position w:val="0"/>
          <w:sz w:val="20"/>
          <w:szCs w:val="20"/>
        </w:rPr>
        <w:t>本公司第三层次公允价值计量项目是其他权益工具投资，其他权益工具投资系公司持有无控制、共同 控制和重大影响的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股权投资，由于被投资单位经营环境和经营情况、财务状况较上年度未发生重大 变化，均按投资成本或投资价值作为公允价值的合理估计进行计量。</w:t>
      </w:r>
    </w:p>
    <w:p>
      <w:pPr>
        <w:pStyle w:val="Style22"/>
        <w:keepNext/>
        <w:keepLines/>
        <w:widowControl w:val="0"/>
        <w:shd w:val="clear" w:color="auto" w:fill="auto"/>
        <w:bidi w:val="0"/>
        <w:spacing w:before="0" w:after="300" w:line="240" w:lineRule="auto"/>
        <w:ind w:left="0" w:right="0" w:firstLine="0"/>
        <w:jc w:val="both"/>
      </w:pPr>
      <w:bookmarkStart w:id="1942" w:name="bookmark1942"/>
      <w:bookmarkStart w:id="1943" w:name="bookmark1943"/>
      <w:bookmarkStart w:id="1944" w:name="bookmark1944"/>
      <w:r>
        <w:rPr>
          <w:color w:val="000000"/>
          <w:spacing w:val="0"/>
          <w:w w:val="100"/>
          <w:position w:val="0"/>
        </w:rPr>
        <w:t>十二、关联方及关联交易</w:t>
      </w:r>
      <w:bookmarkEnd w:id="1942"/>
      <w:bookmarkEnd w:id="1943"/>
      <w:bookmarkEnd w:id="1944"/>
    </w:p>
    <w:p>
      <w:pPr>
        <w:pStyle w:val="Style28"/>
        <w:keepNext/>
        <w:keepLines/>
        <w:widowControl w:val="0"/>
        <w:shd w:val="clear" w:color="auto" w:fill="auto"/>
        <w:bidi w:val="0"/>
        <w:spacing w:before="0" w:after="300" w:line="314" w:lineRule="exact"/>
        <w:ind w:left="0" w:right="0" w:firstLine="0"/>
        <w:jc w:val="both"/>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5"/>
      <w:bookmarkEnd w:id="1946"/>
      <w:bookmarkEnd w:id="1947"/>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投资与资产管理、企 业管理、经济信息咨 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r>
    </w:tbl>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本企业最终控制方是霍东。</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bookmarkEnd w:id="1950"/>
      <w:r>
        <w:rPr>
          <w:color w:val="000000"/>
          <w:spacing w:val="0"/>
          <w:w w:val="100"/>
          <w:position w:val="0"/>
        </w:rPr>
        <w:t>、</w:t>
        <w:tab/>
        <w:t>本企业的子公司情况</w:t>
      </w:r>
      <w:bookmarkEnd w:id="1948"/>
      <w:bookmarkEnd w:id="1949"/>
      <w:bookmarkEnd w:id="1951"/>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78" w:val="left"/>
        </w:tabs>
        <w:bidi w:val="0"/>
        <w:spacing w:before="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w:t>
        <w:tab/>
        <w:t>本企业合营和联营企业情况</w:t>
      </w:r>
      <w:bookmarkEnd w:id="1952"/>
      <w:bookmarkEnd w:id="1953"/>
      <w:bookmarkEnd w:id="195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2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color w:val="000000"/>
          <w:spacing w:val="0"/>
          <w:w w:val="100"/>
          <w:position w:val="0"/>
        </w:rPr>
        <w:t>、其他关联方情况</w:t>
      </w:r>
      <w:bookmarkEnd w:id="1956"/>
      <w:bookmarkEnd w:id="1957"/>
      <w:bookmarkEnd w:id="195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原本公司实际控制人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田文军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原本公司实际控制人郝江波之配偶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仁东区块链有限公司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仁东资本控股（山东）有限公司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仁东厚德（青岛）资产管理有限公司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金通仁东（广东）股权投资合伙企业（有限合伙）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北京致远厚德投资管理中心（有限合伙）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1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、关联交易情况</w:t>
      </w:r>
      <w:bookmarkEnd w:id="1960"/>
      <w:bookmarkEnd w:id="1961"/>
      <w:bookmarkEnd w:id="1963"/>
    </w:p>
    <w:p>
      <w:pPr>
        <w:pStyle w:val="Style32"/>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4"/>
      <w:bookmarkEnd w:id="1965"/>
      <w:bookmarkEnd w:id="196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4"/>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17"/>
          <w:szCs w:val="17"/>
        </w:rPr>
        <w:t xml:space="preserve">购销商品、提供和接受劳务的关联交易说明 </w:t>
      </w:r>
      <w:r>
        <w:rPr>
          <w:color w:val="000000"/>
          <w:spacing w:val="0"/>
          <w:w w:val="100"/>
          <w:position w:val="0"/>
          <w:sz w:val="20"/>
          <w:szCs w:val="20"/>
        </w:rPr>
        <w:t>支付利息</w:t>
      </w:r>
    </w:p>
    <w:tbl>
      <w:tblPr>
        <w:tblOverlap w:val="never"/>
        <w:jc w:val="left"/>
        <w:tblLayout w:type="fixed"/>
      </w:tblPr>
      <w:tblGrid>
        <w:gridCol w:w="3562"/>
        <w:gridCol w:w="1742"/>
        <w:gridCol w:w="1536"/>
        <w:gridCol w:w="150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北京仁东信息技术有限公司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8,453,021.49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544,958.34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7"/>
      <w:bookmarkEnd w:id="1968"/>
      <w:bookmarkEnd w:id="1969"/>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2"/>
        <w:keepNext/>
        <w:keepLines/>
        <w:widowControl w:val="0"/>
        <w:shd w:val="clear" w:color="auto" w:fill="auto"/>
        <w:bidi w:val="0"/>
        <w:spacing w:before="0" w:line="240" w:lineRule="auto"/>
        <w:ind w:left="0" w:right="0" w:firstLine="0"/>
        <w:jc w:val="both"/>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0"/>
      <w:bookmarkEnd w:id="1971"/>
      <w:bookmarkEnd w:id="1973"/>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74"/>
      <w:bookmarkEnd w:id="1975"/>
      <w:bookmarkEnd w:id="1977"/>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北京仁东信息技术有限 公司、仁东（天津）科 技有限公司、广东合利 金融科技服务有限公 司、广州合利宝支付科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天津和柚技术有限公 司、郝江波及配偶田文 军、张永东及其配偶黎 碧、霍东、北京仁东信 息技术有限公司。质押 物：广东合利金融科技 服务有限公司拥有的广 州合利宝支付科技有限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股权、仁东控 股股份有限公司持有的 广东合利金融科技服务 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股权、郝 江波持有的天津和柚技 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61,753,278.32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广东合利金融科技服务 有限公司、霍东提供担 保。质押物：北京仁东 信息技术有限公司持有 的仁东控股股份有限公 司</w:t>
            </w:r>
            <w:r>
              <w:rPr>
                <w:rFonts w:ascii="Times New Roman" w:eastAsia="Times New Roman" w:hAnsi="Times New Roman" w:cs="Times New Roman"/>
                <w:color w:val="000000"/>
                <w:spacing w:val="0"/>
                <w:w w:val="100"/>
                <w:position w:val="0"/>
                <w:sz w:val="18"/>
                <w:szCs w:val="18"/>
              </w:rPr>
              <w:t>916.833</w:t>
            </w:r>
            <w:r>
              <w:rPr>
                <w:color w:val="000000"/>
                <w:spacing w:val="0"/>
                <w:w w:val="100"/>
                <w:position w:val="0"/>
              </w:rPr>
              <w:t>万股股票。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27,233,268.15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北京仁东信息技术有限 公司、仁东（天津）科 技有限公司、仁东控股 股份有限公司、霍东。</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质押物：广东合利金融 科技服务有限公司持有 的深圳前海合利商业保 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164,602,288.21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20"/>
        <w:gridCol w:w="1915"/>
        <w:gridCol w:w="1915"/>
        <w:gridCol w:w="1915"/>
        <w:gridCol w:w="1978"/>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本公司作为被担保方</w:t>
            </w:r>
          </w:p>
        </w:tc>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78"/>
      <w:bookmarkEnd w:id="1979"/>
      <w:bookmarkEnd w:id="19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162,444,890.86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2,166,872.66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82"/>
      <w:bookmarkEnd w:id="1983"/>
      <w:bookmarkEnd w:id="198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86"/>
      <w:bookmarkEnd w:id="1987"/>
      <w:bookmarkEnd w:id="19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0"/>
      <w:bookmarkEnd w:id="1991"/>
      <w:bookmarkEnd w:id="1993"/>
    </w:p>
    <w:p>
      <w:pPr>
        <w:pStyle w:val="Style28"/>
        <w:keepNext/>
        <w:keepLines/>
        <w:widowControl w:val="0"/>
        <w:shd w:val="clear" w:color="auto" w:fill="auto"/>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6</w:t>
      </w:r>
      <w:bookmarkEnd w:id="1996"/>
      <w:r>
        <w:rPr>
          <w:color w:val="000000"/>
          <w:spacing w:val="0"/>
          <w:w w:val="100"/>
          <w:position w:val="0"/>
        </w:rPr>
        <w:t>、关联方应收应付款项</w:t>
      </w:r>
      <w:bookmarkEnd w:id="1994"/>
      <w:bookmarkEnd w:id="1995"/>
      <w:bookmarkEnd w:id="1997"/>
    </w:p>
    <w:p>
      <w:pPr>
        <w:pStyle w:val="Style32"/>
        <w:keepNext/>
        <w:keepLines/>
        <w:widowControl w:val="0"/>
        <w:shd w:val="clear" w:color="auto" w:fill="auto"/>
        <w:bidi w:val="0"/>
        <w:spacing w:before="0" w:after="360" w:line="240" w:lineRule="auto"/>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8"/>
      <w:bookmarkEnd w:id="1999"/>
      <w:bookmarkEnd w:id="200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1"/>
      <w:bookmarkEnd w:id="2002"/>
      <w:bookmarkEnd w:id="200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238,772,460.30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80,544,958.34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2,166,872.66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24,166.67</w:t>
            </w: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7</w:t>
      </w:r>
      <w:bookmarkEnd w:id="2006"/>
      <w:r>
        <w:rPr>
          <w:color w:val="000000"/>
          <w:spacing w:val="0"/>
          <w:w w:val="100"/>
          <w:position w:val="0"/>
        </w:rPr>
        <w:t>、</w:t>
        <w:tab/>
        <w:t>关联方承诺</w:t>
      </w:r>
      <w:bookmarkEnd w:id="2004"/>
      <w:bookmarkEnd w:id="2005"/>
      <w:bookmarkEnd w:id="2007"/>
    </w:p>
    <w:p>
      <w:pPr>
        <w:pStyle w:val="Style28"/>
        <w:keepNext/>
        <w:keepLines/>
        <w:widowControl w:val="0"/>
        <w:shd w:val="clear" w:color="auto" w:fill="auto"/>
        <w:tabs>
          <w:tab w:pos="378" w:val="left"/>
        </w:tabs>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8</w:t>
      </w:r>
      <w:bookmarkEnd w:id="2010"/>
      <w:r>
        <w:rPr>
          <w:color w:val="000000"/>
          <w:spacing w:val="0"/>
          <w:w w:val="100"/>
          <w:position w:val="0"/>
        </w:rPr>
        <w:t>、</w:t>
        <w:tab/>
        <w:t>其他</w:t>
      </w:r>
      <w:bookmarkEnd w:id="2008"/>
      <w:bookmarkEnd w:id="2009"/>
      <w:bookmarkEnd w:id="2011"/>
    </w:p>
    <w:p>
      <w:pPr>
        <w:pStyle w:val="Style22"/>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color w:val="000000"/>
          <w:spacing w:val="0"/>
          <w:w w:val="100"/>
          <w:position w:val="0"/>
        </w:rPr>
        <w:t>十三、股份支付</w:t>
      </w:r>
      <w:bookmarkEnd w:id="2012"/>
      <w:bookmarkEnd w:id="2013"/>
      <w:bookmarkEnd w:id="2014"/>
    </w:p>
    <w:p>
      <w:pPr>
        <w:pStyle w:val="Style28"/>
        <w:keepNext/>
        <w:keepLines/>
        <w:widowControl w:val="0"/>
        <w:shd w:val="clear" w:color="auto" w:fill="auto"/>
        <w:tabs>
          <w:tab w:pos="368" w:val="left"/>
        </w:tabs>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bookmarkEnd w:id="2017"/>
      <w:r>
        <w:rPr>
          <w:color w:val="000000"/>
          <w:spacing w:val="0"/>
          <w:w w:val="100"/>
          <w:position w:val="0"/>
        </w:rPr>
        <w:t>、</w:t>
        <w:tab/>
        <w:t>股份支付总体情况</w:t>
      </w:r>
      <w:bookmarkEnd w:id="2015"/>
      <w:bookmarkEnd w:id="2016"/>
      <w:bookmarkEnd w:id="2018"/>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2</w:t>
      </w:r>
      <w:bookmarkEnd w:id="2021"/>
      <w:r>
        <w:rPr>
          <w:color w:val="000000"/>
          <w:spacing w:val="0"/>
          <w:w w:val="100"/>
          <w:position w:val="0"/>
        </w:rPr>
        <w:t>、</w:t>
        <w:tab/>
        <w:t>以权益结算的股份支付情况</w:t>
      </w:r>
      <w:bookmarkEnd w:id="2019"/>
      <w:bookmarkEnd w:id="2020"/>
      <w:bookmarkEnd w:id="2022"/>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40" w:val="left"/>
        </w:tabs>
        <w:bidi w:val="0"/>
        <w:spacing w:before="0" w:line="314" w:lineRule="exact"/>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w:t>
        <w:tab/>
        <w:t>以现金结算的股份支付情况</w:t>
      </w:r>
      <w:bookmarkEnd w:id="2023"/>
      <w:bookmarkEnd w:id="2024"/>
      <w:bookmarkEnd w:id="2026"/>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40" w:val="left"/>
        </w:tabs>
        <w:bidi w:val="0"/>
        <w:spacing w:before="0" w:after="300" w:line="314" w:lineRule="exact"/>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4</w:t>
      </w:r>
      <w:bookmarkEnd w:id="2029"/>
      <w:r>
        <w:rPr>
          <w:color w:val="000000"/>
          <w:spacing w:val="0"/>
          <w:w w:val="100"/>
          <w:position w:val="0"/>
        </w:rPr>
        <w:t>、</w:t>
        <w:tab/>
        <w:t>股份支付的修改、终止情况</w:t>
      </w:r>
      <w:bookmarkEnd w:id="2027"/>
      <w:bookmarkEnd w:id="2028"/>
      <w:bookmarkEnd w:id="2030"/>
    </w:p>
    <w:p>
      <w:pPr>
        <w:pStyle w:val="Style28"/>
        <w:keepNext/>
        <w:keepLines/>
        <w:widowControl w:val="0"/>
        <w:shd w:val="clear" w:color="auto" w:fill="auto"/>
        <w:tabs>
          <w:tab w:pos="340" w:val="left"/>
        </w:tabs>
        <w:bidi w:val="0"/>
        <w:spacing w:before="0" w:line="314" w:lineRule="exact"/>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5</w:t>
      </w:r>
      <w:bookmarkEnd w:id="2033"/>
      <w:r>
        <w:rPr>
          <w:color w:val="000000"/>
          <w:spacing w:val="0"/>
          <w:w w:val="100"/>
          <w:position w:val="0"/>
        </w:rPr>
        <w:t>、</w:t>
        <w:tab/>
        <w:t>其他</w:t>
      </w:r>
      <w:bookmarkEnd w:id="2031"/>
      <w:bookmarkEnd w:id="2032"/>
      <w:bookmarkEnd w:id="2034"/>
    </w:p>
    <w:p>
      <w:pPr>
        <w:pStyle w:val="Style22"/>
        <w:keepNext/>
        <w:keepLines/>
        <w:widowControl w:val="0"/>
        <w:shd w:val="clear" w:color="auto" w:fill="auto"/>
        <w:bidi w:val="0"/>
        <w:spacing w:before="0" w:after="300" w:line="240" w:lineRule="auto"/>
        <w:ind w:left="0" w:right="0" w:firstLine="0"/>
        <w:jc w:val="left"/>
      </w:pPr>
      <w:bookmarkStart w:id="2035" w:name="bookmark2035"/>
      <w:bookmarkStart w:id="2036" w:name="bookmark2036"/>
      <w:bookmarkStart w:id="2037" w:name="bookmark2037"/>
      <w:r>
        <w:rPr>
          <w:color w:val="000000"/>
          <w:spacing w:val="0"/>
          <w:w w:val="100"/>
          <w:position w:val="0"/>
        </w:rPr>
        <w:t>十四、承诺及或有事项</w:t>
      </w:r>
      <w:bookmarkEnd w:id="2035"/>
      <w:bookmarkEnd w:id="2036"/>
      <w:bookmarkEnd w:id="2037"/>
    </w:p>
    <w:p>
      <w:pPr>
        <w:pStyle w:val="Style28"/>
        <w:keepNext/>
        <w:keepLines/>
        <w:widowControl w:val="0"/>
        <w:shd w:val="clear" w:color="auto" w:fill="auto"/>
        <w:tabs>
          <w:tab w:pos="330" w:val="left"/>
        </w:tabs>
        <w:bidi w:val="0"/>
        <w:spacing w:before="0" w:line="314" w:lineRule="exact"/>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bookmarkEnd w:id="2040"/>
      <w:r>
        <w:rPr>
          <w:color w:val="000000"/>
          <w:spacing w:val="0"/>
          <w:w w:val="100"/>
          <w:position w:val="0"/>
        </w:rPr>
        <w:t>、</w:t>
        <w:tab/>
        <w:t>重要承诺事项</w:t>
      </w:r>
      <w:bookmarkEnd w:id="2038"/>
      <w:bookmarkEnd w:id="2039"/>
      <w:bookmarkEnd w:id="2041"/>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28"/>
        <w:keepNext/>
        <w:keepLines/>
        <w:widowControl w:val="0"/>
        <w:shd w:val="clear" w:color="auto" w:fill="auto"/>
        <w:tabs>
          <w:tab w:pos="340" w:val="left"/>
        </w:tabs>
        <w:bidi w:val="0"/>
        <w:spacing w:before="0" w:after="300" w:line="314" w:lineRule="exact"/>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bookmarkEnd w:id="2044"/>
      <w:r>
        <w:rPr>
          <w:color w:val="000000"/>
          <w:spacing w:val="0"/>
          <w:w w:val="100"/>
          <w:position w:val="0"/>
        </w:rPr>
        <w:t>、</w:t>
        <w:tab/>
        <w:t>或有事项</w:t>
      </w:r>
      <w:bookmarkEnd w:id="2042"/>
      <w:bookmarkEnd w:id="2043"/>
      <w:bookmarkEnd w:id="2045"/>
    </w:p>
    <w:p>
      <w:pPr>
        <w:pStyle w:val="Style32"/>
        <w:keepNext/>
        <w:keepLines/>
        <w:widowControl w:val="0"/>
        <w:shd w:val="clear" w:color="auto" w:fill="auto"/>
        <w:bidi w:val="0"/>
        <w:spacing w:before="0" w:after="300" w:line="314" w:lineRule="exact"/>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46"/>
      <w:bookmarkEnd w:id="2047"/>
      <w:bookmarkEnd w:id="2048"/>
    </w:p>
    <w:p>
      <w:pPr>
        <w:pStyle w:val="Style39"/>
        <w:keepNext w:val="0"/>
        <w:keepLines w:val="0"/>
        <w:widowControl w:val="0"/>
        <w:shd w:val="clear" w:color="auto" w:fill="auto"/>
        <w:bidi w:val="0"/>
        <w:spacing w:before="0" w:after="300" w:line="314" w:lineRule="exact"/>
        <w:ind w:left="0" w:right="0" w:firstLine="0"/>
        <w:jc w:val="left"/>
        <w:rPr>
          <w:sz w:val="20"/>
          <w:szCs w:val="20"/>
        </w:rPr>
      </w:pPr>
      <w:r>
        <w:rPr>
          <w:color w:val="000000"/>
          <w:spacing w:val="0"/>
          <w:w w:val="100"/>
          <w:position w:val="0"/>
          <w:sz w:val="20"/>
          <w:szCs w:val="20"/>
        </w:rPr>
        <w:t>未决诉讼仲裁形成的或有负债及其财务影响</w:t>
      </w:r>
    </w:p>
    <w:p>
      <w:pPr>
        <w:pStyle w:val="Style39"/>
        <w:keepNext w:val="0"/>
        <w:keepLines w:val="0"/>
        <w:widowControl w:val="0"/>
        <w:numPr>
          <w:ilvl w:val="0"/>
          <w:numId w:val="37"/>
        </w:numPr>
        <w:shd w:val="clear" w:color="auto" w:fill="auto"/>
        <w:tabs>
          <w:tab w:pos="762" w:val="left"/>
        </w:tabs>
        <w:bidi w:val="0"/>
        <w:spacing w:before="0" w:after="300" w:line="314" w:lineRule="exact"/>
        <w:ind w:left="0" w:right="0"/>
        <w:jc w:val="both"/>
        <w:rPr>
          <w:sz w:val="20"/>
          <w:szCs w:val="20"/>
        </w:rPr>
      </w:pPr>
      <w:bookmarkStart w:id="2049" w:name="bookmark2049"/>
      <w:bookmarkEnd w:id="2049"/>
      <w:r>
        <w:rPr>
          <w:color w:val="000000"/>
          <w:spacing w:val="0"/>
          <w:w w:val="100"/>
          <w:position w:val="0"/>
          <w:sz w:val="20"/>
          <w:szCs w:val="20"/>
        </w:rPr>
        <w:t>公司涉及山西潞城农村商业银行股份有限公司与晋中市榆精粮油贸易有限公司之间的金融借款担 保纠纷事项。经公司自查确认，公司没有上述诉讼所提及的相关金融借款合同及担保等有关协议，没有接 触、签署过上述文件，也没有相关用印流程。上述连带责任担保事项未经过公司内部审核程序，未经公司 董事会、股东大会等法定流程审议通过，独立董事未发表同意的独立意见，公司从未进行公告，不符合《公 司法》《证券法》《深圳证券交易所股票上市规则》《深圳证券交易所上市公司规范运作指引》和《公司 章程》等有关规定，上述诉讼涉及的本公司连带保证责任不合法不合规，且公司对上述诉讼事项涉及的连 带担保责任并不知情，公司对上述诉讼请求中要求公司承担的连带保证责任不予承认。截至报告日，上述 诉讼案件尚未审理完结，公司不存在《深圳证券交易所股票上市规则》第</w:t>
      </w:r>
      <w:r>
        <w:rPr>
          <w:rFonts w:ascii="Times New Roman" w:eastAsia="Times New Roman" w:hAnsi="Times New Roman" w:cs="Times New Roman"/>
          <w:color w:val="000000"/>
          <w:spacing w:val="0"/>
          <w:w w:val="100"/>
          <w:position w:val="0"/>
          <w:sz w:val="20"/>
          <w:szCs w:val="20"/>
        </w:rPr>
        <w:t>13.3.</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条、第</w:t>
      </w:r>
      <w:r>
        <w:rPr>
          <w:rFonts w:ascii="Times New Roman" w:eastAsia="Times New Roman" w:hAnsi="Times New Roman" w:cs="Times New Roman"/>
          <w:color w:val="000000"/>
          <w:spacing w:val="0"/>
          <w:w w:val="100"/>
          <w:position w:val="0"/>
          <w:sz w:val="20"/>
          <w:szCs w:val="20"/>
        </w:rPr>
        <w:t>13.3.</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条规定的应实 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其他风险警示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的情形。预计不会对公司产生财务影响。</w:t>
      </w:r>
    </w:p>
    <w:p>
      <w:pPr>
        <w:pStyle w:val="Style39"/>
        <w:keepNext w:val="0"/>
        <w:keepLines w:val="0"/>
        <w:widowControl w:val="0"/>
        <w:numPr>
          <w:ilvl w:val="0"/>
          <w:numId w:val="37"/>
        </w:numPr>
        <w:shd w:val="clear" w:color="auto" w:fill="auto"/>
        <w:tabs>
          <w:tab w:pos="767" w:val="left"/>
        </w:tabs>
        <w:bidi w:val="0"/>
        <w:spacing w:before="0" w:after="0" w:line="314" w:lineRule="exact"/>
        <w:ind w:left="0" w:right="0"/>
        <w:jc w:val="both"/>
        <w:rPr>
          <w:sz w:val="20"/>
          <w:szCs w:val="20"/>
        </w:rPr>
      </w:pPr>
      <w:bookmarkStart w:id="2050" w:name="bookmark2050"/>
      <w:bookmarkEnd w:id="2050"/>
      <w:r>
        <w:rPr>
          <w:color w:val="000000"/>
          <w:spacing w:val="0"/>
          <w:w w:val="100"/>
          <w:position w:val="0"/>
          <w:sz w:val="20"/>
          <w:szCs w:val="20"/>
        </w:rPr>
        <w:t>因公司在中信银行借款逾期，广东省深圳市福田区人民法院对公司资产采取了保全措施，冻结了公 司持有的合利金融</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的股权以及合利金融持有的合利宝</w:t>
      </w: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的股权，股权保全期限三年，冻结银行账户 余额共计</w:t>
      </w:r>
      <w:r>
        <w:rPr>
          <w:rFonts w:ascii="Times New Roman" w:eastAsia="Times New Roman" w:hAnsi="Times New Roman" w:cs="Times New Roman"/>
          <w:color w:val="000000"/>
          <w:spacing w:val="0"/>
          <w:w w:val="100"/>
          <w:position w:val="0"/>
          <w:sz w:val="20"/>
          <w:szCs w:val="20"/>
        </w:rPr>
        <w:t>17</w:t>
      </w:r>
      <w:r>
        <w:rPr>
          <w:rFonts w:ascii="Times New Roman" w:eastAsia="Times New Roman" w:hAnsi="Times New Roman" w:cs="Times New Roman"/>
          <w:color w:val="000000"/>
          <w:spacing w:val="0"/>
          <w:w w:val="100"/>
          <w:position w:val="0"/>
          <w:sz w:val="20"/>
          <w:szCs w:val="20"/>
        </w:rPr>
        <w:t>,049.6</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元。因公司在兴业银行借款逾期，合利宝收到北京市第四中级人民法院委托广州市天河 区人民法院送达的《协助执行通知书》，要求合利宝协助冻结合利金融持有的合利宝全部股权以及产生的 孳息，包括股息、红利、现金收益等，冻结期限为三年。</w:t>
      </w:r>
    </w:p>
    <w:p>
      <w:pPr>
        <w:pStyle w:val="Style39"/>
        <w:keepNext w:val="0"/>
        <w:keepLines w:val="0"/>
        <w:widowControl w:val="0"/>
        <w:shd w:val="clear" w:color="auto" w:fill="auto"/>
        <w:bidi w:val="0"/>
        <w:spacing w:before="0" w:after="300" w:line="314" w:lineRule="exact"/>
        <w:ind w:left="0" w:right="0"/>
        <w:jc w:val="left"/>
        <w:rPr>
          <w:sz w:val="20"/>
          <w:szCs w:val="20"/>
        </w:rPr>
      </w:pPr>
      <w:r>
        <w:rPr>
          <w:color w:val="000000"/>
          <w:spacing w:val="0"/>
          <w:w w:val="100"/>
          <w:position w:val="0"/>
          <w:sz w:val="20"/>
          <w:szCs w:val="20"/>
        </w:rPr>
        <w:t>上述股权冻结不包括子公司控制的经营性资产，暂未对公司的日常经营造成重大影响。</w:t>
      </w:r>
    </w:p>
    <w:p>
      <w:pPr>
        <w:pStyle w:val="Style39"/>
        <w:keepNext w:val="0"/>
        <w:keepLines w:val="0"/>
        <w:widowControl w:val="0"/>
        <w:numPr>
          <w:ilvl w:val="0"/>
          <w:numId w:val="37"/>
        </w:numPr>
        <w:shd w:val="clear" w:color="auto" w:fill="auto"/>
        <w:tabs>
          <w:tab w:pos="757" w:val="left"/>
        </w:tabs>
        <w:bidi w:val="0"/>
        <w:spacing w:before="0" w:after="300" w:line="311" w:lineRule="exact"/>
        <w:ind w:left="0" w:right="0"/>
        <w:jc w:val="both"/>
        <w:rPr>
          <w:sz w:val="20"/>
          <w:szCs w:val="20"/>
        </w:rPr>
      </w:pPr>
      <w:bookmarkStart w:id="2051" w:name="bookmark2051"/>
      <w:bookmarkEnd w:id="2051"/>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日，仁东控股股份有限公司（以下简称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）与北京海淀科技金融资本控股集团股份 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海科金集团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）签署了《委托贷款合同》，约定公司向其借款</w:t>
      </w:r>
      <w:r>
        <w:rPr>
          <w:rFonts w:ascii="Times New Roman" w:eastAsia="Times New Roman" w:hAnsi="Times New Roman" w:cs="Times New Roman"/>
          <w:color w:val="000000"/>
          <w:spacing w:val="0"/>
          <w:w w:val="100"/>
          <w:position w:val="0"/>
          <w:sz w:val="20"/>
          <w:szCs w:val="20"/>
        </w:rPr>
        <w:t>15,000</w:t>
      </w:r>
      <w:r>
        <w:rPr>
          <w:color w:val="000000"/>
          <w:spacing w:val="0"/>
          <w:w w:val="100"/>
          <w:position w:val="0"/>
          <w:sz w:val="20"/>
          <w:szCs w:val="20"/>
        </w:rPr>
        <w:t>万元，借款期限 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日。根据《委托贷款合同》的约定，北京仁东信息技术有限公司、仁东（天 津）科技有限公司、广东合利金融科技服务有限公司、广州合利宝支付科技有限公司为本笔借款提供第三 方保证担保。海科金集团分别于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日向公司发放借款</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sz w:val="20"/>
          <w:szCs w:val="20"/>
        </w:rPr>
        <w:t>万元， 合计发放借款</w:t>
      </w:r>
      <w:r>
        <w:rPr>
          <w:rFonts w:ascii="Times New Roman" w:eastAsia="Times New Roman" w:hAnsi="Times New Roman" w:cs="Times New Roman"/>
          <w:color w:val="000000"/>
          <w:spacing w:val="0"/>
          <w:w w:val="100"/>
          <w:position w:val="0"/>
          <w:sz w:val="20"/>
          <w:szCs w:val="20"/>
        </w:rPr>
        <w:t>14,500</w:t>
      </w:r>
      <w:r>
        <w:rPr>
          <w:color w:val="000000"/>
          <w:spacing w:val="0"/>
          <w:w w:val="100"/>
          <w:position w:val="0"/>
          <w:sz w:val="20"/>
          <w:szCs w:val="20"/>
        </w:rPr>
        <w:t>万元。为保证海科金集团债权的实现，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月份，公司增加了海科金集团子公司北 京海淀科技企业融资担保有限公司作为担保人，为公司本笔借款提供担保，公司以自身持有的海科金集团 </w:t>
      </w: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的股权向其提供质押反担保。</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月初，公司收到海科金集团邮寄的债务提前到期通知书，海科金集团单方面宣布本笔借款于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日提前到期，要求公司立即偿还</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亿元借款本金及相关利息。在收到借款提前到期的通知 后，公司与海科金集团就借款到期情况进行了沟通，说明了本笔借款不符合提前到期条件的理由及不同意 提前到期的要求，对其进行了书面回复。</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本笔借款公司曾向海科金集团提出书面续贷申请，但截止目前双方未能达成一致意见，造成该笔借款 实质上处于逾期状态，公司在海科金集团逾期借款金额</w:t>
      </w:r>
      <w:r>
        <w:rPr>
          <w:rFonts w:ascii="Times New Roman" w:eastAsia="Times New Roman" w:hAnsi="Times New Roman" w:cs="Times New Roman"/>
          <w:color w:val="000000"/>
          <w:spacing w:val="0"/>
          <w:w w:val="100"/>
          <w:position w:val="0"/>
          <w:sz w:val="20"/>
          <w:szCs w:val="20"/>
        </w:rPr>
        <w:t>14,500</w:t>
      </w:r>
      <w:r>
        <w:rPr>
          <w:color w:val="000000"/>
          <w:spacing w:val="0"/>
          <w:w w:val="100"/>
          <w:position w:val="0"/>
          <w:sz w:val="20"/>
          <w:szCs w:val="20"/>
        </w:rPr>
        <w:t>万元。根据公司在企业工商信息查询网站查 询到的信息，公司存在被法院执行的情况，具体执行信息为：立案日期：</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日；被执行人：公 司及子公司合利金融；执行标的：</w:t>
      </w:r>
      <w:r>
        <w:rPr>
          <w:rFonts w:ascii="Times New Roman" w:eastAsia="Times New Roman" w:hAnsi="Times New Roman" w:cs="Times New Roman"/>
          <w:color w:val="000000"/>
          <w:spacing w:val="0"/>
          <w:w w:val="100"/>
          <w:position w:val="0"/>
          <w:sz w:val="20"/>
          <w:szCs w:val="20"/>
        </w:rPr>
        <w:t>145,288,384</w:t>
      </w:r>
      <w:r>
        <w:rPr>
          <w:color w:val="000000"/>
          <w:spacing w:val="0"/>
          <w:w w:val="100"/>
          <w:position w:val="0"/>
          <w:sz w:val="20"/>
          <w:szCs w:val="20"/>
        </w:rPr>
        <w:t>元；执行法院：北京市第三中级人民法院。</w:t>
      </w:r>
    </w:p>
    <w:p>
      <w:pPr>
        <w:pStyle w:val="Style39"/>
        <w:keepNext w:val="0"/>
        <w:keepLines w:val="0"/>
        <w:widowControl w:val="0"/>
        <w:shd w:val="clear" w:color="auto" w:fill="auto"/>
        <w:bidi w:val="0"/>
        <w:spacing w:before="0" w:after="320" w:line="314" w:lineRule="exact"/>
        <w:ind w:left="0" w:right="0" w:firstLine="420"/>
        <w:jc w:val="left"/>
        <w:rPr>
          <w:sz w:val="20"/>
          <w:szCs w:val="20"/>
        </w:rPr>
      </w:pPr>
      <w:r>
        <w:rPr>
          <w:color w:val="000000"/>
          <w:spacing w:val="0"/>
          <w:w w:val="100"/>
          <w:position w:val="0"/>
          <w:sz w:val="20"/>
          <w:szCs w:val="20"/>
        </w:rPr>
        <w:t>目前公司正积极推动以自身持有海科金集团</w:t>
      </w:r>
      <w:r>
        <w:rPr>
          <w:rFonts w:ascii="Times New Roman" w:eastAsia="Times New Roman" w:hAnsi="Times New Roman" w:cs="Times New Roman"/>
          <w:color w:val="000000"/>
          <w:spacing w:val="0"/>
          <w:w w:val="100"/>
          <w:position w:val="0"/>
          <w:sz w:val="20"/>
          <w:szCs w:val="20"/>
        </w:rPr>
        <w:t>3.0236%</w:t>
      </w:r>
      <w:r>
        <w:rPr>
          <w:color w:val="000000"/>
          <w:spacing w:val="0"/>
          <w:w w:val="100"/>
          <w:position w:val="0"/>
          <w:sz w:val="20"/>
          <w:szCs w:val="20"/>
        </w:rPr>
        <w:t>的股权清偿应付债务。</w:t>
      </w:r>
    </w:p>
    <w:p>
      <w:pPr>
        <w:pStyle w:val="Style39"/>
        <w:keepNext w:val="0"/>
        <w:keepLines w:val="0"/>
        <w:widowControl w:val="0"/>
        <w:shd w:val="clear" w:color="auto" w:fill="auto"/>
        <w:bidi w:val="0"/>
        <w:spacing w:before="0" w:after="580" w:line="314" w:lineRule="exact"/>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日公司无为其他单位提供债务担保形成的或有负债。</w:t>
      </w:r>
    </w:p>
    <w:p>
      <w:pPr>
        <w:pStyle w:val="Style32"/>
        <w:keepNext/>
        <w:keepLines/>
        <w:widowControl w:val="0"/>
        <w:shd w:val="clear" w:color="auto" w:fill="auto"/>
        <w:bidi w:val="0"/>
        <w:spacing w:before="0" w:line="314" w:lineRule="exact"/>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52"/>
      <w:bookmarkEnd w:id="2053"/>
      <w:bookmarkEnd w:id="2054"/>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line="314" w:lineRule="exact"/>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、其他</w:t>
      </w:r>
      <w:bookmarkEnd w:id="2055"/>
      <w:bookmarkEnd w:id="2056"/>
      <w:bookmarkEnd w:id="2058"/>
    </w:p>
    <w:p>
      <w:pPr>
        <w:pStyle w:val="Style22"/>
        <w:keepNext/>
        <w:keepLines/>
        <w:widowControl w:val="0"/>
        <w:shd w:val="clear" w:color="auto" w:fill="auto"/>
        <w:bidi w:val="0"/>
        <w:spacing w:before="0" w:after="320" w:line="240" w:lineRule="auto"/>
        <w:ind w:left="0" w:right="0" w:firstLine="0"/>
        <w:jc w:val="left"/>
      </w:pPr>
      <w:bookmarkStart w:id="2059" w:name="bookmark2059"/>
      <w:bookmarkStart w:id="2060" w:name="bookmark2060"/>
      <w:bookmarkStart w:id="2061" w:name="bookmark2061"/>
      <w:r>
        <w:rPr>
          <w:color w:val="000000"/>
          <w:spacing w:val="0"/>
          <w:w w:val="100"/>
          <w:position w:val="0"/>
        </w:rPr>
        <w:t>十五、资产负债表日后事项</w:t>
      </w:r>
      <w:bookmarkEnd w:id="2059"/>
      <w:bookmarkEnd w:id="2060"/>
      <w:bookmarkEnd w:id="2061"/>
    </w:p>
    <w:p>
      <w:pPr>
        <w:pStyle w:val="Style28"/>
        <w:keepNext/>
        <w:keepLines/>
        <w:widowControl w:val="0"/>
        <w:shd w:val="clear" w:color="auto" w:fill="auto"/>
        <w:bidi w:val="0"/>
        <w:spacing w:before="0" w:line="314" w:lineRule="exact"/>
        <w:ind w:left="0" w:right="0" w:firstLine="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2"/>
      <w:bookmarkEnd w:id="2063"/>
      <w:bookmarkEnd w:id="20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2</w:t>
      </w:r>
      <w:bookmarkEnd w:id="2067"/>
      <w:r>
        <w:rPr>
          <w:color w:val="000000"/>
          <w:spacing w:val="0"/>
          <w:w w:val="100"/>
          <w:position w:val="0"/>
        </w:rPr>
        <w:t>、</w:t>
        <w:tab/>
        <w:t>利润分配情况</w:t>
      </w:r>
      <w:bookmarkEnd w:id="2065"/>
      <w:bookmarkEnd w:id="2066"/>
      <w:bookmarkEnd w:id="2068"/>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28"/>
        <w:keepNext/>
        <w:keepLines/>
        <w:widowControl w:val="0"/>
        <w:shd w:val="clear" w:color="auto" w:fill="auto"/>
        <w:tabs>
          <w:tab w:pos="378" w:val="left"/>
        </w:tabs>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3</w:t>
      </w:r>
      <w:bookmarkEnd w:id="2071"/>
      <w:r>
        <w:rPr>
          <w:color w:val="000000"/>
          <w:spacing w:val="0"/>
          <w:w w:val="100"/>
          <w:position w:val="0"/>
        </w:rPr>
        <w:t>、</w:t>
        <w:tab/>
        <w:t>销售退回</w:t>
      </w:r>
      <w:bookmarkEnd w:id="2069"/>
      <w:bookmarkEnd w:id="2070"/>
      <w:bookmarkEnd w:id="2072"/>
    </w:p>
    <w:p>
      <w:pPr>
        <w:pStyle w:val="Style28"/>
        <w:keepNext/>
        <w:keepLines/>
        <w:widowControl w:val="0"/>
        <w:shd w:val="clear" w:color="auto" w:fill="auto"/>
        <w:tabs>
          <w:tab w:pos="378" w:val="left"/>
        </w:tabs>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4</w:t>
      </w:r>
      <w:bookmarkEnd w:id="2075"/>
      <w:r>
        <w:rPr>
          <w:color w:val="000000"/>
          <w:spacing w:val="0"/>
          <w:w w:val="100"/>
          <w:position w:val="0"/>
        </w:rPr>
        <w:t>、</w:t>
        <w:tab/>
        <w:t>其他资产负债表日后事项说明</w:t>
      </w:r>
      <w:bookmarkEnd w:id="2073"/>
      <w:bookmarkEnd w:id="2074"/>
      <w:bookmarkEnd w:id="2076"/>
    </w:p>
    <w:p>
      <w:pPr>
        <w:pStyle w:val="Style22"/>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79" w:name="bookmark2079"/>
      <w:r>
        <w:rPr>
          <w:color w:val="000000"/>
          <w:spacing w:val="0"/>
          <w:w w:val="100"/>
          <w:position w:val="0"/>
        </w:rPr>
        <w:t>十六、其他重要事项</w:t>
      </w:r>
      <w:bookmarkEnd w:id="2077"/>
      <w:bookmarkEnd w:id="2078"/>
      <w:bookmarkEnd w:id="2079"/>
    </w:p>
    <w:p>
      <w:pPr>
        <w:pStyle w:val="Style28"/>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80"/>
      <w:bookmarkEnd w:id="2081"/>
      <w:bookmarkEnd w:id="2082"/>
    </w:p>
    <w:p>
      <w:pPr>
        <w:pStyle w:val="Style32"/>
        <w:keepNext/>
        <w:keepLines/>
        <w:widowControl w:val="0"/>
        <w:shd w:val="clear" w:color="auto" w:fill="auto"/>
        <w:bidi w:val="0"/>
        <w:spacing w:before="0" w:line="240" w:lineRule="auto"/>
        <w:ind w:left="0" w:right="0" w:firstLine="0"/>
        <w:jc w:val="both"/>
      </w:pPr>
      <w:bookmarkStart w:id="2083" w:name="bookmark2083"/>
      <w:bookmarkStart w:id="2084" w:name="bookmark2084"/>
      <w:bookmarkStart w:id="2085" w:name="bookmark2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3"/>
      <w:bookmarkEnd w:id="2084"/>
      <w:bookmarkEnd w:id="20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748,803.62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-4,644,915.95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81,907,232.36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-51,758,512.79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-38,907,232.36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-59,027,232.36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根据行政处罚公告显示，</w:t>
            </w: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董事会会议通过《关于前期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-3,698,719.57</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会计差错更正的议案》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-55,328,512.79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归属于母公司所有者的净利 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-55,328,512.79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销售商品、提供劳务收到的现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-38,907,232.36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收到其他与经营活动有关的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支付其他与经营活动有关的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收到其他与投资活动有关的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91,907,232.36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支付其他与投资活动有关的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300,706,761.48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295,706,761.48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5,393,719.57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-1,228,000.00</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-111,178,280.43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-19,886,006.16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-38,886,761.48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-58,772,767.64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-57,077,767.64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归属于母公司所有者的净利 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-57,077,767.64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销售商品、提供劳务收到的现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-19,886,006.16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收到其他与经营活动有关的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支付其他与经营活动有关的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收到其他与投资活动有关的 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292,386,006.16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根据行政处罚公告显示，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年虚增保理业务收入 和利润，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董事会会议通过《关于前期 会计差错更正的议案》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支付其他与投资活动有关的 现金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r>
    </w:tbl>
    <w:p>
      <w:pPr>
        <w:pStyle w:val="Style24"/>
        <w:keepNext w:val="0"/>
        <w:keepLines w:val="0"/>
        <w:widowControl w:val="0"/>
        <w:shd w:val="clear" w:color="auto" w:fill="auto"/>
        <w:bidi w:val="0"/>
        <w:spacing w:before="0" w:after="0" w:line="240" w:lineRule="auto"/>
        <w:ind w:left="10" w:right="0" w:firstLine="0"/>
        <w:jc w:val="left"/>
        <w:rPr>
          <w:sz w:val="20"/>
          <w:szCs w:val="20"/>
        </w:rPr>
      </w:pPr>
      <w:bookmarkStart w:id="2086" w:name="bookmark208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86"/>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2</w:t>
      </w:r>
      <w:bookmarkEnd w:id="2089"/>
      <w:r>
        <w:rPr>
          <w:color w:val="000000"/>
          <w:spacing w:val="0"/>
          <w:w w:val="100"/>
          <w:position w:val="0"/>
        </w:rPr>
        <w:t>、</w:t>
        <w:tab/>
        <w:t>债务重组</w:t>
      </w:r>
      <w:bookmarkEnd w:id="2087"/>
      <w:bookmarkEnd w:id="2088"/>
      <w:bookmarkEnd w:id="2090"/>
    </w:p>
    <w:p>
      <w:pPr>
        <w:pStyle w:val="Style28"/>
        <w:keepNext/>
        <w:keepLines/>
        <w:widowControl w:val="0"/>
        <w:shd w:val="clear" w:color="auto" w:fill="auto"/>
        <w:tabs>
          <w:tab w:pos="378"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3</w:t>
      </w:r>
      <w:bookmarkEnd w:id="2093"/>
      <w:r>
        <w:rPr>
          <w:color w:val="000000"/>
          <w:spacing w:val="0"/>
          <w:w w:val="100"/>
          <w:position w:val="0"/>
        </w:rPr>
        <w:t>、</w:t>
        <w:tab/>
        <w:t>资产置换</w:t>
      </w:r>
      <w:bookmarkEnd w:id="2091"/>
      <w:bookmarkEnd w:id="2092"/>
      <w:bookmarkEnd w:id="2094"/>
    </w:p>
    <w:p>
      <w:pPr>
        <w:pStyle w:val="Style32"/>
        <w:keepNext/>
        <w:keepLines/>
        <w:widowControl w:val="0"/>
        <w:shd w:val="clear" w:color="auto" w:fill="auto"/>
        <w:tabs>
          <w:tab w:pos="493"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95"/>
      <w:bookmarkEnd w:id="2096"/>
      <w:bookmarkEnd w:id="2098"/>
    </w:p>
    <w:p>
      <w:pPr>
        <w:pStyle w:val="Style32"/>
        <w:keepNext/>
        <w:keepLines/>
        <w:widowControl w:val="0"/>
        <w:shd w:val="clear" w:color="auto" w:fill="auto"/>
        <w:tabs>
          <w:tab w:pos="493" w:val="left"/>
        </w:tabs>
        <w:bidi w:val="0"/>
        <w:spacing w:before="0" w:after="36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99"/>
      <w:bookmarkEnd w:id="2100"/>
      <w:bookmarkEnd w:id="2102"/>
    </w:p>
    <w:p>
      <w:pPr>
        <w:pStyle w:val="Style28"/>
        <w:keepNext/>
        <w:keepLines/>
        <w:widowControl w:val="0"/>
        <w:shd w:val="clear" w:color="auto" w:fill="auto"/>
        <w:tabs>
          <w:tab w:pos="378" w:val="left"/>
        </w:tabs>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年金计划</w:t>
      </w:r>
      <w:bookmarkEnd w:id="2103"/>
      <w:bookmarkEnd w:id="2104"/>
      <w:bookmarkEnd w:id="2106"/>
    </w:p>
    <w:p>
      <w:pPr>
        <w:pStyle w:val="Style28"/>
        <w:keepNext/>
        <w:keepLines/>
        <w:widowControl w:val="0"/>
        <w:shd w:val="clear" w:color="auto" w:fill="auto"/>
        <w:tabs>
          <w:tab w:pos="378" w:val="left"/>
        </w:tabs>
        <w:bidi w:val="0"/>
        <w:spacing w:before="0" w:after="36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w:t>
        <w:tab/>
        <w:t>终止经营</w:t>
      </w:r>
      <w:bookmarkEnd w:id="2107"/>
      <w:bookmarkEnd w:id="2108"/>
      <w:bookmarkEnd w:id="21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6</w:t>
      </w:r>
      <w:bookmarkEnd w:id="2113"/>
      <w:r>
        <w:rPr>
          <w:color w:val="000000"/>
          <w:spacing w:val="0"/>
          <w:w w:val="100"/>
          <w:position w:val="0"/>
        </w:rPr>
        <w:t>、分部信息</w:t>
      </w:r>
      <w:bookmarkEnd w:id="2111"/>
      <w:bookmarkEnd w:id="2112"/>
      <w:bookmarkEnd w:id="2114"/>
    </w:p>
    <w:p>
      <w:pPr>
        <w:pStyle w:val="Style32"/>
        <w:keepNext/>
        <w:keepLines/>
        <w:widowControl w:val="0"/>
        <w:shd w:val="clear" w:color="auto" w:fill="auto"/>
        <w:tabs>
          <w:tab w:pos="493" w:val="left"/>
        </w:tabs>
        <w:bidi w:val="0"/>
        <w:spacing w:before="0" w:after="36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15"/>
      <w:bookmarkEnd w:id="2116"/>
      <w:bookmarkEnd w:id="2118"/>
    </w:p>
    <w:p>
      <w:pPr>
        <w:pStyle w:val="Style32"/>
        <w:keepNext/>
        <w:keepLines/>
        <w:widowControl w:val="0"/>
        <w:shd w:val="clear" w:color="auto" w:fill="auto"/>
        <w:tabs>
          <w:tab w:pos="493" w:val="left"/>
        </w:tabs>
        <w:bidi w:val="0"/>
        <w:spacing w:before="0" w:after="36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19"/>
      <w:bookmarkEnd w:id="2120"/>
      <w:bookmarkEnd w:id="2122"/>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23"/>
      <w:bookmarkEnd w:id="2124"/>
      <w:bookmarkEnd w:id="2126"/>
    </w:p>
    <w:p>
      <w:pPr>
        <w:pStyle w:val="Style32"/>
        <w:keepNext/>
        <w:keepLines/>
        <w:widowControl w:val="0"/>
        <w:shd w:val="clear" w:color="auto" w:fill="auto"/>
        <w:tabs>
          <w:tab w:pos="493" w:val="left"/>
        </w:tabs>
        <w:bidi w:val="0"/>
        <w:spacing w:before="0" w:after="36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27"/>
      <w:bookmarkEnd w:id="2128"/>
      <w:bookmarkEnd w:id="2130"/>
    </w:p>
    <w:p>
      <w:pPr>
        <w:pStyle w:val="Style28"/>
        <w:keepNext/>
        <w:keepLines/>
        <w:widowControl w:val="0"/>
        <w:shd w:val="clear" w:color="auto" w:fill="auto"/>
        <w:tabs>
          <w:tab w:pos="373" w:val="left"/>
        </w:tabs>
        <w:bidi w:val="0"/>
        <w:spacing w:before="0" w:after="36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7</w:t>
      </w:r>
      <w:bookmarkEnd w:id="2133"/>
      <w:r>
        <w:rPr>
          <w:color w:val="000000"/>
          <w:spacing w:val="0"/>
          <w:w w:val="100"/>
          <w:position w:val="0"/>
        </w:rPr>
        <w:t>、</w:t>
        <w:tab/>
        <w:t>其他对投资者决策有影响的重要交易和事项</w:t>
      </w:r>
      <w:bookmarkEnd w:id="2131"/>
      <w:bookmarkEnd w:id="2132"/>
      <w:bookmarkEnd w:id="2134"/>
    </w:p>
    <w:p>
      <w:pPr>
        <w:pStyle w:val="Style28"/>
        <w:keepNext/>
        <w:keepLines/>
        <w:widowControl w:val="0"/>
        <w:shd w:val="clear" w:color="auto" w:fill="auto"/>
        <w:tabs>
          <w:tab w:pos="378" w:val="left"/>
        </w:tabs>
        <w:bidi w:val="0"/>
        <w:spacing w:before="0" w:after="36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8</w:t>
      </w:r>
      <w:bookmarkEnd w:id="2137"/>
      <w:r>
        <w:rPr>
          <w:color w:val="000000"/>
          <w:spacing w:val="0"/>
          <w:w w:val="100"/>
          <w:position w:val="0"/>
        </w:rPr>
        <w:t>、</w:t>
        <w:tab/>
        <w:t>其他</w:t>
      </w:r>
      <w:bookmarkEnd w:id="2135"/>
      <w:bookmarkEnd w:id="2136"/>
      <w:bookmarkEnd w:id="2138"/>
    </w:p>
    <w:p>
      <w:pPr>
        <w:pStyle w:val="Style3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租赁</w:t>
      </w:r>
    </w:p>
    <w:p>
      <w:pPr>
        <w:pStyle w:val="Style39"/>
        <w:keepNext w:val="0"/>
        <w:keepLines w:val="0"/>
        <w:widowControl w:val="0"/>
        <w:shd w:val="clear" w:color="auto" w:fill="auto"/>
        <w:tabs>
          <w:tab w:pos="5122" w:val="left"/>
          <w:tab w:leader="underscore" w:pos="8515" w:val="left"/>
        </w:tabs>
        <w:bidi w:val="0"/>
        <w:spacing w:before="0" w:after="60" w:line="240" w:lineRule="auto"/>
        <w:ind w:left="0" w:right="0" w:firstLine="0"/>
        <w:jc w:val="left"/>
        <w:rPr>
          <w:sz w:val="20"/>
          <w:szCs w:val="20"/>
        </w:rPr>
      </w:pPr>
      <w:r>
        <w:rPr>
          <w:color w:val="000000"/>
          <w:spacing w:val="0"/>
          <w:w w:val="100"/>
          <w:position w:val="0"/>
          <w:sz w:val="20"/>
          <w:szCs w:val="20"/>
          <w:u w:val="single"/>
        </w:rPr>
        <w:t>本公司作为承租人</w:t>
      </w:r>
      <w:r>
        <w:rPr>
          <w:color w:val="000000"/>
          <w:spacing w:val="0"/>
          <w:w w:val="100"/>
          <w:position w:val="0"/>
          <w:sz w:val="20"/>
          <w:szCs w:val="20"/>
        </w:rPr>
        <w:tab/>
        <w:tab/>
      </w:r>
    </w:p>
    <w:p>
      <w:pPr>
        <w:pStyle w:val="Style39"/>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金额</w:t>
      </w:r>
    </w:p>
    <w:tbl>
      <w:tblPr>
        <w:tblOverlap w:val="never"/>
        <w:jc w:val="left"/>
        <w:tblLayout w:type="fixed"/>
      </w:tblPr>
      <w:tblGrid>
        <w:gridCol w:w="5136"/>
        <w:gridCol w:w="342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计入当期损益的采用简化处理的短期租赁费用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1,943,052.85</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计入当期损益的采用简化处理的低价值资产租赁费 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630,805.93</w:t>
            </w:r>
          </w:p>
        </w:tc>
      </w:tr>
    </w:tbl>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本公司作为出租人</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资产负债表日后将收到的经营租赁未折现租赁收款额:</w:t>
      </w:r>
    </w:p>
    <w:tbl>
      <w:tblPr>
        <w:tblOverlap w:val="never"/>
        <w:jc w:val="left"/>
        <w:tblLayout w:type="fixed"/>
      </w:tblPr>
      <w:tblGrid>
        <w:gridCol w:w="4776"/>
        <w:gridCol w:w="378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7,012,300.57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剩余年度将收到的未折现租赁收款额</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7,012,300.57</w:t>
            </w:r>
          </w:p>
        </w:tc>
      </w:tr>
    </w:tbl>
    <w:p>
      <w:pPr>
        <w:widowControl w:val="0"/>
        <w:spacing w:after="579" w:line="1" w:lineRule="exact"/>
      </w:pPr>
    </w:p>
    <w:p>
      <w:pPr>
        <w:pStyle w:val="Style39"/>
        <w:keepNext w:val="0"/>
        <w:keepLines w:val="0"/>
        <w:widowControl w:val="0"/>
        <w:shd w:val="clear" w:color="auto" w:fill="auto"/>
        <w:bidi w:val="0"/>
        <w:spacing w:before="0" w:after="0" w:line="313" w:lineRule="exact"/>
        <w:ind w:left="0" w:right="0" w:firstLine="0"/>
        <w:jc w:val="both"/>
        <w:rPr>
          <w:sz w:val="20"/>
          <w:szCs w:val="20"/>
        </w:rPr>
      </w:pPr>
      <w:r>
        <w:rPr>
          <w:b/>
          <w:bCs/>
          <w:color w:val="000000"/>
          <w:spacing w:val="0"/>
          <w:w w:val="100"/>
          <w:position w:val="0"/>
          <w:sz w:val="20"/>
          <w:szCs w:val="20"/>
        </w:rPr>
        <w:t>借款到期情况</w:t>
      </w:r>
    </w:p>
    <w:p>
      <w:pPr>
        <w:pStyle w:val="Style39"/>
        <w:keepNext w:val="0"/>
        <w:keepLines w:val="0"/>
        <w:widowControl w:val="0"/>
        <w:shd w:val="clear" w:color="auto" w:fill="auto"/>
        <w:bidi w:val="0"/>
        <w:spacing w:before="0" w:after="0" w:line="313"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日，本公司与北京海淀科技金融资本控股集团股份有限公司（以下简称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海科金集团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 署了《委托贷款合同》，约定公司向其借款</w:t>
      </w:r>
      <w:r>
        <w:rPr>
          <w:rFonts w:ascii="Times New Roman" w:eastAsia="Times New Roman" w:hAnsi="Times New Roman" w:cs="Times New Roman"/>
          <w:color w:val="000000"/>
          <w:spacing w:val="0"/>
          <w:w w:val="100"/>
          <w:position w:val="0"/>
          <w:sz w:val="20"/>
          <w:szCs w:val="20"/>
        </w:rPr>
        <w:t>15,000</w:t>
      </w:r>
      <w:r>
        <w:rPr>
          <w:color w:val="000000"/>
          <w:spacing w:val="0"/>
          <w:w w:val="100"/>
          <w:position w:val="0"/>
          <w:sz w:val="20"/>
          <w:szCs w:val="20"/>
        </w:rPr>
        <w:t>万元，借款期限自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p>
      <w:pPr>
        <w:pStyle w:val="Style39"/>
        <w:keepNext w:val="0"/>
        <w:keepLines w:val="0"/>
        <w:widowControl w:val="0"/>
        <w:shd w:val="clear" w:color="auto" w:fill="auto"/>
        <w:bidi w:val="0"/>
        <w:spacing w:before="0" w:after="300" w:line="313" w:lineRule="exact"/>
        <w:ind w:left="0" w:right="0"/>
        <w:jc w:val="both"/>
        <w:rPr>
          <w:sz w:val="20"/>
          <w:szCs w:val="20"/>
        </w:rPr>
      </w:pPr>
      <w:r>
        <w:rPr>
          <w:color w:val="000000"/>
          <w:spacing w:val="0"/>
          <w:w w:val="100"/>
          <w:position w:val="0"/>
          <w:sz w:val="20"/>
          <w:szCs w:val="20"/>
        </w:rPr>
        <w:t>自借款发放以来，公司严格按照合同约定归还各期利息，较好的履行了合同约定的义务。</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 初，公司收到海科金集团邮寄的债务提前到期通知书，海科金集团单方面宣布本笔借款于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日提前到期，要求公司立即偿还</w:t>
      </w:r>
      <w:r>
        <w:rPr>
          <w:rFonts w:ascii="Times New Roman" w:eastAsia="Times New Roman" w:hAnsi="Times New Roman" w:cs="Times New Roman"/>
          <w:color w:val="000000"/>
          <w:spacing w:val="0"/>
          <w:w w:val="100"/>
          <w:position w:val="0"/>
          <w:sz w:val="20"/>
          <w:szCs w:val="20"/>
        </w:rPr>
        <w:t>1.45</w:t>
      </w:r>
      <w:r>
        <w:rPr>
          <w:color w:val="000000"/>
          <w:spacing w:val="0"/>
          <w:w w:val="100"/>
          <w:position w:val="0"/>
          <w:sz w:val="20"/>
          <w:szCs w:val="20"/>
        </w:rPr>
        <w:t>亿元借款本金及相关利息。在收到借款提前到期的通知后，公司 与海科金集团就借款到期情况进行了沟通，向其阐述了公司目前的经营情况，说明了本笔借款不符合提前 到期条件的理由及不同意提前到期的要求，对其进行了书面回复，并提出了原定合同期限到期后的续贷申 请，截至目前公司尚未得到回复。</w:t>
      </w:r>
    </w:p>
    <w:p>
      <w:pPr>
        <w:pStyle w:val="Style39"/>
        <w:keepNext w:val="0"/>
        <w:keepLines w:val="0"/>
        <w:widowControl w:val="0"/>
        <w:shd w:val="clear" w:color="auto" w:fill="auto"/>
        <w:bidi w:val="0"/>
        <w:spacing w:before="0" w:after="0"/>
        <w:ind w:left="0" w:right="0" w:firstLine="0"/>
        <w:jc w:val="left"/>
        <w:rPr>
          <w:sz w:val="20"/>
          <w:szCs w:val="20"/>
        </w:rPr>
      </w:pPr>
      <w:r>
        <w:rPr>
          <w:b/>
          <w:bCs/>
          <w:color w:val="000000"/>
          <w:spacing w:val="0"/>
          <w:w w:val="100"/>
          <w:position w:val="0"/>
          <w:sz w:val="20"/>
          <w:szCs w:val="20"/>
        </w:rPr>
        <w:t>控股股东进行股权质押融资情况</w:t>
      </w:r>
    </w:p>
    <w:p>
      <w:pPr>
        <w:pStyle w:val="Style39"/>
        <w:keepNext w:val="0"/>
        <w:keepLines w:val="0"/>
        <w:widowControl w:val="0"/>
        <w:shd w:val="clear" w:color="auto" w:fill="auto"/>
        <w:bidi w:val="0"/>
        <w:spacing w:before="0" w:after="680"/>
        <w:ind w:left="0" w:right="0"/>
        <w:jc w:val="both"/>
        <w:rPr>
          <w:sz w:val="20"/>
          <w:szCs w:val="20"/>
        </w:rPr>
      </w:pPr>
      <w:r>
        <w:rPr>
          <w:color w:val="000000"/>
          <w:spacing w:val="0"/>
          <w:w w:val="100"/>
          <w:position w:val="0"/>
          <w:sz w:val="20"/>
          <w:szCs w:val="20"/>
        </w:rPr>
        <w:t>公司控股股东一致行动人北京仁东信息技术有限公司、仁东（天津）科技有限公司以股权质押方式， 为第三方债权提供担保，质权人为阳泉市商业银行股份有限公司。截至报告日，公司控股股东一致行动人 北京仁东信息技术有限公司、仁东（天津）科技有限公司共持有本公司股份</w:t>
      </w:r>
      <w:r>
        <w:rPr>
          <w:rFonts w:ascii="Times New Roman" w:eastAsia="Times New Roman" w:hAnsi="Times New Roman" w:cs="Times New Roman"/>
          <w:color w:val="000000"/>
          <w:spacing w:val="0"/>
          <w:w w:val="100"/>
          <w:position w:val="0"/>
          <w:sz w:val="20"/>
          <w:szCs w:val="20"/>
        </w:rPr>
        <w:t>85,280,958</w:t>
      </w:r>
      <w:r>
        <w:rPr>
          <w:color w:val="000000"/>
          <w:spacing w:val="0"/>
          <w:w w:val="100"/>
          <w:position w:val="0"/>
          <w:sz w:val="20"/>
          <w:szCs w:val="20"/>
        </w:rPr>
        <w:t>股，占公司总股份 的</w:t>
      </w:r>
      <w:r>
        <w:rPr>
          <w:rFonts w:ascii="Times New Roman" w:eastAsia="Times New Roman" w:hAnsi="Times New Roman" w:cs="Times New Roman"/>
          <w:color w:val="000000"/>
          <w:spacing w:val="0"/>
          <w:w w:val="100"/>
          <w:position w:val="0"/>
          <w:sz w:val="20"/>
          <w:szCs w:val="20"/>
        </w:rPr>
        <w:t>15.23%</w:t>
      </w:r>
      <w:r>
        <w:rPr>
          <w:color w:val="000000"/>
          <w:spacing w:val="0"/>
          <w:w w:val="100"/>
          <w:position w:val="0"/>
          <w:sz w:val="20"/>
          <w:szCs w:val="20"/>
        </w:rPr>
        <w:t>，其中累计质押股份</w:t>
      </w:r>
      <w:r>
        <w:rPr>
          <w:rFonts w:ascii="Times New Roman" w:eastAsia="Times New Roman" w:hAnsi="Times New Roman" w:cs="Times New Roman"/>
          <w:color w:val="000000"/>
          <w:spacing w:val="0"/>
          <w:w w:val="100"/>
          <w:position w:val="0"/>
          <w:sz w:val="20"/>
          <w:szCs w:val="20"/>
        </w:rPr>
        <w:t>85,280,958</w:t>
      </w:r>
      <w:r>
        <w:rPr>
          <w:color w:val="000000"/>
          <w:spacing w:val="0"/>
          <w:w w:val="100"/>
          <w:position w:val="0"/>
          <w:sz w:val="20"/>
          <w:szCs w:val="20"/>
        </w:rPr>
        <w:t>股，占其持有公司股份总数的</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。其中，为公司提供质押担 保质押公司股份数量为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p>
    <w:p>
      <w:pPr>
        <w:pStyle w:val="Style22"/>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r>
        <w:rPr>
          <w:color w:val="000000"/>
          <w:spacing w:val="0"/>
          <w:w w:val="100"/>
          <w:position w:val="0"/>
        </w:rPr>
        <w:t>十七、母公司财务报表主要项目注释</w:t>
      </w:r>
      <w:bookmarkEnd w:id="2139"/>
      <w:bookmarkEnd w:id="2140"/>
      <w:bookmarkEnd w:id="2141"/>
    </w:p>
    <w:p>
      <w:pPr>
        <w:pStyle w:val="Style28"/>
        <w:keepNext/>
        <w:keepLines/>
        <w:widowControl w:val="0"/>
        <w:shd w:val="clear" w:color="auto" w:fill="auto"/>
        <w:bidi w:val="0"/>
        <w:spacing w:before="0" w:after="360" w:line="240" w:lineRule="auto"/>
        <w:ind w:left="0" w:right="0" w:firstLine="0"/>
        <w:jc w:val="left"/>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2"/>
      <w:bookmarkEnd w:id="2143"/>
      <w:bookmarkEnd w:id="2144"/>
    </w:p>
    <w:p>
      <w:pPr>
        <w:pStyle w:val="Style32"/>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45"/>
      <w:bookmarkEnd w:id="2146"/>
      <w:bookmarkEnd w:id="21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148" w:name="bookmark2148"/>
      <w:bookmarkStart w:id="2149" w:name="bookmark2149"/>
      <w:bookmarkStart w:id="2150" w:name="bookmark21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8"/>
      <w:bookmarkEnd w:id="2149"/>
      <w:bookmarkEnd w:id="215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51"/>
      <w:bookmarkEnd w:id="2152"/>
      <w:bookmarkEnd w:id="215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55"/>
      <w:bookmarkEnd w:id="2156"/>
      <w:bookmarkEnd w:id="215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59"/>
      <w:bookmarkEnd w:id="2160"/>
      <w:bookmarkEnd w:id="2162"/>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63"/>
      <w:bookmarkEnd w:id="2164"/>
      <w:bookmarkEnd w:id="2166"/>
    </w:p>
    <w:p>
      <w:pPr>
        <w:pStyle w:val="Style28"/>
        <w:keepNext/>
        <w:keepLines/>
        <w:widowControl w:val="0"/>
        <w:shd w:val="clear" w:color="auto" w:fill="auto"/>
        <w:bidi w:val="0"/>
        <w:spacing w:before="0" w:after="360" w:line="240" w:lineRule="auto"/>
        <w:ind w:left="0" w:right="0" w:firstLine="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7"/>
      <w:bookmarkEnd w:id="2168"/>
      <w:bookmarkEnd w:id="216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131,622,554.27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432,264,596.37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131,622,554.27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432,264,596.37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170" w:name="bookmark2170"/>
      <w:bookmarkStart w:id="2171" w:name="bookmark2171"/>
      <w:bookmarkStart w:id="2172" w:name="bookmark2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0"/>
      <w:bookmarkEnd w:id="2171"/>
      <w:bookmarkEnd w:id="2172"/>
    </w:p>
    <w:p>
      <w:pPr>
        <w:pStyle w:val="Style75"/>
        <w:keepNext/>
        <w:keepLines/>
        <w:widowControl w:val="0"/>
        <w:shd w:val="clear" w:color="auto" w:fill="auto"/>
        <w:bidi w:val="0"/>
        <w:spacing w:before="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1</w:t>
      </w:r>
      <w:bookmarkEnd w:id="2175"/>
      <w:r>
        <w:rPr>
          <w:color w:val="000000"/>
          <w:spacing w:val="0"/>
          <w:w w:val="100"/>
          <w:position w:val="0"/>
        </w:rPr>
        <w:t>）应收利息分类</w:t>
      </w:r>
      <w:bookmarkEnd w:id="2173"/>
      <w:bookmarkEnd w:id="2174"/>
      <w:bookmarkEnd w:id="217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2</w:t>
      </w:r>
      <w:bookmarkEnd w:id="2179"/>
      <w:r>
        <w:rPr>
          <w:color w:val="000000"/>
          <w:spacing w:val="0"/>
          <w:w w:val="100"/>
          <w:position w:val="0"/>
        </w:rPr>
        <w:t>）重要逾期利息</w:t>
      </w:r>
      <w:bookmarkEnd w:id="2177"/>
      <w:bookmarkEnd w:id="2178"/>
      <w:bookmarkEnd w:id="2180"/>
    </w:p>
    <w:p>
      <w:pPr>
        <w:pStyle w:val="Style1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after="38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3</w:t>
      </w:r>
      <w:bookmarkEnd w:id="2183"/>
      <w:r>
        <w:rPr>
          <w:color w:val="000000"/>
          <w:spacing w:val="0"/>
          <w:w w:val="100"/>
          <w:position w:val="0"/>
        </w:rPr>
        <w:t>）坏账准备计提情况</w:t>
      </w:r>
      <w:bookmarkEnd w:id="2181"/>
      <w:bookmarkEnd w:id="2182"/>
      <w:bookmarkEnd w:id="218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5"/>
      <w:bookmarkEnd w:id="2186"/>
      <w:bookmarkEnd w:id="2187"/>
    </w:p>
    <w:p>
      <w:pPr>
        <w:pStyle w:val="Style75"/>
        <w:keepNext/>
        <w:keepLines/>
        <w:widowControl w:val="0"/>
        <w:shd w:val="clear" w:color="auto" w:fill="auto"/>
        <w:bidi w:val="0"/>
        <w:spacing w:before="0" w:after="38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1</w:t>
      </w:r>
      <w:bookmarkEnd w:id="2190"/>
      <w:r>
        <w:rPr>
          <w:color w:val="000000"/>
          <w:spacing w:val="0"/>
          <w:w w:val="100"/>
          <w:position w:val="0"/>
        </w:rPr>
        <w:t>）应收股利分类</w:t>
      </w:r>
      <w:bookmarkEnd w:id="2188"/>
      <w:bookmarkEnd w:id="2189"/>
      <w:bookmarkEnd w:id="219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2</w:t>
      </w:r>
      <w:bookmarkEnd w:id="219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2"/>
      <w:bookmarkEnd w:id="2193"/>
      <w:bookmarkEnd w:id="219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）坏账准备计提情况</w:t>
      </w:r>
      <w:bookmarkEnd w:id="2196"/>
      <w:bookmarkEnd w:id="2197"/>
      <w:bookmarkEnd w:id="2199"/>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0"/>
      <w:bookmarkEnd w:id="2201"/>
      <w:bookmarkEnd w:id="2203"/>
    </w:p>
    <w:p>
      <w:pPr>
        <w:pStyle w:val="Style75"/>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4"/>
      <w:bookmarkEnd w:id="2205"/>
      <w:bookmarkEnd w:id="220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2,003,189.00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129,585,745.99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430,199,303.44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63,049.68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131,622,554.27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439,765,542.12</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7"/>
      <w:bookmarkEnd w:id="2208"/>
      <w:bookmarkEnd w:id="2209"/>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7,500,945.75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7,500,945.75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12,734,212.28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116,890,152.99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1,998,189.00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131,622,554.27</w:t>
            </w:r>
          </w:p>
        </w:tc>
      </w:tr>
    </w:tbl>
    <w:p>
      <w:pPr>
        <w:widowControl w:val="0"/>
        <w:spacing w:after="339" w:line="1" w:lineRule="exact"/>
      </w:pPr>
    </w:p>
    <w:p>
      <w:pPr>
        <w:pStyle w:val="Style75"/>
        <w:keepNext/>
        <w:keepLines/>
        <w:widowControl w:val="0"/>
        <w:shd w:val="clear" w:color="auto" w:fill="auto"/>
        <w:bidi w:val="0"/>
        <w:spacing w:before="0" w:after="38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）本期计提、收回或转回的坏账准备情况</w:t>
      </w:r>
      <w:bookmarkEnd w:id="2210"/>
      <w:bookmarkEnd w:id="2211"/>
      <w:bookmarkEnd w:id="221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70"/>
        <w:gridCol w:w="1594"/>
        <w:gridCol w:w="164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其中本期坏账准备转回或收回金额重要的：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转回或收回金额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）本期实际核销的其他应收款情况</w:t>
      </w:r>
      <w:bookmarkEnd w:id="2214"/>
      <w:bookmarkEnd w:id="2215"/>
      <w:bookmarkEnd w:id="221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5"/>
        <w:gridCol w:w="48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00" w:val="left"/>
                <w:tab w:pos="3629"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10" w:val="left"/>
              </w:tabs>
              <w:bidi w:val="0"/>
              <w:spacing w:before="0" w:after="0" w:line="240" w:lineRule="auto"/>
              <w:ind w:left="0" w:right="0" w:firstLine="40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600" w:firstLine="0"/>
              <w:jc w:val="right"/>
            </w:pPr>
            <w:r>
              <w:rPr>
                <w:color w:val="000000"/>
                <w:spacing w:val="0"/>
                <w:w w:val="100"/>
                <w:position w:val="0"/>
              </w:rPr>
              <w:t>易产生</w:t>
            </w:r>
          </w:p>
        </w:tc>
      </w:tr>
    </w:tbl>
    <w:p>
      <w:pPr>
        <w:spacing w:lineRule="exact" w:line="1"/>
        <w:rPr>
          <w:sz w:val="2"/>
          <w:szCs w:val="2"/>
        </w:rPr>
      </w:pPr>
      <w:r>
        <w:br w:type="page"/>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5"/>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5</w:t>
      </w:r>
      <w:bookmarkEnd w:id="2220"/>
      <w:r>
        <w:rPr>
          <w:color w:val="000000"/>
          <w:spacing w:val="0"/>
          <w:w w:val="100"/>
          <w:position w:val="0"/>
        </w:rPr>
        <w:t>）按欠款方归集的期末余额前五名的其他应收款情况</w:t>
      </w:r>
      <w:bookmarkEnd w:id="2218"/>
      <w:bookmarkEnd w:id="2219"/>
      <w:bookmarkEnd w:id="22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6</w:t>
      </w:r>
      <w:bookmarkEnd w:id="2224"/>
      <w:r>
        <w:rPr>
          <w:color w:val="000000"/>
          <w:spacing w:val="0"/>
          <w:w w:val="100"/>
          <w:position w:val="0"/>
        </w:rPr>
        <w:t>）涉及政府补助的应收款项</w:t>
      </w:r>
      <w:bookmarkEnd w:id="2222"/>
      <w:bookmarkEnd w:id="2223"/>
      <w:bookmarkEnd w:id="222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75"/>
        <w:keepNext/>
        <w:keepLines/>
        <w:widowControl w:val="0"/>
        <w:shd w:val="clear" w:color="auto" w:fill="auto"/>
        <w:tabs>
          <w:tab w:pos="387" w:val="left"/>
        </w:tabs>
        <w:bidi w:val="0"/>
        <w:spacing w:before="0" w:line="240" w:lineRule="auto"/>
        <w:ind w:left="0" w:right="0" w:firstLine="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7</w:t>
      </w:r>
      <w:bookmarkEnd w:id="2228"/>
      <w:r>
        <w:rPr>
          <w:color w:val="000000"/>
          <w:spacing w:val="0"/>
          <w:w w:val="100"/>
          <w:position w:val="0"/>
        </w:rPr>
        <w:t>）</w:t>
        <w:tab/>
        <w:t>因金融资产转移而终止确认的其他应收款</w:t>
      </w:r>
      <w:bookmarkEnd w:id="2226"/>
      <w:bookmarkEnd w:id="2227"/>
      <w:bookmarkEnd w:id="2229"/>
    </w:p>
    <w:p>
      <w:pPr>
        <w:pStyle w:val="Style75"/>
        <w:keepNext/>
        <w:keepLines/>
        <w:widowControl w:val="0"/>
        <w:shd w:val="clear" w:color="auto" w:fill="auto"/>
        <w:tabs>
          <w:tab w:pos="392" w:val="left"/>
        </w:tabs>
        <w:bidi w:val="0"/>
        <w:spacing w:before="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8</w:t>
      </w:r>
      <w:bookmarkEnd w:id="2232"/>
      <w:r>
        <w:rPr>
          <w:color w:val="000000"/>
          <w:spacing w:val="0"/>
          <w:w w:val="100"/>
          <w:position w:val="0"/>
        </w:rPr>
        <w:t>）</w:t>
        <w:tab/>
        <w:t>转移其他应收款且继续涉入形成的资产、负债金额</w:t>
      </w:r>
      <w:bookmarkEnd w:id="2230"/>
      <w:bookmarkEnd w:id="2231"/>
      <w:bookmarkEnd w:id="2233"/>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、长期股权投资</w:t>
      </w:r>
      <w:bookmarkEnd w:id="2234"/>
      <w:bookmarkEnd w:id="2235"/>
      <w:bookmarkEnd w:id="223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5,320,858,036.61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125,182,292.74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5,195,675,743.87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5,176,859,883.74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125,182,292.74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5,051,677,591.00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5,320,858,036.61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125,182,292.74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5,195,675,743.87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5,176,859,883.74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125,182,292.74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5,051,677,591.00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8"/>
      <w:bookmarkEnd w:id="2239"/>
      <w:bookmarkEnd w:id="2240"/>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天津仁东信息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1,200,558,000.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1,200,558,000.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民盛租赁有限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共青城仁东投 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浙江仁东新材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料科技有限公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广州仁东互联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网小额贷款有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广东合利金融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科技服务有限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1,271,119,590.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143,998,152.8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1,415,117,742.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125,182,292.74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仁东（深圳）大 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5,051,677,591.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143,998,152.8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5,195,675,743.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125,182,292.74</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1"/>
      <w:bookmarkEnd w:id="2242"/>
      <w:bookmarkEnd w:id="22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244" w:name="bookmark2244"/>
      <w:bookmarkStart w:id="2245" w:name="bookmark2245"/>
      <w:bookmarkStart w:id="2246" w:name="bookmark2246"/>
      <w:bookmarkStart w:id="2247" w:name="bookmark2247"/>
      <w:r>
        <w:rPr>
          <w:color w:val="000000"/>
          <w:spacing w:val="0"/>
          <w:w w:val="100"/>
          <w:position w:val="0"/>
        </w:rPr>
        <w:t>（</w:t>
      </w:r>
      <w:bookmarkEnd w:id="224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44"/>
      <w:bookmarkEnd w:id="2245"/>
      <w:bookmarkEnd w:id="2247"/>
    </w:p>
    <w:p>
      <w:pPr>
        <w:pStyle w:val="Style28"/>
        <w:keepNext/>
        <w:keepLines/>
        <w:widowControl w:val="0"/>
        <w:shd w:val="clear" w:color="auto" w:fill="auto"/>
        <w:bidi w:val="0"/>
        <w:spacing w:before="0" w:after="36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4</w:t>
      </w:r>
      <w:bookmarkEnd w:id="2250"/>
      <w:r>
        <w:rPr>
          <w:color w:val="000000"/>
          <w:spacing w:val="0"/>
          <w:w w:val="100"/>
          <w:position w:val="0"/>
        </w:rPr>
        <w:t>、营业收入和营业成本</w:t>
      </w:r>
      <w:bookmarkEnd w:id="2248"/>
      <w:bookmarkEnd w:id="2249"/>
      <w:bookmarkEnd w:id="22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53"/>
        <w:gridCol w:w="1910"/>
        <w:gridCol w:w="1915"/>
        <w:gridCol w:w="19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813,396,429.84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812,535,675.18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13,574,331.08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1,805,973.14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826,970,760.92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814,341,648.32</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8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5</w:t>
      </w:r>
      <w:bookmarkEnd w:id="2254"/>
      <w:r>
        <w:rPr>
          <w:color w:val="000000"/>
          <w:spacing w:val="0"/>
          <w:w w:val="100"/>
          <w:position w:val="0"/>
        </w:rPr>
        <w:t>、投资收益</w:t>
      </w:r>
      <w:bookmarkEnd w:id="2252"/>
      <w:bookmarkEnd w:id="2253"/>
      <w:bookmarkEnd w:id="2255"/>
    </w:p>
    <w:p>
      <w:pPr>
        <w:pStyle w:val="Style19"/>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8"/>
        <w:keepNext/>
        <w:keepLines/>
        <w:widowControl w:val="0"/>
        <w:shd w:val="clear" w:color="auto" w:fill="auto"/>
        <w:bidi w:val="0"/>
        <w:spacing w:before="0" w:after="34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6</w:t>
      </w:r>
      <w:bookmarkEnd w:id="2258"/>
      <w:r>
        <w:rPr>
          <w:color w:val="000000"/>
          <w:spacing w:val="0"/>
          <w:w w:val="100"/>
          <w:position w:val="0"/>
        </w:rPr>
        <w:t>、其他</w:t>
      </w:r>
      <w:bookmarkEnd w:id="2256"/>
      <w:bookmarkEnd w:id="2257"/>
      <w:bookmarkEnd w:id="2259"/>
    </w:p>
    <w:p>
      <w:pPr>
        <w:pStyle w:val="Style22"/>
        <w:keepNext/>
        <w:keepLines/>
        <w:widowControl w:val="0"/>
        <w:shd w:val="clear" w:color="auto" w:fill="auto"/>
        <w:bidi w:val="0"/>
        <w:spacing w:before="0" w:after="340" w:line="240" w:lineRule="auto"/>
        <w:ind w:left="0" w:right="0" w:firstLine="0"/>
        <w:jc w:val="left"/>
      </w:pPr>
      <w:bookmarkStart w:id="2260" w:name="bookmark2260"/>
      <w:bookmarkStart w:id="2261" w:name="bookmark2261"/>
      <w:bookmarkStart w:id="2262" w:name="bookmark2262"/>
      <w:r>
        <w:rPr>
          <w:color w:val="000000"/>
          <w:spacing w:val="0"/>
          <w:w w:val="100"/>
          <w:position w:val="0"/>
        </w:rPr>
        <w:t>十八、补充资料</w:t>
      </w:r>
      <w:bookmarkEnd w:id="2260"/>
      <w:bookmarkEnd w:id="2261"/>
      <w:bookmarkEnd w:id="2262"/>
    </w:p>
    <w:p>
      <w:pPr>
        <w:pStyle w:val="Style28"/>
        <w:keepNext/>
        <w:keepLines/>
        <w:widowControl w:val="0"/>
        <w:shd w:val="clear" w:color="auto" w:fill="auto"/>
        <w:bidi w:val="0"/>
        <w:spacing w:before="0" w:after="340" w:line="240" w:lineRule="auto"/>
        <w:ind w:left="0" w:right="0" w:firstLine="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3"/>
      <w:bookmarkEnd w:id="2264"/>
      <w:bookmarkEnd w:id="226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6,825,938.21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3,453,697.01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676,848.43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186,846.76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3,729,288.62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439,725.24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14,474,316.55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66"/>
      <w:bookmarkEnd w:id="2267"/>
      <w:bookmarkEnd w:id="226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pStyle w:val="Style28"/>
        <w:keepNext/>
        <w:keepLines/>
        <w:widowControl w:val="0"/>
        <w:shd w:val="clear" w:color="auto" w:fill="auto"/>
        <w:tabs>
          <w:tab w:pos="378" w:val="left"/>
        </w:tabs>
        <w:bidi w:val="0"/>
        <w:spacing w:before="0" w:after="280" w:line="331" w:lineRule="exact"/>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3</w:t>
      </w:r>
      <w:bookmarkEnd w:id="2271"/>
      <w:r>
        <w:rPr>
          <w:color w:val="000000"/>
          <w:spacing w:val="0"/>
          <w:w w:val="100"/>
          <w:position w:val="0"/>
        </w:rPr>
        <w:t>、</w:t>
        <w:tab/>
        <w:t>境内外会计准则下会计数据差异</w:t>
      </w:r>
      <w:bookmarkEnd w:id="2269"/>
      <w:bookmarkEnd w:id="2270"/>
      <w:bookmarkEnd w:id="2272"/>
    </w:p>
    <w:p>
      <w:pPr>
        <w:pStyle w:val="Style32"/>
        <w:keepNext/>
        <w:keepLines/>
        <w:widowControl w:val="0"/>
        <w:shd w:val="clear" w:color="auto" w:fill="auto"/>
        <w:tabs>
          <w:tab w:pos="493" w:val="left"/>
        </w:tabs>
        <w:bidi w:val="0"/>
        <w:spacing w:before="0" w:after="360" w:line="331" w:lineRule="exact"/>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3"/>
      <w:bookmarkEnd w:id="2274"/>
      <w:bookmarkEnd w:id="227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331" w:lineRule="exact"/>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7"/>
      <w:bookmarkEnd w:id="2278"/>
      <w:bookmarkEnd w:id="228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31" w:lineRule="exact"/>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1"/>
      <w:bookmarkEnd w:id="2282"/>
      <w:bookmarkEnd w:id="2284"/>
    </w:p>
    <w:p>
      <w:pPr>
        <w:pStyle w:val="Style28"/>
        <w:keepNext/>
        <w:keepLines/>
        <w:widowControl w:val="0"/>
        <w:shd w:val="clear" w:color="auto" w:fill="auto"/>
        <w:tabs>
          <w:tab w:pos="378" w:val="left"/>
        </w:tabs>
        <w:bidi w:val="0"/>
        <w:spacing w:before="0" w:after="1320" w:line="331" w:lineRule="exact"/>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4</w:t>
      </w:r>
      <w:bookmarkEnd w:id="2287"/>
      <w:r>
        <w:rPr>
          <w:color w:val="000000"/>
          <w:spacing w:val="0"/>
          <w:w w:val="100"/>
          <w:position w:val="0"/>
        </w:rPr>
        <w:t>、</w:t>
        <w:tab/>
        <w:t>其他</w:t>
      </w:r>
      <w:bookmarkEnd w:id="2285"/>
      <w:bookmarkEnd w:id="2286"/>
      <w:bookmarkEnd w:id="2288"/>
    </w:p>
    <w:p>
      <w:pPr>
        <w:pStyle w:val="Style39"/>
        <w:keepNext w:val="0"/>
        <w:keepLines w:val="0"/>
        <w:widowControl w:val="0"/>
        <w:shd w:val="clear" w:color="auto" w:fill="auto"/>
        <w:bidi w:val="0"/>
        <w:spacing w:before="0" w:after="120" w:line="331" w:lineRule="exact"/>
        <w:ind w:left="0" w:right="0" w:firstLine="0"/>
        <w:jc w:val="right"/>
        <w:rPr>
          <w:sz w:val="20"/>
          <w:szCs w:val="20"/>
        </w:rPr>
      </w:pPr>
      <w:r>
        <w:rPr>
          <w:color w:val="000000"/>
          <w:spacing w:val="0"/>
          <w:w w:val="100"/>
          <w:position w:val="0"/>
          <w:sz w:val="20"/>
          <w:szCs w:val="20"/>
        </w:rPr>
        <w:t>仁东控股股份有限公司</w:t>
      </w:r>
    </w:p>
    <w:p>
      <w:pPr>
        <w:pStyle w:val="Style5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140" w:right="1066" w:bottom="1405" w:left="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Body text (4)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 (2)_"/>
    <w:basedOn w:val="DefaultParagraphFont"/>
    <w:link w:val="Style39"/>
    <w:rPr>
      <w:rFonts w:ascii="SimSun" w:eastAsia="SimSun" w:hAnsi="SimSun" w:cs="SimSun"/>
      <w:b w:val="0"/>
      <w:bCs w:val="0"/>
      <w:i w:val="0"/>
      <w:iCs w:val="0"/>
      <w:smallCaps w:val="0"/>
      <w:strike w:val="0"/>
      <w:sz w:val="19"/>
      <w:szCs w:val="19"/>
      <w:u w:val="none"/>
      <w:shd w:val="clear" w:color="auto" w:fill="auto"/>
    </w:rPr>
  </w:style>
  <w:style w:type="character" w:customStyle="1" w:styleId="CharStyle54">
    <w:name w:val="Body text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Body text (8)_"/>
    <w:basedOn w:val="DefaultParagraphFont"/>
    <w:link w:val="Style5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6">
    <w:name w:val="Heading #5_"/>
    <w:basedOn w:val="DefaultParagraphFont"/>
    <w:link w:val="Style7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Body text (4)"/>
    <w:basedOn w:val="Normal"/>
    <w:link w:val="CharStyle17"/>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styleId="Style19">
    <w:name w:val="Body text"/>
    <w:basedOn w:val="Normal"/>
    <w:link w:val="CharStyle20"/>
    <w:pPr>
      <w:widowControl w:val="0"/>
      <w:shd w:val="clear" w:color="auto" w:fill="auto"/>
      <w:spacing w:after="2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Body text (2)"/>
    <w:basedOn w:val="Normal"/>
    <w:link w:val="CharStyle40"/>
    <w:pPr>
      <w:widowControl w:val="0"/>
      <w:shd w:val="clear" w:color="auto" w:fill="auto"/>
      <w:spacing w:after="40" w:line="312" w:lineRule="exact"/>
      <w:ind w:firstLine="440"/>
    </w:pPr>
    <w:rPr>
      <w:rFonts w:ascii="SimSun" w:eastAsia="SimSun" w:hAnsi="SimSun" w:cs="SimSun"/>
      <w:b w:val="0"/>
      <w:bCs w:val="0"/>
      <w:i w:val="0"/>
      <w:iCs w:val="0"/>
      <w:smallCaps w:val="0"/>
      <w:strike w:val="0"/>
      <w:sz w:val="19"/>
      <w:szCs w:val="19"/>
      <w:u w:val="none"/>
      <w:shd w:val="clear" w:color="auto" w:fill="auto"/>
    </w:rPr>
  </w:style>
  <w:style w:type="paragraph" w:customStyle="1" w:styleId="Style53">
    <w:name w:val="Body text (7)"/>
    <w:basedOn w:val="Normal"/>
    <w:link w:val="CharStyle54"/>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Body text (8)"/>
    <w:basedOn w:val="Normal"/>
    <w:link w:val="CharStyle57"/>
    <w:pPr>
      <w:widowControl w:val="0"/>
      <w:shd w:val="clear" w:color="auto" w:fill="auto"/>
      <w:spacing w:line="314"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5">
    <w:name w:val="Heading #5"/>
    <w:basedOn w:val="Normal"/>
    <w:link w:val="CharStyle7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仁东控股股份有限公司2021年年度报告全文</dc:title>
  <dc:subject/>
  <dc:creator>仁东控股股份有限公司</dc:creator>
  <cp:keywords/>
</cp:coreProperties>
</file>