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5" w:bottom="979" w:left="4121" w:header="0" w:footer="3" w:gutter="0"/>
          <w:pgNumType w:start="1"/>
          <w:cols w:space="720"/>
          <w:noEndnote/>
          <w:rtlGutter w:val="0"/>
          <w:docGrid w:linePitch="360"/>
        </w:sectPr>
      </w:pPr>
    </w:p>
    <w:p>
      <w:pPr>
        <w:pStyle w:val="Style6"/>
        <w:keepNext w:val="0"/>
        <w:keepLines w:val="0"/>
        <w:framePr w:w="2198" w:h="350" w:wrap="none" w:vAnchor="text" w:hAnchor="page" w:x="4837" w:y="21"/>
        <w:widowControl w:val="0"/>
        <w:shd w:val="clear" w:color="auto" w:fill="auto"/>
        <w:bidi w:val="0"/>
        <w:spacing w:before="0" w:after="0" w:line="240" w:lineRule="auto"/>
        <w:ind w:left="0" w:right="0" w:firstLine="0"/>
        <w:jc w:val="left"/>
        <w:rPr>
          <w:sz w:val="28"/>
          <w:szCs w:val="28"/>
        </w:rPr>
      </w:pPr>
      <w:r>
        <w:rPr>
          <w:spacing w:val="0"/>
          <w:w w:val="100"/>
          <w:position w:val="0"/>
          <w:sz w:val="26"/>
          <w:szCs w:val="26"/>
        </w:rPr>
        <w:t>rendong</w:t>
      </w:r>
      <w:r>
        <w:rPr>
          <w:rFonts w:ascii="SimHei" w:eastAsia="SimHei" w:hAnsi="SimHei" w:cs="SimHei"/>
          <w:smallCaps w:val="0"/>
          <w:spacing w:val="0"/>
          <w:w w:val="100"/>
          <w:position w:val="0"/>
          <w:sz w:val="28"/>
          <w:szCs w:val="28"/>
        </w:rPr>
        <w:t>仁茁控股</w:t>
      </w:r>
    </w:p>
    <w:p>
      <w:pPr>
        <w:pStyle w:val="Style9"/>
        <w:keepNext/>
        <w:keepLines/>
        <w:framePr w:w="3648" w:h="432" w:wrap="none" w:vAnchor="text" w:hAnchor="page" w:x="4122" w:y="889"/>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仁东控股股份有限公司</w:t>
      </w:r>
      <w:bookmarkEnd w:id="0"/>
      <w:bookmarkEnd w:id="1"/>
      <w:bookmarkEnd w:id="2"/>
    </w:p>
    <w:p>
      <w:pPr>
        <w:pStyle w:val="Style11"/>
        <w:keepNext/>
        <w:keepLines/>
        <w:framePr w:w="2366" w:h="408" w:wrap="none" w:vAnchor="text" w:hAnchor="page" w:x="4761" w:y="1743"/>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4"/>
        <w:keepNext w:val="0"/>
        <w:keepLines w:val="0"/>
        <w:framePr w:w="888" w:h="274" w:wrap="none" w:vAnchor="text" w:hAnchor="page" w:x="5500" w:y="2550"/>
        <w:widowControl w:val="0"/>
        <w:shd w:val="clear" w:color="auto" w:fill="auto"/>
        <w:bidi w:val="0"/>
        <w:spacing w:before="0" w:after="0" w:line="240" w:lineRule="auto"/>
        <w:ind w:left="0" w:right="0" w:firstLine="0"/>
        <w:jc w:val="left"/>
      </w:pPr>
      <w:r>
        <w:rPr>
          <w:color w:val="000000"/>
          <w:spacing w:val="0"/>
          <w:w w:val="100"/>
          <w:position w:val="0"/>
        </w:rPr>
        <w:t>2021-026</w:t>
      </w:r>
    </w:p>
    <w:p>
      <w:pPr>
        <w:pStyle w:val="Style11"/>
        <w:keepNext/>
        <w:keepLines/>
        <w:framePr w:w="1886" w:h="413" w:wrap="none" w:vAnchor="text" w:hAnchor="page" w:x="5001" w:y="8804"/>
        <w:widowControl w:val="0"/>
        <w:shd w:val="clear" w:color="auto" w:fill="auto"/>
        <w:bidi w:val="0"/>
        <w:spacing w:before="0" w:after="0" w:line="240" w:lineRule="auto"/>
        <w:ind w:left="0" w:right="0" w:firstLine="0"/>
        <w:jc w:val="left"/>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1900" w:h="16840"/>
          <w:pgMar w:top="1022" w:right="1145" w:bottom="979" w:left="4121" w:header="0" w:footer="3" w:gutter="0"/>
          <w:cols w:space="720"/>
          <w:noEndnote/>
          <w:rtlGutter w:val="0"/>
          <w:docGrid w:linePitch="360"/>
        </w:sectPr>
      </w:pPr>
    </w:p>
    <w:p>
      <w:pPr>
        <w:pStyle w:val="Style11"/>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6"/>
        <w:keepNext w:val="0"/>
        <w:keepLines w:val="0"/>
        <w:widowControl w:val="0"/>
        <w:shd w:val="clear" w:color="auto" w:fill="auto"/>
        <w:bidi w:val="0"/>
        <w:spacing w:before="0" w:line="624" w:lineRule="exact"/>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12"/>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公司负责人霍东、主管会计工作负责人王石山及会计机构负责人</w:t>
      </w:r>
      <w:r>
        <w:rPr>
          <w:rFonts w:ascii="SimHei" w:eastAsia="SimHei" w:hAnsi="SimHei" w:cs="SimHei"/>
          <w:b w:val="0"/>
          <w:bCs w:val="0"/>
          <w:color w:val="000000"/>
          <w:spacing w:val="0"/>
          <w:w w:val="100"/>
          <w:position w:val="0"/>
        </w:rPr>
        <w:t>（</w:t>
      </w:r>
      <w:r>
        <w:rPr>
          <w:color w:val="000000"/>
          <w:spacing w:val="0"/>
          <w:w w:val="100"/>
          <w:position w:val="0"/>
        </w:rPr>
        <w:t>会计主管 人员</w:t>
      </w:r>
      <w:r>
        <w:rPr>
          <w:rFonts w:ascii="SimHei" w:eastAsia="SimHei" w:hAnsi="SimHei" w:cs="SimHei"/>
          <w:b w:val="0"/>
          <w:bCs w:val="0"/>
          <w:color w:val="000000"/>
          <w:spacing w:val="0"/>
          <w:w w:val="100"/>
          <w:position w:val="0"/>
        </w:rPr>
        <w:t>）</w:t>
      </w:r>
      <w:r>
        <w:rPr>
          <w:color w:val="000000"/>
          <w:spacing w:val="0"/>
          <w:w w:val="100"/>
          <w:position w:val="0"/>
        </w:rPr>
        <w:t>徐义宾声明：保证本年度报告中财务报告的真实、准确、完整。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本报告涉及未来计划等前瞻性描述，不构成公司对投资者的实质承诺，投 资者及相关人士均应当对此保持足够的风险认识，并且应当理解计划、预测与 承诺之间的差异。</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本公司敬请投资者认真阅读本报告，并特别注意公司未来经营可能面临的 风险因素，包括商誉等资产的减值风险、因行业监管政策变化导致其业务受到 不利影响的风险、金融科技业务市场竞争风险、系统软硬件及技术风险、客户 的违法违规行为导致的经营风险。</w:t>
      </w:r>
    </w:p>
    <w:p>
      <w:pPr>
        <w:pStyle w:val="Style16"/>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9"/>
        <w:keepNext/>
        <w:keepLines/>
        <w:widowControl w:val="0"/>
        <w:shd w:val="clear" w:color="auto" w:fill="auto"/>
        <w:bidi w:val="0"/>
        <w:spacing w:before="1500" w:after="158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9"/>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68"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10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261"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23</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2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33</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83"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39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8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40</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9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41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534"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48</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622" w:tooltip="Current Document">
        <w:r>
          <w:rPr>
            <w:color w:val="000000"/>
            <w:spacing w:val="0"/>
            <w:w w:val="100"/>
            <w:position w:val="0"/>
            <w:sz w:val="24"/>
            <w:szCs w:val="24"/>
          </w:rPr>
          <w:t>第^一节公司债券相关情况</w:t>
        </w:r>
        <w:r>
          <w:rPr>
            <w:color w:val="000000"/>
            <w:spacing w:val="0"/>
            <w:w w:val="100"/>
            <w:position w:val="0"/>
            <w:sz w:val="24"/>
            <w:szCs w:val="24"/>
          </w:rPr>
          <w:tab/>
        </w:r>
        <w:r>
          <w:rPr>
            <w:color w:val="000000"/>
            <w:spacing w:val="0"/>
            <w:w w:val="100"/>
            <w:position w:val="0"/>
            <w:sz w:val="24"/>
            <w:szCs w:val="24"/>
          </w:rPr>
          <w:t>54</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626"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55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1988"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179</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公司、民盛金科（变更前）、仁东控股（变更 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民盛金科控股股份有限公司（更名前）、仁东控股股份有限公司（更 名后）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控股股东、仁东信息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合利宝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广州合利宝支付科技有限公司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合利保理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深圳前海合利商业保理有限公司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共青城仁东投资管理有限公司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民盛租赁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民盛租赁有限公司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仁东青岛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仁东资产管理（青岛）有限公司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仁东小贷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广州仁东互联网小额贷款有限公司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和柚技术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4"/>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Rendong Holdings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Rendong Holdings</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浙江省诸暨市大唐镇开元东路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北京市朝阳区正大中心北塔</w:t>
            </w:r>
            <w:r>
              <w:rPr>
                <w:rFonts w:ascii="Times New Roman" w:eastAsia="Times New Roman" w:hAnsi="Times New Roman" w:cs="Times New Roman"/>
                <w:color w:val="000000"/>
                <w:spacing w:val="0"/>
                <w:w w:val="100"/>
                <w:position w:val="0"/>
              </w:rPr>
              <w:t>30</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"http://www.rendongholdings.com" </w:instrText>
            </w:r>
            <w:r>
              <w:fldChar w:fldCharType="separate"/>
            </w:r>
            <w:r>
              <w:rPr>
                <w:rFonts w:ascii="Times New Roman" w:eastAsia="Times New Roman" w:hAnsi="Times New Roman" w:cs="Times New Roman"/>
                <w:color w:val="000000"/>
                <w:spacing w:val="0"/>
                <w:w w:val="100"/>
                <w:position w:val="0"/>
              </w:rPr>
              <w:t>www.rendongholdings.com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Dmb @rendongholding </w:t>
            </w:r>
            <w:r>
              <w:rPr>
                <w:rFonts w:ascii="Times New Roman" w:eastAsia="Times New Roman" w:hAnsi="Times New Roman" w:cs="Times New Roman"/>
                <w:color w:val="000000"/>
                <w:spacing w:val="0"/>
                <w:w w:val="100"/>
                <w:position w:val="0"/>
              </w:rPr>
              <w:t>s.com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霍东（代）</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贾皓</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北京市朝阳区正大中心北塔</w:t>
            </w:r>
            <w:r>
              <w:rPr>
                <w:rFonts w:ascii="Times New Roman" w:eastAsia="Times New Roman" w:hAnsi="Times New Roman" w:cs="Times New Roman"/>
                <w:color w:val="000000"/>
                <w:spacing w:val="0"/>
                <w:w w:val="100"/>
                <w:position w:val="0"/>
              </w:rPr>
              <w:t>30</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北京市朝阳区正大中心北塔</w:t>
            </w:r>
            <w:r>
              <w:rPr>
                <w:rFonts w:ascii="Times New Roman" w:eastAsia="Times New Roman" w:hAnsi="Times New Roman" w:cs="Times New Roman"/>
                <w:color w:val="000000"/>
                <w:spacing w:val="0"/>
                <w:w w:val="100"/>
                <w:position w:val="0"/>
              </w:rPr>
              <w:t>30</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010-57808558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010-57808558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010-57808568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010-57808568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Huod@rendongholding </w:t>
            </w:r>
            <w:r>
              <w:rPr>
                <w:rFonts w:ascii="Times New Roman" w:eastAsia="Times New Roman" w:hAnsi="Times New Roman" w:cs="Times New Roman"/>
                <w:color w:val="000000"/>
                <w:spacing w:val="0"/>
                <w:w w:val="100"/>
                <w:position w:val="0"/>
              </w:rPr>
              <w:t>s.com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"mailto:Jiah@rendongholdings.com" </w:instrText>
            </w:r>
            <w:r>
              <w:fldChar w:fldCharType="separate"/>
            </w:r>
            <w:r>
              <w:rPr>
                <w:rFonts w:ascii="Times New Roman" w:eastAsia="Times New Roman" w:hAnsi="Times New Roman" w:cs="Times New Roman"/>
                <w:color w:val="000000"/>
                <w:spacing w:val="0"/>
                <w:w w:val="100"/>
                <w:position w:val="0"/>
              </w:rPr>
              <w:t>Jiah@rendongholdings.com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91330000753974205M</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年度实施了重大资产重组事项，原有铜加工产业已经全部置出。</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年，公司的主营业务已转型为第三方支付、保理、供应链管理等金融科技相关的 主营业务；公司的行业分类已变更为''其他金融业（代码</w:t>
            </w:r>
            <w:r>
              <w:rPr>
                <w:rFonts w:ascii="Times New Roman" w:eastAsia="Times New Roman" w:hAnsi="Times New Roman" w:cs="Times New Roman"/>
                <w:color w:val="000000"/>
                <w:spacing w:val="0"/>
                <w:w w:val="100"/>
                <w:position w:val="0"/>
              </w:rPr>
              <w:t>J69</w:t>
            </w:r>
            <w:r>
              <w:rPr>
                <w:color w:val="000000"/>
                <w:spacing w:val="0"/>
                <w:w w:val="100"/>
                <w:position w:val="0"/>
              </w:rPr>
              <w:t>）</w:t>
            </w:r>
            <w:r>
              <w:rPr>
                <w:color w:val="000000"/>
                <w:spacing w:val="0"/>
                <w:w w:val="100"/>
                <w:position w:val="0"/>
              </w:rPr>
              <w:t>七</w:t>
            </w: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日，公司控股股东由戚建萍变更为和柚技术集团有限公司；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日，公司控股股东由天津和柚技术有限公司（原名称</w:t>
            </w:r>
            <w:r>
              <w:rPr>
                <w:rFonts w:ascii="Times New Roman" w:eastAsia="Times New Roman" w:hAnsi="Times New Roman" w:cs="Times New Roman"/>
                <w:color w:val="000000"/>
                <w:spacing w:val="0"/>
                <w:w w:val="100"/>
                <w:position w:val="0"/>
              </w:rPr>
              <w:t>"</w:t>
            </w:r>
            <w:r>
              <w:rPr>
                <w:color w:val="000000"/>
                <w:spacing w:val="0"/>
                <w:w w:val="100"/>
                <w:position w:val="0"/>
              </w:rPr>
              <w:t>和柚技术集团有 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变更为北京仁东信息技术有限公司（原名称''内蒙古正东云驱科技有限 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日，公司控股股东由北京仁东信息技术有限公司变更为 北京海淀科技金融资本控股集团股份有限公司；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日，公司控股股 东由北京海淀科技金融资本控股集团股份有限公司变更为北京仁东信息技术有限 公司。</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w:t>
            </w:r>
            <w:r>
              <w:rPr>
                <w:color w:val="000000"/>
                <w:spacing w:val="0"/>
                <w:w w:val="100"/>
                <w:position w:val="0"/>
              </w:rPr>
              <w:t>号万通大厦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齐正华、孟晓光</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新时代证券股份有限公司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北京市海淀区北三环西路</w:t>
            </w:r>
            <w:r>
              <w:rPr>
                <w:rFonts w:ascii="Times New Roman" w:eastAsia="Times New Roman" w:hAnsi="Times New Roman" w:cs="Times New Roman"/>
                <w:color w:val="000000"/>
                <w:spacing w:val="0"/>
                <w:w w:val="100"/>
                <w:position w:val="0"/>
              </w:rPr>
              <w:t xml:space="preserve">99 </w:t>
            </w:r>
            <w:r>
              <w:rPr>
                <w:color w:val="000000"/>
                <w:spacing w:val="0"/>
                <w:w w:val="100"/>
                <w:position w:val="0"/>
              </w:rPr>
              <w:t>号西海国际大厦</w:t>
            </w:r>
            <w:r>
              <w:rPr>
                <w:rFonts w:ascii="Times New Roman" w:eastAsia="Times New Roman" w:hAnsi="Times New Roman" w:cs="Times New Roman"/>
                <w:color w:val="000000"/>
                <w:spacing w:val="0"/>
                <w:w w:val="100"/>
                <w:position w:val="0"/>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朱小明、张晨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r>
    </w:tbl>
    <w:p>
      <w:pPr>
        <w:widowControl w:val="0"/>
        <w:spacing w:after="319" w:line="1" w:lineRule="exact"/>
      </w:pPr>
    </w:p>
    <w:p>
      <w:pPr>
        <w:pStyle w:val="Style24"/>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、主要会计数据和财务指标</w:t>
      </w:r>
      <w:bookmarkEnd w:id="43"/>
      <w:bookmarkEnd w:id="44"/>
      <w:bookmarkEnd w:id="46"/>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2,130,285,587.66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1,830,818,307.68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1,485,929,981.01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-373,584,843.10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29,899,681.04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52,986,949.73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-402,554,812.93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21,780,634.75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43,059,988.01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94,124,010.71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-66,807,472.04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235,376,989.29</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3,730,196,264.65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3,579,161,826.25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5,015,734,154.58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515,936,992.95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987,742,300.83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968,738,054.69</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2,130,285,587.66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1,830,818,307.68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支付、保理、融资租赁、供应 链等业务收入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18,104,916.15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7,461,091.28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2,112,180,671.51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1,823,357,216.40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widowControl w:val="0"/>
        <w:spacing w:after="359" w:line="1" w:lineRule="exact"/>
      </w:pPr>
    </w:p>
    <w:p>
      <w:pPr>
        <w:pStyle w:val="Style24"/>
        <w:keepNext/>
        <w:keepLines/>
        <w:widowControl w:val="0"/>
        <w:shd w:val="clear" w:color="auto" w:fill="auto"/>
        <w:tabs>
          <w:tab w:pos="522"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3"/>
        <w:keepNext/>
        <w:keepLines/>
        <w:widowControl w:val="0"/>
        <w:shd w:val="clear" w:color="auto" w:fill="auto"/>
        <w:tabs>
          <w:tab w:pos="403"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分季度主要财务指标</w:t>
      </w:r>
      <w:bookmarkEnd w:id="59"/>
      <w:bookmarkEnd w:id="60"/>
      <w:bookmarkEnd w:id="6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565,197,666.76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716,463,494.00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472,627,343.26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375,997,083.64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-13,780,898.79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-6,209,641.74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-1,932,480.46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-351,661,822.11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-14,505,806.93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-19,096,730.44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-3,972,073.13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-364,980,202.43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-11,259,630.49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10,944,457.52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17,447,776.66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76,991,407.02</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九</w:t>
      </w:r>
      <w:bookmarkEnd w:id="65"/>
      <w:r>
        <w:rPr>
          <w:color w:val="000000"/>
          <w:spacing w:val="0"/>
          <w:w w:val="100"/>
          <w:position w:val="0"/>
          <w:sz w:val="24"/>
          <w:szCs w:val="24"/>
        </w:rPr>
        <w:t>、非经常性损益项目及金额</w:t>
      </w:r>
      <w:bookmarkEnd w:id="63"/>
      <w:bookmarkEnd w:id="64"/>
      <w:bookmarkEnd w:id="6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7,435,419.77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25,168,018.92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1,439,318.09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3,142,265.96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362,517.77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11,086,774.91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5,458,125.74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-405,683.61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225,971.62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3,317,317.10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6,717,245.08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1,922,975.38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558,029.46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798,437.04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151,513.65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120,281.83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28,969,969.83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8,119,046.29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9,926,961.72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322" w:lineRule="exact"/>
        <w:ind w:left="0" w:right="0" w:firstLine="0"/>
        <w:jc w:val="both"/>
        <w:sectPr>
          <w:footnotePr>
            <w:pos w:val="pageBottom"/>
            <w:numFmt w:val="decimal"/>
            <w:numRestart w:val="continuous"/>
          </w:footnotePr>
          <w:pgSz w:w="11900" w:h="16840"/>
          <w:pgMar w:top="1354" w:right="1129" w:bottom="1440"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48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24"/>
        <w:keepNext/>
        <w:keepLines/>
        <w:widowControl w:val="0"/>
        <w:shd w:val="clear" w:color="auto" w:fill="auto"/>
        <w:tabs>
          <w:tab w:pos="480" w:val="left"/>
        </w:tabs>
        <w:bidi w:val="0"/>
        <w:spacing w:before="0" w:after="260" w:line="240" w:lineRule="auto"/>
        <w:ind w:left="0" w:right="0" w:firstLine="0"/>
        <w:jc w:val="left"/>
      </w:pPr>
      <w:bookmarkStart w:id="70" w:name="bookmark70"/>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w:t>
        <w:tab/>
        <w:t>报告期内公司从事的主要业务</w:t>
      </w:r>
      <w:bookmarkEnd w:id="71"/>
      <w:bookmarkEnd w:id="72"/>
      <w:bookmarkEnd w:id="74"/>
      <w:bookmarkEnd w:id="70"/>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作为多元金融类上市公司，立足为中小微企业和个体工商户经营提供服务,</w:t>
      </w:r>
      <w:r>
        <w:rPr>
          <w:rFonts w:ascii="Times New Roman" w:eastAsia="Times New Roman" w:hAnsi="Times New Roman" w:cs="Times New Roman"/>
          <w:color w:val="000000"/>
          <w:spacing w:val="0"/>
          <w:w w:val="100"/>
          <w:position w:val="0"/>
        </w:rPr>
        <w:t>2020</w:t>
      </w:r>
      <w:r>
        <w:rPr>
          <w:color w:val="000000"/>
          <w:spacing w:val="0"/>
          <w:w w:val="100"/>
          <w:position w:val="0"/>
        </w:rPr>
        <w:t>年度公司开展的业务主要包括支付业务、 融资租赁业务、商业保理业务、供应链管理业务、互联网小贷业务。</w:t>
      </w:r>
    </w:p>
    <w:p>
      <w:pPr>
        <w:pStyle w:val="Style29"/>
        <w:keepNext w:val="0"/>
        <w:keepLines w:val="0"/>
        <w:widowControl w:val="0"/>
        <w:shd w:val="clear" w:color="auto" w:fill="auto"/>
        <w:bidi w:val="0"/>
        <w:spacing w:before="0" w:after="0" w:line="314" w:lineRule="exact"/>
        <w:ind w:left="0" w:right="0" w:firstLine="360"/>
        <w:jc w:val="both"/>
      </w:pPr>
      <w:bookmarkStart w:id="75" w:name="bookmark75"/>
      <w:r>
        <w:rPr>
          <w:rFonts w:ascii="Times New Roman" w:eastAsia="Times New Roman" w:hAnsi="Times New Roman" w:cs="Times New Roman"/>
          <w:color w:val="000000"/>
          <w:spacing w:val="0"/>
          <w:w w:val="100"/>
          <w:position w:val="0"/>
        </w:rPr>
        <w:t>1</w:t>
      </w:r>
      <w:bookmarkEnd w:id="75"/>
      <w:r>
        <w:rPr>
          <w:color w:val="000000"/>
          <w:spacing w:val="0"/>
          <w:w w:val="100"/>
          <w:position w:val="0"/>
        </w:rPr>
        <w:t>、 支付业务：公司支付业务具备全牌照优势，拥有独立研发的支付结算系统，兼具了金融属性和科技属性，在行业内 具有较强的竞争优势和市场地位。公司充分利用合利宝经营范围覆盖全国的优势，在继续保持原有支付业务的基础上，大力 发展线上、线下及创新业务等其他第三方支付上下游相关业务，重点打造金融科技产业生态闭环。合利宝对外提供第三方支 付服务，其生产行为是对支付系统的开发维护。公司生产活动主要为开发、运营并维护支付系统以及清算平台系统、交易资 金的清算、用户的审核、银联卡受理终端主密钥的生成和管理、研发增值服务、拓展终端用户、提升用户体验、增强用户粘 性、为用户提供电话、微信及网络平台客服等。</w:t>
      </w:r>
    </w:p>
    <w:p>
      <w:pPr>
        <w:pStyle w:val="Style29"/>
        <w:keepNext w:val="0"/>
        <w:keepLines w:val="0"/>
        <w:widowControl w:val="0"/>
        <w:shd w:val="clear" w:color="auto" w:fill="auto"/>
        <w:tabs>
          <w:tab w:pos="646" w:val="left"/>
        </w:tabs>
        <w:bidi w:val="0"/>
        <w:spacing w:before="0" w:after="0" w:line="314" w:lineRule="exact"/>
        <w:ind w:left="0" w:right="0" w:firstLine="360"/>
        <w:jc w:val="both"/>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融资租赁业务：报告期内，公司围绕互联网生态场景下生态体系，深化与优秀科技企业合作，搭建信息平台，通过 大数据风控、区块链等金融科技能力，在</w:t>
      </w:r>
      <w:r>
        <w:rPr>
          <w:rFonts w:ascii="Times New Roman" w:eastAsia="Times New Roman" w:hAnsi="Times New Roman" w:cs="Times New Roman"/>
          <w:color w:val="000000"/>
          <w:spacing w:val="0"/>
          <w:w w:val="100"/>
          <w:position w:val="0"/>
        </w:rPr>
        <w:t>3C</w:t>
      </w:r>
      <w:r>
        <w:rPr>
          <w:color w:val="000000"/>
          <w:spacing w:val="0"/>
          <w:w w:val="100"/>
          <w:position w:val="0"/>
        </w:rPr>
        <w:t>数码产品、家具家电、办公设备等领域开展融资租赁业务。公司致力于将金融 与民生有机结合，在专业化、规范化、市场化的经营原则指导下，在强化风控措施的前提下，促进个人消费升级、帮扶民生 设施改善，推动中小微实体企业发展。</w:t>
      </w:r>
    </w:p>
    <w:p>
      <w:pPr>
        <w:pStyle w:val="Style29"/>
        <w:keepNext w:val="0"/>
        <w:keepLines w:val="0"/>
        <w:widowControl w:val="0"/>
        <w:shd w:val="clear" w:color="auto" w:fill="auto"/>
        <w:bidi w:val="0"/>
        <w:spacing w:before="0" w:after="0" w:line="314" w:lineRule="exact"/>
        <w:ind w:left="0" w:right="0" w:firstLine="36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 商业保理业务：合利保理主要从事保付代理业务（非银行融资类）；供应链管理咨询。以保理业务为核心，依托上 市公司平台及资源，围绕核心企业（如央企、上市公司、医院、学校、大中型的优质企业）的供应链和产业链，在建立风险 控制机制，有效控制业务风险的基础上，拓展资产质量优质、周转良好的应收账款等新型保理业务。</w:t>
      </w:r>
    </w:p>
    <w:p>
      <w:pPr>
        <w:pStyle w:val="Style29"/>
        <w:keepNext w:val="0"/>
        <w:keepLines w:val="0"/>
        <w:widowControl w:val="0"/>
        <w:shd w:val="clear" w:color="auto" w:fill="auto"/>
        <w:tabs>
          <w:tab w:pos="646" w:val="left"/>
        </w:tabs>
        <w:bidi w:val="0"/>
        <w:spacing w:before="0" w:after="0" w:line="314" w:lineRule="exact"/>
        <w:ind w:left="0" w:right="0" w:firstLine="360"/>
        <w:jc w:val="both"/>
      </w:pPr>
      <w:bookmarkStart w:id="78" w:name="bookmark78"/>
      <w:r>
        <w:rPr>
          <w:rFonts w:ascii="Times New Roman" w:eastAsia="Times New Roman" w:hAnsi="Times New Roman" w:cs="Times New Roman"/>
          <w:color w:val="000000"/>
          <w:spacing w:val="0"/>
          <w:w w:val="100"/>
          <w:position w:val="0"/>
        </w:rPr>
        <w:t>4</w:t>
      </w:r>
      <w:bookmarkEnd w:id="78"/>
      <w:r>
        <w:rPr>
          <w:color w:val="000000"/>
          <w:spacing w:val="0"/>
          <w:w w:val="100"/>
          <w:position w:val="0"/>
        </w:rPr>
        <w:t>、</w:t>
        <w:tab/>
        <w:t>供应链管理业务：公司供应链管理业务专注于供应链管理和供应链金融服务，采用产业链</w:t>
      </w:r>
      <w:r>
        <w:rPr>
          <w:rFonts w:ascii="Times New Roman" w:eastAsia="Times New Roman" w:hAnsi="Times New Roman" w:cs="Times New Roman"/>
          <w:color w:val="000000"/>
          <w:spacing w:val="0"/>
          <w:w w:val="100"/>
          <w:position w:val="0"/>
        </w:rPr>
        <w:t>+</w:t>
      </w:r>
      <w:r>
        <w:rPr>
          <w:color w:val="000000"/>
          <w:spacing w:val="0"/>
          <w:w w:val="100"/>
          <w:position w:val="0"/>
        </w:rPr>
        <w:t>供应链</w:t>
      </w:r>
      <w:r>
        <w:rPr>
          <w:rFonts w:ascii="Times New Roman" w:eastAsia="Times New Roman" w:hAnsi="Times New Roman" w:cs="Times New Roman"/>
          <w:color w:val="000000"/>
          <w:spacing w:val="0"/>
          <w:w w:val="100"/>
          <w:position w:val="0"/>
        </w:rPr>
        <w:t>+</w:t>
      </w:r>
      <w:r>
        <w:rPr>
          <w:color w:val="000000"/>
          <w:spacing w:val="0"/>
          <w:w w:val="100"/>
          <w:position w:val="0"/>
        </w:rPr>
        <w:t>配套金融服务， 有效整合了供应链上企业间的商流、信息流、物流、资金流，通过产品和服务创新，为客户提供一揽子供应链解决方案，并 搭建了包含上下游企业、金融机构等在内的多赢性服务平台。</w:t>
      </w:r>
    </w:p>
    <w:p>
      <w:pPr>
        <w:pStyle w:val="Style29"/>
        <w:keepNext w:val="0"/>
        <w:keepLines w:val="0"/>
        <w:widowControl w:val="0"/>
        <w:shd w:val="clear" w:color="auto" w:fill="auto"/>
        <w:tabs>
          <w:tab w:pos="656" w:val="left"/>
        </w:tabs>
        <w:bidi w:val="0"/>
        <w:spacing w:before="0" w:after="360" w:line="314" w:lineRule="exact"/>
        <w:ind w:left="0" w:right="0" w:firstLine="360"/>
        <w:jc w:val="both"/>
      </w:pPr>
      <w:bookmarkStart w:id="79" w:name="bookmark79"/>
      <w:r>
        <w:rPr>
          <w:rFonts w:ascii="Times New Roman" w:eastAsia="Times New Roman" w:hAnsi="Times New Roman" w:cs="Times New Roman"/>
          <w:color w:val="000000"/>
          <w:spacing w:val="0"/>
          <w:w w:val="100"/>
          <w:position w:val="0"/>
        </w:rPr>
        <w:t>5</w:t>
      </w:r>
      <w:bookmarkEnd w:id="79"/>
      <w:r>
        <w:rPr>
          <w:color w:val="000000"/>
          <w:spacing w:val="0"/>
          <w:w w:val="100"/>
          <w:position w:val="0"/>
        </w:rPr>
        <w:t>、</w:t>
        <w:tab/>
        <w:t>互联网小贷业务：公司互联网小贷业务是通过线上用户交互系统、数据化风控系统、全面贷后管理系统等面向传统 行业供应链上的小微企业（商户）提供的全方位金融服务。平台发力普惠金融，以数据为核心、以创新为向导、以科技为动 力、以互联网为路径以实现产融结合，通过大数据技术和体系化风控技术为供应链末端的中小微企业打造一个集商流、物流、 信息流和资金流四流合一的科技金融、智慧供应服务平台。经营模式：依托互联网大数据，反欺诈系统，仁东互联网小贷推 出的线上运营平台，为中小商户及消费者提供信用借款服务。</w:t>
      </w:r>
    </w:p>
    <w:p>
      <w:pPr>
        <w:pStyle w:val="Style24"/>
        <w:keepNext/>
        <w:keepLines/>
        <w:widowControl w:val="0"/>
        <w:shd w:val="clear" w:color="auto" w:fill="auto"/>
        <w:tabs>
          <w:tab w:pos="480" w:val="left"/>
        </w:tabs>
        <w:bidi w:val="0"/>
        <w:spacing w:before="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二</w:t>
      </w:r>
      <w:bookmarkEnd w:id="82"/>
      <w:r>
        <w:rPr>
          <w:color w:val="000000"/>
          <w:spacing w:val="0"/>
          <w:w w:val="100"/>
          <w:position w:val="0"/>
          <w:sz w:val="24"/>
          <w:szCs w:val="24"/>
        </w:rPr>
        <w:t>、</w:t>
        <w:tab/>
        <w:t>主要资产重大变化情况</w:t>
      </w:r>
      <w:bookmarkEnd w:id="80"/>
      <w:bookmarkEnd w:id="81"/>
      <w:bookmarkEnd w:id="83"/>
    </w:p>
    <w:p>
      <w:pPr>
        <w:pStyle w:val="Style33"/>
        <w:keepNext/>
        <w:keepLines/>
        <w:widowControl w:val="0"/>
        <w:shd w:val="clear" w:color="auto" w:fill="auto"/>
        <w:bidi w:val="0"/>
        <w:spacing w:before="0" w:after="30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、主要资产重大变化情况</w:t>
      </w:r>
      <w:bookmarkEnd w:id="84"/>
      <w:bookmarkEnd w:id="85"/>
      <w:bookmarkEnd w:id="87"/>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较上年减少</w:t>
            </w:r>
            <w:r>
              <w:rPr>
                <w:rFonts w:ascii="Times New Roman" w:eastAsia="Times New Roman" w:hAnsi="Times New Roman" w:cs="Times New Roman"/>
                <w:color w:val="000000"/>
                <w:spacing w:val="0"/>
                <w:w w:val="100"/>
                <w:position w:val="0"/>
              </w:rPr>
              <w:t>42.5%</w:t>
            </w:r>
            <w:r>
              <w:rPr>
                <w:color w:val="000000"/>
                <w:spacing w:val="0"/>
                <w:w w:val="100"/>
                <w:position w:val="0"/>
              </w:rPr>
              <w:t>，主要是由于计提应收账款信用减值准备所致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较上年减少</w:t>
            </w:r>
            <w:r>
              <w:rPr>
                <w:rFonts w:ascii="Times New Roman" w:eastAsia="Times New Roman" w:hAnsi="Times New Roman" w:cs="Times New Roman"/>
                <w:color w:val="000000"/>
                <w:spacing w:val="0"/>
                <w:w w:val="100"/>
                <w:position w:val="0"/>
              </w:rPr>
              <w:t>78.35%</w:t>
            </w:r>
            <w:r>
              <w:rPr>
                <w:color w:val="000000"/>
                <w:spacing w:val="0"/>
                <w:w w:val="100"/>
                <w:position w:val="0"/>
              </w:rPr>
              <w:t>，主要是由于采购商品及接受服务验收结转所致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较上年增加</w:t>
            </w:r>
            <w:r>
              <w:rPr>
                <w:rFonts w:ascii="Times New Roman" w:eastAsia="Times New Roman" w:hAnsi="Times New Roman" w:cs="Times New Roman"/>
                <w:color w:val="000000"/>
                <w:spacing w:val="0"/>
                <w:w w:val="100"/>
                <w:position w:val="0"/>
              </w:rPr>
              <w:t>101.58%</w:t>
            </w:r>
            <w:r>
              <w:rPr>
                <w:color w:val="000000"/>
                <w:spacing w:val="0"/>
                <w:w w:val="100"/>
                <w:position w:val="0"/>
              </w:rPr>
              <w:t>，主要是由于计提长治银行的现金红利所致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较上年减少</w:t>
            </w:r>
            <w:r>
              <w:rPr>
                <w:rFonts w:ascii="Times New Roman" w:eastAsia="Times New Roman" w:hAnsi="Times New Roman" w:cs="Times New Roman"/>
                <w:color w:val="000000"/>
                <w:spacing w:val="0"/>
                <w:w w:val="100"/>
                <w:position w:val="0"/>
              </w:rPr>
              <w:t>45.92%</w:t>
            </w:r>
            <w:r>
              <w:rPr>
                <w:color w:val="000000"/>
                <w:spacing w:val="0"/>
                <w:w w:val="100"/>
                <w:position w:val="0"/>
              </w:rPr>
              <w:t>，主要是由于长期应收款的收回所致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较上年增加</w:t>
            </w:r>
            <w:r>
              <w:rPr>
                <w:rFonts w:ascii="Times New Roman" w:eastAsia="Times New Roman" w:hAnsi="Times New Roman" w:cs="Times New Roman"/>
                <w:color w:val="000000"/>
                <w:spacing w:val="0"/>
                <w:w w:val="100"/>
                <w:position w:val="0"/>
              </w:rPr>
              <w:t>102.71%</w:t>
            </w:r>
            <w:r>
              <w:rPr>
                <w:color w:val="000000"/>
                <w:spacing w:val="0"/>
                <w:w w:val="100"/>
                <w:position w:val="0"/>
              </w:rPr>
              <w:t>，主要是由于留抵进项税额增加所致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较上年增加</w:t>
            </w:r>
            <w:r>
              <w:rPr>
                <w:rFonts w:ascii="Times New Roman" w:eastAsia="Times New Roman" w:hAnsi="Times New Roman" w:cs="Times New Roman"/>
                <w:color w:val="000000"/>
                <w:spacing w:val="0"/>
                <w:w w:val="100"/>
                <w:position w:val="0"/>
              </w:rPr>
              <w:t>3022.64%</w:t>
            </w:r>
            <w:r>
              <w:rPr>
                <w:color w:val="000000"/>
                <w:spacing w:val="0"/>
                <w:w w:val="100"/>
                <w:position w:val="0"/>
              </w:rPr>
              <w:t>，主要是由于采购第三方支付业务机具的增加所致</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较上年增加</w:t>
            </w:r>
            <w:r>
              <w:rPr>
                <w:rFonts w:ascii="Times New Roman" w:eastAsia="Times New Roman" w:hAnsi="Times New Roman" w:cs="Times New Roman"/>
                <w:color w:val="000000"/>
                <w:spacing w:val="0"/>
                <w:w w:val="100"/>
                <w:position w:val="0"/>
              </w:rPr>
              <w:t>97.33%</w:t>
            </w:r>
            <w:r>
              <w:rPr>
                <w:color w:val="000000"/>
                <w:spacing w:val="0"/>
                <w:w w:val="100"/>
                <w:position w:val="0"/>
              </w:rPr>
              <w:t>，主要是由于新办公场所装修费用所致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较上年增加</w:t>
            </w:r>
            <w:r>
              <w:rPr>
                <w:rFonts w:ascii="Times New Roman" w:eastAsia="Times New Roman" w:hAnsi="Times New Roman" w:cs="Times New Roman"/>
                <w:color w:val="000000"/>
                <w:spacing w:val="0"/>
                <w:w w:val="100"/>
                <w:position w:val="0"/>
              </w:rPr>
              <w:t>1685.09%</w:t>
            </w:r>
            <w:r>
              <w:rPr>
                <w:color w:val="000000"/>
                <w:spacing w:val="0"/>
                <w:w w:val="100"/>
                <w:position w:val="0"/>
              </w:rPr>
              <w:t>，主要是由于本期其他权益工具投资公允价值调整对应增加递 延所得税资产所致</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、主要境外资产情况</w:t>
      </w:r>
      <w:bookmarkEnd w:id="88"/>
      <w:bookmarkEnd w:id="89"/>
      <w:bookmarkEnd w:id="91"/>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三</w:t>
      </w:r>
      <w:bookmarkEnd w:id="94"/>
      <w:r>
        <w:rPr>
          <w:color w:val="000000"/>
          <w:spacing w:val="0"/>
          <w:w w:val="100"/>
          <w:position w:val="0"/>
          <w:sz w:val="24"/>
          <w:szCs w:val="24"/>
        </w:rPr>
        <w:t>、核心竞争力分析</w:t>
      </w:r>
      <w:bookmarkEnd w:id="92"/>
      <w:bookmarkEnd w:id="93"/>
      <w:bookmarkEnd w:id="95"/>
    </w:p>
    <w:p>
      <w:pPr>
        <w:pStyle w:val="Style29"/>
        <w:keepNext w:val="0"/>
        <w:keepLines w:val="0"/>
        <w:widowControl w:val="0"/>
        <w:shd w:val="clear" w:color="auto" w:fill="auto"/>
        <w:tabs>
          <w:tab w:pos="644" w:val="left"/>
        </w:tabs>
        <w:bidi w:val="0"/>
        <w:spacing w:before="0" w:after="0" w:line="312" w:lineRule="exact"/>
        <w:ind w:left="0" w:right="0" w:firstLine="380"/>
        <w:jc w:val="both"/>
      </w:pPr>
      <w:bookmarkStart w:id="96" w:name="bookmark96"/>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具备支付牌照的优势。公司一直坚持在国家主管部门的监管下合法、合规地开展业务，推进公司经营战略的发展。 公司下属控股子公司拥有中国人民银行核发的支付业务许可证，经营范围覆盖全国，公司将充分利用支付牌照资质的优势， 在继续保持原有支付业务的基础上，大力发展线上、线下及创新业务等其他第三方支付上下游相关业务。中国人民银行核发 的支付业务经营许可牌照具有一定的稀缺性，具备在全国范围开展线上、线下支付业务的经营资质优势。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日，旗 下控股子公司合利宝《支付业务许可证》成功续展，有效期至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29"/>
        <w:keepNext w:val="0"/>
        <w:keepLines w:val="0"/>
        <w:widowControl w:val="0"/>
        <w:shd w:val="clear" w:color="auto" w:fill="auto"/>
        <w:tabs>
          <w:tab w:pos="644" w:val="left"/>
        </w:tabs>
        <w:bidi w:val="0"/>
        <w:spacing w:before="0" w:after="0" w:line="312" w:lineRule="exact"/>
        <w:ind w:left="0" w:right="0" w:firstLine="380"/>
        <w:jc w:val="both"/>
      </w:pPr>
      <w:bookmarkStart w:id="97" w:name="bookmark97"/>
      <w:r>
        <w:rPr>
          <w:rFonts w:ascii="Times New Roman" w:eastAsia="Times New Roman" w:hAnsi="Times New Roman" w:cs="Times New Roman"/>
          <w:color w:val="000000"/>
          <w:spacing w:val="0"/>
          <w:w w:val="100"/>
          <w:position w:val="0"/>
        </w:rPr>
        <w:t>2</w:t>
      </w:r>
      <w:bookmarkEnd w:id="97"/>
      <w:r>
        <w:rPr>
          <w:color w:val="000000"/>
          <w:spacing w:val="0"/>
          <w:w w:val="100"/>
          <w:position w:val="0"/>
        </w:rPr>
        <w:t>、</w:t>
        <w:tab/>
        <w:t>产业链的协同发展优势。结合公司</w:t>
      </w:r>
      <w:r>
        <w:rPr>
          <w:rFonts w:ascii="Times New Roman" w:eastAsia="Times New Roman" w:hAnsi="Times New Roman" w:cs="Times New Roman"/>
          <w:color w:val="000000"/>
          <w:spacing w:val="0"/>
          <w:w w:val="100"/>
          <w:position w:val="0"/>
        </w:rPr>
        <w:t>“</w:t>
      </w:r>
      <w:r>
        <w:rPr>
          <w:color w:val="000000"/>
          <w:spacing w:val="0"/>
          <w:w w:val="100"/>
          <w:position w:val="0"/>
        </w:rPr>
        <w:t>打造金融科技生态圈，完善金融科技产业链</w:t>
      </w:r>
      <w:r>
        <w:rPr>
          <w:rFonts w:ascii="Times New Roman" w:eastAsia="Times New Roman" w:hAnsi="Times New Roman" w:cs="Times New Roman"/>
          <w:color w:val="000000"/>
          <w:spacing w:val="0"/>
          <w:w w:val="100"/>
          <w:position w:val="0"/>
        </w:rPr>
        <w:t>”</w:t>
      </w:r>
      <w:r>
        <w:rPr>
          <w:color w:val="000000"/>
          <w:spacing w:val="0"/>
          <w:w w:val="100"/>
          <w:position w:val="0"/>
        </w:rPr>
        <w:t>的经营发展战略，公司将在第三方 支付、保理、供应链业务的基础上，合规、稳步推进互联网小额贷款业务、消费金融信息咨询和融资租赁等多元金融业务， 逐步投资并布局金融科技产业链上下游，进一步搭建商业金融、科技金融、消费金融等创新金融领域的业务，全面打造金融 科技生态圈。随着公司在金融科技产业链布局的落实与推进，使公司在产业战略协调方面优势明显，提升了整体竞争实力。</w:t>
      </w:r>
    </w:p>
    <w:p>
      <w:pPr>
        <w:pStyle w:val="Style29"/>
        <w:keepNext w:val="0"/>
        <w:keepLines w:val="0"/>
        <w:widowControl w:val="0"/>
        <w:shd w:val="clear" w:color="auto" w:fill="auto"/>
        <w:bidi w:val="0"/>
        <w:spacing w:before="0" w:after="40" w:line="312" w:lineRule="exact"/>
        <w:ind w:left="0" w:right="0" w:firstLine="380"/>
        <w:jc w:val="both"/>
      </w:pPr>
      <w:bookmarkStart w:id="98" w:name="bookmark98"/>
      <w:r>
        <w:rPr>
          <w:rFonts w:ascii="Times New Roman" w:eastAsia="Times New Roman" w:hAnsi="Times New Roman" w:cs="Times New Roman"/>
          <w:color w:val="000000"/>
          <w:spacing w:val="0"/>
          <w:w w:val="100"/>
          <w:position w:val="0"/>
        </w:rPr>
        <w:t>3</w:t>
      </w:r>
      <w:bookmarkEnd w:id="98"/>
      <w:r>
        <w:rPr>
          <w:color w:val="000000"/>
          <w:spacing w:val="0"/>
          <w:w w:val="100"/>
          <w:position w:val="0"/>
        </w:rPr>
        <w:t>、 客户资源整合优势。公司以第三方支付业务为入口端已逐步积累了一批客户，具备比较明显的客户资源优势；公司 还与各类型金融机构、大型企业集团建立了战略合作伙伴关系；随着公司逐步建立业务模式与金融科技闭环生态系统，公司 能够不断整合行业内的各类型客户资源，尤其是优质客户资源。公司对客户资源的整合能力，能为公司持续增强市场竞争力。</w:t>
      </w:r>
    </w:p>
    <w:p>
      <w:pPr>
        <w:pStyle w:val="Style29"/>
        <w:keepNext w:val="0"/>
        <w:keepLines w:val="0"/>
        <w:widowControl w:val="0"/>
        <w:shd w:val="clear" w:color="auto" w:fill="auto"/>
        <w:bidi w:val="0"/>
        <w:spacing w:before="0" w:after="300" w:line="314" w:lineRule="exact"/>
        <w:ind w:left="0" w:right="0" w:firstLine="600"/>
        <w:jc w:val="both"/>
        <w:sectPr>
          <w:footnotePr>
            <w:pos w:val="pageBottom"/>
            <w:numFmt w:val="decimal"/>
            <w:numRestart w:val="continuous"/>
          </w:footnotePr>
          <w:pgSz w:w="11900" w:h="16840"/>
          <w:pgMar w:top="1441" w:right="1021" w:bottom="1513" w:left="1105" w:header="0" w:footer="3" w:gutter="0"/>
          <w:cols w:space="720"/>
          <w:noEndnote/>
          <w:rtlGutter w:val="0"/>
          <w:docGrid w:linePitch="360"/>
        </w:sectPr>
      </w:pPr>
      <w:bookmarkStart w:id="99" w:name="bookmark99"/>
      <w:r>
        <w:rPr>
          <w:rFonts w:ascii="Times New Roman" w:eastAsia="Times New Roman" w:hAnsi="Times New Roman" w:cs="Times New Roman"/>
          <w:color w:val="000000"/>
          <w:spacing w:val="0"/>
          <w:w w:val="100"/>
          <w:position w:val="0"/>
        </w:rPr>
        <w:t>4</w:t>
      </w:r>
      <w:bookmarkEnd w:id="99"/>
      <w:r>
        <w:rPr>
          <w:color w:val="000000"/>
          <w:spacing w:val="0"/>
          <w:w w:val="100"/>
          <w:position w:val="0"/>
        </w:rPr>
        <w:t>、金融科技产品研发技术优势与人才优势。作为拥有第三方支付牌照的企业，截至报告期末公司及其子公司已获得 多项安全类认证、发明专利、软件著作权、商标、域名、美术版权、产品登记证书等，还有多项商标、软件著作权等正在申 请受理中，涵盖银行卡收单、移动支付、跨境支付、清结算系统等多个方面。公司在发展过程中，不断招募和凝聚了一批由 各层次骨干人才组成的经营团队和技术团队。技术和人才的优势保证了公司面对新应用、新需求时具备快速集成与融合和创 新的能力，保障了公司的稳健持续发展，使得公司在行业内的竞争力不断增强。</w:t>
      </w:r>
    </w:p>
    <w:p>
      <w:pPr>
        <w:pStyle w:val="Style11"/>
        <w:keepNext/>
        <w:keepLines/>
        <w:widowControl w:val="0"/>
        <w:shd w:val="clear" w:color="auto" w:fill="auto"/>
        <w:bidi w:val="0"/>
        <w:spacing w:before="56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4"/>
        <w:keepNext/>
        <w:keepLines/>
        <w:widowControl w:val="0"/>
        <w:shd w:val="clear" w:color="auto" w:fill="auto"/>
        <w:tabs>
          <w:tab w:pos="484" w:val="left"/>
        </w:tabs>
        <w:bidi w:val="0"/>
        <w:spacing w:before="0" w:after="260" w:line="240" w:lineRule="auto"/>
        <w:ind w:left="0" w:right="0" w:firstLine="0"/>
        <w:jc w:val="left"/>
      </w:pPr>
      <w:bookmarkStart w:id="103" w:name="bookmark103"/>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w:t>
        <w:tab/>
        <w:t>概述</w:t>
      </w:r>
      <w:bookmarkEnd w:id="104"/>
      <w:bookmarkEnd w:id="105"/>
      <w:bookmarkEnd w:id="107"/>
      <w:bookmarkEnd w:id="103"/>
    </w:p>
    <w:p>
      <w:pPr>
        <w:pStyle w:val="Style2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年度，全球经济受新冠肺炎病毒疫情影响，下行压力加剧，国内经济及社会各行各业均受到不同程度冲击。作为 多元金融类上市公司，立足为中小微企业和个体工商户经营提供服务，公司支付、融资租赁、商业保理、供应链管理、互联 网小贷等业务板块也受到不同程度影响。</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213,028.56</w:t>
      </w:r>
      <w:r>
        <w:rPr>
          <w:color w:val="000000"/>
          <w:spacing w:val="0"/>
          <w:w w:val="100"/>
          <w:position w:val="0"/>
        </w:rPr>
        <w:t>万元，同比增长</w:t>
      </w:r>
      <w:r>
        <w:rPr>
          <w:rFonts w:ascii="Times New Roman" w:eastAsia="Times New Roman" w:hAnsi="Times New Roman" w:cs="Times New Roman"/>
          <w:color w:val="000000"/>
          <w:spacing w:val="0"/>
          <w:w w:val="100"/>
          <w:position w:val="0"/>
        </w:rPr>
        <w:t>16.36%</w:t>
      </w:r>
      <w:r>
        <w:rPr>
          <w:color w:val="000000"/>
          <w:spacing w:val="0"/>
          <w:w w:val="100"/>
          <w:position w:val="0"/>
        </w:rPr>
        <w:t>；归属于上市公司 股东的利润</w:t>
      </w:r>
      <w:r>
        <w:rPr>
          <w:rFonts w:ascii="Times New Roman" w:eastAsia="Times New Roman" w:hAnsi="Times New Roman" w:cs="Times New Roman"/>
          <w:color w:val="000000"/>
          <w:spacing w:val="0"/>
          <w:w w:val="100"/>
          <w:position w:val="0"/>
        </w:rPr>
        <w:t>-37,358.48</w:t>
      </w:r>
      <w:r>
        <w:rPr>
          <w:color w:val="000000"/>
          <w:spacing w:val="0"/>
          <w:w w:val="100"/>
          <w:position w:val="0"/>
        </w:rPr>
        <w:t>万元，同比下降</w:t>
      </w:r>
      <w:r>
        <w:rPr>
          <w:rFonts w:ascii="Times New Roman" w:eastAsia="Times New Roman" w:hAnsi="Times New Roman" w:cs="Times New Roman"/>
          <w:color w:val="000000"/>
          <w:spacing w:val="0"/>
          <w:w w:val="100"/>
          <w:position w:val="0"/>
        </w:rPr>
        <w:t>1,349.46%</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公司业绩大幅下降的主要原因是计提了大额的资产（含商誉）减值准备。报告期内，公司采取了多种措施保障生产经 营，推动业务平稳发展。</w:t>
      </w:r>
    </w:p>
    <w:p>
      <w:pPr>
        <w:pStyle w:val="Style29"/>
        <w:keepNext w:val="0"/>
        <w:keepLines w:val="0"/>
        <w:widowControl w:val="0"/>
        <w:shd w:val="clear" w:color="auto" w:fill="auto"/>
        <w:tabs>
          <w:tab w:pos="838" w:val="left"/>
        </w:tabs>
        <w:bidi w:val="0"/>
        <w:spacing w:before="0" w:after="0" w:line="312" w:lineRule="exact"/>
        <w:ind w:left="0" w:right="0" w:firstLine="440"/>
        <w:jc w:val="both"/>
      </w:pPr>
      <w:bookmarkStart w:id="108" w:name="bookmark108"/>
      <w:r>
        <w:rPr>
          <w:color w:val="000000"/>
          <w:spacing w:val="0"/>
          <w:w w:val="100"/>
          <w:position w:val="0"/>
        </w:rPr>
        <w:t>一</w:t>
      </w:r>
      <w:bookmarkEnd w:id="108"/>
      <w:r>
        <w:rPr>
          <w:color w:val="000000"/>
          <w:spacing w:val="0"/>
          <w:w w:val="100"/>
          <w:position w:val="0"/>
        </w:rPr>
        <w:t>、</w:t>
        <w:tab/>
        <w:t>坚守责任担当，积极防疫抗疫</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疫情期间，公司从上到下全面服从国家疫情防控大局，从严从实做好疫情常态化防控，持续加大疫情防控投入，鼓励 远程办公、线上办公等办公形式，全力保障员工生命健康安全，有力有序推进复工复产。同时公司积极发挥金融科技企业优 势，率先为社会各界驰援武汉慈善款项提供支付通道，对部分期间境外采购医疗类产品跨境人民币支付结算业务全额减免支 付手续费，为全国上千家药店提供公司第三方支付解决方案，建设统一资金入账渠道，以</w:t>
      </w:r>
      <w:r>
        <w:rPr>
          <w:rFonts w:ascii="Times New Roman" w:eastAsia="Times New Roman" w:hAnsi="Times New Roman" w:cs="Times New Roman"/>
          <w:color w:val="000000"/>
          <w:spacing w:val="0"/>
          <w:w w:val="100"/>
          <w:position w:val="0"/>
        </w:rPr>
        <w:t>“</w:t>
      </w:r>
      <w:r>
        <w:rPr>
          <w:color w:val="000000"/>
          <w:spacing w:val="0"/>
          <w:w w:val="100"/>
          <w:position w:val="0"/>
        </w:rPr>
        <w:t>一码多扫</w:t>
      </w:r>
      <w:r>
        <w:rPr>
          <w:rFonts w:ascii="Times New Roman" w:eastAsia="Times New Roman" w:hAnsi="Times New Roman" w:cs="Times New Roman"/>
          <w:color w:val="000000"/>
          <w:spacing w:val="0"/>
          <w:w w:val="100"/>
          <w:position w:val="0"/>
        </w:rPr>
        <w:t>”</w:t>
      </w:r>
      <w:r>
        <w:rPr>
          <w:color w:val="000000"/>
          <w:spacing w:val="0"/>
          <w:w w:val="100"/>
          <w:position w:val="0"/>
        </w:rPr>
        <w:t>覆盖多种支付方式，提 高支付效率，减少人群聚集，降低感染风险。面对疫情，公司在注重自身发展的同时坚守了社会责任，扛起了使命担当。</w:t>
      </w:r>
    </w:p>
    <w:p>
      <w:pPr>
        <w:pStyle w:val="Style29"/>
        <w:keepNext w:val="0"/>
        <w:keepLines w:val="0"/>
        <w:widowControl w:val="0"/>
        <w:shd w:val="clear" w:color="auto" w:fill="auto"/>
        <w:tabs>
          <w:tab w:pos="838" w:val="left"/>
        </w:tabs>
        <w:bidi w:val="0"/>
        <w:spacing w:before="0" w:after="0" w:line="312" w:lineRule="exact"/>
        <w:ind w:left="0" w:right="0" w:firstLine="440"/>
        <w:jc w:val="both"/>
      </w:pPr>
      <w:bookmarkStart w:id="109" w:name="bookmark109"/>
      <w:r>
        <w:rPr>
          <w:color w:val="000000"/>
          <w:spacing w:val="0"/>
          <w:w w:val="100"/>
          <w:position w:val="0"/>
        </w:rPr>
        <w:t>二</w:t>
      </w:r>
      <w:bookmarkEnd w:id="109"/>
      <w:r>
        <w:rPr>
          <w:color w:val="000000"/>
          <w:spacing w:val="0"/>
          <w:w w:val="100"/>
          <w:position w:val="0"/>
        </w:rPr>
        <w:t>、</w:t>
        <w:tab/>
        <w:t>坚持稳中求进，有力保持经营发展稳定局面</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面对疫情冲击和行业竞争，公司积极整合现有资源，逐步收缩供应链管理、商业保理和互联网小贷业务规模，清理存 续收益不佳的项目，加快资金回笼，发力第三方支付和融资租赁优势产业，加大业务创新力度，不断优化服务能力。</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公司第三方支付业务具备全牌照优势，拥有独立研发的支付结算系统，兼具了金融属性和科技属性，在行业内具有较 强的竞争优势和市场地位。报告期内，公司主要布局服务于全国众多的小微商户，开发升级了合利宝二维码收单系统，推出 </w:t>
      </w:r>
      <w:r>
        <w:rPr>
          <w:rFonts w:ascii="Times New Roman" w:eastAsia="Times New Roman" w:hAnsi="Times New Roman" w:cs="Times New Roman"/>
          <w:color w:val="000000"/>
          <w:spacing w:val="0"/>
          <w:w w:val="100"/>
          <w:position w:val="0"/>
        </w:rPr>
        <w:t>“</w:t>
      </w:r>
      <w:r>
        <w:rPr>
          <w:color w:val="000000"/>
          <w:spacing w:val="0"/>
          <w:w w:val="100"/>
          <w:position w:val="0"/>
        </w:rPr>
        <w:t>银联碰一碰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小利买单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小利之家</w:t>
      </w:r>
      <w:r>
        <w:rPr>
          <w:rFonts w:ascii="Times New Roman" w:eastAsia="Times New Roman" w:hAnsi="Times New Roman" w:cs="Times New Roman"/>
          <w:color w:val="000000"/>
          <w:spacing w:val="0"/>
          <w:w w:val="100"/>
          <w:position w:val="0"/>
        </w:rPr>
        <w:t>”</w:t>
      </w:r>
      <w:r>
        <w:rPr>
          <w:color w:val="000000"/>
          <w:spacing w:val="0"/>
          <w:w w:val="100"/>
          <w:position w:val="0"/>
        </w:rPr>
        <w:t>等创新产品和商户增值服务平台，提升用户活跃性、交易频次和用户粘性。公司第 三方支付业务交易金额、交易笔数、商户数量均实现显著增长。</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融资租赁业务持续推进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，深化与优秀科技企业合作，搭建信息化系统，不断提升科技金融服务能力，实现租 赁业务各业务链条信息化。通过大数据风控、区块链科技赋能，围绕互联网场景化生态体系，在</w:t>
      </w:r>
      <w:r>
        <w:rPr>
          <w:rFonts w:ascii="Times New Roman" w:eastAsia="Times New Roman" w:hAnsi="Times New Roman" w:cs="Times New Roman"/>
          <w:color w:val="000000"/>
          <w:spacing w:val="0"/>
          <w:w w:val="100"/>
          <w:position w:val="0"/>
        </w:rPr>
        <w:t>3C</w:t>
      </w:r>
      <w:r>
        <w:rPr>
          <w:color w:val="000000"/>
          <w:spacing w:val="0"/>
          <w:w w:val="100"/>
          <w:position w:val="0"/>
        </w:rPr>
        <w:t>数码产品、家具家电、 办公设备等领域开展融资租赁业务，获得了行业认可，取得了良好的社会效应和经济效益。</w:t>
      </w:r>
    </w:p>
    <w:p>
      <w:pPr>
        <w:pStyle w:val="Style29"/>
        <w:keepNext w:val="0"/>
        <w:keepLines w:val="0"/>
        <w:widowControl w:val="0"/>
        <w:shd w:val="clear" w:color="auto" w:fill="auto"/>
        <w:tabs>
          <w:tab w:pos="838" w:val="left"/>
        </w:tabs>
        <w:bidi w:val="0"/>
        <w:spacing w:before="0" w:after="0" w:line="312" w:lineRule="exact"/>
        <w:ind w:left="0" w:right="0" w:firstLine="440"/>
        <w:jc w:val="both"/>
      </w:pPr>
      <w:bookmarkStart w:id="110" w:name="bookmark110"/>
      <w:r>
        <w:rPr>
          <w:color w:val="000000"/>
          <w:spacing w:val="0"/>
          <w:w w:val="100"/>
          <w:position w:val="0"/>
        </w:rPr>
        <w:t>三</w:t>
      </w:r>
      <w:bookmarkEnd w:id="110"/>
      <w:r>
        <w:rPr>
          <w:color w:val="000000"/>
          <w:spacing w:val="0"/>
          <w:w w:val="100"/>
          <w:position w:val="0"/>
        </w:rPr>
        <w:t>、</w:t>
        <w:tab/>
        <w:t>加强内部控制管理，积极化解经营风险</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报告期内，公司通过完善内控制度、开展内控培训、加强内部管理、强化内控监督与约束机制进一步推进公司内控体 系建设，提升公司整体抗风险能力和综合治理水平，促进公司长期可持续发展。</w:t>
      </w:r>
    </w:p>
    <w:p>
      <w:pPr>
        <w:pStyle w:val="Style29"/>
        <w:keepNext w:val="0"/>
        <w:keepLines w:val="0"/>
        <w:widowControl w:val="0"/>
        <w:shd w:val="clear" w:color="auto" w:fill="auto"/>
        <w:bidi w:val="0"/>
        <w:spacing w:before="0" w:after="360" w:line="31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年度，公司整体处于有序转型和不断优化过程中。但公司也面临一些挑战与风险，包括借款逾期风险、外部环境 风险及监管政策风险等。</w:t>
      </w:r>
      <w:r>
        <w:rPr>
          <w:rFonts w:ascii="Times New Roman" w:eastAsia="Times New Roman" w:hAnsi="Times New Roman" w:cs="Times New Roman"/>
          <w:color w:val="000000"/>
          <w:spacing w:val="0"/>
          <w:w w:val="100"/>
          <w:position w:val="0"/>
        </w:rPr>
        <w:t>2021</w:t>
      </w:r>
      <w:r>
        <w:rPr>
          <w:color w:val="000000"/>
          <w:spacing w:val="0"/>
          <w:w w:val="100"/>
          <w:position w:val="0"/>
        </w:rPr>
        <w:t>年度，公司将重点做好风险排除和业务发展：（</w:t>
      </w:r>
      <w:r>
        <w:rPr>
          <w:rFonts w:ascii="Times New Roman" w:eastAsia="Times New Roman" w:hAnsi="Times New Roman" w:cs="Times New Roman"/>
          <w:color w:val="000000"/>
          <w:spacing w:val="0"/>
          <w:w w:val="100"/>
          <w:position w:val="0"/>
        </w:rPr>
        <w:t>1</w:t>
      </w:r>
      <w:r>
        <w:rPr>
          <w:color w:val="000000"/>
          <w:spacing w:val="0"/>
          <w:w w:val="100"/>
          <w:position w:val="0"/>
        </w:rPr>
        <w:t>）全力以赴，逐步化解相关风险因素，减少 不利影响；（</w:t>
      </w:r>
      <w:r>
        <w:rPr>
          <w:rFonts w:ascii="Times New Roman" w:eastAsia="Times New Roman" w:hAnsi="Times New Roman" w:cs="Times New Roman"/>
          <w:color w:val="000000"/>
          <w:spacing w:val="0"/>
          <w:w w:val="100"/>
          <w:position w:val="0"/>
        </w:rPr>
        <w:t>2</w:t>
      </w:r>
      <w:r>
        <w:rPr>
          <w:color w:val="000000"/>
          <w:spacing w:val="0"/>
          <w:w w:val="100"/>
          <w:position w:val="0"/>
        </w:rPr>
        <w:t>）适应监管形势，抓住监管变化带来的发展机会；（</w:t>
      </w:r>
      <w:r>
        <w:rPr>
          <w:rFonts w:ascii="Times New Roman" w:eastAsia="Times New Roman" w:hAnsi="Times New Roman" w:cs="Times New Roman"/>
          <w:color w:val="000000"/>
          <w:spacing w:val="0"/>
          <w:w w:val="100"/>
          <w:position w:val="0"/>
        </w:rPr>
        <w:t>3</w:t>
      </w:r>
      <w:r>
        <w:rPr>
          <w:color w:val="000000"/>
          <w:spacing w:val="0"/>
          <w:w w:val="100"/>
          <w:position w:val="0"/>
        </w:rPr>
        <w:t>）战略层面把脉问诊，梳理业务方向和发展定位，聚焦 核心优势业务，不断提升科技金融服务能力；（</w:t>
      </w:r>
      <w:r>
        <w:rPr>
          <w:rFonts w:ascii="Times New Roman" w:eastAsia="Times New Roman" w:hAnsi="Times New Roman" w:cs="Times New Roman"/>
          <w:color w:val="000000"/>
          <w:spacing w:val="0"/>
          <w:w w:val="100"/>
          <w:position w:val="0"/>
        </w:rPr>
        <w:t>4</w:t>
      </w:r>
      <w:r>
        <w:rPr>
          <w:color w:val="000000"/>
          <w:spacing w:val="0"/>
          <w:w w:val="100"/>
          <w:position w:val="0"/>
        </w:rPr>
        <w:t>）战术层面勇闯敢拼，树立战功文化，坚持唯才是举，实现再创业和再发 展。</w:t>
      </w:r>
    </w:p>
    <w:p>
      <w:pPr>
        <w:pStyle w:val="Style24"/>
        <w:keepNext/>
        <w:keepLines/>
        <w:widowControl w:val="0"/>
        <w:shd w:val="clear" w:color="auto" w:fill="auto"/>
        <w:tabs>
          <w:tab w:pos="484"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w:t>
        <w:tab/>
        <w:t>主营业务分析</w:t>
      </w:r>
      <w:bookmarkEnd w:id="111"/>
      <w:bookmarkEnd w:id="112"/>
      <w:bookmarkEnd w:id="114"/>
    </w:p>
    <w:p>
      <w:pPr>
        <w:pStyle w:val="Style33"/>
        <w:keepNext/>
        <w:keepLines/>
        <w:widowControl w:val="0"/>
        <w:shd w:val="clear" w:color="auto" w:fill="auto"/>
        <w:bidi w:val="0"/>
        <w:spacing w:before="0" w:after="26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、概述</w:t>
      </w:r>
      <w:bookmarkEnd w:id="115"/>
      <w:bookmarkEnd w:id="116"/>
      <w:bookmarkEnd w:id="118"/>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r>
        <w:br w:type="page"/>
      </w:r>
    </w:p>
    <w:p>
      <w:pPr>
        <w:pStyle w:val="Style33"/>
        <w:keepNext/>
        <w:keepLines/>
        <w:widowControl w:val="0"/>
        <w:shd w:val="clear" w:color="auto" w:fill="auto"/>
        <w:bidi w:val="0"/>
        <w:spacing w:before="0" w:after="38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、收入与成本</w:t>
      </w:r>
      <w:bookmarkEnd w:id="119"/>
      <w:bookmarkEnd w:id="120"/>
      <w:bookmarkEnd w:id="122"/>
    </w:p>
    <w:p>
      <w:pPr>
        <w:pStyle w:val="Style33"/>
        <w:keepNext/>
        <w:keepLines/>
        <w:widowControl w:val="0"/>
        <w:numPr>
          <w:ilvl w:val="0"/>
          <w:numId w:val="1"/>
        </w:numPr>
        <w:shd w:val="clear" w:color="auto" w:fill="auto"/>
        <w:bidi w:val="0"/>
        <w:spacing w:before="0" w:after="380" w:line="240" w:lineRule="auto"/>
        <w:ind w:left="0" w:right="0" w:firstLine="0"/>
        <w:jc w:val="left"/>
      </w:pPr>
      <w:bookmarkStart w:id="119" w:name="bookmark119"/>
      <w:bookmarkStart w:id="120" w:name="bookmark120"/>
      <w:bookmarkStart w:id="123" w:name="bookmark123"/>
      <w:bookmarkStart w:id="124" w:name="bookmark124"/>
      <w:bookmarkEnd w:id="123"/>
      <w:r>
        <w:rPr>
          <w:color w:val="000000"/>
          <w:spacing w:val="0"/>
          <w:w w:val="100"/>
          <w:position w:val="0"/>
        </w:rPr>
        <w:t>营业收入构成</w:t>
      </w:r>
      <w:bookmarkEnd w:id="119"/>
      <w:bookmarkEnd w:id="120"/>
      <w:bookmarkEnd w:id="124"/>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2,130,285,587.66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1,830,818,307.68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869,210,482.20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657,093,262.53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1,199,308,869.49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1,107,681,455.74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20,146,178.91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39,952,373.03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21,009,493.93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15,063,477.32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20,610,563.13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11,027,739.06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869,210,482.20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657,093,262.53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1,189,710,700.08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1,101,324,776.66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20,146,178.91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39,952,373.03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383,531.05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316,521.50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20,610,563.13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11,027,739.06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21,009,493.93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15,063,477.32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MPOS</w:t>
            </w:r>
            <w:r>
              <w:rPr>
                <w:color w:val="000000"/>
                <w:spacing w:val="0"/>
                <w:w w:val="100"/>
                <w:position w:val="0"/>
              </w:rPr>
              <w:t>机具销售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9,214,638.36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3,409,261.19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2,630,896.39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2,130,285,587.66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1,830,818,307.68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w:t>
            </w:r>
          </w:p>
        </w:tc>
      </w:tr>
    </w:tbl>
    <w:p>
      <w:pPr>
        <w:widowControl w:val="0"/>
        <w:spacing w:after="319" w:line="1" w:lineRule="exact"/>
      </w:pPr>
    </w:p>
    <w:p>
      <w:pPr>
        <w:pStyle w:val="Style33"/>
        <w:keepNext/>
        <w:keepLines/>
        <w:widowControl w:val="0"/>
        <w:numPr>
          <w:ilvl w:val="0"/>
          <w:numId w:val="1"/>
        </w:numPr>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869,210,482.20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865,677,034.98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1,199,308,869.49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1,003,068,780.55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869,210,482.20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865,677,034.98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1,189,710,700.08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996,393,989.09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2,130,285,587.66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1,886,171,969.36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4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9"/>
      <w:bookmarkEnd w:id="130"/>
      <w:bookmarkEnd w:id="132"/>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3"/>
      <w:bookmarkEnd w:id="134"/>
      <w:bookmarkEnd w:id="136"/>
    </w:p>
    <w:p>
      <w:pPr>
        <w:pStyle w:val="Style29"/>
        <w:keepNext w:val="0"/>
        <w:keepLines w:val="0"/>
        <w:widowControl w:val="0"/>
        <w:shd w:val="clear" w:color="auto" w:fill="auto"/>
        <w:bidi w:val="0"/>
        <w:spacing w:before="0" w:after="240" w:line="40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4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7"/>
      <w:bookmarkEnd w:id="138"/>
      <w:bookmarkEnd w:id="140"/>
    </w:p>
    <w:p>
      <w:pPr>
        <w:pStyle w:val="Style29"/>
        <w:keepNext w:val="0"/>
        <w:keepLines w:val="0"/>
        <w:widowControl w:val="0"/>
        <w:shd w:val="clear" w:color="auto" w:fill="auto"/>
        <w:bidi w:val="0"/>
        <w:spacing w:before="0" w:line="346" w:lineRule="exact"/>
        <w:ind w:left="0" w:right="0" w:firstLine="0"/>
        <w:jc w:val="both"/>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865,677,034.98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653,961,410.24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银行通道手续费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662,486,866.69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747,397,813.07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335,188,830.37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120,687,186.38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5,393,083.49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2,500,872.16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13,359,000.00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14,583,777.78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2,212,714.04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217,784.96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916.01%</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865,677,034.98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653,961,410.24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银行通道手续费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662,486,866.69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747,397,813.07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335,188,830.37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120,459,963.16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13,359,000.00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14,583,777.78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2,212,714.04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217,784.96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MPOS</w:t>
            </w:r>
            <w:r>
              <w:rPr>
                <w:color w:val="000000"/>
                <w:spacing w:val="0"/>
                <w:w w:val="100"/>
                <w:position w:val="0"/>
              </w:rPr>
              <w:t>机具销售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5,393,083.49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2,500,872.16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系统开发服务等 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227,223.22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与上年口径一致。</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1"/>
      <w:bookmarkEnd w:id="142"/>
      <w:bookmarkEnd w:id="14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556,561,299.98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175,687,071.75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132,546,535.09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106,212,715.70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89,236,955.40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52,878,022.04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556,561,299.98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932,163,823.85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357,517,374.63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220,802,150.19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141,054,084.53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6.68%</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130,527,417.50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82,262,797.00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932,163,823.85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47,073,296.88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37,806,671.44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主要是由于拓展银行卡收单业务增 加的市场补贴所致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135,297,283.06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104,324,301.34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主要由于职工薪酬的影响所致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85,562,033.53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51,402,003.78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主要是由于借款利息影响所致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43,411,988.99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47,385,239.55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主要是由于控制外包的研发费用所 致</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40" w:line="322" w:lineRule="exact"/>
        <w:ind w:left="0" w:right="0" w:firstLine="380"/>
        <w:jc w:val="left"/>
      </w:pPr>
      <w:r>
        <w:rPr>
          <w:color w:val="000000"/>
          <w:spacing w:val="0"/>
          <w:w w:val="100"/>
          <w:position w:val="0"/>
        </w:rPr>
        <w:t>本报告期第三方支付业务加大研发投入用于跨境支付系统、多渠道收单系统、互联网和云智能的</w:t>
      </w:r>
      <w:r>
        <w:rPr>
          <w:rFonts w:ascii="Times New Roman" w:eastAsia="Times New Roman" w:hAnsi="Times New Roman" w:cs="Times New Roman"/>
          <w:color w:val="000000"/>
          <w:spacing w:val="0"/>
          <w:w w:val="100"/>
          <w:position w:val="0"/>
        </w:rPr>
        <w:t>POS</w:t>
      </w:r>
      <w:r>
        <w:rPr>
          <w:color w:val="000000"/>
          <w:spacing w:val="0"/>
          <w:w w:val="100"/>
          <w:position w:val="0"/>
        </w:rPr>
        <w:t>终端、移动收付款 应用软件等多种技术的升级研发。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43,411,988.99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47,385,239.55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0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3,197,740,638.80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2,460,097,174.88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3,103,616,628.09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2,526,904,646.92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94,124,010.71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-66,807,472.04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21,376,554.79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22,189,200.00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200,612,857.56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140,338,776.26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-179,236,302.77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-118,149,576.26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196,603,051.15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1,154,470,154.80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48,396,948.85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-219,370,154.80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-36,738,915.78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-404,324,354.82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80" w:line="240" w:lineRule="auto"/>
        <w:ind w:left="0" w:right="0" w:firstLine="0"/>
        <w:jc w:val="both"/>
      </w:pPr>
      <w:bookmarkStart w:id="165" w:name="bookmark165"/>
      <w:r>
        <w:rPr>
          <w:rFonts w:ascii="Times New Roman" w:eastAsia="Times New Roman" w:hAnsi="Times New Roman" w:cs="Times New Roman"/>
          <w:color w:val="000000"/>
          <w:spacing w:val="0"/>
          <w:w w:val="100"/>
          <w:position w:val="0"/>
        </w:rPr>
        <w:t>1</w:t>
      </w:r>
      <w:bookmarkEnd w:id="165"/>
      <w:r>
        <w:rPr>
          <w:color w:val="000000"/>
          <w:spacing w:val="0"/>
          <w:w w:val="100"/>
          <w:position w:val="0"/>
        </w:rPr>
        <w:t>、</w:t>
        <w:tab/>
        <w:t>经营活动产生的现金流量净额较上年流入增加，主要由于本年加大回款力度和贷款业务放款减少所致。</w:t>
      </w:r>
    </w:p>
    <w:p>
      <w:pPr>
        <w:pStyle w:val="Style29"/>
        <w:keepNext w:val="0"/>
        <w:keepLines w:val="0"/>
        <w:widowControl w:val="0"/>
        <w:shd w:val="clear" w:color="auto" w:fill="auto"/>
        <w:tabs>
          <w:tab w:pos="354" w:val="left"/>
        </w:tabs>
        <w:bidi w:val="0"/>
        <w:spacing w:before="0" w:after="80" w:line="240" w:lineRule="auto"/>
        <w:ind w:left="0" w:right="0" w:firstLine="0"/>
        <w:jc w:val="both"/>
      </w:pPr>
      <w:bookmarkStart w:id="166" w:name="bookmark166"/>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投资活动产生的现金流量净额较上年减少，主要由于支付股权转让款所致。</w:t>
      </w:r>
    </w:p>
    <w:p>
      <w:pPr>
        <w:pStyle w:val="Style29"/>
        <w:keepNext w:val="0"/>
        <w:keepLines w:val="0"/>
        <w:widowControl w:val="0"/>
        <w:shd w:val="clear" w:color="auto" w:fill="auto"/>
        <w:tabs>
          <w:tab w:pos="344" w:val="left"/>
        </w:tabs>
        <w:bidi w:val="0"/>
        <w:spacing w:before="0" w:after="140" w:line="240" w:lineRule="auto"/>
        <w:ind w:left="0" w:right="0" w:firstLine="0"/>
        <w:jc w:val="both"/>
      </w:pPr>
      <w:bookmarkStart w:id="167" w:name="bookmark167"/>
      <w:r>
        <w:rPr>
          <w:rFonts w:ascii="Times New Roman" w:eastAsia="Times New Roman" w:hAnsi="Times New Roman" w:cs="Times New Roman"/>
          <w:color w:val="000000"/>
          <w:spacing w:val="0"/>
          <w:w w:val="100"/>
          <w:position w:val="0"/>
        </w:rPr>
        <w:t>3</w:t>
      </w:r>
      <w:bookmarkEnd w:id="167"/>
      <w:r>
        <w:rPr>
          <w:color w:val="000000"/>
          <w:spacing w:val="0"/>
          <w:w w:val="100"/>
          <w:position w:val="0"/>
        </w:rPr>
        <w:t>、</w:t>
        <w:tab/>
        <w:t>筹资活动产生的现金流量净额较上年流入增加，主要由于本年向大股东拆入资金所致。</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、非主营业务分析</w:t>
      </w:r>
      <w:bookmarkEnd w:id="168"/>
      <w:bookmarkEnd w:id="169"/>
      <w:bookmarkEnd w:id="17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10,272,954.79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主要为公司收到长治银行的 分红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32,186,657.04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主要为收到的业绩补偿款、 政府补助、客户赔偿金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无可持续性</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1,638,982.13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主要由于支付罚款、固定资 产报废、捐赠支出等其他支 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无可持续性</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33"/>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1,835,647,301.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1,430,315,992.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主要由于第三方支付备付金增加所 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229,704,702.8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399,513,632.32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主要由于客户回款增加所致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147,338,618.9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4,718,403.41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主要由于购买支付机具所致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378,999,681.1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440,765,723.60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主要由于偿还借款所致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195,000,000.0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415,887,638.89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主要由于长期借款转入一年内到期 的流动负债所致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462,085,000.0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-130,927,500.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341,157,500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462,085,000.0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-130,927,500.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341,157,500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日，受限资金为</w:t>
      </w:r>
      <w:r>
        <w:rPr>
          <w:b/>
          <w:bCs/>
          <w:color w:val="000000"/>
          <w:spacing w:val="0"/>
          <w:w w:val="100"/>
          <w:position w:val="0"/>
        </w:rPr>
        <w:t>1,783,280,071.29</w:t>
      </w:r>
      <w:r>
        <w:rPr>
          <w:color w:val="000000"/>
          <w:spacing w:val="0"/>
          <w:w w:val="100"/>
          <w:position w:val="0"/>
        </w:rPr>
        <w:t>元，主要是客户备付金、保证金、定期存单及风险准备金。</w:t>
      </w:r>
    </w:p>
    <w:p>
      <w:pPr>
        <w:pStyle w:val="Style24"/>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3"/>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北京荷 月科技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术服 务、技 术咨 询、技 术推 广；软 件开 发；基 础软件 服务； 应用软 件服 务；软 件咨 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仁东区 块链有 限公 司、北 京荷月 科技有 限公司 及股东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《对外 投资暨 关联交 易进展 公告》 公告编 号</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2020-02 </w:t>
            </w:r>
            <w:r>
              <w:rPr>
                <w:rFonts w:ascii="Times New Roman" w:eastAsia="Times New Roman" w:hAnsi="Times New Roman" w:cs="Times New Roman"/>
                <w:color w:val="000000"/>
                <w:spacing w:val="0"/>
                <w:w w:val="100"/>
                <w:position w:val="0"/>
              </w:rPr>
              <w:t>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pStyle w:val="Style33"/>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金融资产投资</w:t>
      </w:r>
      <w:bookmarkEnd w:id="204"/>
      <w:bookmarkEnd w:id="205"/>
      <w:bookmarkEnd w:id="207"/>
    </w:p>
    <w:p>
      <w:pPr>
        <w:pStyle w:val="Style33"/>
        <w:keepNext/>
        <w:keepLines/>
        <w:widowControl w:val="0"/>
        <w:numPr>
          <w:ilvl w:val="0"/>
          <w:numId w:val="3"/>
        </w:numPr>
        <w:shd w:val="clear" w:color="auto" w:fill="auto"/>
        <w:tabs>
          <w:tab w:pos="493" w:val="left"/>
        </w:tabs>
        <w:bidi w:val="0"/>
        <w:spacing w:before="0" w:line="240" w:lineRule="auto"/>
        <w:ind w:left="0" w:right="0" w:firstLine="0"/>
        <w:jc w:val="left"/>
      </w:pPr>
      <w:bookmarkStart w:id="204" w:name="bookmark204"/>
      <w:bookmarkStart w:id="205" w:name="bookmark205"/>
      <w:bookmarkStart w:id="208" w:name="bookmark208"/>
      <w:bookmarkStart w:id="209" w:name="bookmark209"/>
      <w:bookmarkEnd w:id="208"/>
      <w:r>
        <w:rPr>
          <w:color w:val="000000"/>
          <w:spacing w:val="0"/>
          <w:w w:val="100"/>
          <w:position w:val="0"/>
        </w:rPr>
        <w:t>证券投资情况</w:t>
      </w:r>
      <w:bookmarkEnd w:id="204"/>
      <w:bookmarkEnd w:id="205"/>
      <w:bookmarkEnd w:id="20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3"/>
        <w:keepNext/>
        <w:keepLines/>
        <w:widowControl w:val="0"/>
        <w:numPr>
          <w:ilvl w:val="0"/>
          <w:numId w:val="3"/>
        </w:numPr>
        <w:shd w:val="clear" w:color="auto" w:fill="auto"/>
        <w:tabs>
          <w:tab w:pos="493" w:val="left"/>
        </w:tabs>
        <w:bidi w:val="0"/>
        <w:spacing w:before="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衍生品投资情况</w:t>
      </w:r>
      <w:bookmarkEnd w:id="210"/>
      <w:bookmarkEnd w:id="211"/>
      <w:bookmarkEnd w:id="21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募集资金使用情况</w:t>
      </w:r>
      <w:bookmarkEnd w:id="214"/>
      <w:bookmarkEnd w:id="215"/>
      <w:bookmarkEnd w:id="21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六</w:t>
      </w:r>
      <w:bookmarkEnd w:id="220"/>
      <w:r>
        <w:rPr>
          <w:color w:val="000000"/>
          <w:spacing w:val="0"/>
          <w:w w:val="100"/>
          <w:position w:val="0"/>
          <w:sz w:val="24"/>
          <w:szCs w:val="24"/>
        </w:rPr>
        <w:t>、</w:t>
        <w:tab/>
        <w:t>重大资产和股权出售</w:t>
      </w:r>
      <w:bookmarkEnd w:id="218"/>
      <w:bookmarkEnd w:id="219"/>
      <w:bookmarkEnd w:id="221"/>
    </w:p>
    <w:p>
      <w:pPr>
        <w:pStyle w:val="Style33"/>
        <w:keepNext/>
        <w:keepLines/>
        <w:widowControl w:val="0"/>
        <w:shd w:val="clear" w:color="auto" w:fill="auto"/>
        <w:tabs>
          <w:tab w:pos="377"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w:t>
        <w:tab/>
        <w:t>主要控股参股公司分析</w:t>
      </w:r>
      <w:bookmarkEnd w:id="230"/>
      <w:bookmarkEnd w:id="231"/>
      <w:bookmarkEnd w:id="23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 融科技服务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网络技术的 研究、开发; 软件开发；</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信息系统集 成服务</w:t>
            </w:r>
            <w:r>
              <w:rPr>
                <w:rFonts w:ascii="Times New Roman" w:eastAsia="Times New Roman" w:hAnsi="Times New Roman" w:cs="Times New Roman"/>
                <w:color w:val="000000"/>
                <w:spacing w:val="0"/>
                <w:w w:val="100"/>
                <w:position w:val="0"/>
              </w:rPr>
              <w:t>;</w:t>
            </w:r>
            <w:r>
              <w:rPr>
                <w:color w:val="000000"/>
                <w:spacing w:val="0"/>
                <w:w w:val="100"/>
                <w:position w:val="0"/>
              </w:rPr>
              <w:t>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111,111,100.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5,539,457,46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395,202,673.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1,380,884,99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-163,182,699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-156,132,501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息技术咨询 服务；数据 处理和存储 服务</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民盛租赁有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 务；租赁业 务；向国内 外购买租赁 财产；租赁 财产的残值 处理及维 修；自营和 代理货物及 技术进出 口；租赁咨 询服务；兼 营与主营业 务有关的商 业保理业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363,611,592.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233,405,162.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21,155,672.9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10,371,582.4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7,733,325.01</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1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4"/>
        <w:keepNext/>
        <w:keepLines/>
        <w:widowControl w:val="0"/>
        <w:shd w:val="clear" w:color="auto" w:fill="auto"/>
        <w:tabs>
          <w:tab w:pos="517"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公司控制的结构化主体情况</w:t>
      </w:r>
      <w:bookmarkEnd w:id="234"/>
      <w:bookmarkEnd w:id="235"/>
      <w:bookmarkEnd w:id="23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w:t>
        <w:tab/>
        <w:t>公司未来发展的展望</w:t>
      </w:r>
      <w:bookmarkEnd w:id="238"/>
      <w:bookmarkEnd w:id="239"/>
      <w:bookmarkEnd w:id="241"/>
    </w:p>
    <w:p>
      <w:pPr>
        <w:pStyle w:val="Style37"/>
        <w:keepNext w:val="0"/>
        <w:keepLines w:val="0"/>
        <w:widowControl w:val="0"/>
        <w:shd w:val="clear" w:color="auto" w:fill="auto"/>
        <w:tabs>
          <w:tab w:pos="894" w:val="left"/>
        </w:tabs>
        <w:bidi w:val="0"/>
        <w:spacing w:before="0" w:after="0" w:line="315" w:lineRule="exact"/>
        <w:ind w:left="0" w:right="0"/>
        <w:jc w:val="both"/>
      </w:pPr>
      <w:bookmarkStart w:id="242" w:name="bookmark242"/>
      <w:r>
        <w:rPr>
          <w:color w:val="000000"/>
          <w:spacing w:val="0"/>
          <w:w w:val="100"/>
          <w:position w:val="0"/>
        </w:rPr>
        <w:t>一</w:t>
      </w:r>
      <w:bookmarkEnd w:id="242"/>
      <w:r>
        <w:rPr>
          <w:color w:val="000000"/>
          <w:spacing w:val="0"/>
          <w:w w:val="100"/>
          <w:position w:val="0"/>
        </w:rPr>
        <w:t>、</w:t>
        <w:tab/>
        <w:t>公司所处行业的发展趋势</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公司已转型为金融科技企业。金融科技行业的</w:t>
      </w:r>
      <w:r>
        <w:rPr>
          <w:b/>
          <w:bCs/>
          <w:color w:val="000000"/>
          <w:spacing w:val="0"/>
          <w:w w:val="100"/>
          <w:position w:val="0"/>
        </w:rPr>
        <w:t>2021</w:t>
      </w:r>
      <w:r>
        <w:rPr>
          <w:color w:val="000000"/>
          <w:spacing w:val="0"/>
          <w:w w:val="100"/>
          <w:position w:val="0"/>
        </w:rPr>
        <w:t>年度发展趋势展望：</w:t>
      </w:r>
      <w:r>
        <w:rPr>
          <w:b/>
          <w:bCs/>
          <w:color w:val="000000"/>
          <w:spacing w:val="0"/>
          <w:w w:val="100"/>
          <w:position w:val="0"/>
        </w:rPr>
        <w:t>1</w:t>
      </w:r>
      <w:r>
        <w:rPr>
          <w:color w:val="000000"/>
          <w:spacing w:val="0"/>
          <w:w w:val="100"/>
          <w:position w:val="0"/>
        </w:rPr>
        <w:t>、严监管继续保持常态，相关政策 不断细化；</w:t>
      </w:r>
      <w:r>
        <w:rPr>
          <w:b/>
          <w:bCs/>
          <w:color w:val="000000"/>
          <w:spacing w:val="0"/>
          <w:w w:val="100"/>
          <w:position w:val="0"/>
        </w:rPr>
        <w:t>2</w:t>
      </w:r>
      <w:r>
        <w:rPr>
          <w:color w:val="000000"/>
          <w:spacing w:val="0"/>
          <w:w w:val="100"/>
          <w:position w:val="0"/>
        </w:rPr>
        <w:t>、金融风险防控要求持续提升，企业合规成本继续提高；</w:t>
      </w:r>
      <w:r>
        <w:rPr>
          <w:b/>
          <w:bCs/>
          <w:color w:val="000000"/>
          <w:spacing w:val="0"/>
          <w:w w:val="100"/>
          <w:position w:val="0"/>
        </w:rPr>
        <w:t>3</w:t>
      </w:r>
      <w:r>
        <w:rPr>
          <w:color w:val="000000"/>
          <w:spacing w:val="0"/>
          <w:w w:val="100"/>
          <w:position w:val="0"/>
        </w:rPr>
        <w:t>、行业加速洗牌，中小平台在竞争中加 速淘汰，行业集中度进一步提升；</w:t>
      </w:r>
      <w:r>
        <w:rPr>
          <w:b/>
          <w:bCs/>
          <w:color w:val="000000"/>
          <w:spacing w:val="0"/>
          <w:w w:val="100"/>
          <w:position w:val="0"/>
        </w:rPr>
        <w:t>4</w:t>
      </w:r>
      <w:r>
        <w:rPr>
          <w:color w:val="000000"/>
          <w:spacing w:val="0"/>
          <w:w w:val="100"/>
          <w:position w:val="0"/>
        </w:rPr>
        <w:t>、金融科技场景化不断深化，人性化、差异化的场景服务将成为企业核心竞 争力。</w:t>
      </w:r>
    </w:p>
    <w:p>
      <w:pPr>
        <w:pStyle w:val="Style37"/>
        <w:keepNext w:val="0"/>
        <w:keepLines w:val="0"/>
        <w:widowControl w:val="0"/>
        <w:shd w:val="clear" w:color="auto" w:fill="auto"/>
        <w:tabs>
          <w:tab w:pos="894" w:val="left"/>
        </w:tabs>
        <w:bidi w:val="0"/>
        <w:spacing w:before="0" w:after="0" w:line="315" w:lineRule="exact"/>
        <w:ind w:left="0" w:right="0"/>
        <w:jc w:val="both"/>
      </w:pPr>
      <w:bookmarkStart w:id="243" w:name="bookmark243"/>
      <w:r>
        <w:rPr>
          <w:color w:val="000000"/>
          <w:spacing w:val="0"/>
          <w:w w:val="100"/>
          <w:position w:val="0"/>
        </w:rPr>
        <w:t>二</w:t>
      </w:r>
      <w:bookmarkEnd w:id="243"/>
      <w:r>
        <w:rPr>
          <w:color w:val="000000"/>
          <w:spacing w:val="0"/>
          <w:w w:val="100"/>
          <w:position w:val="0"/>
        </w:rPr>
        <w:t>、</w:t>
        <w:tab/>
        <w:t>公司发展战略</w:t>
      </w:r>
    </w:p>
    <w:p>
      <w:pPr>
        <w:pStyle w:val="Style37"/>
        <w:keepNext w:val="0"/>
        <w:keepLines w:val="0"/>
        <w:widowControl w:val="0"/>
        <w:shd w:val="clear" w:color="auto" w:fill="auto"/>
        <w:bidi w:val="0"/>
        <w:spacing w:before="0" w:after="0" w:line="310" w:lineRule="exact"/>
        <w:ind w:left="0" w:right="0"/>
        <w:jc w:val="both"/>
      </w:pPr>
      <w:r>
        <w:rPr>
          <w:color w:val="000000"/>
          <w:spacing w:val="0"/>
          <w:w w:val="100"/>
          <w:position w:val="0"/>
        </w:rPr>
        <w:t>公司按照</w:t>
      </w:r>
      <w:r>
        <w:rPr>
          <w:b/>
          <w:bCs/>
          <w:color w:val="000000"/>
          <w:spacing w:val="0"/>
          <w:w w:val="100"/>
          <w:position w:val="0"/>
        </w:rPr>
        <w:t>“</w:t>
      </w:r>
      <w:r>
        <w:rPr>
          <w:color w:val="000000"/>
          <w:spacing w:val="0"/>
          <w:w w:val="100"/>
          <w:position w:val="0"/>
        </w:rPr>
        <w:t>打造金融科技生态圈，完善金融科技产业链</w:t>
      </w:r>
      <w:r>
        <w:rPr>
          <w:b/>
          <w:bCs/>
          <w:color w:val="000000"/>
          <w:spacing w:val="0"/>
          <w:w w:val="100"/>
          <w:position w:val="0"/>
        </w:rPr>
        <w:t>”</w:t>
      </w:r>
      <w:r>
        <w:rPr>
          <w:color w:val="000000"/>
          <w:spacing w:val="0"/>
          <w:w w:val="100"/>
          <w:position w:val="0"/>
        </w:rPr>
        <w:t>的战略发展规划，进一步搭建商业金融、科技金融、 资产管理等创新金融领域的业务，形成第三方支付相关业务的上下游产业链，创建中国领先的金融科技公司。 积极推进产业升级步伐，加大科技创新力度，增强核心竞争力，优化公司治理结构，提升内控管理水平，积极 履行社会责任，着力提升企业价值和社会价值，维护全体股东利益。</w:t>
      </w:r>
    </w:p>
    <w:p>
      <w:pPr>
        <w:pStyle w:val="Style37"/>
        <w:keepNext w:val="0"/>
        <w:keepLines w:val="0"/>
        <w:widowControl w:val="0"/>
        <w:shd w:val="clear" w:color="auto" w:fill="auto"/>
        <w:tabs>
          <w:tab w:pos="899" w:val="left"/>
        </w:tabs>
        <w:bidi w:val="0"/>
        <w:spacing w:before="0" w:after="0" w:line="315" w:lineRule="exact"/>
        <w:ind w:left="0" w:right="0"/>
        <w:jc w:val="both"/>
      </w:pPr>
      <w:bookmarkStart w:id="244" w:name="bookmark244"/>
      <w:r>
        <w:rPr>
          <w:color w:val="000000"/>
          <w:spacing w:val="0"/>
          <w:w w:val="100"/>
          <w:position w:val="0"/>
        </w:rPr>
        <w:t>三</w:t>
      </w:r>
      <w:bookmarkEnd w:id="244"/>
      <w:r>
        <w:rPr>
          <w:color w:val="000000"/>
          <w:spacing w:val="0"/>
          <w:w w:val="100"/>
          <w:position w:val="0"/>
        </w:rPr>
        <w:t>、</w:t>
        <w:tab/>
        <w:t>年度经营计划</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作为多元金融类上市公司，公司主要业务涉及第三方支付、融资租赁、商业保理、供应链管理及互联网小 贷业务。其中，第三方支付业务具备全牌照优势，且拥有独立研发的支付结算系统，兼具了金融属性和科技属 </w:t>
      </w:r>
      <w:r>
        <w:rPr>
          <w:color w:val="000000"/>
          <w:spacing w:val="0"/>
          <w:w w:val="100"/>
          <w:position w:val="0"/>
        </w:rPr>
        <w:t>性，在行业内具有一定的竞争优势和市场地位。未来公司将优化资源配置，集中优势资源，支持第三方支付业 务做大做强，不断提升其服务能力，增强其市场竞争力和盈利能力。融资租赁业务持续推进</w:t>
      </w:r>
      <w:r>
        <w:rPr>
          <w:b/>
          <w:bCs/>
          <w:color w:val="000000"/>
          <w:spacing w:val="0"/>
          <w:w w:val="100"/>
          <w:position w:val="0"/>
        </w:rPr>
        <w:t>“</w:t>
      </w:r>
      <w:r>
        <w:rPr>
          <w:color w:val="000000"/>
          <w:spacing w:val="0"/>
          <w:w w:val="100"/>
          <w:position w:val="0"/>
        </w:rPr>
        <w:t>互联网</w:t>
      </w:r>
      <w:r>
        <w:rPr>
          <w:b/>
          <w:bCs/>
          <w:color w:val="000000"/>
          <w:spacing w:val="0"/>
          <w:w w:val="100"/>
          <w:position w:val="0"/>
        </w:rPr>
        <w:t>+”</w:t>
      </w:r>
      <w:r>
        <w:rPr>
          <w:color w:val="000000"/>
          <w:spacing w:val="0"/>
          <w:w w:val="100"/>
          <w:position w:val="0"/>
        </w:rPr>
        <w:t>，逐步实 现融资租赁业务的互联网场景化，借助互联网、大数据等技术，不断提升平台创新能力，拓展业务规模。</w:t>
      </w:r>
    </w:p>
    <w:p>
      <w:pPr>
        <w:pStyle w:val="Style37"/>
        <w:keepNext w:val="0"/>
        <w:keepLines w:val="0"/>
        <w:widowControl w:val="0"/>
        <w:shd w:val="clear" w:color="auto" w:fill="auto"/>
        <w:bidi w:val="0"/>
        <w:spacing w:before="0" w:after="0"/>
        <w:ind w:left="0" w:right="0"/>
        <w:jc w:val="both"/>
      </w:pPr>
      <w:r>
        <w:rPr>
          <w:b/>
          <w:bCs/>
          <w:color w:val="000000"/>
          <w:spacing w:val="0"/>
          <w:w w:val="100"/>
          <w:position w:val="0"/>
        </w:rPr>
        <w:t>2021</w:t>
      </w:r>
      <w:r>
        <w:rPr>
          <w:color w:val="000000"/>
          <w:spacing w:val="0"/>
          <w:w w:val="100"/>
          <w:position w:val="0"/>
        </w:rPr>
        <w:t>年度，公司将积极适应监管环境，重点做好风险化解，梳清业务发展方向，积极整合现有资源，对未 来增长潜力大、具备市场竞争力的优势业务加大资源投入，充分发挥其优势；对存续效益不佳的项目逐步收缩 其业务规模，减少资源投入，适时对其进行转型或果断清理，达到取长补短、减少成本占用的目的，不断提升 公司整体盈利能力。</w:t>
      </w:r>
    </w:p>
    <w:p>
      <w:pPr>
        <w:pStyle w:val="Style37"/>
        <w:keepNext w:val="0"/>
        <w:keepLines w:val="0"/>
        <w:widowControl w:val="0"/>
        <w:shd w:val="clear" w:color="auto" w:fill="auto"/>
        <w:bidi w:val="0"/>
        <w:spacing w:before="0" w:after="0"/>
        <w:ind w:left="0" w:right="0"/>
        <w:jc w:val="both"/>
      </w:pPr>
      <w:bookmarkStart w:id="245" w:name="bookmark245"/>
      <w:r>
        <w:rPr>
          <w:color w:val="000000"/>
          <w:spacing w:val="0"/>
          <w:w w:val="100"/>
          <w:position w:val="0"/>
        </w:rPr>
        <w:t>四</w:t>
      </w:r>
      <w:bookmarkEnd w:id="245"/>
      <w:r>
        <w:rPr>
          <w:color w:val="000000"/>
          <w:spacing w:val="0"/>
          <w:w w:val="100"/>
          <w:position w:val="0"/>
        </w:rPr>
        <w:t>、公司面临的风险与挑战</w:t>
      </w:r>
    </w:p>
    <w:p>
      <w:pPr>
        <w:pStyle w:val="Style37"/>
        <w:keepNext w:val="0"/>
        <w:keepLines w:val="0"/>
        <w:widowControl w:val="0"/>
        <w:shd w:val="clear" w:color="auto" w:fill="auto"/>
        <w:bidi w:val="0"/>
        <w:spacing w:before="0" w:after="0"/>
        <w:ind w:left="0" w:right="0"/>
        <w:jc w:val="both"/>
      </w:pPr>
      <w:r>
        <w:rPr>
          <w:b/>
          <w:bCs/>
          <w:color w:val="000000"/>
          <w:spacing w:val="0"/>
          <w:w w:val="100"/>
          <w:position w:val="0"/>
        </w:rPr>
        <w:t>2020</w:t>
      </w:r>
      <w:r>
        <w:rPr>
          <w:color w:val="000000"/>
          <w:spacing w:val="0"/>
          <w:w w:val="100"/>
          <w:position w:val="0"/>
        </w:rPr>
        <w:t>年度，公司业务基本实现平稳发展，但仍存在着挑战和风险，具体如下：</w:t>
      </w:r>
    </w:p>
    <w:p>
      <w:pPr>
        <w:pStyle w:val="Style37"/>
        <w:keepNext w:val="0"/>
        <w:keepLines w:val="0"/>
        <w:widowControl w:val="0"/>
        <w:shd w:val="clear" w:color="auto" w:fill="auto"/>
        <w:tabs>
          <w:tab w:pos="742" w:val="left"/>
        </w:tabs>
        <w:bidi w:val="0"/>
        <w:spacing w:before="0" w:after="0"/>
        <w:ind w:left="0" w:right="0"/>
        <w:jc w:val="both"/>
      </w:pPr>
      <w:bookmarkStart w:id="246" w:name="bookmark246"/>
      <w:r>
        <w:rPr>
          <w:b/>
          <w:bCs/>
          <w:color w:val="000000"/>
          <w:spacing w:val="0"/>
          <w:w w:val="100"/>
          <w:position w:val="0"/>
        </w:rPr>
        <w:t>1</w:t>
      </w:r>
      <w:bookmarkEnd w:id="246"/>
      <w:r>
        <w:rPr>
          <w:color w:val="000000"/>
          <w:spacing w:val="0"/>
          <w:w w:val="100"/>
          <w:position w:val="0"/>
        </w:rPr>
        <w:t>、</w:t>
        <w:tab/>
        <w:t>商誉减值风险</w:t>
      </w:r>
    </w:p>
    <w:p>
      <w:pPr>
        <w:pStyle w:val="Style37"/>
        <w:keepNext w:val="0"/>
        <w:keepLines w:val="0"/>
        <w:widowControl w:val="0"/>
        <w:shd w:val="clear" w:color="auto" w:fill="auto"/>
        <w:bidi w:val="0"/>
        <w:spacing w:before="0" w:after="0"/>
        <w:ind w:left="0" w:right="0"/>
        <w:jc w:val="both"/>
      </w:pPr>
      <w:r>
        <w:rPr>
          <w:color w:val="000000"/>
          <w:spacing w:val="0"/>
          <w:w w:val="100"/>
          <w:position w:val="0"/>
        </w:rPr>
        <w:t>广东合利未来经营发生不利变化导致其盈利能力下降，对公司经营业绩造成影响，可能导致广东合利存在 商誉减值风险。公司通过采取加强内部控制管理、积极拓展业务、完善系统建设、招募优秀管理团队等措施提 升广东合利的经营业绩，应对可能出现的商誉减值风险。</w:t>
      </w:r>
    </w:p>
    <w:p>
      <w:pPr>
        <w:pStyle w:val="Style37"/>
        <w:keepNext w:val="0"/>
        <w:keepLines w:val="0"/>
        <w:widowControl w:val="0"/>
        <w:shd w:val="clear" w:color="auto" w:fill="auto"/>
        <w:tabs>
          <w:tab w:pos="748" w:val="left"/>
        </w:tabs>
        <w:bidi w:val="0"/>
        <w:spacing w:before="0" w:after="0"/>
        <w:ind w:left="0" w:right="0"/>
        <w:jc w:val="both"/>
      </w:pPr>
      <w:bookmarkStart w:id="247" w:name="bookmark247"/>
      <w:r>
        <w:rPr>
          <w:b/>
          <w:bCs/>
          <w:color w:val="000000"/>
          <w:spacing w:val="0"/>
          <w:w w:val="100"/>
          <w:position w:val="0"/>
        </w:rPr>
        <w:t>2</w:t>
      </w:r>
      <w:bookmarkEnd w:id="247"/>
      <w:r>
        <w:rPr>
          <w:color w:val="000000"/>
          <w:spacing w:val="0"/>
          <w:w w:val="100"/>
          <w:position w:val="0"/>
        </w:rPr>
        <w:t>、</w:t>
        <w:tab/>
        <w:t>行业监管政策变化导致业务受到不利影响的风险</w:t>
      </w:r>
    </w:p>
    <w:p>
      <w:pPr>
        <w:pStyle w:val="Style37"/>
        <w:keepNext w:val="0"/>
        <w:keepLines w:val="0"/>
        <w:widowControl w:val="0"/>
        <w:shd w:val="clear" w:color="auto" w:fill="auto"/>
        <w:bidi w:val="0"/>
        <w:spacing w:before="0" w:after="0"/>
        <w:ind w:left="0" w:right="0"/>
        <w:jc w:val="both"/>
      </w:pPr>
      <w:r>
        <w:rPr>
          <w:color w:val="000000"/>
          <w:spacing w:val="0"/>
          <w:w w:val="100"/>
          <w:position w:val="0"/>
        </w:rPr>
        <w:t>相关法律法规的颁布代表主管部门向非金融机构放开了第三方支付市场，但由于该行业与国家金融体系的 平稳运行密切相关，主管部门对此行业的监管将趋于严格，若由于行业内某些企业的违法违规行为而扰乱金融 市场、造成恶劣影响，主管机关可能对上述法律法规进行调整或出台趋紧的法律法规，收紧对非金融机构从事 第三方支付业务的许可经营范围或加强对此行业的监管力度，这将深刻影响行业未来的发展方向和行业的竞争 格局，从而可能对公司金融科技业务的稳定性与持续性产生重要影响。公司严格按照监管机构相关政策在许可 业务类型范围内合规开展第三方支付业务，最大限度降低政策风险对公司的不利影响。</w:t>
      </w:r>
    </w:p>
    <w:p>
      <w:pPr>
        <w:pStyle w:val="Style37"/>
        <w:keepNext w:val="0"/>
        <w:keepLines w:val="0"/>
        <w:widowControl w:val="0"/>
        <w:shd w:val="clear" w:color="auto" w:fill="auto"/>
        <w:tabs>
          <w:tab w:pos="748" w:val="left"/>
        </w:tabs>
        <w:bidi w:val="0"/>
        <w:spacing w:before="0" w:after="0"/>
        <w:ind w:left="0" w:right="0"/>
        <w:jc w:val="both"/>
      </w:pPr>
      <w:bookmarkStart w:id="248" w:name="bookmark248"/>
      <w:r>
        <w:rPr>
          <w:b/>
          <w:bCs/>
          <w:color w:val="000000"/>
          <w:spacing w:val="0"/>
          <w:w w:val="100"/>
          <w:position w:val="0"/>
        </w:rPr>
        <w:t>3</w:t>
      </w:r>
      <w:bookmarkEnd w:id="248"/>
      <w:r>
        <w:rPr>
          <w:color w:val="000000"/>
          <w:spacing w:val="0"/>
          <w:w w:val="100"/>
          <w:position w:val="0"/>
        </w:rPr>
        <w:t>、</w:t>
        <w:tab/>
        <w:t>市场竞争风险</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金融科技业务处于快速发展阶段，具有产品和服务更新换代快的特点，若公司金融科技业务对技术、产品 和市场的发展趋势不能正确判断，不能持续研发升级产品和服务，将导致公司的市场竞争能力下降，存在一定 的市场竞争风险。公司实施有竞争力的人才政策，保证在金融科技行业的竞争中能引进优秀的各类人才。</w:t>
      </w:r>
    </w:p>
    <w:p>
      <w:pPr>
        <w:pStyle w:val="Style37"/>
        <w:keepNext w:val="0"/>
        <w:keepLines w:val="0"/>
        <w:widowControl w:val="0"/>
        <w:shd w:val="clear" w:color="auto" w:fill="auto"/>
        <w:tabs>
          <w:tab w:pos="748" w:val="left"/>
        </w:tabs>
        <w:bidi w:val="0"/>
        <w:spacing w:before="0" w:after="0" w:line="314" w:lineRule="exact"/>
        <w:ind w:left="0" w:right="0"/>
        <w:jc w:val="both"/>
      </w:pPr>
      <w:bookmarkStart w:id="249" w:name="bookmark249"/>
      <w:r>
        <w:rPr>
          <w:b/>
          <w:bCs/>
          <w:color w:val="000000"/>
          <w:spacing w:val="0"/>
          <w:w w:val="100"/>
          <w:position w:val="0"/>
        </w:rPr>
        <w:t>4</w:t>
      </w:r>
      <w:bookmarkEnd w:id="249"/>
      <w:r>
        <w:rPr>
          <w:color w:val="000000"/>
          <w:spacing w:val="0"/>
          <w:w w:val="100"/>
          <w:position w:val="0"/>
        </w:rPr>
        <w:t>、</w:t>
        <w:tab/>
        <w:t>系统软硬件及技术风险</w:t>
      </w:r>
    </w:p>
    <w:p>
      <w:pPr>
        <w:pStyle w:val="Style37"/>
        <w:keepNext w:val="0"/>
        <w:keepLines w:val="0"/>
        <w:widowControl w:val="0"/>
        <w:shd w:val="clear" w:color="auto" w:fill="auto"/>
        <w:bidi w:val="0"/>
        <w:spacing w:before="0" w:after="0"/>
        <w:ind w:left="0" w:right="0"/>
        <w:jc w:val="both"/>
      </w:pPr>
      <w:r>
        <w:rPr>
          <w:color w:val="000000"/>
          <w:spacing w:val="0"/>
          <w:w w:val="100"/>
          <w:position w:val="0"/>
        </w:rPr>
        <w:t>技术风险是指由于软硬件及网络等原因导致的损失。具体包括：网络系统被恶意攻击，门户网站的页面被 恶意替换，业务数据遭破坏或失窃，客户数据及密码信息遗失，造成资金损失；由于主机、网络以及其他设备 等故障造成合利宝支付全部业务停顿，导致用户直接资金损失或间接损失；客户服务中心系统出现故障，导致 客户服务工作停顿。根据对客户或其他相关单位造成损失的大小，公司受到的影响可能是支付赔偿金、缴纳罚 款、暂停业务、被吊销《支付业务许可证》的风险。公司将配备充足的</w:t>
      </w:r>
      <w:r>
        <w:rPr>
          <w:b/>
          <w:bCs/>
          <w:color w:val="000000"/>
          <w:spacing w:val="0"/>
          <w:w w:val="100"/>
          <w:position w:val="0"/>
        </w:rPr>
        <w:t>IT</w:t>
      </w:r>
      <w:r>
        <w:rPr>
          <w:color w:val="000000"/>
          <w:spacing w:val="0"/>
          <w:w w:val="100"/>
          <w:position w:val="0"/>
        </w:rPr>
        <w:t>技术人员，加强系统及软硬件建设； 加强相关软硬件设施的配备，以满足更多的业务种类和业务量；提高公司业务系统的安全级别，尽可能降低上 述风险事件发生的可能性。</w:t>
      </w:r>
    </w:p>
    <w:p>
      <w:pPr>
        <w:pStyle w:val="Style37"/>
        <w:keepNext w:val="0"/>
        <w:keepLines w:val="0"/>
        <w:widowControl w:val="0"/>
        <w:shd w:val="clear" w:color="auto" w:fill="auto"/>
        <w:tabs>
          <w:tab w:pos="748" w:val="left"/>
        </w:tabs>
        <w:bidi w:val="0"/>
        <w:spacing w:before="0" w:after="0"/>
        <w:ind w:left="0" w:right="0"/>
        <w:jc w:val="both"/>
      </w:pPr>
      <w:bookmarkStart w:id="250" w:name="bookmark250"/>
      <w:r>
        <w:rPr>
          <w:b/>
          <w:bCs/>
          <w:color w:val="000000"/>
          <w:spacing w:val="0"/>
          <w:w w:val="100"/>
          <w:position w:val="0"/>
        </w:rPr>
        <w:t>5</w:t>
      </w:r>
      <w:bookmarkEnd w:id="250"/>
      <w:r>
        <w:rPr>
          <w:color w:val="000000"/>
          <w:spacing w:val="0"/>
          <w:w w:val="100"/>
          <w:position w:val="0"/>
        </w:rPr>
        <w:t>、</w:t>
        <w:tab/>
        <w:t>客户的违法违规行为导致的经营风险</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商户弄虚作假，将通道私自嫁接给第三方使用或移做他用；违规操作资金进出；银行卡盗刷、恶意拒付的 风险。公司的商户自身发生违规行为，在选择商户时，若未严格执行对商户的筛选标准，导致出现上述违规行 为进而造成交易量大幅下降，将会导致手续费收入大幅减少的经营风险。公司将强化商户审核机制，严格按照 公司商户准入制度实行准入制，对存量商户定期进行梳理，及时发现违规行为并采取有效防范措施；积极拓展 市场，增加优质商户数量，降低对单一市场或行业的业绩依赖；公司坚持只提供支付服务，不参与交易业务的 中性合规原则。</w:t>
      </w:r>
    </w:p>
    <w:p>
      <w:pPr>
        <w:pStyle w:val="Style37"/>
        <w:keepNext w:val="0"/>
        <w:keepLines w:val="0"/>
        <w:widowControl w:val="0"/>
        <w:shd w:val="clear" w:color="auto" w:fill="auto"/>
        <w:tabs>
          <w:tab w:pos="748" w:val="left"/>
        </w:tabs>
        <w:bidi w:val="0"/>
        <w:spacing w:before="0" w:after="0"/>
        <w:ind w:left="0" w:right="0"/>
        <w:jc w:val="both"/>
      </w:pPr>
      <w:bookmarkStart w:id="251" w:name="bookmark251"/>
      <w:r>
        <w:rPr>
          <w:b/>
          <w:bCs/>
          <w:color w:val="000000"/>
          <w:spacing w:val="0"/>
          <w:w w:val="100"/>
          <w:position w:val="0"/>
        </w:rPr>
        <w:t>6</w:t>
      </w:r>
      <w:bookmarkEnd w:id="251"/>
      <w:r>
        <w:rPr>
          <w:color w:val="000000"/>
          <w:spacing w:val="0"/>
          <w:w w:val="100"/>
          <w:position w:val="0"/>
        </w:rPr>
        <w:t>、</w:t>
        <w:tab/>
        <w:t>资金周转风险</w:t>
      </w:r>
    </w:p>
    <w:p>
      <w:pPr>
        <w:pStyle w:val="Style37"/>
        <w:keepNext w:val="0"/>
        <w:keepLines w:val="0"/>
        <w:widowControl w:val="0"/>
        <w:shd w:val="clear" w:color="auto" w:fill="auto"/>
        <w:bidi w:val="0"/>
        <w:spacing w:before="0" w:after="0"/>
        <w:ind w:left="0" w:right="0"/>
        <w:jc w:val="both"/>
      </w:pPr>
      <w:r>
        <w:rPr>
          <w:color w:val="000000"/>
          <w:spacing w:val="0"/>
          <w:w w:val="100"/>
          <w:position w:val="0"/>
        </w:rPr>
        <w:t xml:space="preserve">公司货币资金周转存在困难，部分金融借款出现逾期，后续存在还款困难以及被债权人起诉的风险。敬请 投资者注意投资风险。公司加强与债权人沟通协商，制定切合实际的还款方案，同时积极整合现有资源，清理 </w:t>
      </w:r>
      <w:r>
        <w:rPr>
          <w:color w:val="000000"/>
          <w:spacing w:val="0"/>
          <w:w w:val="100"/>
          <w:position w:val="0"/>
        </w:rPr>
        <w:t>存续收益不佳的项目，加快资金回笼。</w:t>
      </w:r>
    </w:p>
    <w:p>
      <w:pPr>
        <w:pStyle w:val="Style37"/>
        <w:keepNext w:val="0"/>
        <w:keepLines w:val="0"/>
        <w:widowControl w:val="0"/>
        <w:shd w:val="clear" w:color="auto" w:fill="auto"/>
        <w:bidi w:val="0"/>
        <w:spacing w:before="0" w:after="0" w:line="313" w:lineRule="exact"/>
        <w:ind w:left="0" w:right="0"/>
        <w:jc w:val="both"/>
      </w:pPr>
      <w:bookmarkStart w:id="252" w:name="bookmark252"/>
      <w:r>
        <w:rPr>
          <w:b/>
          <w:bCs/>
          <w:color w:val="000000"/>
          <w:spacing w:val="0"/>
          <w:w w:val="100"/>
          <w:position w:val="0"/>
        </w:rPr>
        <w:t>7</w:t>
      </w:r>
      <w:bookmarkEnd w:id="252"/>
      <w:r>
        <w:rPr>
          <w:color w:val="000000"/>
          <w:spacing w:val="0"/>
          <w:w w:val="100"/>
          <w:position w:val="0"/>
        </w:rPr>
        <w:t>、涉及相关诉讼导致的法律风险</w:t>
      </w:r>
    </w:p>
    <w:p>
      <w:pPr>
        <w:pStyle w:val="Style37"/>
        <w:keepNext w:val="0"/>
        <w:keepLines w:val="0"/>
        <w:widowControl w:val="0"/>
        <w:shd w:val="clear" w:color="auto" w:fill="auto"/>
        <w:bidi w:val="0"/>
        <w:spacing w:before="0" w:after="360" w:line="313" w:lineRule="exact"/>
        <w:ind w:left="0" w:right="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7</w:t>
      </w:r>
      <w:r>
        <w:rPr>
          <w:color w:val="000000"/>
          <w:spacing w:val="0"/>
          <w:w w:val="100"/>
          <w:position w:val="0"/>
        </w:rPr>
        <w:t>日，公司发布《关于公司涉及相关诉讼的公告》（公告编号：</w:t>
      </w:r>
      <w:r>
        <w:rPr>
          <w:b/>
          <w:bCs/>
          <w:color w:val="000000"/>
          <w:spacing w:val="0"/>
          <w:w w:val="100"/>
          <w:position w:val="0"/>
        </w:rPr>
        <w:t>2020-065</w:t>
      </w:r>
      <w:r>
        <w:rPr>
          <w:color w:val="000000"/>
          <w:spacing w:val="0"/>
          <w:w w:val="100"/>
          <w:position w:val="0"/>
        </w:rPr>
        <w:t>）</w:t>
      </w:r>
      <w:r>
        <w:rPr>
          <w:color w:val="000000"/>
          <w:spacing w:val="0"/>
          <w:w w:val="100"/>
          <w:position w:val="0"/>
        </w:rPr>
        <w:t>。公司涉及相关金融 借款纠纷，山西潞城农村商业银行股份有限公司认购了大业信托有限责任公司设立的</w:t>
      </w:r>
      <w:r>
        <w:rPr>
          <w:b/>
          <w:bCs/>
          <w:color w:val="000000"/>
          <w:spacing w:val="0"/>
          <w:w w:val="100"/>
          <w:position w:val="0"/>
        </w:rPr>
        <w:t>“</w:t>
      </w:r>
      <w:r>
        <w:rPr>
          <w:color w:val="000000"/>
          <w:spacing w:val="0"/>
          <w:w w:val="100"/>
          <w:position w:val="0"/>
        </w:rPr>
        <w:t>大业信托</w:t>
      </w:r>
      <w:r>
        <w:rPr>
          <w:b/>
          <w:bCs/>
          <w:color w:val="000000"/>
          <w:spacing w:val="0"/>
          <w:w w:val="100"/>
          <w:position w:val="0"/>
        </w:rPr>
        <w:t>•</w:t>
      </w:r>
      <w:r>
        <w:rPr>
          <w:color w:val="000000"/>
          <w:spacing w:val="0"/>
          <w:w w:val="100"/>
          <w:position w:val="0"/>
        </w:rPr>
        <w:t>盛鑫</w:t>
      </w:r>
      <w:r>
        <w:rPr>
          <w:b/>
          <w:bCs/>
          <w:color w:val="000000"/>
          <w:spacing w:val="0"/>
          <w:w w:val="100"/>
          <w:position w:val="0"/>
        </w:rPr>
        <w:t>17</w:t>
      </w:r>
      <w:r>
        <w:rPr>
          <w:color w:val="000000"/>
          <w:spacing w:val="0"/>
          <w:w w:val="100"/>
          <w:position w:val="0"/>
        </w:rPr>
        <w:t>号单一 资金信托合同</w:t>
      </w:r>
      <w:r>
        <w:rPr>
          <w:b/>
          <w:bCs/>
          <w:color w:val="000000"/>
          <w:spacing w:val="0"/>
          <w:w w:val="100"/>
          <w:position w:val="0"/>
        </w:rPr>
        <w:t>”</w:t>
      </w:r>
      <w:r>
        <w:rPr>
          <w:color w:val="000000"/>
          <w:spacing w:val="0"/>
          <w:w w:val="100"/>
          <w:position w:val="0"/>
        </w:rPr>
        <w:t>，认购金额壹拾伍亿元整；资管计划的实际投向为晋中市榆精粮油贸易有限公司。山西潞城农村 商业银行股份有限公司提供了公司出具的《担保函》，《担保函》显示公司为上述资管计划的投资本金壹拾伍 亿元整、年化</w:t>
      </w:r>
      <w:r>
        <w:rPr>
          <w:b/>
          <w:bCs/>
          <w:color w:val="000000"/>
          <w:spacing w:val="0"/>
          <w:w w:val="100"/>
          <w:position w:val="0"/>
        </w:rPr>
        <w:t>8.5%</w:t>
      </w:r>
      <w:r>
        <w:rPr>
          <w:color w:val="000000"/>
          <w:spacing w:val="0"/>
          <w:w w:val="100"/>
          <w:position w:val="0"/>
        </w:rPr>
        <w:t>的投资收益等提供了连带责任保证。现大业信托</w:t>
      </w:r>
      <w:r>
        <w:rPr>
          <w:b/>
          <w:bCs/>
          <w:color w:val="000000"/>
          <w:spacing w:val="0"/>
          <w:w w:val="100"/>
          <w:position w:val="0"/>
        </w:rPr>
        <w:t>•</w:t>
      </w:r>
      <w:r>
        <w:rPr>
          <w:color w:val="000000"/>
          <w:spacing w:val="0"/>
          <w:w w:val="100"/>
          <w:position w:val="0"/>
        </w:rPr>
        <w:t>盛鑫</w:t>
      </w:r>
      <w:r>
        <w:rPr>
          <w:b/>
          <w:bCs/>
          <w:color w:val="000000"/>
          <w:spacing w:val="0"/>
          <w:w w:val="100"/>
          <w:position w:val="0"/>
        </w:rPr>
        <w:t>17</w:t>
      </w:r>
      <w:r>
        <w:rPr>
          <w:color w:val="000000"/>
          <w:spacing w:val="0"/>
          <w:w w:val="100"/>
          <w:position w:val="0"/>
        </w:rPr>
        <w:t>号单一资金信托合同到期，晋中市榆 粮油贸易有限公司未能偿还贷款本息，山西潞城农村商业银行股份有限公司发起诉讼。经公司自查确认，公 司没有上述诉讼所提及的相关金融借款合同及担保等有关协议，没有接触、签署过上述文件，也没有相关用印 流程。上述连带责任担保事项未经过公司内部审核程序，未经公司董事会、股东大会等法定流程审议通过，独 立董事未发表同意的独立意见，公司从未进行公告，不符合《公司法》《证券法》《深圳证券交易所股票上市 规则》《深圳证券交易所上市公司规范运作指引》和《公司章程》等有关规定，上述诉讼涉及的本公司连带保 证责任不合法不合规，且公司对上述诉讼事项涉及的连带担保责任并不知情，公司对上述诉讼请求中要求公司 承担的连带保证责任不予承认。截至目前，上述诉讼案件尚未审理完结，最终实际影响需以法院判决为准。</w:t>
      </w:r>
    </w:p>
    <w:p>
      <w:pPr>
        <w:pStyle w:val="Style24"/>
        <w:keepNext/>
        <w:keepLines/>
        <w:widowControl w:val="0"/>
        <w:shd w:val="clear" w:color="auto" w:fill="auto"/>
        <w:bidi w:val="0"/>
        <w:spacing w:before="0" w:after="280" w:line="240" w:lineRule="auto"/>
        <w:ind w:left="0" w:right="0" w:firstLine="0"/>
        <w:jc w:val="both"/>
      </w:pPr>
      <w:bookmarkStart w:id="253" w:name="bookmark253"/>
      <w:bookmarkStart w:id="254" w:name="bookmark254"/>
      <w:bookmarkStart w:id="255" w:name="bookmark255"/>
      <w:r>
        <w:rPr>
          <w:color w:val="000000"/>
          <w:spacing w:val="0"/>
          <w:w w:val="100"/>
          <w:position w:val="0"/>
          <w:sz w:val="24"/>
          <w:szCs w:val="24"/>
        </w:rPr>
        <w:t>十、接待调研、沟通、采访等活动</w:t>
      </w:r>
      <w:bookmarkEnd w:id="253"/>
      <w:bookmarkEnd w:id="254"/>
      <w:bookmarkEnd w:id="255"/>
    </w:p>
    <w:p>
      <w:pPr>
        <w:pStyle w:val="Style33"/>
        <w:keepNext/>
        <w:keepLines/>
        <w:widowControl w:val="0"/>
        <w:shd w:val="clear" w:color="auto" w:fill="auto"/>
        <w:bidi w:val="0"/>
        <w:spacing w:before="0" w:line="313" w:lineRule="exact"/>
        <w:ind w:left="0" w:right="0" w:firstLine="0"/>
        <w:jc w:val="both"/>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393" w:right="1059" w:bottom="1446" w:left="1058"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54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4"/>
        <w:keepNext/>
        <w:keepLines/>
        <w:widowControl w:val="0"/>
        <w:shd w:val="clear" w:color="auto" w:fill="auto"/>
        <w:bidi w:val="0"/>
        <w:spacing w:before="0" w:after="24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bookmarkEnd w:id="263"/>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本报告期，公司母公司可供普通股股东分配利润为负数，不满足现金分红条件，公司</w:t>
      </w:r>
      <w:r>
        <w:rPr>
          <w:rFonts w:ascii="Times New Roman" w:eastAsia="Times New Roman" w:hAnsi="Times New Roman" w:cs="Times New Roman"/>
          <w:color w:val="000000"/>
          <w:spacing w:val="0"/>
          <w:w w:val="100"/>
          <w:position w:val="0"/>
        </w:rPr>
        <w:t>2 019</w:t>
      </w:r>
      <w:r>
        <w:rPr>
          <w:color w:val="000000"/>
          <w:spacing w:val="0"/>
          <w:w w:val="100"/>
          <w:position w:val="0"/>
        </w:rPr>
        <w:t>年度不派发现金红利、不送红股、 不以资本公积金转增股本。</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9" w:lineRule="exact"/>
        <w:ind w:left="0" w:right="0" w:firstLine="0"/>
        <w:jc w:val="left"/>
      </w:pPr>
      <w:bookmarkStart w:id="268" w:name="bookmark268"/>
      <w:r>
        <w:rPr>
          <w:rFonts w:ascii="Times New Roman" w:eastAsia="Times New Roman" w:hAnsi="Times New Roman" w:cs="Times New Roman"/>
          <w:color w:val="000000"/>
          <w:spacing w:val="0"/>
          <w:w w:val="100"/>
          <w:position w:val="0"/>
        </w:rPr>
        <w:t>1</w:t>
      </w:r>
      <w:bookmarkEnd w:id="268"/>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559,936,650</w:t>
      </w:r>
      <w:r>
        <w:rPr>
          <w:color w:val="000000"/>
          <w:spacing w:val="0"/>
          <w:w w:val="100"/>
          <w:position w:val="0"/>
        </w:rPr>
        <w:t>股为基数，向公司全体股东每</w:t>
      </w:r>
      <w:r>
        <w:rPr>
          <w:rFonts w:ascii="Times New Roman" w:eastAsia="Times New Roman" w:hAnsi="Times New Roman" w:cs="Times New Roman"/>
          <w:color w:val="000000"/>
          <w:spacing w:val="0"/>
          <w:w w:val="100"/>
          <w:position w:val="0"/>
        </w:rPr>
        <w:t>10</w:t>
      </w:r>
      <w:r>
        <w:rPr>
          <w:color w:val="000000"/>
          <w:spacing w:val="0"/>
          <w:w w:val="100"/>
          <w:position w:val="0"/>
        </w:rPr>
        <w:t>股分派现金</w:t>
      </w:r>
      <w:r>
        <w:rPr>
          <w:rFonts w:ascii="Times New Roman" w:eastAsia="Times New Roman" w:hAnsi="Times New Roman" w:cs="Times New Roman"/>
          <w:color w:val="000000"/>
          <w:spacing w:val="0"/>
          <w:w w:val="100"/>
          <w:position w:val="0"/>
        </w:rPr>
        <w:t>0.2</w:t>
      </w:r>
      <w:r>
        <w:rPr>
          <w:color w:val="000000"/>
          <w:spacing w:val="0"/>
          <w:w w:val="100"/>
          <w:position w:val="0"/>
        </w:rPr>
        <w:t>元（含税）</w:t>
      </w:r>
      <w:r>
        <w:rPr>
          <w:i/>
          <w:iCs/>
          <w:color w:val="000000"/>
          <w:spacing w:val="0"/>
          <w:w w:val="100"/>
          <w:position w:val="0"/>
          <w:sz w:val="19"/>
          <w:szCs w:val="19"/>
        </w:rPr>
        <w:t>，</w:t>
      </w:r>
      <w:r>
        <w:rPr>
          <w:color w:val="000000"/>
          <w:spacing w:val="0"/>
          <w:w w:val="100"/>
          <w:position w:val="0"/>
        </w:rPr>
        <w:t>共计分 派</w:t>
      </w:r>
      <w:r>
        <w:rPr>
          <w:rFonts w:ascii="Times New Roman" w:eastAsia="Times New Roman" w:hAnsi="Times New Roman" w:cs="Times New Roman"/>
          <w:color w:val="000000"/>
          <w:spacing w:val="0"/>
          <w:w w:val="100"/>
          <w:position w:val="0"/>
        </w:rPr>
        <w:t>11,198,733</w:t>
      </w:r>
      <w:r>
        <w:rPr>
          <w:color w:val="000000"/>
          <w:spacing w:val="0"/>
          <w:w w:val="100"/>
          <w:position w:val="0"/>
        </w:rPr>
        <w:t>元（含税）。剩余未分配利润转入下一年度。不送红股。</w:t>
      </w:r>
    </w:p>
    <w:p>
      <w:pPr>
        <w:pStyle w:val="Style29"/>
        <w:keepNext w:val="0"/>
        <w:keepLines w:val="0"/>
        <w:widowControl w:val="0"/>
        <w:shd w:val="clear" w:color="auto" w:fill="auto"/>
        <w:tabs>
          <w:tab w:pos="354" w:val="left"/>
        </w:tabs>
        <w:bidi w:val="0"/>
        <w:spacing w:before="0" w:after="0" w:line="319" w:lineRule="exact"/>
        <w:ind w:left="0" w:right="0" w:firstLine="0"/>
        <w:jc w:val="left"/>
      </w:pPr>
      <w:bookmarkStart w:id="269" w:name="bookmark269"/>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年度，鉴于报告期末公司母公司单体报表可供普通股股东分配利润为负数，公司</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 股、不以资本公积金转增股本。</w:t>
      </w:r>
    </w:p>
    <w:p>
      <w:pPr>
        <w:pStyle w:val="Style29"/>
        <w:keepNext w:val="0"/>
        <w:keepLines w:val="0"/>
        <w:widowControl w:val="0"/>
        <w:shd w:val="clear" w:color="auto" w:fill="auto"/>
        <w:tabs>
          <w:tab w:pos="344" w:val="left"/>
        </w:tabs>
        <w:bidi w:val="0"/>
        <w:spacing w:before="0" w:after="0" w:line="326" w:lineRule="exact"/>
        <w:ind w:left="0" w:right="0" w:firstLine="0"/>
        <w:jc w:val="left"/>
      </w:pPr>
      <w:bookmarkStart w:id="270" w:name="bookmark270"/>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年度，鉴于本报告期公司实现归属于上市公司股东的净利润为负数，公司</w:t>
      </w:r>
      <w:r>
        <w:rPr>
          <w:rFonts w:ascii="Times New Roman" w:eastAsia="Times New Roman" w:hAnsi="Times New Roman" w:cs="Times New Roman"/>
          <w:color w:val="000000"/>
          <w:spacing w:val="0"/>
          <w:w w:val="100"/>
          <w:position w:val="0"/>
        </w:rPr>
        <w:t>2020</w:t>
      </w:r>
      <w:r>
        <w:rPr>
          <w:color w:val="000000"/>
          <w:spacing w:val="0"/>
          <w:w w:val="100"/>
          <w:position w:val="0"/>
        </w:rPr>
        <w:t>年度拟不派发现金红利、不送红股、 不以资本公积金转增股本。</w:t>
      </w:r>
    </w:p>
    <w:p>
      <w:pPr>
        <w:pStyle w:val="Style29"/>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-373,584,843.1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29,899,681.04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11,198,733.00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52,986,949.73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11,198,733.00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二</w:t>
      </w:r>
      <w:bookmarkEnd w:id="273"/>
      <w:r>
        <w:rPr>
          <w:color w:val="000000"/>
          <w:spacing w:val="0"/>
          <w:w w:val="100"/>
          <w:position w:val="0"/>
          <w:sz w:val="24"/>
          <w:szCs w:val="24"/>
        </w:rPr>
        <w:t>、</w:t>
        <w:tab/>
        <w:t>本报告期利润分配及资本公积金转增股本情况</w:t>
      </w:r>
      <w:bookmarkEnd w:id="271"/>
      <w:bookmarkEnd w:id="272"/>
      <w:bookmarkEnd w:id="27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tabs>
          <w:tab w:pos="522" w:val="left"/>
        </w:tabs>
        <w:bidi w:val="0"/>
        <w:spacing w:before="0" w:after="2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三</w:t>
      </w:r>
      <w:bookmarkEnd w:id="277"/>
      <w:r>
        <w:rPr>
          <w:color w:val="000000"/>
          <w:spacing w:val="0"/>
          <w:w w:val="100"/>
          <w:position w:val="0"/>
          <w:sz w:val="24"/>
          <w:szCs w:val="24"/>
        </w:rPr>
        <w:t>、</w:t>
        <w:tab/>
        <w:t>承诺事项履行情况</w:t>
      </w:r>
      <w:bookmarkEnd w:id="275"/>
      <w:bookmarkEnd w:id="276"/>
      <w:bookmarkEnd w:id="278"/>
    </w:p>
    <w:p>
      <w:pPr>
        <w:pStyle w:val="Style33"/>
        <w:keepNext/>
        <w:keepLines/>
        <w:widowControl w:val="0"/>
        <w:shd w:val="clear" w:color="auto" w:fill="auto"/>
        <w:bidi w:val="0"/>
        <w:spacing w:before="0" w:line="32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16"/>
        <w:gridCol w:w="811"/>
        <w:gridCol w:w="336"/>
        <w:gridCol w:w="6413"/>
        <w:gridCol w:w="624"/>
        <w:gridCol w:w="336"/>
        <w:gridCol w:w="35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 诺 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 诺 期 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 行 情 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 信息技术 有限公司 及一致行 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523" w:val="left"/>
              </w:tabs>
              <w:bidi w:val="0"/>
              <w:spacing w:before="0" w:after="0" w:line="312" w:lineRule="exact"/>
              <w:ind w:left="0" w:right="0" w:firstLine="0"/>
              <w:jc w:val="both"/>
            </w:pPr>
            <w:r>
              <w:rPr>
                <w:color w:val="000000"/>
                <w:spacing w:val="0"/>
                <w:w w:val="100"/>
                <w:position w:val="0"/>
              </w:rPr>
              <w:t>（一）</w:t>
              <w:tab/>
              <w:t>人员独立</w:t>
            </w:r>
            <w:r>
              <w:rPr>
                <w:rFonts w:ascii="Times New Roman" w:eastAsia="Times New Roman" w:hAnsi="Times New Roman" w:cs="Times New Roman"/>
                <w:color w:val="000000"/>
                <w:spacing w:val="0"/>
                <w:w w:val="100"/>
                <w:position w:val="0"/>
              </w:rPr>
              <w:t>1</w:t>
            </w:r>
            <w:r>
              <w:rPr>
                <w:color w:val="000000"/>
                <w:spacing w:val="0"/>
                <w:w w:val="100"/>
                <w:position w:val="0"/>
              </w:rPr>
              <w:t>、保证上市公司的董事、监事及高级管理人员均按照法律、法规 规范性文件及公司章程的规定选举、更换、聘任或解聘，不得超越董事会和股东 大会违法干预上市公司上述人事任免；</w:t>
            </w:r>
            <w:r>
              <w:rPr>
                <w:rFonts w:ascii="Times New Roman" w:eastAsia="Times New Roman" w:hAnsi="Times New Roman" w:cs="Times New Roman"/>
                <w:color w:val="000000"/>
                <w:spacing w:val="0"/>
                <w:w w:val="100"/>
                <w:position w:val="0"/>
              </w:rPr>
              <w:t>2</w:t>
            </w:r>
            <w:r>
              <w:rPr>
                <w:color w:val="000000"/>
                <w:spacing w:val="0"/>
                <w:w w:val="100"/>
                <w:position w:val="0"/>
              </w:rPr>
              <w:t>、采取有效措施保证上市公司的总经理、 副总经理、财务负责人、董事会秘书等高级管理人员专职在上市公司任职并在上 市公司领取薪酬，不在本公司及本公司关联方兼任董事、监事以外的其他职务；</w:t>
            </w:r>
            <w:r>
              <w:rPr>
                <w:rFonts w:ascii="Times New Roman" w:eastAsia="Times New Roman" w:hAnsi="Times New Roman" w:cs="Times New Roman"/>
                <w:color w:val="000000"/>
                <w:spacing w:val="0"/>
                <w:w w:val="100"/>
                <w:position w:val="0"/>
              </w:rPr>
              <w:t>3</w:t>
            </w:r>
            <w:r>
              <w:rPr>
                <w:color w:val="000000"/>
                <w:spacing w:val="0"/>
                <w:w w:val="100"/>
                <w:position w:val="0"/>
              </w:rPr>
              <w:t>、 保证上市公司在劳动、人事管理体系方面独立于本公司及本公司控制的其他企业。</w:t>
            </w:r>
          </w:p>
          <w:p>
            <w:pPr>
              <w:pStyle w:val="Style22"/>
              <w:keepNext w:val="0"/>
              <w:keepLines w:val="0"/>
              <w:widowControl w:val="0"/>
              <w:shd w:val="clear" w:color="auto" w:fill="auto"/>
              <w:tabs>
                <w:tab w:pos="523" w:val="left"/>
              </w:tabs>
              <w:bidi w:val="0"/>
              <w:spacing w:before="0" w:after="0" w:line="312" w:lineRule="exact"/>
              <w:ind w:left="0" w:right="0" w:firstLine="0"/>
              <w:jc w:val="both"/>
            </w:pPr>
            <w:r>
              <w:rPr>
                <w:color w:val="000000"/>
                <w:spacing w:val="0"/>
                <w:w w:val="100"/>
                <w:position w:val="0"/>
              </w:rPr>
              <w:t>（二）</w:t>
              <w:tab/>
              <w:t>资产独立</w:t>
            </w:r>
            <w:r>
              <w:rPr>
                <w:rFonts w:ascii="Times New Roman" w:eastAsia="Times New Roman" w:hAnsi="Times New Roman" w:cs="Times New Roman"/>
                <w:color w:val="000000"/>
                <w:spacing w:val="0"/>
                <w:w w:val="100"/>
                <w:position w:val="0"/>
              </w:rPr>
              <w:t>1</w:t>
            </w:r>
            <w:r>
              <w:rPr>
                <w:color w:val="000000"/>
                <w:spacing w:val="0"/>
                <w:w w:val="100"/>
                <w:position w:val="0"/>
              </w:rPr>
              <w:t>、保证上市公司具有完整的经营性资产、住所和办公场所，并独 立于本公司及本公司控制的其他企业；</w:t>
            </w:r>
            <w:r>
              <w:rPr>
                <w:rFonts w:ascii="Times New Roman" w:eastAsia="Times New Roman" w:hAnsi="Times New Roman" w:cs="Times New Roman"/>
                <w:color w:val="000000"/>
                <w:spacing w:val="0"/>
                <w:w w:val="100"/>
                <w:position w:val="0"/>
              </w:rPr>
              <w:t>2</w:t>
            </w:r>
            <w:r>
              <w:rPr>
                <w:color w:val="000000"/>
                <w:spacing w:val="0"/>
                <w:w w:val="100"/>
                <w:position w:val="0"/>
              </w:rPr>
              <w:t>、保证本公司及本公司所控制的除上市公 司及其子公司以外的其他企业不得违规占用上市公司的资金、资产及其他资源。</w:t>
            </w:r>
          </w:p>
          <w:p>
            <w:pPr>
              <w:pStyle w:val="Style22"/>
              <w:keepNext w:val="0"/>
              <w:keepLines w:val="0"/>
              <w:widowControl w:val="0"/>
              <w:shd w:val="clear" w:color="auto" w:fill="auto"/>
              <w:tabs>
                <w:tab w:pos="514" w:val="left"/>
              </w:tabs>
              <w:bidi w:val="0"/>
              <w:spacing w:before="0" w:after="0" w:line="312" w:lineRule="exact"/>
              <w:ind w:left="0" w:right="0" w:firstLine="0"/>
              <w:jc w:val="both"/>
            </w:pPr>
            <w:r>
              <w:rPr>
                <w:color w:val="000000"/>
                <w:spacing w:val="0"/>
                <w:w w:val="100"/>
                <w:position w:val="0"/>
              </w:rPr>
              <w:t>（三）</w:t>
              <w:tab/>
              <w:t>机构独立</w:t>
            </w:r>
            <w:r>
              <w:rPr>
                <w:rFonts w:ascii="Times New Roman" w:eastAsia="Times New Roman" w:hAnsi="Times New Roman" w:cs="Times New Roman"/>
                <w:color w:val="000000"/>
                <w:spacing w:val="0"/>
                <w:w w:val="100"/>
                <w:position w:val="0"/>
              </w:rPr>
              <w:t>1</w:t>
            </w:r>
            <w:r>
              <w:rPr>
                <w:color w:val="000000"/>
                <w:spacing w:val="0"/>
                <w:w w:val="100"/>
                <w:position w:val="0"/>
              </w:rPr>
              <w:t>、保证上市公司建立和完善法人治理结构以及独立、完整的组织 机构，并规范运作；</w:t>
            </w:r>
            <w:r>
              <w:rPr>
                <w:rFonts w:ascii="Times New Roman" w:eastAsia="Times New Roman" w:hAnsi="Times New Roman" w:cs="Times New Roman"/>
                <w:color w:val="000000"/>
                <w:spacing w:val="0"/>
                <w:w w:val="100"/>
                <w:position w:val="0"/>
              </w:rPr>
              <w:t>2</w:t>
            </w:r>
            <w:r>
              <w:rPr>
                <w:color w:val="000000"/>
                <w:spacing w:val="0"/>
                <w:w w:val="100"/>
                <w:position w:val="0"/>
              </w:rPr>
              <w:t>、保证上市公司与本公司及本公司所控制的其他企业之间在 办公机构以及生产经营场所等方面完全分开。（四）业务独立</w:t>
            </w:r>
            <w:r>
              <w:rPr>
                <w:rFonts w:ascii="Times New Roman" w:eastAsia="Times New Roman" w:hAnsi="Times New Roman" w:cs="Times New Roman"/>
                <w:color w:val="000000"/>
                <w:spacing w:val="0"/>
                <w:w w:val="100"/>
                <w:position w:val="0"/>
              </w:rPr>
              <w:t>1</w:t>
            </w:r>
            <w:r>
              <w:rPr>
                <w:color w:val="000000"/>
                <w:spacing w:val="0"/>
                <w:w w:val="100"/>
                <w:position w:val="0"/>
              </w:rPr>
              <w:t>、保证上市公司拥 有独立开展经营活动的资产、人员、资质以及具有独立面向市场自主经营的能力， 在经营业务方面能够独立运作；</w:t>
            </w:r>
            <w:r>
              <w:rPr>
                <w:rFonts w:ascii="Times New Roman" w:eastAsia="Times New Roman" w:hAnsi="Times New Roman" w:cs="Times New Roman"/>
                <w:color w:val="000000"/>
                <w:spacing w:val="0"/>
                <w:w w:val="100"/>
                <w:position w:val="0"/>
              </w:rPr>
              <w:t>2</w:t>
            </w:r>
            <w:r>
              <w:rPr>
                <w:color w:val="000000"/>
                <w:spacing w:val="0"/>
                <w:w w:val="100"/>
                <w:position w:val="0"/>
              </w:rPr>
              <w:t>、保证除合法行使实际控制人的权利外，不干预 上市公司的经营业务活动；</w:t>
            </w:r>
            <w:r>
              <w:rPr>
                <w:rFonts w:ascii="Times New Roman" w:eastAsia="Times New Roman" w:hAnsi="Times New Roman" w:cs="Times New Roman"/>
                <w:color w:val="000000"/>
                <w:spacing w:val="0"/>
                <w:w w:val="100"/>
                <w:position w:val="0"/>
              </w:rPr>
              <w:t>3</w:t>
            </w:r>
            <w:r>
              <w:rPr>
                <w:color w:val="000000"/>
                <w:spacing w:val="0"/>
                <w:w w:val="100"/>
                <w:position w:val="0"/>
              </w:rPr>
              <w:t>、尽量减少与上市公司的关联交易，确有必要的关联 交易，价格按照公平合理及市场化原则确定，确保上市公司及其他股东利益不受 到损害，并及时履行信息披露义务。（五）财务独立</w:t>
            </w:r>
            <w:r>
              <w:rPr>
                <w:rFonts w:ascii="Times New Roman" w:eastAsia="Times New Roman" w:hAnsi="Times New Roman" w:cs="Times New Roman"/>
                <w:color w:val="000000"/>
                <w:spacing w:val="0"/>
                <w:w w:val="100"/>
                <w:position w:val="0"/>
              </w:rPr>
              <w:t>1</w:t>
            </w:r>
            <w:r>
              <w:rPr>
                <w:color w:val="000000"/>
                <w:spacing w:val="0"/>
                <w:w w:val="100"/>
                <w:position w:val="0"/>
              </w:rPr>
              <w:t>、保证上市公司拥有独立的 财务会计部门，建立独立的财务核算体系和财务管理制度；</w:t>
            </w:r>
            <w:r>
              <w:rPr>
                <w:rFonts w:ascii="Times New Roman" w:eastAsia="Times New Roman" w:hAnsi="Times New Roman" w:cs="Times New Roman"/>
                <w:color w:val="000000"/>
                <w:spacing w:val="0"/>
                <w:w w:val="100"/>
                <w:position w:val="0"/>
              </w:rPr>
              <w:t>2</w:t>
            </w:r>
            <w:r>
              <w:rPr>
                <w:color w:val="000000"/>
                <w:spacing w:val="0"/>
                <w:w w:val="100"/>
                <w:position w:val="0"/>
              </w:rPr>
              <w:t>、保证上市公司独立 在银行开户，不与本公司及本公司所控制的其他企业共用同一个银行账户；</w:t>
            </w:r>
            <w:r>
              <w:rPr>
                <w:rFonts w:ascii="Times New Roman" w:eastAsia="Times New Roman" w:hAnsi="Times New Roman" w:cs="Times New Roman"/>
                <w:color w:val="000000"/>
                <w:spacing w:val="0"/>
                <w:w w:val="100"/>
                <w:position w:val="0"/>
              </w:rPr>
              <w:t>3</w:t>
            </w:r>
            <w:r>
              <w:rPr>
                <w:color w:val="000000"/>
                <w:spacing w:val="0"/>
                <w:w w:val="100"/>
                <w:position w:val="0"/>
              </w:rPr>
              <w:t>、保 证上市公司独立作出财务决策，本公司及本公司所控制的其他企业不得干预上市 公司的资金使用；</w:t>
            </w:r>
            <w:r>
              <w:rPr>
                <w:rFonts w:ascii="Times New Roman" w:eastAsia="Times New Roman" w:hAnsi="Times New Roman" w:cs="Times New Roman"/>
                <w:color w:val="000000"/>
                <w:spacing w:val="0"/>
                <w:w w:val="100"/>
                <w:position w:val="0"/>
              </w:rPr>
              <w:t>4</w:t>
            </w:r>
            <w:r>
              <w:rPr>
                <w:color w:val="000000"/>
                <w:spacing w:val="0"/>
                <w:w w:val="100"/>
                <w:position w:val="0"/>
              </w:rPr>
              <w:t>、保证上市公司依法独立纳税；</w:t>
            </w:r>
            <w:r>
              <w:rPr>
                <w:rFonts w:ascii="Times New Roman" w:eastAsia="Times New Roman" w:hAnsi="Times New Roman" w:cs="Times New Roman"/>
                <w:color w:val="000000"/>
                <w:spacing w:val="0"/>
                <w:w w:val="100"/>
                <w:position w:val="0"/>
              </w:rPr>
              <w:t>5</w:t>
            </w:r>
            <w:r>
              <w:rPr>
                <w:color w:val="000000"/>
                <w:spacing w:val="0"/>
                <w:w w:val="100"/>
                <w:position w:val="0"/>
              </w:rPr>
              <w:t>、保证上市公司的财务人员 独立，不得在本公司及本公司所控制的其他企业兼职及领取报酬。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 常 履 行</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北京仁东</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同 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、本公司保证不利用自身对上市公司的控股关系从事有损上市公司及其中小股 东利益的行为。</w:t>
            </w:r>
            <w:r>
              <w:rPr>
                <w:rFonts w:ascii="Times New Roman" w:eastAsia="Times New Roman" w:hAnsi="Times New Roman" w:cs="Times New Roman"/>
                <w:color w:val="000000"/>
                <w:spacing w:val="0"/>
                <w:w w:val="100"/>
                <w:position w:val="0"/>
              </w:rPr>
              <w:t>2</w:t>
            </w:r>
            <w:r>
              <w:rPr>
                <w:color w:val="000000"/>
                <w:spacing w:val="0"/>
                <w:w w:val="100"/>
                <w:position w:val="0"/>
              </w:rPr>
              <w:t>、截至本承诺出具之日，本公司未直接或间接从事与上市公司相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r>
    </w:tbl>
    <w:p>
      <w:pPr>
        <w:spacing w:lineRule="exact" w:line="1"/>
        <w:rPr>
          <w:sz w:val="2"/>
          <w:szCs w:val="2"/>
        </w:rPr>
      </w:pPr>
      <w:r>
        <w:br w:type="page"/>
      </w:r>
    </w:p>
    <w:tbl>
      <w:tblPr>
        <w:tblOverlap w:val="never"/>
        <w:jc w:val="center"/>
        <w:tblLayout w:type="fixed"/>
      </w:tblPr>
      <w:tblGrid>
        <w:gridCol w:w="816"/>
        <w:gridCol w:w="811"/>
        <w:gridCol w:w="336"/>
        <w:gridCol w:w="6413"/>
        <w:gridCol w:w="624"/>
        <w:gridCol w:w="336"/>
        <w:gridCol w:w="350"/>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 及一致行 动人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 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同或相似的业务；亦未控制任何与上市公司存在竞争关系的其他企业。</w:t>
            </w:r>
            <w:r>
              <w:rPr>
                <w:rFonts w:ascii="Times New Roman" w:eastAsia="Times New Roman" w:hAnsi="Times New Roman" w:cs="Times New Roman"/>
                <w:color w:val="000000"/>
                <w:spacing w:val="0"/>
                <w:w w:val="100"/>
                <w:position w:val="0"/>
              </w:rPr>
              <w:t>3</w:t>
            </w:r>
            <w:r>
              <w:rPr>
                <w:color w:val="000000"/>
                <w:spacing w:val="0"/>
                <w:w w:val="100"/>
                <w:position w:val="0"/>
              </w:rPr>
              <w:t>、本次权 益变动完成后，本公司（包括本公司将来成立的子公司和其它受本公司控制的企 业）将不直接或间接从事与上市公司业务构成或可能构成同业竞争的活动。</w:t>
            </w:r>
            <w:r>
              <w:rPr>
                <w:rFonts w:ascii="Times New Roman" w:eastAsia="Times New Roman" w:hAnsi="Times New Roman" w:cs="Times New Roman"/>
                <w:color w:val="000000"/>
                <w:spacing w:val="0"/>
                <w:w w:val="100"/>
                <w:position w:val="0"/>
              </w:rPr>
              <w:t>4</w:t>
            </w:r>
            <w:r>
              <w:rPr>
                <w:color w:val="000000"/>
                <w:spacing w:val="0"/>
                <w:w w:val="100"/>
                <w:position w:val="0"/>
              </w:rPr>
              <w:t>、无 论何种原因，如本公司（包括本公司将来成立的子公司和其它受本公司控制的企 业）获得可能与上市公司构成同业竞争的业务机会，本公司将及时告知上市公司， 并将尽最大努力促使该等业务机会转移给上市公司。若该等业务机会尚不具备转 让给上市公司的条件，或因其他原因导致上市公司暂无法取得上述业务机会，上 市公司有权要求本公司采取法律、法规及中国证券监督管理委员会许可的其他方 式加以解决。</w:t>
            </w:r>
            <w:r>
              <w:rPr>
                <w:rFonts w:ascii="Times New Roman" w:eastAsia="Times New Roman" w:hAnsi="Times New Roman" w:cs="Times New Roman"/>
                <w:color w:val="000000"/>
                <w:spacing w:val="0"/>
                <w:w w:val="100"/>
                <w:position w:val="0"/>
              </w:rPr>
              <w:t>5</w:t>
            </w:r>
            <w:r>
              <w:rPr>
                <w:color w:val="000000"/>
                <w:spacing w:val="0"/>
                <w:w w:val="100"/>
                <w:position w:val="0"/>
              </w:rPr>
              <w:t>、本承诺在本公司作为上市公司直接间接控股股东期间持续有效。 本公司保证严格履行本承诺函中各项承诺，如因违反该等承诺并因此给上市公司 造成损失的，本公司将承担相应的赔偿责任。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 信息技术 有限公司 及一致行 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 联 交 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本公司与上市公司之间发生关联交易，则该等交易将在符合《深圳证券交易所股 票上市规则》、《公司章程》等相关规定的前提下进行，同时将根据法律规定积极 履行相应义务并进行信息披露。本公司及本公司关联方与上市公司发生的各项关 联交易，均遵循客观公正、平等自愿、互惠互利的原则，关联交易价格的制定会 以市场价格为依据，不会损害上市公司和股东的利益。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 常 履 行</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资产重组 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3"/>
        <w:keepNext/>
        <w:keepLines/>
        <w:widowControl w:val="0"/>
        <w:shd w:val="clear" w:color="auto" w:fill="auto"/>
        <w:bidi w:val="0"/>
        <w:spacing w:before="0" w:line="322"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四</w:t>
      </w:r>
      <w:bookmarkEnd w:id="289"/>
      <w:r>
        <w:rPr>
          <w:color w:val="000000"/>
          <w:spacing w:val="0"/>
          <w:w w:val="100"/>
          <w:position w:val="0"/>
          <w:sz w:val="24"/>
          <w:szCs w:val="24"/>
        </w:rPr>
        <w:t>、控股股东及其关联方对上市公司的非经营性占用资金情况</w:t>
      </w:r>
      <w:bookmarkEnd w:id="287"/>
      <w:bookmarkEnd w:id="288"/>
      <w:bookmarkEnd w:id="29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五</w:t>
      </w:r>
      <w:bookmarkEnd w:id="29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1"/>
      <w:bookmarkEnd w:id="292"/>
      <w:bookmarkEnd w:id="29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六</w:t>
      </w:r>
      <w:bookmarkEnd w:id="297"/>
      <w:r>
        <w:rPr>
          <w:color w:val="000000"/>
          <w:spacing w:val="0"/>
          <w:w w:val="100"/>
          <w:position w:val="0"/>
          <w:sz w:val="24"/>
          <w:szCs w:val="24"/>
        </w:rPr>
        <w:t>、</w:t>
        <w:tab/>
        <w:t>与上年度财务报告相比，会计政策、会计估计和核算方法发生变化的情况说明</w:t>
      </w:r>
      <w:bookmarkEnd w:id="295"/>
      <w:bookmarkEnd w:id="296"/>
      <w:bookmarkEnd w:id="298"/>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jc w:val="left"/>
      </w:pPr>
      <w:r>
        <w:rPr>
          <w:color w:val="000000"/>
          <w:spacing w:val="0"/>
          <w:w w:val="100"/>
          <w:position w:val="0"/>
        </w:rPr>
        <w:t>财政部</w:t>
      </w:r>
      <w:r>
        <w:rPr>
          <w:b/>
          <w:bCs/>
          <w:color w:val="000000"/>
          <w:spacing w:val="0"/>
          <w:w w:val="100"/>
          <w:position w:val="0"/>
        </w:rPr>
        <w:t>2017</w:t>
      </w:r>
      <w:r>
        <w:rPr>
          <w:color w:val="000000"/>
          <w:spacing w:val="0"/>
          <w:w w:val="100"/>
          <w:position w:val="0"/>
        </w:rPr>
        <w:t>年颁布了修订后的《企业会计准则</w:t>
      </w:r>
      <w:r>
        <w:rPr>
          <w:b/>
          <w:bCs/>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收入》（以下简称</w:t>
      </w:r>
      <w:r>
        <w:rPr>
          <w:b/>
          <w:bCs/>
          <w:color w:val="000000"/>
          <w:spacing w:val="0"/>
          <w:w w:val="100"/>
          <w:position w:val="0"/>
        </w:rPr>
        <w:t>“</w:t>
      </w:r>
      <w:r>
        <w:rPr>
          <w:color w:val="000000"/>
          <w:spacing w:val="0"/>
          <w:w w:val="100"/>
          <w:position w:val="0"/>
        </w:rPr>
        <w:t>新收入准则），本公司</w:t>
      </w:r>
      <w:r>
        <w:rPr>
          <w:b/>
          <w:bCs/>
          <w:color w:val="000000"/>
          <w:spacing w:val="0"/>
          <w:w w:val="100"/>
          <w:position w:val="0"/>
        </w:rPr>
        <w:t>2020</w:t>
      </w:r>
      <w:r>
        <w:rPr>
          <w:color w:val="000000"/>
          <w:spacing w:val="0"/>
          <w:w w:val="100"/>
          <w:position w:val="0"/>
        </w:rPr>
        <w:t>年度财 务报表按照新收入准则编制。根据新收入准则的相关规定，本公司对于首次执行该准则的累积影响数调整</w:t>
      </w:r>
      <w:r>
        <w:rPr>
          <w:b/>
          <w:bCs/>
          <w:color w:val="000000"/>
          <w:spacing w:val="0"/>
          <w:w w:val="100"/>
          <w:position w:val="0"/>
        </w:rPr>
        <w:t xml:space="preserve">2020 </w:t>
      </w:r>
      <w:r>
        <w:rPr>
          <w:color w:val="000000"/>
          <w:spacing w:val="0"/>
          <w:w w:val="100"/>
          <w:position w:val="0"/>
        </w:rPr>
        <w:t>年年初留存收益以及财务报表其他相关项目金额，不对比较财务报表数据进行调整。详见第十二节、财务报告、 重要会计政策和会计估计变更。</w:t>
      </w:r>
    </w:p>
    <w:p>
      <w:pPr>
        <w:pStyle w:val="Style24"/>
        <w:keepNext/>
        <w:keepLines/>
        <w:widowControl w:val="0"/>
        <w:shd w:val="clear" w:color="auto" w:fill="auto"/>
        <w:tabs>
          <w:tab w:pos="522" w:val="left"/>
        </w:tabs>
        <w:bidi w:val="0"/>
        <w:spacing w:before="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sz w:val="24"/>
          <w:szCs w:val="24"/>
        </w:rPr>
        <w:t>七</w:t>
      </w:r>
      <w:bookmarkEnd w:id="301"/>
      <w:r>
        <w:rPr>
          <w:color w:val="000000"/>
          <w:spacing w:val="0"/>
          <w:w w:val="100"/>
          <w:position w:val="0"/>
          <w:sz w:val="24"/>
          <w:szCs w:val="24"/>
        </w:rPr>
        <w:t>、</w:t>
        <w:tab/>
        <w:t>报告期内发生重大会计差错更正需追溯重述的情况说明</w:t>
      </w:r>
      <w:bookmarkEnd w:id="299"/>
      <w:bookmarkEnd w:id="300"/>
      <w:bookmarkEnd w:id="30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4"/>
        <w:keepNext/>
        <w:keepLines/>
        <w:widowControl w:val="0"/>
        <w:shd w:val="clear" w:color="auto" w:fill="auto"/>
        <w:tabs>
          <w:tab w:pos="522" w:val="left"/>
        </w:tabs>
        <w:bidi w:val="0"/>
        <w:spacing w:before="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八</w:t>
      </w:r>
      <w:bookmarkEnd w:id="305"/>
      <w:r>
        <w:rPr>
          <w:color w:val="000000"/>
          <w:spacing w:val="0"/>
          <w:w w:val="100"/>
          <w:position w:val="0"/>
          <w:sz w:val="24"/>
          <w:szCs w:val="24"/>
        </w:rPr>
        <w:t>、</w:t>
        <w:tab/>
        <w:t>与上年度财务报告相比，合并报表范围发生变化的情况说明</w:t>
      </w:r>
      <w:bookmarkEnd w:id="303"/>
      <w:bookmarkEnd w:id="304"/>
      <w:bookmarkEnd w:id="306"/>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本公司本年度合并范围新增</w:t>
      </w:r>
      <w:r>
        <w:rPr>
          <w:rFonts w:ascii="Times New Roman" w:eastAsia="Times New Roman" w:hAnsi="Times New Roman" w:cs="Times New Roman"/>
          <w:color w:val="000000"/>
          <w:spacing w:val="0"/>
          <w:w w:val="100"/>
          <w:position w:val="0"/>
        </w:rPr>
        <w:t>2</w:t>
      </w:r>
      <w:r>
        <w:rPr>
          <w:color w:val="000000"/>
          <w:spacing w:val="0"/>
          <w:w w:val="100"/>
          <w:position w:val="0"/>
        </w:rPr>
        <w:t>家子公司仁东资产管理（青岛）有限公司、民盛友租（北京）科技有限公司。</w:t>
      </w:r>
    </w:p>
    <w:p>
      <w:pPr>
        <w:pStyle w:val="Style24"/>
        <w:keepNext/>
        <w:keepLines/>
        <w:widowControl w:val="0"/>
        <w:shd w:val="clear" w:color="auto" w:fill="auto"/>
        <w:tabs>
          <w:tab w:pos="522" w:val="left"/>
        </w:tabs>
        <w:bidi w:val="0"/>
        <w:spacing w:before="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九</w:t>
      </w:r>
      <w:bookmarkEnd w:id="309"/>
      <w:r>
        <w:rPr>
          <w:color w:val="000000"/>
          <w:spacing w:val="0"/>
          <w:w w:val="100"/>
          <w:position w:val="0"/>
          <w:sz w:val="24"/>
          <w:szCs w:val="24"/>
        </w:rPr>
        <w:t>、</w:t>
        <w:tab/>
        <w:t>聘任、解聘会计师事务所情况</w:t>
      </w:r>
      <w:bookmarkEnd w:id="307"/>
      <w:bookmarkEnd w:id="308"/>
      <w:bookmarkEnd w:id="31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齐正华、孟晓光</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w:t>
            </w:r>
            <w:r>
              <w:rPr>
                <w:rFonts w:ascii="Times New Roman" w:eastAsia="Times New Roman" w:hAnsi="Times New Roman" w:cs="Times New Roman"/>
                <w:color w:val="000000"/>
                <w:spacing w:val="0"/>
                <w:w w:val="100"/>
                <w:position w:val="0"/>
              </w:rPr>
              <w:t>3</w:t>
            </w:r>
            <w:r>
              <w:rPr>
                <w:color w:val="000000"/>
                <w:spacing w:val="0"/>
                <w:w w:val="100"/>
                <w:position w:val="0"/>
              </w:rPr>
              <w:t>年，孟晓光</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本年度，经中兴财光华会计师事务所（特殊普通合伙）出具中兴财光华审专字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105026</w:t>
      </w:r>
      <w:r>
        <w:rPr>
          <w:color w:val="000000"/>
          <w:spacing w:val="0"/>
          <w:w w:val="100"/>
          <w:position w:val="0"/>
        </w:rPr>
        <w:t>号内部控制审计报告。</w:t>
      </w:r>
    </w:p>
    <w:p>
      <w:pPr>
        <w:pStyle w:val="Style24"/>
        <w:keepNext/>
        <w:keepLines/>
        <w:widowControl w:val="0"/>
        <w:shd w:val="clear" w:color="auto" w:fill="auto"/>
        <w:bidi w:val="0"/>
        <w:spacing w:before="0" w:line="240" w:lineRule="auto"/>
        <w:ind w:left="0" w:right="0" w:firstLine="0"/>
        <w:jc w:val="both"/>
      </w:pPr>
      <w:bookmarkStart w:id="311" w:name="bookmark311"/>
      <w:bookmarkStart w:id="312" w:name="bookmark312"/>
      <w:bookmarkStart w:id="313" w:name="bookmark313"/>
      <w:r>
        <w:rPr>
          <w:color w:val="000000"/>
          <w:spacing w:val="0"/>
          <w:w w:val="100"/>
          <w:position w:val="0"/>
          <w:sz w:val="24"/>
          <w:szCs w:val="24"/>
        </w:rPr>
        <w:t>十、年度报告披露后面临退市情况</w:t>
      </w:r>
      <w:bookmarkEnd w:id="311"/>
      <w:bookmarkEnd w:id="312"/>
      <w:bookmarkEnd w:id="31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tabs>
          <w:tab w:leader="hyphen" w:pos="461" w:val="left"/>
        </w:tabs>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w:t>
        <w:tab/>
        <w:t>、破产重整相关事项</w:t>
      </w:r>
      <w:bookmarkEnd w:id="314"/>
      <w:bookmarkEnd w:id="315"/>
      <w:bookmarkEnd w:id="31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十二、重大诉讼、仲裁事项</w:t>
      </w:r>
      <w:bookmarkEnd w:id="317"/>
      <w:bookmarkEnd w:id="318"/>
      <w:bookmarkEnd w:id="31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主要为子公司仁东 小贷与个人客户之 间借款合同纠纷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部分已判 决，待执 行；部分未 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部分已判决，待 执行；部分未判 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主要为子公司合利 宝作为第三方支付 平台，受商户牵连 引发诉讼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部分原告 撤诉，部分 胜诉，尚无 败诉情况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部分原告撤诉， 部分胜诉，尚无 败诉情况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主要为子公司租赁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诉前调解 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诉前调解阶段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公司支付现金购买 资产涉及尾款未付 清，债权人申请仲 裁支付欠款</w:t>
            </w:r>
          </w:p>
          <w:p>
            <w:pPr>
              <w:pStyle w:val="Style2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15641.33</w:t>
            </w:r>
            <w:r>
              <w:rPr>
                <w:color w:val="000000"/>
                <w:spacing w:val="0"/>
                <w:w w:val="100"/>
                <w:position w:val="0"/>
              </w:rPr>
              <w:t>万元、逾 期违约金</w:t>
            </w:r>
            <w:r>
              <w:rPr>
                <w:rFonts w:ascii="Times New Roman" w:eastAsia="Times New Roman" w:hAnsi="Times New Roman" w:cs="Times New Roman"/>
                <w:color w:val="000000"/>
                <w:spacing w:val="0"/>
                <w:w w:val="100"/>
                <w:position w:val="0"/>
              </w:rPr>
              <w:t xml:space="preserve">5441.53 </w:t>
            </w:r>
            <w:r>
              <w:rPr>
                <w:color w:val="000000"/>
                <w:spacing w:val="0"/>
                <w:w w:val="100"/>
                <w:position w:val="0"/>
              </w:rPr>
              <w:t>万元及其他相关费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15,641.33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已和解，对 方已撤诉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已和解，对方已 撤诉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《关于收到 中国国际经 济贸易仲裁 委员会撤案 决定的公告》</w:t>
            </w:r>
          </w:p>
          <w:p>
            <w:pPr>
              <w:pStyle w:val="Style22"/>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（巨潮资讯 网公告编号</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2020-063</w:t>
            </w:r>
            <w:r>
              <w:rPr>
                <w:color w:val="000000"/>
                <w:spacing w:val="0"/>
                <w:w w:val="100"/>
                <w:position w:val="0"/>
              </w:rPr>
              <w:t>）</w:t>
            </w:r>
          </w:p>
        </w:tc>
      </w:tr>
      <w:tr>
        <w:trPr>
          <w:trHeight w:val="44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山西潞城农村商业 银行股份有限公司 认购了大业信托有 限责任公司设立的 </w:t>
            </w:r>
            <w:r>
              <w:rPr>
                <w:rFonts w:ascii="Times New Roman" w:eastAsia="Times New Roman" w:hAnsi="Times New Roman" w:cs="Times New Roman"/>
                <w:color w:val="000000"/>
                <w:spacing w:val="0"/>
                <w:w w:val="100"/>
                <w:position w:val="0"/>
              </w:rPr>
              <w:t>"</w:t>
            </w:r>
            <w:r>
              <w:rPr>
                <w:color w:val="000000"/>
                <w:spacing w:val="0"/>
                <w:w w:val="100"/>
                <w:position w:val="0"/>
              </w:rPr>
              <w:t>大业信托</w:t>
            </w:r>
            <w:r>
              <w:rPr>
                <w:rFonts w:ascii="Times New Roman" w:eastAsia="Times New Roman" w:hAnsi="Times New Roman" w:cs="Times New Roman"/>
                <w:color w:val="000000"/>
                <w:spacing w:val="0"/>
                <w:w w:val="100"/>
                <w:position w:val="0"/>
              </w:rPr>
              <w:t>•</w:t>
            </w:r>
            <w:r>
              <w:rPr>
                <w:color w:val="000000"/>
                <w:spacing w:val="0"/>
                <w:w w:val="100"/>
                <w:position w:val="0"/>
              </w:rPr>
              <w:t>盛鑫</w:t>
            </w:r>
            <w:r>
              <w:rPr>
                <w:rFonts w:ascii="Times New Roman" w:eastAsia="Times New Roman" w:hAnsi="Times New Roman" w:cs="Times New Roman"/>
                <w:color w:val="000000"/>
                <w:spacing w:val="0"/>
                <w:w w:val="100"/>
                <w:position w:val="0"/>
              </w:rPr>
              <w:t xml:space="preserve">17 </w:t>
            </w:r>
            <w:r>
              <w:rPr>
                <w:color w:val="000000"/>
                <w:spacing w:val="0"/>
                <w:w w:val="100"/>
                <w:position w:val="0"/>
              </w:rPr>
              <w:t>号单一资金信托合 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认购金额壹拾 伍亿元整；资管计 划的实际投向为晋 中市榆;®粮油贸易 有限公司。山西潞 城农村商业银行股 份有限公司提供了 公司出具的《担保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尚未审理 完结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公司正积极应诉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尚未审理完结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《关于公司 涉及相关诉 讼的公告》</w:t>
            </w:r>
          </w:p>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（巨潮资讯 网公告编号 </w:t>
            </w:r>
            <w:r>
              <w:rPr>
                <w:rFonts w:ascii="Times New Roman" w:eastAsia="Times New Roman" w:hAnsi="Times New Roman" w:cs="Times New Roman"/>
                <w:color w:val="000000"/>
                <w:spacing w:val="0"/>
                <w:w w:val="100"/>
                <w:position w:val="0"/>
              </w:rPr>
              <w:t>2020-065</w:t>
            </w:r>
            <w:r>
              <w:rPr>
                <w:color w:val="000000"/>
                <w:spacing w:val="0"/>
                <w:w w:val="100"/>
                <w:position w:val="0"/>
              </w:rPr>
              <w:t>）</w:t>
            </w:r>
          </w:p>
        </w:tc>
      </w:tr>
    </w:tbl>
    <w:tbl>
      <w:tblPr>
        <w:tblOverlap w:val="never"/>
        <w:jc w:val="center"/>
        <w:tblLayout w:type="fixed"/>
      </w:tblPr>
      <w:tblGrid>
        <w:gridCol w:w="1570"/>
        <w:gridCol w:w="1070"/>
        <w:gridCol w:w="1248"/>
        <w:gridCol w:w="941"/>
        <w:gridCol w:w="1373"/>
        <w:gridCol w:w="1248"/>
        <w:gridCol w:w="1061"/>
        <w:gridCol w:w="1075"/>
      </w:tblGrid>
      <w:tr>
        <w:trPr>
          <w:trHeight w:val="44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函》，《担保函》显 示公司为上述资管 计划的投资本金壹 拾伍亿元整、年化 </w:t>
            </w:r>
            <w:r>
              <w:rPr>
                <w:rFonts w:ascii="Times New Roman" w:eastAsia="Times New Roman" w:hAnsi="Times New Roman" w:cs="Times New Roman"/>
                <w:color w:val="000000"/>
                <w:spacing w:val="0"/>
                <w:w w:val="100"/>
                <w:position w:val="0"/>
              </w:rPr>
              <w:t>8.5%</w:t>
            </w:r>
            <w:r>
              <w:rPr>
                <w:color w:val="000000"/>
                <w:spacing w:val="0"/>
                <w:w w:val="100"/>
                <w:position w:val="0"/>
              </w:rPr>
              <w:t>的投资收益等 提供了连带责任保 证。现大业信托</w:t>
            </w:r>
            <w:r>
              <w:rPr>
                <w:rFonts w:ascii="Times New Roman" w:eastAsia="Times New Roman" w:hAnsi="Times New Roman" w:cs="Times New Roman"/>
                <w:color w:val="000000"/>
                <w:spacing w:val="0"/>
                <w:w w:val="100"/>
                <w:position w:val="0"/>
              </w:rPr>
              <w:t>•</w:t>
            </w:r>
            <w:r>
              <w:rPr>
                <w:color w:val="000000"/>
                <w:spacing w:val="0"/>
                <w:w w:val="100"/>
                <w:position w:val="0"/>
              </w:rPr>
              <w:t>盛 鑫</w:t>
            </w:r>
            <w:r>
              <w:rPr>
                <w:rFonts w:ascii="Times New Roman" w:eastAsia="Times New Roman" w:hAnsi="Times New Roman" w:cs="Times New Roman"/>
                <w:color w:val="000000"/>
                <w:spacing w:val="0"/>
                <w:w w:val="100"/>
                <w:position w:val="0"/>
              </w:rPr>
              <w:t>17</w:t>
            </w:r>
            <w:r>
              <w:rPr>
                <w:color w:val="000000"/>
                <w:spacing w:val="0"/>
                <w:w w:val="100"/>
                <w:position w:val="0"/>
              </w:rPr>
              <w:t>号单一资金信 托合同到期，晋中 市榆精粮油贸易有 限公司未能偿还贷 款本息，山西潞城 农村商业银行股份 有限公司发起诉讼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十三、处罚及整改情况</w:t>
      </w:r>
      <w:bookmarkEnd w:id="320"/>
      <w:bookmarkEnd w:id="321"/>
      <w:bookmarkEnd w:id="32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十四、公司及其控股股东、实际控制人的诚信状况</w:t>
      </w:r>
      <w:bookmarkEnd w:id="323"/>
      <w:bookmarkEnd w:id="324"/>
      <w:bookmarkEnd w:id="32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十五、公司股权激励计划、员工持股计划或其他员工激励措施的实施情况</w:t>
      </w:r>
      <w:bookmarkEnd w:id="326"/>
      <w:bookmarkEnd w:id="327"/>
      <w:bookmarkEnd w:id="32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十六、重大关联交易</w:t>
      </w:r>
      <w:bookmarkEnd w:id="329"/>
      <w:bookmarkEnd w:id="330"/>
      <w:bookmarkEnd w:id="331"/>
    </w:p>
    <w:p>
      <w:pPr>
        <w:pStyle w:val="Style33"/>
        <w:keepNext/>
        <w:keepLines/>
        <w:widowControl w:val="0"/>
        <w:shd w:val="clear" w:color="auto" w:fill="auto"/>
        <w:tabs>
          <w:tab w:pos="36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与日常经营相关的关联交易</w:t>
      </w:r>
      <w:bookmarkEnd w:id="332"/>
      <w:bookmarkEnd w:id="333"/>
      <w:bookmarkEnd w:id="33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资产或股权收购、出售发生的关联交易</w:t>
      </w:r>
      <w:bookmarkEnd w:id="336"/>
      <w:bookmarkEnd w:id="337"/>
      <w:bookmarkEnd w:id="3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共同对外投资的关联交易</w:t>
      </w:r>
      <w:bookmarkEnd w:id="340"/>
      <w:bookmarkEnd w:id="341"/>
      <w:bookmarkEnd w:id="34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关联债权债务往来</w:t>
      </w:r>
      <w:bookmarkEnd w:id="344"/>
      <w:bookmarkEnd w:id="345"/>
      <w:bookmarkEnd w:id="347"/>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 w:line="319" w:lineRule="exact"/>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公司报告期不存在非经营性关联债权债务往来。</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5</w:t>
      </w:r>
      <w:bookmarkEnd w:id="350"/>
      <w:r>
        <w:rPr>
          <w:color w:val="000000"/>
          <w:spacing w:val="0"/>
          <w:w w:val="100"/>
          <w:position w:val="0"/>
        </w:rPr>
        <w:t>、</w:t>
        <w:tab/>
        <w:t>其他重大关联交易</w:t>
      </w:r>
      <w:bookmarkEnd w:id="348"/>
      <w:bookmarkEnd w:id="349"/>
      <w:bookmarkEnd w:id="351"/>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339" w:val="left"/>
        </w:tabs>
        <w:bidi w:val="0"/>
        <w:spacing w:before="0" w:after="40" w:line="319" w:lineRule="exact"/>
        <w:ind w:left="0" w:right="0" w:firstLine="0"/>
        <w:jc w:val="left"/>
      </w:pPr>
      <w:bookmarkStart w:id="352" w:name="bookmark352"/>
      <w:r>
        <w:rPr>
          <w:rFonts w:ascii="Times New Roman" w:eastAsia="Times New Roman" w:hAnsi="Times New Roman" w:cs="Times New Roman"/>
          <w:color w:val="000000"/>
          <w:spacing w:val="0"/>
          <w:w w:val="100"/>
          <w:position w:val="0"/>
        </w:rPr>
        <w:t>1</w:t>
      </w:r>
      <w:bookmarkEnd w:id="352"/>
      <w:r>
        <w:rPr>
          <w:color w:val="000000"/>
          <w:spacing w:val="0"/>
          <w:w w:val="100"/>
          <w:position w:val="0"/>
        </w:rPr>
        <w:t>、</w:t>
        <w:tab/>
        <w:t>公司第四届董事会第十六次会议和</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年度股东大会审议通过《关于向控股股东借款暨关联交易的议案》，公司及子公 司向控股股东海科金集团申请融资借款及担保金额不超过</w:t>
      </w:r>
      <w:r>
        <w:rPr>
          <w:rFonts w:ascii="Times New Roman" w:eastAsia="Times New Roman" w:hAnsi="Times New Roman" w:cs="Times New Roman"/>
          <w:color w:val="000000"/>
          <w:spacing w:val="0"/>
          <w:w w:val="100"/>
          <w:position w:val="0"/>
        </w:rPr>
        <w:t>20</w:t>
      </w:r>
      <w:r>
        <w:rPr>
          <w:color w:val="000000"/>
          <w:spacing w:val="0"/>
          <w:w w:val="100"/>
          <w:position w:val="0"/>
        </w:rPr>
        <w:t>亿元人民币，借款年利率不超过</w:t>
      </w:r>
      <w:r>
        <w:rPr>
          <w:rFonts w:ascii="Times New Roman" w:eastAsia="Times New Roman" w:hAnsi="Times New Roman" w:cs="Times New Roman"/>
          <w:color w:val="000000"/>
          <w:spacing w:val="0"/>
          <w:w w:val="100"/>
          <w:position w:val="0"/>
        </w:rPr>
        <w:t>7.5%</w:t>
      </w:r>
      <w:r>
        <w:rPr>
          <w:color w:val="000000"/>
          <w:spacing w:val="0"/>
          <w:w w:val="100"/>
          <w:position w:val="0"/>
        </w:rPr>
        <w:t>。该借款主要用于公司经 营、周转使用，支持公司对外投资项目，推进产业转型升级，提升核心竞争力。</w:t>
      </w:r>
    </w:p>
    <w:p>
      <w:pPr>
        <w:pStyle w:val="Style29"/>
        <w:keepNext w:val="0"/>
        <w:keepLines w:val="0"/>
        <w:widowControl w:val="0"/>
        <w:shd w:val="clear" w:color="auto" w:fill="auto"/>
        <w:tabs>
          <w:tab w:pos="354" w:val="left"/>
        </w:tabs>
        <w:bidi w:val="0"/>
        <w:spacing w:before="0" w:after="40" w:line="312" w:lineRule="exact"/>
        <w:ind w:left="0" w:right="0" w:firstLine="0"/>
        <w:jc w:val="left"/>
      </w:pPr>
      <w:bookmarkStart w:id="353" w:name="bookmark353"/>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公司第四届董事会第十六次会议和</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年度股东大会审议通过《关于向控股股东之一致行动人借款暨关联交易的议案》， 公司及子公司向控股股东之一致行动人北京仁东信息技术有限公司申请融资借款及担保金额不超过</w:t>
      </w:r>
      <w:r>
        <w:rPr>
          <w:rFonts w:ascii="Times New Roman" w:eastAsia="Times New Roman" w:hAnsi="Times New Roman" w:cs="Times New Roman"/>
          <w:color w:val="000000"/>
          <w:spacing w:val="0"/>
          <w:w w:val="100"/>
          <w:position w:val="0"/>
        </w:rPr>
        <w:t>20</w:t>
      </w:r>
      <w:r>
        <w:rPr>
          <w:color w:val="000000"/>
          <w:spacing w:val="0"/>
          <w:w w:val="100"/>
          <w:position w:val="0"/>
        </w:rPr>
        <w:t>亿元人民币，借款年利 率不超过</w:t>
      </w:r>
      <w:r>
        <w:rPr>
          <w:rFonts w:ascii="Times New Roman" w:eastAsia="Times New Roman" w:hAnsi="Times New Roman" w:cs="Times New Roman"/>
          <w:color w:val="000000"/>
          <w:spacing w:val="0"/>
          <w:w w:val="100"/>
          <w:position w:val="0"/>
        </w:rPr>
        <w:t>7.5%</w:t>
      </w:r>
      <w:r>
        <w:rPr>
          <w:color w:val="000000"/>
          <w:spacing w:val="0"/>
          <w:w w:val="100"/>
          <w:position w:val="0"/>
        </w:rPr>
        <w:t>。该借款主要用于公司经营、周转使用，支持公司对外投资项目，推进产业转型升级，提升核心竞争力。</w:t>
      </w:r>
    </w:p>
    <w:p>
      <w:pPr>
        <w:pStyle w:val="Style29"/>
        <w:keepNext w:val="0"/>
        <w:keepLines w:val="0"/>
        <w:widowControl w:val="0"/>
        <w:shd w:val="clear" w:color="auto" w:fill="auto"/>
        <w:bidi w:val="0"/>
        <w:spacing w:before="0" w:line="322" w:lineRule="exact"/>
        <w:ind w:left="0" w:right="0" w:firstLine="0"/>
        <w:jc w:val="left"/>
      </w:pPr>
      <w:bookmarkStart w:id="354" w:name="bookmark354"/>
      <w:r>
        <w:rPr>
          <w:rFonts w:ascii="Times New Roman" w:eastAsia="Times New Roman" w:hAnsi="Times New Roman" w:cs="Times New Roman"/>
          <w:color w:val="000000"/>
          <w:spacing w:val="0"/>
          <w:w w:val="100"/>
          <w:position w:val="0"/>
        </w:rPr>
        <w:t>3</w:t>
      </w:r>
      <w:bookmarkEnd w:id="35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日，公司发布《关于对外投资暨关联交易的公告》，经公司第四届董事会第十五次会议审议通过，公司之全 资子公司北京仁东科技有限公司出资</w:t>
      </w:r>
      <w:r>
        <w:rPr>
          <w:rFonts w:ascii="Times New Roman" w:eastAsia="Times New Roman" w:hAnsi="Times New Roman" w:cs="Times New Roman"/>
          <w:color w:val="000000"/>
          <w:spacing w:val="0"/>
          <w:w w:val="100"/>
          <w:position w:val="0"/>
        </w:rPr>
        <w:t>1000</w:t>
      </w:r>
      <w:r>
        <w:rPr>
          <w:color w:val="000000"/>
          <w:spacing w:val="0"/>
          <w:w w:val="100"/>
          <w:position w:val="0"/>
        </w:rPr>
        <w:t>万元，通过增资的方式对北京众签科技有限公司进行战略投资，截止目前已实施完 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关于向控股股东借款暨关联交易的公告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关于向控股股东之一致行动人借款暨关联 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关于对外投资暨关联交易的公告、对外投资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暨关联交易进展公告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十七、重大合同及其履行情况</w:t>
      </w:r>
      <w:bookmarkEnd w:id="355"/>
      <w:bookmarkEnd w:id="356"/>
      <w:bookmarkEnd w:id="357"/>
    </w:p>
    <w:p>
      <w:pPr>
        <w:pStyle w:val="Style33"/>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、托管、承包、租赁事项情况</w:t>
      </w:r>
      <w:bookmarkEnd w:id="358"/>
      <w:bookmarkEnd w:id="359"/>
      <w:bookmarkEnd w:id="361"/>
    </w:p>
    <w:p>
      <w:pPr>
        <w:pStyle w:val="Style33"/>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358" w:name="bookmark358"/>
      <w:bookmarkStart w:id="359" w:name="bookmark359"/>
      <w:bookmarkStart w:id="362" w:name="bookmark362"/>
      <w:bookmarkStart w:id="363" w:name="bookmark363"/>
      <w:bookmarkEnd w:id="362"/>
      <w:r>
        <w:rPr>
          <w:color w:val="000000"/>
          <w:spacing w:val="0"/>
          <w:w w:val="100"/>
          <w:position w:val="0"/>
        </w:rPr>
        <w:t>托管情况</w:t>
      </w:r>
      <w:bookmarkEnd w:id="358"/>
      <w:bookmarkEnd w:id="359"/>
      <w:bookmarkEnd w:id="36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bookmarkEnd w:id="366"/>
      <w:r>
        <w:rPr>
          <w:color w:val="000000"/>
          <w:spacing w:val="0"/>
          <w:w w:val="100"/>
          <w:position w:val="0"/>
        </w:rPr>
        <w:t>承包情况</w:t>
      </w:r>
      <w:bookmarkEnd w:id="364"/>
      <w:bookmarkEnd w:id="365"/>
      <w:bookmarkEnd w:id="36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r>
        <w:br w:type="page"/>
      </w:r>
    </w:p>
    <w:p>
      <w:pPr>
        <w:pStyle w:val="Style33"/>
        <w:keepNext/>
        <w:keepLines/>
        <w:widowControl w:val="0"/>
        <w:shd w:val="clear" w:color="auto" w:fill="auto"/>
        <w:bidi w:val="0"/>
        <w:spacing w:before="0" w:after="38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68"/>
      <w:bookmarkEnd w:id="369"/>
      <w:bookmarkEnd w:id="37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3"/>
        <w:keepNext/>
        <w:keepLines/>
        <w:widowControl w:val="0"/>
        <w:shd w:val="clear" w:color="auto" w:fill="auto"/>
        <w:bidi w:val="0"/>
        <w:spacing w:before="0" w:after="38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、重大担保</w:t>
      </w:r>
      <w:bookmarkEnd w:id="372"/>
      <w:bookmarkEnd w:id="373"/>
      <w:bookmarkEnd w:id="37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6"/>
      <w:bookmarkEnd w:id="377"/>
      <w:bookmarkEnd w:id="3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1"/>
        <w:gridCol w:w="1037"/>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深圳前海民盛天宫供 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广东合利金融科技服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深圳前海合利商业保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2017.11.8-20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广州合利宝支付科技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广州仁东互联网小额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民盛租赁有限公司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2020.5.22-20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bl>
    <w:tbl>
      <w:tblPr>
        <w:tblOverlap w:val="never"/>
        <w:jc w:val="center"/>
        <w:tblLayout w:type="fixed"/>
      </w:tblPr>
      <w:tblGrid>
        <w:gridCol w:w="2640"/>
        <w:gridCol w:w="2222"/>
        <w:gridCol w:w="2098"/>
        <w:gridCol w:w="26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3"/>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0"/>
      <w:bookmarkEnd w:id="381"/>
      <w:bookmarkEnd w:id="38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委托他人进行现金资产管理情况</w:t>
      </w:r>
      <w:bookmarkEnd w:id="384"/>
      <w:bookmarkEnd w:id="385"/>
      <w:bookmarkEnd w:id="387"/>
    </w:p>
    <w:p>
      <w:pPr>
        <w:pStyle w:val="Style33"/>
        <w:keepNext/>
        <w:keepLines/>
        <w:widowControl w:val="0"/>
        <w:shd w:val="clear" w:color="auto" w:fill="auto"/>
        <w:tabs>
          <w:tab w:pos="493" w:val="left"/>
        </w:tabs>
        <w:bidi w:val="0"/>
        <w:spacing w:before="0" w:after="380" w:line="240" w:lineRule="auto"/>
        <w:ind w:left="0" w:right="0" w:firstLine="0"/>
        <w:jc w:val="left"/>
      </w:pPr>
      <w:bookmarkStart w:id="384" w:name="bookmark384"/>
      <w:bookmarkStart w:id="385" w:name="bookmark385"/>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4"/>
      <w:bookmarkEnd w:id="385"/>
      <w:bookmarkEnd w:id="38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0"/>
      <w:bookmarkEnd w:id="391"/>
      <w:bookmarkEnd w:id="39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w:t>
        <w:tab/>
        <w:t>日常经营重大合同</w:t>
      </w:r>
      <w:bookmarkEnd w:id="394"/>
      <w:bookmarkEnd w:id="395"/>
      <w:bookmarkEnd w:id="39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5</w:t>
      </w:r>
      <w:bookmarkEnd w:id="400"/>
      <w:r>
        <w:rPr>
          <w:color w:val="000000"/>
          <w:spacing w:val="0"/>
          <w:w w:val="100"/>
          <w:position w:val="0"/>
        </w:rPr>
        <w:t>、</w:t>
        <w:tab/>
        <w:t>其他重大合同</w:t>
      </w:r>
      <w:bookmarkEnd w:id="398"/>
      <w:bookmarkEnd w:id="399"/>
      <w:bookmarkEnd w:id="40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十八、社会责任情况</w:t>
      </w:r>
      <w:bookmarkEnd w:id="402"/>
      <w:bookmarkEnd w:id="403"/>
      <w:bookmarkEnd w:id="404"/>
    </w:p>
    <w:p>
      <w:pPr>
        <w:pStyle w:val="Style33"/>
        <w:keepNext/>
        <w:keepLines/>
        <w:widowControl w:val="0"/>
        <w:shd w:val="clear" w:color="auto" w:fill="auto"/>
        <w:tabs>
          <w:tab w:pos="368" w:val="left"/>
        </w:tabs>
        <w:bidi w:val="0"/>
        <w:spacing w:before="0" w:after="2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履行社会责任情况</w:t>
      </w:r>
      <w:bookmarkEnd w:id="405"/>
      <w:bookmarkEnd w:id="406"/>
      <w:bookmarkEnd w:id="408"/>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履行精准扶贫社会责任情况</w:t>
      </w:r>
      <w:bookmarkEnd w:id="409"/>
      <w:bookmarkEnd w:id="410"/>
      <w:bookmarkEnd w:id="412"/>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w:t>
        <w:tab/>
        <w:t>环境保护相关的情况</w:t>
      </w:r>
      <w:bookmarkEnd w:id="413"/>
      <w:bookmarkEnd w:id="414"/>
      <w:bookmarkEnd w:id="416"/>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40" w:line="315"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公司及子公司在日常生产经营中认真遵守国家和所在地有关环保方面的法律法规。报告期内，公司及子公司没有因为环保原 因而受到相关部门处罚，公司的环境保护情况符合国家的相关法律法规的要求。</w:t>
      </w:r>
    </w:p>
    <w:p>
      <w:pPr>
        <w:pStyle w:val="Style24"/>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十九、其他重大事项的说明</w:t>
      </w:r>
      <w:bookmarkEnd w:id="417"/>
      <w:bookmarkEnd w:id="418"/>
      <w:bookmarkEnd w:id="419"/>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0"/>
        <w:jc w:val="left"/>
      </w:pPr>
      <w:bookmarkStart w:id="420" w:name="bookmark420"/>
      <w:r>
        <w:rPr>
          <w:rFonts w:ascii="Times New Roman" w:eastAsia="Times New Roman" w:hAnsi="Times New Roman" w:cs="Times New Roman"/>
          <w:color w:val="000000"/>
          <w:spacing w:val="0"/>
          <w:w w:val="100"/>
          <w:position w:val="0"/>
        </w:rPr>
        <w:t>1</w:t>
      </w:r>
      <w:bookmarkEnd w:id="42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日，公司发布《关于公司涉及相关诉讼的公告》。截至目前，公司正积极应诉，尚未审理完结，具体内容详 见巨潮资讯网《关于公司涉及相关诉讼的公告》（公告编号：</w:t>
      </w:r>
      <w:r>
        <w:rPr>
          <w:rFonts w:ascii="Times New Roman" w:eastAsia="Times New Roman" w:hAnsi="Times New Roman" w:cs="Times New Roman"/>
          <w:color w:val="000000"/>
          <w:spacing w:val="0"/>
          <w:w w:val="100"/>
          <w:position w:val="0"/>
        </w:rPr>
        <w:t>2020-065</w:t>
      </w:r>
    </w:p>
    <w:p>
      <w:pPr>
        <w:pStyle w:val="Style29"/>
        <w:keepNext w:val="0"/>
        <w:keepLines w:val="0"/>
        <w:widowControl w:val="0"/>
        <w:shd w:val="clear" w:color="auto" w:fill="auto"/>
        <w:bidi w:val="0"/>
        <w:spacing w:before="0" w:after="0" w:line="315" w:lineRule="exact"/>
        <w:ind w:left="0" w:right="0" w:firstLine="0"/>
        <w:jc w:val="left"/>
      </w:pPr>
      <w:bookmarkStart w:id="421" w:name="bookmark421"/>
      <w:r>
        <w:rPr>
          <w:rFonts w:ascii="Times New Roman" w:eastAsia="Times New Roman" w:hAnsi="Times New Roman" w:cs="Times New Roman"/>
          <w:color w:val="000000"/>
          <w:spacing w:val="0"/>
          <w:w w:val="100"/>
          <w:position w:val="0"/>
        </w:rPr>
        <w:t>2</w:t>
      </w:r>
      <w:bookmarkEnd w:id="42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日，温志华和公司全资子公司共青城投资签署《补充协议》，温志华同意按照投资协议的约定，向共青城投 资进行业绩补偿</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,134.28</w:t>
      </w:r>
      <w:r>
        <w:rPr>
          <w:color w:val="000000"/>
          <w:spacing w:val="0"/>
          <w:w w:val="100"/>
          <w:position w:val="0"/>
        </w:rPr>
        <w:t>万元，截止报告期末，公司已收到收到温志华控股的上海杰薇投资管理有限公司按照《补充协议》 之约定支付的第一笔和第二笔业绩补偿款，具体内容详见巨潮资讯网《关于参股公司</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年度业绩承诺补偿情况的进展公告》</w:t>
      </w:r>
    </w:p>
    <w:p>
      <w:pPr>
        <w:pStyle w:val="Style44"/>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2020-057</w:t>
      </w:r>
      <w:r>
        <w:rPr>
          <w:rFonts w:ascii="SimSun" w:eastAsia="SimSun" w:hAnsi="SimSun" w:cs="SimSun"/>
          <w:color w:val="000000"/>
          <w:spacing w:val="0"/>
          <w:w w:val="100"/>
          <w:position w:val="0"/>
        </w:rPr>
        <w:t>号、</w:t>
      </w:r>
      <w:r>
        <w:rPr>
          <w:color w:val="000000"/>
          <w:spacing w:val="0"/>
          <w:w w:val="100"/>
          <w:position w:val="0"/>
        </w:rPr>
        <w:t>2020-064</w:t>
      </w:r>
      <w:r>
        <w:rPr>
          <w:rFonts w:ascii="SimSun" w:eastAsia="SimSun" w:hAnsi="SimSun" w:cs="SimSun"/>
          <w:color w:val="000000"/>
          <w:spacing w:val="0"/>
          <w:w w:val="100"/>
          <w:position w:val="0"/>
        </w:rPr>
        <w:t>号、</w:t>
      </w:r>
      <w:r>
        <w:rPr>
          <w:color w:val="000000"/>
          <w:spacing w:val="0"/>
          <w:w w:val="100"/>
          <w:position w:val="0"/>
        </w:rPr>
        <w:t>2020-124</w:t>
      </w:r>
      <w:r>
        <w:rPr>
          <w:rFonts w:ascii="SimSun" w:eastAsia="SimSun" w:hAnsi="SimSun" w:cs="SimSun"/>
          <w:color w:val="000000"/>
          <w:spacing w:val="0"/>
          <w:w w:val="100"/>
          <w:position w:val="0"/>
        </w:rPr>
        <w:t>号）。</w:t>
      </w:r>
    </w:p>
    <w:p>
      <w:pPr>
        <w:pStyle w:val="Style29"/>
        <w:keepNext w:val="0"/>
        <w:keepLines w:val="0"/>
        <w:widowControl w:val="0"/>
        <w:shd w:val="clear" w:color="auto" w:fill="auto"/>
        <w:bidi w:val="0"/>
        <w:spacing w:before="0" w:after="360" w:line="315" w:lineRule="exact"/>
        <w:ind w:left="0" w:right="0" w:firstLine="0"/>
        <w:jc w:val="left"/>
      </w:pPr>
      <w:bookmarkStart w:id="422" w:name="bookmark422"/>
      <w:r>
        <w:rPr>
          <w:rFonts w:ascii="Times New Roman" w:eastAsia="Times New Roman" w:hAnsi="Times New Roman" w:cs="Times New Roman"/>
          <w:color w:val="000000"/>
          <w:spacing w:val="0"/>
          <w:w w:val="100"/>
          <w:position w:val="0"/>
        </w:rPr>
        <w:t>3</w:t>
      </w:r>
      <w:bookmarkEnd w:id="42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日，公司发布《关于对外投资暨关联交易的公告》，公司之全资子公司北京仁东科技有限公司出资</w:t>
      </w:r>
      <w:r>
        <w:rPr>
          <w:rFonts w:ascii="Times New Roman" w:eastAsia="Times New Roman" w:hAnsi="Times New Roman" w:cs="Times New Roman"/>
          <w:color w:val="000000"/>
          <w:spacing w:val="0"/>
          <w:w w:val="100"/>
          <w:position w:val="0"/>
        </w:rPr>
        <w:t>1,000</w:t>
      </w:r>
      <w:r>
        <w:rPr>
          <w:color w:val="000000"/>
          <w:spacing w:val="0"/>
          <w:w w:val="100"/>
          <w:position w:val="0"/>
        </w:rPr>
        <w:t>万元， 通过增资的方式对北京众签科技有限公司进行战略投资，截止目前已实施完成。具体内容详见巨潮资讯网《对外投资暨关联 交易进展公告》（公告编号：</w:t>
      </w:r>
      <w:r>
        <w:rPr>
          <w:rFonts w:ascii="Times New Roman" w:eastAsia="Times New Roman" w:hAnsi="Times New Roman" w:cs="Times New Roman"/>
          <w:color w:val="000000"/>
          <w:spacing w:val="0"/>
          <w:w w:val="100"/>
          <w:position w:val="0"/>
        </w:rPr>
        <w:t>2020-029</w:t>
      </w:r>
    </w:p>
    <w:p>
      <w:pPr>
        <w:pStyle w:val="Style24"/>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二十、公司子公司重大事项</w:t>
      </w:r>
      <w:bookmarkEnd w:id="423"/>
      <w:bookmarkEnd w:id="424"/>
      <w:bookmarkEnd w:id="425"/>
    </w:p>
    <w:p>
      <w:pPr>
        <w:pStyle w:val="Style29"/>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26" w:name="bookmark426"/>
      <w:bookmarkStart w:id="427" w:name="bookmark427"/>
      <w:bookmarkStart w:id="428" w:name="bookmark428"/>
      <w:r>
        <w:rPr>
          <w:color w:val="000000"/>
          <w:spacing w:val="0"/>
          <w:w w:val="100"/>
          <w:position w:val="0"/>
        </w:rPr>
        <w:t>第六节股份变动及股东情况</w:t>
      </w:r>
      <w:bookmarkEnd w:id="426"/>
      <w:bookmarkEnd w:id="427"/>
      <w:bookmarkEnd w:id="428"/>
    </w:p>
    <w:p>
      <w:pPr>
        <w:pStyle w:val="Style24"/>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、股份变动情况</w:t>
      </w:r>
      <w:bookmarkEnd w:id="430"/>
      <w:bookmarkEnd w:id="431"/>
      <w:bookmarkEnd w:id="433"/>
      <w:bookmarkEnd w:id="429"/>
    </w:p>
    <w:p>
      <w:pPr>
        <w:pStyle w:val="Style33"/>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、股份变动情况</w:t>
      </w:r>
      <w:bookmarkEnd w:id="434"/>
      <w:bookmarkEnd w:id="435"/>
      <w:bookmarkEnd w:id="4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559,936,6</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559,936,6</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559,936,6</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559,936,6</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559,936,6</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559,936,6</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、限售股份变动情况</w:t>
      </w:r>
      <w:bookmarkEnd w:id="438"/>
      <w:bookmarkEnd w:id="439"/>
      <w:bookmarkEnd w:id="44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二</w:t>
      </w:r>
      <w:bookmarkEnd w:id="444"/>
      <w:r>
        <w:rPr>
          <w:color w:val="000000"/>
          <w:spacing w:val="0"/>
          <w:w w:val="100"/>
          <w:position w:val="0"/>
          <w:sz w:val="24"/>
          <w:szCs w:val="24"/>
        </w:rPr>
        <w:t>、</w:t>
        <w:tab/>
        <w:t>证券发行与上市情况</w:t>
      </w:r>
      <w:bookmarkEnd w:id="442"/>
      <w:bookmarkEnd w:id="443"/>
      <w:bookmarkEnd w:id="445"/>
    </w:p>
    <w:p>
      <w:pPr>
        <w:pStyle w:val="Style33"/>
        <w:keepNext/>
        <w:keepLines/>
        <w:widowControl w:val="0"/>
        <w:shd w:val="clear" w:color="auto" w:fill="auto"/>
        <w:tabs>
          <w:tab w:pos="377" w:val="left"/>
        </w:tabs>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w:t>
        <w:tab/>
        <w:t>报告期内证券发行（不含优先股）情况</w:t>
      </w:r>
      <w:bookmarkEnd w:id="446"/>
      <w:bookmarkEnd w:id="447"/>
      <w:bookmarkEnd w:id="44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公司股份总数及股东结构的变动、公司资产和负债结构的变动情况说明</w:t>
      </w:r>
      <w:bookmarkEnd w:id="450"/>
      <w:bookmarkEnd w:id="451"/>
      <w:bookmarkEnd w:id="45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现存的内部职工股情况</w:t>
      </w:r>
      <w:bookmarkEnd w:id="454"/>
      <w:bookmarkEnd w:id="455"/>
      <w:bookmarkEnd w:id="45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三</w:t>
      </w:r>
      <w:bookmarkEnd w:id="460"/>
      <w:r>
        <w:rPr>
          <w:color w:val="000000"/>
          <w:spacing w:val="0"/>
          <w:w w:val="100"/>
          <w:position w:val="0"/>
          <w:sz w:val="24"/>
          <w:szCs w:val="24"/>
        </w:rPr>
        <w:t>、</w:t>
        <w:tab/>
        <w:t>股东和实际控制人情况</w:t>
      </w:r>
      <w:bookmarkEnd w:id="458"/>
      <w:bookmarkEnd w:id="459"/>
      <w:bookmarkEnd w:id="461"/>
    </w:p>
    <w:p>
      <w:pPr>
        <w:pStyle w:val="Style33"/>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、公司股东数量及持股情况</w:t>
      </w:r>
      <w:bookmarkEnd w:id="462"/>
      <w:bookmarkEnd w:id="463"/>
      <w:bookmarkEnd w:id="4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1"/>
        <w:gridCol w:w="763"/>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118,455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131,373</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 术有限公司</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22.49%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125,923,8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-12,167,6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125,923,8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88,948,330</w:t>
            </w:r>
          </w:p>
        </w:tc>
      </w:tr>
      <w:tr>
        <w:trPr>
          <w:trHeight w:val="39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14,900,000</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48,312,11</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48,312,11</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48,312,117</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48,312,117</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阿拉山口市民众 创新股权投资有 限合伙企业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28,197,75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28,197,75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28,197,750</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28,197,750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仁东（天津）科技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14,219,35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-15,261,6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14,219,35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10,880,958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华泰证券股份有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3,378,424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+3,378,42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宁波幻方量化投 资管理合伙企业</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（有限合伙）一幻 方量化青溪</w:t>
            </w:r>
            <w:r>
              <w:rPr>
                <w:rFonts w:ascii="Times New Roman" w:eastAsia="Times New Roman" w:hAnsi="Times New Roman" w:cs="Times New Roman"/>
                <w:color w:val="000000"/>
                <w:spacing w:val="0"/>
                <w:w w:val="100"/>
                <w:position w:val="0"/>
              </w:rPr>
              <w:t>8</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+1,987,00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蒲通林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+1,884,00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+1,443,60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+1,247,60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中国国际金融香 港资产管理有限 公司一客户资金</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1,245,706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+1,245,70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北京仁东信息技术有限公司与仁东（天津）科技有限公司系一致行动人。除此之外， 公司未知其他股东是否存在关联关系或一致行动关系。</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125,923,847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125,923,847</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48,312,117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48,312,117</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阿拉山口市民众创新股权投资有限 合伙企业</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28,197,750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28,197,750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14,219,358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14,219,358</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3,378,424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3,378,424</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宁波幻方量化投资管理合伙企业（有 限合伙）一幻方量化青溪</w:t>
            </w:r>
            <w:r>
              <w:rPr>
                <w:rFonts w:ascii="Times New Roman" w:eastAsia="Times New Roman" w:hAnsi="Times New Roman" w:cs="Times New Roman"/>
                <w:color w:val="000000"/>
                <w:spacing w:val="0"/>
                <w:w w:val="100"/>
                <w:position w:val="0"/>
              </w:rPr>
              <w:t>8</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蒲通林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中国国际金融香港资产管理有限公 司一客户资金</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1,245,706</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北京仁东信息技术有限公司与仁东（天津）科技有限公司系一致行动人。除此之外， 公司未知其他股东是否存在关联关系或一致行动关系。</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北京仁东信息技术有限公司通过普通证券账户持有</w:t>
            </w:r>
            <w:r>
              <w:rPr>
                <w:rFonts w:ascii="Times New Roman" w:eastAsia="Times New Roman" w:hAnsi="Times New Roman" w:cs="Times New Roman"/>
                <w:color w:val="000000"/>
                <w:spacing w:val="0"/>
                <w:w w:val="100"/>
                <w:position w:val="0"/>
              </w:rPr>
              <w:t>91,178,330</w:t>
            </w:r>
            <w:r>
              <w:rPr>
                <w:color w:val="000000"/>
                <w:spacing w:val="0"/>
                <w:w w:val="100"/>
                <w:position w:val="0"/>
              </w:rPr>
              <w:t>股，通过五矿证券有限 公司客户信用交易担保证券账户持有</w:t>
            </w:r>
            <w:r>
              <w:rPr>
                <w:rFonts w:ascii="Times New Roman" w:eastAsia="Times New Roman" w:hAnsi="Times New Roman" w:cs="Times New Roman"/>
                <w:color w:val="000000"/>
                <w:spacing w:val="0"/>
                <w:w w:val="100"/>
                <w:position w:val="0"/>
              </w:rPr>
              <w:t>34,745,517</w:t>
            </w:r>
            <w:r>
              <w:rPr>
                <w:color w:val="000000"/>
                <w:spacing w:val="0"/>
                <w:w w:val="100"/>
                <w:position w:val="0"/>
              </w:rPr>
              <w:t>股，合计持股数量</w:t>
            </w:r>
            <w:r>
              <w:rPr>
                <w:rFonts w:ascii="Times New Roman" w:eastAsia="Times New Roman" w:hAnsi="Times New Roman" w:cs="Times New Roman"/>
                <w:color w:val="000000"/>
                <w:spacing w:val="0"/>
                <w:w w:val="100"/>
                <w:position w:val="0"/>
              </w:rPr>
              <w:t>125,923,847</w:t>
            </w:r>
            <w:r>
              <w:rPr>
                <w:color w:val="000000"/>
                <w:spacing w:val="0"/>
                <w:w w:val="100"/>
                <w:position w:val="0"/>
              </w:rPr>
              <w:t>股， 占公司总股本的</w:t>
            </w:r>
            <w:r>
              <w:rPr>
                <w:rFonts w:ascii="Times New Roman" w:eastAsia="Times New Roman" w:hAnsi="Times New Roman" w:cs="Times New Roman"/>
                <w:color w:val="000000"/>
                <w:spacing w:val="0"/>
                <w:w w:val="100"/>
                <w:position w:val="0"/>
              </w:rPr>
              <w:t>22.49%</w:t>
            </w:r>
            <w:r>
              <w:rPr>
                <w:color w:val="000000"/>
                <w:spacing w:val="0"/>
                <w:w w:val="100"/>
                <w:position w:val="0"/>
              </w:rPr>
              <w:t>；张坤通过普通证券账户持有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股，通过国元证券股份有限公 司客户信用交易担保证券账户持有</w:t>
            </w:r>
            <w:r>
              <w:rPr>
                <w:rFonts w:ascii="Times New Roman" w:eastAsia="Times New Roman" w:hAnsi="Times New Roman" w:cs="Times New Roman"/>
                <w:color w:val="000000"/>
                <w:spacing w:val="0"/>
                <w:w w:val="100"/>
                <w:position w:val="0"/>
              </w:rPr>
              <w:t>1,247,600</w:t>
            </w:r>
            <w:r>
              <w:rPr>
                <w:color w:val="000000"/>
                <w:spacing w:val="0"/>
                <w:w w:val="100"/>
                <w:position w:val="0"/>
              </w:rPr>
              <w:t>股，合计持股数量</w:t>
            </w:r>
            <w:r>
              <w:rPr>
                <w:rFonts w:ascii="Times New Roman" w:eastAsia="Times New Roman" w:hAnsi="Times New Roman" w:cs="Times New Roman"/>
                <w:color w:val="000000"/>
                <w:spacing w:val="0"/>
                <w:w w:val="100"/>
                <w:position w:val="0"/>
              </w:rPr>
              <w:t>1,247,600</w:t>
            </w:r>
            <w:r>
              <w:rPr>
                <w:color w:val="000000"/>
                <w:spacing w:val="0"/>
                <w:w w:val="100"/>
                <w:position w:val="0"/>
              </w:rPr>
              <w:t>股，占公司 总股本的</w:t>
            </w:r>
            <w:r>
              <w:rPr>
                <w:rFonts w:ascii="Times New Roman" w:eastAsia="Times New Roman" w:hAnsi="Times New Roman" w:cs="Times New Roman"/>
                <w:color w:val="000000"/>
                <w:spacing w:val="0"/>
                <w:w w:val="100"/>
                <w:position w:val="0"/>
              </w:rPr>
              <w:t>0.22%</w:t>
            </w:r>
            <w:r>
              <w:rPr>
                <w:color w:val="000000"/>
                <w:spacing w:val="0"/>
                <w:w w:val="100"/>
                <w:position w:val="0"/>
              </w:rPr>
              <w:t>。</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、公司控股股东情况</w:t>
      </w:r>
      <w:bookmarkEnd w:id="466"/>
      <w:bookmarkEnd w:id="467"/>
      <w:bookmarkEnd w:id="46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037"/>
        <w:gridCol w:w="509"/>
        <w:gridCol w:w="600"/>
        <w:gridCol w:w="1939"/>
        <w:gridCol w:w="5602"/>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控股股东名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法定 代表 人</w:t>
            </w:r>
            <w:r>
              <w:rPr>
                <w:rFonts w:ascii="Times New Roman" w:eastAsia="Times New Roman" w:hAnsi="Times New Roman" w:cs="Times New Roman"/>
                <w:color w:val="000000"/>
                <w:spacing w:val="0"/>
                <w:w w:val="100"/>
                <w:position w:val="0"/>
              </w:rPr>
              <w:t>/</w:t>
            </w:r>
            <w:r>
              <w:rPr>
                <w:color w:val="000000"/>
                <w:spacing w:val="0"/>
                <w:w w:val="100"/>
                <w:position w:val="0"/>
              </w:rPr>
              <w:t>单 位负 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 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91152921MA0NRBT85U</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技术开发、技术推广；经济贸易咨询；货运代理；合同能源管理；销售 煤炭（不得在北京地区开展实物煤的交易、储运活动）、金属材料、建 筑材料、食用农产品、矿产品（经营煤炭的不得在北京地区开展实物煤 交易及储运）、通讯设备、机械设备、润滑油、五金交电、化工产品（不 含危险化学品）、皮革制品（不含野生动物皮张）、社会公共安全设备及 器材、计算机、软件及辅助设备；销售食品。（企业依法自主选择经营 项目，开展经营活动；销售食品以及依法须经批准的项目，经相关部门 批准后依批准的内容开展经营活动；不得从事本市产业政策禁止和限制 类项目的经营活动。）</w:t>
            </w: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 告期内控股</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37"/>
        <w:gridCol w:w="8650"/>
      </w:tblGrid>
      <w:tr>
        <w:trPr>
          <w:trHeight w:val="131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和参股的其 他境内外上 市公司的股 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《关于公司权益变动暨控股股东、实际控制人发生变更的提 示性公告》（巨潮资讯网公告编号：</w:t>
            </w:r>
            <w:r>
              <w:rPr>
                <w:rFonts w:ascii="Times New Roman" w:eastAsia="Times New Roman" w:hAnsi="Times New Roman" w:cs="Times New Roman"/>
                <w:color w:val="000000"/>
                <w:spacing w:val="0"/>
                <w:w w:val="100"/>
                <w:position w:val="0"/>
              </w:rPr>
              <w:t>2020-104</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、公司实际控制人及其一致行动人</w:t>
      </w:r>
      <w:bookmarkEnd w:id="470"/>
      <w:bookmarkEnd w:id="471"/>
      <w:bookmarkEnd w:id="47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北京仁东信息技术有限公司执行董事、经理；仁东控股股份有限公司董事长</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《关于公司权益变动暨控股股东、实际控制人发生变更的提 示性公告》（巨潮资讯网公告编号：</w:t>
            </w:r>
            <w:r>
              <w:rPr>
                <w:rFonts w:ascii="Times New Roman" w:eastAsia="Times New Roman" w:hAnsi="Times New Roman" w:cs="Times New Roman"/>
                <w:color w:val="000000"/>
                <w:spacing w:val="0"/>
                <w:w w:val="100"/>
                <w:position w:val="0"/>
              </w:rPr>
              <w:t>2020-104</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3896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389630"/>
                    </a:xfrm>
                    <a:prstGeom prst="rect"/>
                  </pic:spPr>
                </pic:pic>
              </a:graphicData>
            </a:graphic>
          </wp:inline>
        </w:drawing>
      </w:r>
    </w:p>
    <w:p>
      <w:pPr>
        <w:widowControl w:val="0"/>
        <w:spacing w:after="3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4"/>
      <w:bookmarkEnd w:id="475"/>
      <w:bookmarkEnd w:id="47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控股股东、实际控制人、重组方及其他承诺主体股份限制减持情况</w:t>
      </w:r>
      <w:bookmarkEnd w:id="478"/>
      <w:bookmarkEnd w:id="479"/>
      <w:bookmarkEnd w:id="481"/>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55" w:bottom="1503"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bookmarkStart w:id="485" w:name="bookmark48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85"/>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99"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00" w:after="560" w:line="240" w:lineRule="auto"/>
        <w:ind w:left="0" w:right="0" w:firstLine="0"/>
        <w:jc w:val="center"/>
      </w:pPr>
      <w:bookmarkStart w:id="486" w:name="bookmark486"/>
      <w:bookmarkStart w:id="487" w:name="bookmark487"/>
      <w:bookmarkStart w:id="488" w:name="bookmark488"/>
      <w:r>
        <w:rPr>
          <w:color w:val="000000"/>
          <w:spacing w:val="0"/>
          <w:w w:val="100"/>
          <w:position w:val="0"/>
        </w:rPr>
        <w:t>第八节可转换公司债券相关情况</w:t>
      </w:r>
      <w:bookmarkEnd w:id="486"/>
      <w:bookmarkEnd w:id="487"/>
      <w:bookmarkEnd w:id="488"/>
    </w:p>
    <w:p>
      <w:pPr>
        <w:pStyle w:val="Style29"/>
        <w:keepNext w:val="0"/>
        <w:keepLines w:val="0"/>
        <w:widowControl w:val="0"/>
        <w:shd w:val="clear" w:color="auto" w:fill="auto"/>
        <w:bidi w:val="0"/>
        <w:spacing w:before="0" w:line="240" w:lineRule="auto"/>
        <w:ind w:left="0" w:right="0" w:firstLine="0"/>
        <w:jc w:val="left"/>
      </w:pPr>
      <w:bookmarkStart w:id="489" w:name="bookmark48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8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line="240" w:lineRule="auto"/>
        <w:ind w:left="0" w:right="0" w:firstLine="0"/>
        <w:jc w:val="center"/>
      </w:pPr>
      <w:bookmarkStart w:id="490" w:name="bookmark490"/>
      <w:bookmarkStart w:id="491" w:name="bookmark491"/>
      <w:bookmarkStart w:id="492" w:name="bookmark492"/>
      <w:r>
        <w:rPr>
          <w:color w:val="000000"/>
          <w:spacing w:val="0"/>
          <w:w w:val="100"/>
          <w:position w:val="0"/>
        </w:rPr>
        <w:t>第九节董事、监事、高级管理人员和员工情况</w:t>
      </w:r>
      <w:bookmarkEnd w:id="490"/>
      <w:bookmarkEnd w:id="491"/>
      <w:bookmarkEnd w:id="492"/>
    </w:p>
    <w:p>
      <w:pPr>
        <w:pStyle w:val="Style24"/>
        <w:keepNext/>
        <w:keepLines/>
        <w:widowControl w:val="0"/>
        <w:shd w:val="clear" w:color="auto" w:fill="auto"/>
        <w:bidi w:val="0"/>
        <w:spacing w:before="0" w:after="300" w:line="240" w:lineRule="auto"/>
        <w:ind w:left="0" w:right="0" w:firstLine="0"/>
        <w:jc w:val="left"/>
      </w:pPr>
      <w:bookmarkStart w:id="493" w:name="bookmark493"/>
      <w:bookmarkStart w:id="494" w:name="bookmark494"/>
      <w:bookmarkStart w:id="495" w:name="bookmark495"/>
      <w:bookmarkStart w:id="496" w:name="bookmark496"/>
      <w:bookmarkStart w:id="497" w:name="bookmark497"/>
      <w:r>
        <w:rPr>
          <w:color w:val="000000"/>
          <w:spacing w:val="0"/>
          <w:w w:val="100"/>
          <w:position w:val="0"/>
          <w:sz w:val="24"/>
          <w:szCs w:val="24"/>
        </w:rPr>
        <w:t>一</w:t>
      </w:r>
      <w:bookmarkEnd w:id="496"/>
      <w:r>
        <w:rPr>
          <w:color w:val="000000"/>
          <w:spacing w:val="0"/>
          <w:w w:val="100"/>
          <w:position w:val="0"/>
          <w:sz w:val="24"/>
          <w:szCs w:val="24"/>
        </w:rPr>
        <w:t>、董事、监事和高级管理人员持股变动</w:t>
      </w:r>
      <w:bookmarkEnd w:id="494"/>
      <w:bookmarkEnd w:id="495"/>
      <w:bookmarkEnd w:id="497"/>
      <w:bookmarkEnd w:id="49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长、总经</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理、财务 总监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刘长勇</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杜辉强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、公司董事、监事、高级管理人员变动情况</w:t>
      </w:r>
      <w:bookmarkEnd w:id="498"/>
      <w:bookmarkEnd w:id="499"/>
      <w:bookmarkEnd w:id="501"/>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、任职情况</w:t>
      </w:r>
      <w:bookmarkEnd w:id="502"/>
      <w:bookmarkEnd w:id="503"/>
      <w:bookmarkEnd w:id="505"/>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霍东，硕士学位，新加坡国立大学</w:t>
      </w:r>
      <w:r>
        <w:rPr>
          <w:rFonts w:ascii="Times New Roman" w:eastAsia="Times New Roman" w:hAnsi="Times New Roman" w:cs="Times New Roman"/>
          <w:color w:val="000000"/>
          <w:spacing w:val="0"/>
          <w:w w:val="100"/>
          <w:position w:val="0"/>
        </w:rPr>
        <w:t>EMBA</w:t>
      </w:r>
      <w:r>
        <w:rPr>
          <w:color w:val="000000"/>
          <w:spacing w:val="0"/>
          <w:w w:val="100"/>
          <w:position w:val="0"/>
          <w:sz w:val="18"/>
          <w:szCs w:val="18"/>
        </w:rPr>
        <w:t>o</w:t>
      </w:r>
      <w:r>
        <w:rPr>
          <w:color w:val="000000"/>
          <w:spacing w:val="0"/>
          <w:w w:val="100"/>
          <w:position w:val="0"/>
        </w:rPr>
        <w:t>曾就职于中国庆华能源集团有限公司，历任青海庆华矿冶煤化集团、新疆庆 华能源集团、中国庆华能源集团有限公司等公司高级管理人员，之后创办仁东集团，担任董事长兼总经理。现任公司董事长。</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赵佳，本科学历。担任仁东集团有限公司副董事长，现任公司董事。</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王石山，硕士学历，教授级高级经济师。历任南车投资租赁有限公司总经理、南车投资租赁有限公司执行董事、天津南 车投资租赁有限公司执行董事、南车天津融资租赁有限公司执行董事、上海中车融资租赁有限公司执行董事、中车投资租赁 有限公司董事长、中车金融租赁有限公司董事长（筹备）等。现任公司副董事长、总经理、财务总监，民盛租赁有限公司董 事长、总经理。</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刘长勇，对外经济贸易大学国际法专业，硕士学历。历任北京市中伦律师事务所律师、正东致远（天津）实业有限公司 副总经理等。现任公司董事、副总经理。</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章凯，毕业于中国青年政治学院网络技术与软件工程专业和清华大学经管学院工商管理专业，硕士学历。曾任职北京沐 泽电脑科技发展公司技术经理，上海新娱动数码科技有限公司商务经理、易宝支付有限公司副总裁。现任公司董事、副总经 理。</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孟湫云，吉林农业大学财务管理专业，本科学历。担任仁东集团有限公司董事职务，现任公司董事。</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狄瑞鹏，北京大学国际经济学硕士，美国新奥尔良大学金融经济学博士（财务管理方向）。历任清华大学金融系助理教 授、清华大学</w:t>
      </w:r>
      <w:r>
        <w:rPr>
          <w:rFonts w:ascii="Times New Roman" w:eastAsia="Times New Roman" w:hAnsi="Times New Roman" w:cs="Times New Roman"/>
          <w:color w:val="000000"/>
          <w:spacing w:val="0"/>
          <w:w w:val="100"/>
          <w:position w:val="0"/>
        </w:rPr>
        <w:t>EMBA</w:t>
      </w:r>
      <w:r>
        <w:rPr>
          <w:color w:val="000000"/>
          <w:spacing w:val="0"/>
          <w:w w:val="100"/>
          <w:position w:val="0"/>
        </w:rPr>
        <w:t>项目副主任、清华大学经管学院助理院长，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月至今任清华大学经济管理学院全球高管课程项 目主任。现任公司独立董事。</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康晓岳，北京大学法律专业，本科学历，持有律师资格证书。曾先后任职于江西省司法厅科员、深圳法制报社记者等职 务，现任公司独立董事。</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柴晓丽，西安科技大学企业管理专业，硕士学历，中级会计师、注册税务师，持有证券从业资格、基金从业资格证书。 曾任职于瑞华会计师事务所、中睿资本管理有限公司、中融国际信托有限公司、丰汇租赁有限公司，现任公司独立董事。</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杜辉强，内蒙古财经学院人力资源管理专业，本科学历。曾任职于易宝支付股份有限公司，现任公司监事会主席。</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刘春阳，武汉大学财务管理及理财学专业，本科学历。历任紫光集团有限公司财务经理、财务高级经理、财务副总经理。 现任公司监事。</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崔朕，中国矿业大学工商管理专业，本科学历。历任职于中国建设银行北京分行和总行、星展银行企业银行部、渣打银 行商业客户部、开滦国际融资租赁有限公司。现任公司监事。</w:t>
      </w:r>
      <w:r>
        <w:br w:type="page"/>
      </w:r>
    </w:p>
    <w:p>
      <w:pPr>
        <w:pStyle w:val="Style29"/>
        <w:keepNext w:val="0"/>
        <w:keepLines w:val="0"/>
        <w:widowControl w:val="0"/>
        <w:shd w:val="clear" w:color="auto" w:fill="auto"/>
        <w:bidi w:val="0"/>
        <w:spacing w:before="0" w:line="240" w:lineRule="auto"/>
        <w:ind w:left="0" w:right="0" w:firstLine="440"/>
        <w:jc w:val="both"/>
      </w:pPr>
      <w:r>
        <w:rPr>
          <w:color w:val="000000"/>
          <w:spacing w:val="0"/>
          <w:w w:val="100"/>
          <w:position w:val="0"/>
        </w:rPr>
        <w:t>黄浩，硕士学历。曾就职于交通银行、中信银行、民生银行、华夏银行等多家金融机构。现任公司副总经理。</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仁东（天津）科技发展集团有限公司北京 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贵州仁东健康产业发展集团有限公司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贵州仁东科技发展集团有限公司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北京仁东文化科技集团有限公司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仁东区块链有限公司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上海骆印贸易有限公司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宁波财东贸易有限公司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京晋日盛（北京）科技发展有限公司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贵州仁东健康产业发展集团有限公司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贵州仁东科技发展集团有限公司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北京仁东文化科技集团有限公司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北京仁东致远基础设施建设有限公司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北京仁东致远电子商务有限公司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四川仁东楷润建设工程有限公司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仁东资本控股（山东）有限公司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仁东厚德（青岛）资产管理有限公司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浙江东临贸易有限公司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海南东链信息技术有限公司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贵州仁东实业（集团）有限公司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小精灵（天津）环保科技集团有限公司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小黄狗环保科技有限公司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孟湫云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润京信息科技（江苏）有限公司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东佳置业（北京）有限公司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东佳文化（北京）有限公司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北京仁东芳华科技有限公司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呈东致远（北京）资产管理有限公司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北京仁东酒世界科技有限公司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北京元东商贸有限公司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繁星未来教育科技（北京）有限公司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北京泰东众诚科技中心（有限合伙）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北京亚信众合科技中心（有限合伙）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北京久汇科技中心（有限合伙）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全球高管课 程项目主任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江南模塑科技股份有限公司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北京市炜衡（深圳）律师事务所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四</w:t>
      </w:r>
      <w:bookmarkEnd w:id="508"/>
      <w:r>
        <w:rPr>
          <w:color w:val="000000"/>
          <w:spacing w:val="0"/>
          <w:w w:val="100"/>
          <w:position w:val="0"/>
          <w:sz w:val="24"/>
          <w:szCs w:val="24"/>
        </w:rPr>
        <w:t>、董事、监事、高级管理人员报酬情况</w:t>
      </w:r>
      <w:bookmarkEnd w:id="506"/>
      <w:bookmarkEnd w:id="507"/>
      <w:bookmarkEnd w:id="509"/>
    </w:p>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344" w:val="left"/>
        </w:tabs>
        <w:bidi w:val="0"/>
        <w:spacing w:before="0" w:after="0" w:line="320" w:lineRule="exact"/>
        <w:ind w:left="0" w:right="0" w:firstLine="0"/>
        <w:jc w:val="left"/>
      </w:pPr>
      <w:bookmarkStart w:id="510" w:name="bookmark510"/>
      <w:r>
        <w:rPr>
          <w:rFonts w:ascii="Times New Roman" w:eastAsia="Times New Roman" w:hAnsi="Times New Roman" w:cs="Times New Roman"/>
          <w:color w:val="000000"/>
          <w:spacing w:val="0"/>
          <w:w w:val="100"/>
          <w:position w:val="0"/>
        </w:rPr>
        <w:t>1</w:t>
      </w:r>
      <w:bookmarkEnd w:id="510"/>
      <w:r>
        <w:rPr>
          <w:color w:val="000000"/>
          <w:spacing w:val="0"/>
          <w:w w:val="100"/>
          <w:position w:val="0"/>
        </w:rPr>
        <w:t>、</w:t>
        <w:tab/>
        <w:t>董事、监事、高级管理人员报酬的决策程序：董事、监事的薪酬与津贴由公司董事会薪酬与考核委员会制订方案，董事 会审议通过并报股东大会批准后执行。高级管理人员报酬由公司董事会薪酬与考核委员会制订方案，董事会审议通过后执行。 其中独立董事根据公司《独立董事津贴制度》领取相应津贴。</w:t>
      </w:r>
    </w:p>
    <w:p>
      <w:pPr>
        <w:pStyle w:val="Style29"/>
        <w:keepNext w:val="0"/>
        <w:keepLines w:val="0"/>
        <w:widowControl w:val="0"/>
        <w:shd w:val="clear" w:color="auto" w:fill="auto"/>
        <w:tabs>
          <w:tab w:pos="354" w:val="left"/>
        </w:tabs>
        <w:bidi w:val="0"/>
        <w:spacing w:before="0" w:after="0" w:line="320" w:lineRule="exact"/>
        <w:ind w:left="0" w:right="0" w:firstLine="0"/>
        <w:jc w:val="left"/>
      </w:pPr>
      <w:bookmarkStart w:id="511" w:name="bookmark511"/>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董事、监事、高级管理人员报酬确定依据：公司制定的《薪酬与考核委员会工作细则》、《董事、监事及高级管理人员 薪酬管理办法》等内部规定。</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512" w:name="bookmark512"/>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董事、监事和高级管理人员报酬的实际支付情况：董事、高级管理人员按董事会核定的标准按月发放基本薪酬；独立董 事津贴按月发放津贴；公司监事报酬根据公司内部考核制度发放。</w:t>
      </w:r>
    </w:p>
    <w:p>
      <w:pPr>
        <w:pStyle w:val="Style29"/>
        <w:keepNext w:val="0"/>
        <w:keepLines w:val="0"/>
        <w:widowControl w:val="0"/>
        <w:shd w:val="clear" w:color="auto" w:fill="auto"/>
        <w:bidi w:val="0"/>
        <w:spacing w:before="0" w:after="140" w:line="320" w:lineRule="exact"/>
        <w:ind w:left="0" w:right="0" w:firstLine="0"/>
        <w:jc w:val="left"/>
      </w:pPr>
      <w:r>
        <w:rPr>
          <w:color w:val="000000"/>
          <w:spacing w:val="0"/>
          <w:w w:val="100"/>
          <w:position w:val="0"/>
        </w:rPr>
        <w:t>公司报告期内董事、监事和高级管理人员报酬情况</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王石山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孟湫云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杜辉强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五</w:t>
      </w:r>
      <w:bookmarkEnd w:id="515"/>
      <w:r>
        <w:rPr>
          <w:color w:val="000000"/>
          <w:spacing w:val="0"/>
          <w:w w:val="100"/>
          <w:position w:val="0"/>
          <w:sz w:val="24"/>
          <w:szCs w:val="24"/>
        </w:rPr>
        <w:t>、公司员工情况</w:t>
      </w:r>
      <w:bookmarkEnd w:id="513"/>
      <w:bookmarkEnd w:id="514"/>
      <w:bookmarkEnd w:id="516"/>
    </w:p>
    <w:p>
      <w:pPr>
        <w:pStyle w:val="Style33"/>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、员工数量、专业构成及教育程度</w:t>
      </w:r>
      <w:bookmarkEnd w:id="517"/>
      <w:bookmarkEnd w:id="518"/>
      <w:bookmarkEnd w:id="5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20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339</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339</w:t>
            </w:r>
          </w:p>
        </w:tc>
      </w:tr>
    </w:tbl>
    <w:p>
      <w:pPr>
        <w:widowControl w:val="0"/>
        <w:spacing w:after="319" w:line="1" w:lineRule="exact"/>
      </w:pPr>
    </w:p>
    <w:p>
      <w:pPr>
        <w:pStyle w:val="Style33"/>
        <w:keepNext/>
        <w:keepLines/>
        <w:widowControl w:val="0"/>
        <w:shd w:val="clear" w:color="auto" w:fill="auto"/>
        <w:tabs>
          <w:tab w:pos="378" w:val="left"/>
        </w:tabs>
        <w:bidi w:val="0"/>
        <w:spacing w:before="0" w:after="26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薪酬政策</w:t>
      </w:r>
      <w:bookmarkEnd w:id="521"/>
      <w:bookmarkEnd w:id="522"/>
      <w:bookmarkEnd w:id="524"/>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公司根据《中华人民共和国劳动合同法》和国家及地方其他有关劳动法律、法规的规定，结合公司自身的实际情况，采取按 劳分配为主，效率优先兼顾公平，员工工资增长与公司经营发展和效益提高相适应的薪酬制度。公司实行劳动合同制，与所 有员工签订劳动合同，并按照国家规定为员工缴纳医疗保险、养老保险、失业保险、工伤保险、生育保险及住房公积金。</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培训计划</w:t>
      </w:r>
      <w:bookmarkEnd w:id="525"/>
      <w:bookmarkEnd w:id="526"/>
      <w:bookmarkEnd w:id="528"/>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公司根据企业管理和日常经营业务的实际需要，制定员工培训计划，通过内部培训、参加外部培训、联合培养等多种方式开 展后续职业培训，加强员工对公司规范运作的合规意识，改善员工的知识结构、专业结构，提升员工的业务素质和技能。</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劳务外包情况</w:t>
      </w:r>
      <w:bookmarkEnd w:id="529"/>
      <w:bookmarkEnd w:id="530"/>
      <w:bookmarkEnd w:id="532"/>
    </w:p>
    <w:p>
      <w:pPr>
        <w:pStyle w:val="Style29"/>
        <w:keepNext w:val="0"/>
        <w:keepLines w:val="0"/>
        <w:widowControl w:val="0"/>
        <w:shd w:val="clear" w:color="auto" w:fill="auto"/>
        <w:bidi w:val="0"/>
        <w:spacing w:before="0" w:after="300" w:line="312" w:lineRule="exact"/>
        <w:ind w:left="0" w:right="0" w:firstLine="0"/>
        <w:jc w:val="both"/>
        <w:sectPr>
          <w:footnotePr>
            <w:pos w:val="pageBottom"/>
            <w:numFmt w:val="decimal"/>
            <w:numRestart w:val="continuous"/>
          </w:footnotePr>
          <w:pgSz w:w="11900" w:h="16840"/>
          <w:pgMar w:top="1441" w:right="1066" w:bottom="1479"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520" w:after="560" w:line="240" w:lineRule="auto"/>
        <w:ind w:left="0" w:right="0" w:firstLine="0"/>
        <w:jc w:val="center"/>
      </w:pPr>
      <w:bookmarkStart w:id="533" w:name="bookmark533"/>
      <w:bookmarkStart w:id="534" w:name="bookmark534"/>
      <w:bookmarkStart w:id="535" w:name="bookmark535"/>
      <w:r>
        <w:rPr>
          <w:color w:val="000000"/>
          <w:spacing w:val="0"/>
          <w:w w:val="100"/>
          <w:position w:val="0"/>
        </w:rPr>
        <w:t>第十节公司治理</w:t>
      </w:r>
      <w:bookmarkEnd w:id="533"/>
      <w:bookmarkEnd w:id="534"/>
      <w:bookmarkEnd w:id="535"/>
    </w:p>
    <w:p>
      <w:pPr>
        <w:pStyle w:val="Style24"/>
        <w:keepNext/>
        <w:keepLines/>
        <w:widowControl w:val="0"/>
        <w:shd w:val="clear" w:color="auto" w:fill="auto"/>
        <w:bidi w:val="0"/>
        <w:spacing w:before="0" w:after="240" w:line="240" w:lineRule="auto"/>
        <w:ind w:left="0" w:right="0" w:firstLine="0"/>
        <w:jc w:val="left"/>
      </w:pPr>
      <w:bookmarkStart w:id="536" w:name="bookmark536"/>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、公司治理的基本状况</w:t>
      </w:r>
      <w:bookmarkEnd w:id="537"/>
      <w:bookmarkEnd w:id="538"/>
      <w:bookmarkEnd w:id="540"/>
      <w:bookmarkEnd w:id="536"/>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报告期内，公司按照现代企业制度要求，进一步优化公司治理结构，规范三会运作。</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报告期内，公司董事会不断完善公司法人治理结构，健全内部控制体系，在公司控股股东及实际控制人发生变更时调整 了董事会、监事会的成员组成，充分发挥独立董事的职能和监事会的监督作用，约束实际控制人的决策和经营行为。公司经 营层、相关部门进一步完善了资金管理制度、重大合同管理制度、采购等内控制度，规范资金及合同审核流程及审批权限； 落实防范控股股东及关联方资金占用管理制度、关联交易管理制度、信息披露管理制度、重大信息内部报告制度、大股东定 期沟通机制等相关制度的执行力度；切实保护投资者利益，自觉履行信息披露义务，做好投资者关系管理，提升企业规范运 作水平。加强对内部审计部门的建设，对内部控制管理制度进行整理，强化资金管理力度，完善资金使用管理制度，规范审 批流程。同时，公司董事会办公室组织新任董事、监事、高级管理人员学习相关证券法律法规及公司内控制度，提高对上市 公司独立性、关联交易、资金占用、对外担保、对外投资等重要事项的认识，提升遵章守法的意识，建立和完善重大信息内 部报告制度，确保公司经营管理规范运作。</w:t>
      </w:r>
    </w:p>
    <w:p>
      <w:pPr>
        <w:pStyle w:val="Style29"/>
        <w:keepNext w:val="0"/>
        <w:keepLines w:val="0"/>
        <w:widowControl w:val="0"/>
        <w:shd w:val="clear" w:color="auto" w:fill="auto"/>
        <w:tabs>
          <w:tab w:pos="842" w:val="left"/>
        </w:tabs>
        <w:bidi w:val="0"/>
        <w:spacing w:before="0" w:after="0" w:line="313" w:lineRule="exact"/>
        <w:ind w:left="0" w:right="0" w:firstLine="360"/>
        <w:jc w:val="both"/>
      </w:pPr>
      <w:bookmarkStart w:id="541" w:name="bookmark541"/>
      <w:r>
        <w:rPr>
          <w:color w:val="000000"/>
          <w:spacing w:val="0"/>
          <w:w w:val="100"/>
          <w:position w:val="0"/>
        </w:rPr>
        <w:t>（</w:t>
      </w:r>
      <w:bookmarkEnd w:id="541"/>
      <w:r>
        <w:rPr>
          <w:color w:val="000000"/>
          <w:spacing w:val="0"/>
          <w:w w:val="100"/>
          <w:position w:val="0"/>
        </w:rPr>
        <w:t>一）</w:t>
        <w:tab/>
        <w:t>关于股东和股东大会</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报告期内，公司严格遵守法律法规，规范地召集、召开股东大会。历次股东大会的召集、召开程序、出席股东大会的人 员资格及股东大会的表决程序均符合《公司法》、《证券法》、《深圳证券交易所股票上市规则》、《深圳证券交易所上市 公司规范运作指引》、《公司章程》、《股东大会议事规则》及其他法律法规的规定，能够确保全体股东尤其是中小股东享 有平等地位，充分行使自己的权利。报告期内召开的股东大会均由董事会召集召开，并邀请见证律师进行现场见证。</w:t>
      </w:r>
    </w:p>
    <w:p>
      <w:pPr>
        <w:pStyle w:val="Style29"/>
        <w:keepNext w:val="0"/>
        <w:keepLines w:val="0"/>
        <w:widowControl w:val="0"/>
        <w:shd w:val="clear" w:color="auto" w:fill="auto"/>
        <w:tabs>
          <w:tab w:pos="842" w:val="left"/>
        </w:tabs>
        <w:bidi w:val="0"/>
        <w:spacing w:before="0" w:after="0" w:line="313" w:lineRule="exact"/>
        <w:ind w:left="0" w:right="0" w:firstLine="360"/>
        <w:jc w:val="both"/>
      </w:pPr>
      <w:bookmarkStart w:id="542" w:name="bookmark542"/>
      <w:r>
        <w:rPr>
          <w:color w:val="000000"/>
          <w:spacing w:val="0"/>
          <w:w w:val="100"/>
          <w:position w:val="0"/>
        </w:rPr>
        <w:t>（</w:t>
      </w:r>
      <w:bookmarkEnd w:id="542"/>
      <w:r>
        <w:rPr>
          <w:color w:val="000000"/>
          <w:spacing w:val="0"/>
          <w:w w:val="100"/>
          <w:position w:val="0"/>
        </w:rPr>
        <w:t>二）</w:t>
        <w:tab/>
        <w:t>关于上市公司与实际控制人的关系</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报告期内，公司实际控制人为自然人，公司实际控制人能够严格按照《深圳证券交易所上市公司规范运作指引》的规定 和要求，规范行为，履行义务。没有超越公司股东大会直接或间接干预公司的决策和经营活动的行为。</w:t>
      </w:r>
    </w:p>
    <w:p>
      <w:pPr>
        <w:pStyle w:val="Style29"/>
        <w:keepNext w:val="0"/>
        <w:keepLines w:val="0"/>
        <w:widowControl w:val="0"/>
        <w:shd w:val="clear" w:color="auto" w:fill="auto"/>
        <w:tabs>
          <w:tab w:pos="842" w:val="left"/>
        </w:tabs>
        <w:bidi w:val="0"/>
        <w:spacing w:before="0" w:after="0" w:line="313" w:lineRule="exact"/>
        <w:ind w:left="0" w:right="0" w:firstLine="360"/>
        <w:jc w:val="both"/>
      </w:pPr>
      <w:bookmarkStart w:id="543" w:name="bookmark543"/>
      <w:r>
        <w:rPr>
          <w:color w:val="000000"/>
          <w:spacing w:val="0"/>
          <w:w w:val="100"/>
          <w:position w:val="0"/>
        </w:rPr>
        <w:t>（</w:t>
      </w:r>
      <w:bookmarkEnd w:id="543"/>
      <w:r>
        <w:rPr>
          <w:color w:val="000000"/>
          <w:spacing w:val="0"/>
          <w:w w:val="100"/>
          <w:position w:val="0"/>
        </w:rPr>
        <w:t>三）</w:t>
        <w:tab/>
        <w:t>关于董事与董事会</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公司所有董事能按照公司和股东利益最大化的要求诚信、勤勉地履行职责。公司独立董事严格遵守《关于在上市公司建 立独立董事制度的指导意见》及公司《独立董事工作制度》等规定，积极参与公司决策，对诸多重大事项发表了独立意见， 充分发挥了独立董事特有的职能。董事会下设战略委员会、审计委员会、提名委员会、薪酬与考核委员会，各专门委员会严 格遵守相关制度规定，各行其责，有力加强了公司董事会工作的规范运作。</w:t>
      </w:r>
    </w:p>
    <w:p>
      <w:pPr>
        <w:pStyle w:val="Style29"/>
        <w:keepNext w:val="0"/>
        <w:keepLines w:val="0"/>
        <w:widowControl w:val="0"/>
        <w:shd w:val="clear" w:color="auto" w:fill="auto"/>
        <w:tabs>
          <w:tab w:pos="842" w:val="left"/>
        </w:tabs>
        <w:bidi w:val="0"/>
        <w:spacing w:before="0" w:after="0" w:line="313" w:lineRule="exact"/>
        <w:ind w:left="0" w:right="0" w:firstLine="360"/>
        <w:jc w:val="both"/>
      </w:pPr>
      <w:bookmarkStart w:id="544" w:name="bookmark544"/>
      <w:r>
        <w:rPr>
          <w:color w:val="000000"/>
          <w:spacing w:val="0"/>
          <w:w w:val="100"/>
          <w:position w:val="0"/>
        </w:rPr>
        <w:t>（</w:t>
      </w:r>
      <w:bookmarkEnd w:id="544"/>
      <w:r>
        <w:rPr>
          <w:color w:val="000000"/>
          <w:spacing w:val="0"/>
          <w:w w:val="100"/>
          <w:position w:val="0"/>
        </w:rPr>
        <w:t>四）</w:t>
        <w:tab/>
        <w:t>关于监事和监事会</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报告期内，公司现任监事共三名，包括二名股东代表和一名职工代表，监事会人数和人员构成符合法律、法规的要求。 公司监事根据法律、法规及公司章程授予的职权认真履行职责，本着对股东负责的态度，对公司财务以及公司董事、总经理 和其他高级管理人员履行职责的合法、合规性进行有效监督；对公司重大事项、财务状况、董事和经理的履职情况等进行有 效监督并发表意见，维护公司和全体股东的利益。</w:t>
      </w:r>
    </w:p>
    <w:p>
      <w:pPr>
        <w:pStyle w:val="Style29"/>
        <w:keepNext w:val="0"/>
        <w:keepLines w:val="0"/>
        <w:widowControl w:val="0"/>
        <w:shd w:val="clear" w:color="auto" w:fill="auto"/>
        <w:tabs>
          <w:tab w:pos="842" w:val="left"/>
        </w:tabs>
        <w:bidi w:val="0"/>
        <w:spacing w:before="0" w:after="0" w:line="313" w:lineRule="exact"/>
        <w:ind w:left="0" w:right="0" w:firstLine="360"/>
        <w:jc w:val="both"/>
      </w:pPr>
      <w:bookmarkStart w:id="545" w:name="bookmark545"/>
      <w:r>
        <w:rPr>
          <w:color w:val="000000"/>
          <w:spacing w:val="0"/>
          <w:w w:val="100"/>
          <w:position w:val="0"/>
        </w:rPr>
        <w:t>（</w:t>
      </w:r>
      <w:bookmarkEnd w:id="545"/>
      <w:r>
        <w:rPr>
          <w:color w:val="000000"/>
          <w:spacing w:val="0"/>
          <w:w w:val="100"/>
          <w:position w:val="0"/>
        </w:rPr>
        <w:t>五）</w:t>
        <w:tab/>
        <w:t>关于绩效评价与激励约束机制</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公司建立了公正、透明、有效的董事、监事和高管人员的绩效评价标准和激励约束机制，公司高级管理人员的聘任公开、 透明，严格按照有关法律法规的规定进行。公司未来还将探索更多形式的激励方式，形成多层次的综合激励机制，完善绩效 评价标准，更好地调动管理人员的工作积极性，吸引和稳定优秀管理人才和技术、业务骨干。</w:t>
      </w:r>
    </w:p>
    <w:p>
      <w:pPr>
        <w:pStyle w:val="Style29"/>
        <w:keepNext w:val="0"/>
        <w:keepLines w:val="0"/>
        <w:widowControl w:val="0"/>
        <w:shd w:val="clear" w:color="auto" w:fill="auto"/>
        <w:tabs>
          <w:tab w:pos="842" w:val="left"/>
        </w:tabs>
        <w:bidi w:val="0"/>
        <w:spacing w:before="0" w:after="0" w:line="313" w:lineRule="exact"/>
        <w:ind w:left="0" w:right="0" w:firstLine="360"/>
        <w:jc w:val="both"/>
      </w:pPr>
      <w:bookmarkStart w:id="546" w:name="bookmark546"/>
      <w:r>
        <w:rPr>
          <w:color w:val="000000"/>
          <w:spacing w:val="0"/>
          <w:w w:val="100"/>
          <w:position w:val="0"/>
        </w:rPr>
        <w:t>（</w:t>
      </w:r>
      <w:bookmarkEnd w:id="546"/>
      <w:r>
        <w:rPr>
          <w:color w:val="000000"/>
          <w:spacing w:val="0"/>
          <w:w w:val="100"/>
          <w:position w:val="0"/>
        </w:rPr>
        <w:t>六）</w:t>
        <w:tab/>
        <w:t>关于投资者关系管理工作</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报告期内，公司严格按照有关法律法规及《深圳证券交易所股票上市规则》中关于公司信息披露的规定，真实、准确、 完整、及时地履行信息披露义务，并确保所有股东以平等的机会获得信息。公司明确董事会秘书为投资者关系管理负责人， 组织实施投资者关系的日常管理工作，指定证券部为专门的投资者关系管理机构，加强与投资者的沟通，充分保证广大投资 者的知情权。</w:t>
      </w:r>
    </w:p>
    <w:p>
      <w:pPr>
        <w:pStyle w:val="Style29"/>
        <w:keepNext w:val="0"/>
        <w:keepLines w:val="0"/>
        <w:widowControl w:val="0"/>
        <w:shd w:val="clear" w:color="auto" w:fill="auto"/>
        <w:tabs>
          <w:tab w:pos="842" w:val="left"/>
        </w:tabs>
        <w:bidi w:val="0"/>
        <w:spacing w:before="0" w:line="313" w:lineRule="exact"/>
        <w:ind w:left="0" w:right="0" w:firstLine="360"/>
        <w:jc w:val="both"/>
      </w:pPr>
      <w:bookmarkStart w:id="547" w:name="bookmark547"/>
      <w:r>
        <w:rPr>
          <w:color w:val="000000"/>
          <w:spacing w:val="0"/>
          <w:w w:val="100"/>
          <w:position w:val="0"/>
        </w:rPr>
        <w:t>（</w:t>
      </w:r>
      <w:bookmarkEnd w:id="547"/>
      <w:r>
        <w:rPr>
          <w:color w:val="000000"/>
          <w:spacing w:val="0"/>
          <w:w w:val="100"/>
          <w:position w:val="0"/>
        </w:rPr>
        <w:t>七）</w:t>
        <w:tab/>
        <w:t>关于信息披露</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公司按照《深圳证券交易所股票上市规则》、《公司章程》、《信息披露事务管理制度》、《投资者关系管理制度》等 的规定，依法真实、准确、及时、公平、完整地披露有关信息。报告期内，除了按照监管要求披露信息外，公司通过电话、 传真、电子邮件等形式加强与投资者的沟通，力求提高信息披露的透明度。同时，公司进一步加强了与监管机构的经常性联 系和主动沟通，积极向监管机构报告公司相关事项，确保公司信息披露更加规范。</w:t>
      </w:r>
    </w:p>
    <w:p>
      <w:pPr>
        <w:pStyle w:val="Style29"/>
        <w:keepNext w:val="0"/>
        <w:keepLines w:val="0"/>
        <w:widowControl w:val="0"/>
        <w:shd w:val="clear" w:color="auto" w:fill="auto"/>
        <w:bidi w:val="0"/>
        <w:spacing w:before="0" w:after="0" w:line="312" w:lineRule="exact"/>
        <w:ind w:left="0" w:right="0" w:firstLine="380"/>
        <w:jc w:val="both"/>
      </w:pPr>
      <w:bookmarkStart w:id="548" w:name="bookmark548"/>
      <w:r>
        <w:rPr>
          <w:color w:val="000000"/>
          <w:spacing w:val="0"/>
          <w:w w:val="100"/>
          <w:position w:val="0"/>
        </w:rPr>
        <w:t>（</w:t>
      </w:r>
      <w:bookmarkEnd w:id="548"/>
      <w:r>
        <w:rPr>
          <w:color w:val="000000"/>
          <w:spacing w:val="0"/>
          <w:w w:val="100"/>
          <w:position w:val="0"/>
        </w:rPr>
        <w:t>八）关于利益相关者</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公司在保持稳健发展、实现股东利益最大化的同时，积极关注所在地区环境保护、公益事业等问题，重视社会责任，充 分尊重和维护相关利益者的合法权利，加强与各方的沟通和合作，努力实现股东、社会、员工等各方利益的均衡，共同推动 公司持续、健康地发展。公司治理的实际情况与中国证监会有关上市公司治理的规范性文件要求基本符合，并能严格按照相 关规定履行义务。</w:t>
      </w:r>
    </w:p>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4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497" w:val="left"/>
        </w:tabs>
        <w:bidi w:val="0"/>
        <w:spacing w:before="0" w:after="26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sz w:val="24"/>
          <w:szCs w:val="24"/>
        </w:rPr>
        <w:t>二</w:t>
      </w:r>
      <w:bookmarkEnd w:id="551"/>
      <w:r>
        <w:rPr>
          <w:color w:val="000000"/>
          <w:spacing w:val="0"/>
          <w:w w:val="100"/>
          <w:position w:val="0"/>
          <w:sz w:val="24"/>
          <w:szCs w:val="24"/>
        </w:rPr>
        <w:t>、</w:t>
        <w:tab/>
        <w:t>公司相对于控股股东在业务、人员、资产、机构、财务等方面的独立情况</w:t>
      </w:r>
      <w:bookmarkEnd w:id="549"/>
      <w:bookmarkEnd w:id="550"/>
      <w:bookmarkEnd w:id="552"/>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公司一直按照《公司法》、《证券法》等法律法规和《公司章程》的要求规范运作，建立、健全了公司法人治理结构。 公司与控股股东、实际控制人在业务、人员、资产、机构、财务等方面完全分开，具有独立完整的业务及自主经营能力。公 司所有的生产经营或重大事项均根据《公司章程》及相关制度的规定由经理层、董事会、股东大会讨论确定，不存在受控于 控股股东、实际控制人的情形。</w:t>
      </w:r>
    </w:p>
    <w:p>
      <w:pPr>
        <w:pStyle w:val="Style29"/>
        <w:keepNext w:val="0"/>
        <w:keepLines w:val="0"/>
        <w:widowControl w:val="0"/>
        <w:shd w:val="clear" w:color="auto" w:fill="auto"/>
        <w:tabs>
          <w:tab w:pos="875" w:val="left"/>
        </w:tabs>
        <w:bidi w:val="0"/>
        <w:spacing w:before="0" w:after="0" w:line="313" w:lineRule="exact"/>
        <w:ind w:left="0" w:right="0" w:firstLine="380"/>
        <w:jc w:val="both"/>
      </w:pPr>
      <w:bookmarkStart w:id="553" w:name="bookmark553"/>
      <w:r>
        <w:rPr>
          <w:color w:val="000000"/>
          <w:spacing w:val="0"/>
          <w:w w:val="100"/>
          <w:position w:val="0"/>
        </w:rPr>
        <w:t>（</w:t>
      </w:r>
      <w:bookmarkEnd w:id="553"/>
      <w:r>
        <w:rPr>
          <w:color w:val="000000"/>
          <w:spacing w:val="0"/>
          <w:w w:val="100"/>
          <w:position w:val="0"/>
        </w:rPr>
        <w:t>一）</w:t>
        <w:tab/>
        <w:t>业务独立情况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报告期内，公司主要从事第三方支付、供应链管理、商业保理相关的业务，拥有独立完整的运营系统，拥有具体系统的 经营计划、财务核算、合规风控、法律、劳动人事等业务体系，具备独立的面向市场自主经营能力，均由公司自主决策、自 负盈亏，不存在对股东及其他机构依赖的情况。</w:t>
      </w:r>
    </w:p>
    <w:p>
      <w:pPr>
        <w:pStyle w:val="Style29"/>
        <w:keepNext w:val="0"/>
        <w:keepLines w:val="0"/>
        <w:widowControl w:val="0"/>
        <w:shd w:val="clear" w:color="auto" w:fill="auto"/>
        <w:tabs>
          <w:tab w:pos="875" w:val="left"/>
        </w:tabs>
        <w:bidi w:val="0"/>
        <w:spacing w:before="0" w:after="0" w:line="313" w:lineRule="exact"/>
        <w:ind w:left="0" w:right="0" w:firstLine="380"/>
        <w:jc w:val="both"/>
      </w:pPr>
      <w:bookmarkStart w:id="554" w:name="bookmark554"/>
      <w:r>
        <w:rPr>
          <w:color w:val="000000"/>
          <w:spacing w:val="0"/>
          <w:w w:val="100"/>
          <w:position w:val="0"/>
        </w:rPr>
        <w:t>（</w:t>
      </w:r>
      <w:bookmarkEnd w:id="554"/>
      <w:r>
        <w:rPr>
          <w:color w:val="000000"/>
          <w:spacing w:val="0"/>
          <w:w w:val="100"/>
          <w:position w:val="0"/>
        </w:rPr>
        <w:t>二）</w:t>
        <w:tab/>
        <w:t>人员独立情况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公司的董事、监事、高级管理人员的任职，均按照《公司法》及其他法律、法规、规范性文件、《公司章程》规定的程 序进行。公司总经理、副总经理、财务总监和董事会秘书等高级管理人员均在公司工作并领取薪酬，没有在控股股东、实际 控制人及其控制的其他企业中担任除董事、监事以外的任何职务及领取薪酬。公司的财务人员也不存在在控股股东、实际控 制人或其控制的其他企业中兼职的情况。公司建立独立的人事管理系统，与员工签订了劳动合同，建立独立的工资管理、福 利与社会保障体系。</w:t>
      </w:r>
    </w:p>
    <w:p>
      <w:pPr>
        <w:pStyle w:val="Style29"/>
        <w:keepNext w:val="0"/>
        <w:keepLines w:val="0"/>
        <w:widowControl w:val="0"/>
        <w:shd w:val="clear" w:color="auto" w:fill="auto"/>
        <w:tabs>
          <w:tab w:pos="875" w:val="left"/>
        </w:tabs>
        <w:bidi w:val="0"/>
        <w:spacing w:before="0" w:after="0" w:line="313" w:lineRule="exact"/>
        <w:ind w:left="0" w:right="0" w:firstLine="380"/>
        <w:jc w:val="both"/>
      </w:pPr>
      <w:bookmarkStart w:id="555" w:name="bookmark555"/>
      <w:r>
        <w:rPr>
          <w:color w:val="000000"/>
          <w:spacing w:val="0"/>
          <w:w w:val="100"/>
          <w:position w:val="0"/>
        </w:rPr>
        <w:t>（</w:t>
      </w:r>
      <w:bookmarkEnd w:id="555"/>
      <w:r>
        <w:rPr>
          <w:color w:val="000000"/>
          <w:spacing w:val="0"/>
          <w:w w:val="100"/>
          <w:position w:val="0"/>
        </w:rPr>
        <w:t>三）</w:t>
        <w:tab/>
        <w:t>资产独立情况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公司合法拥有与主营业务相关的商标、专利、非专利技术的所有权或者使用权。公司与股东之间的资产产权界定清晰， 生产经营场所独立，不存在依靠股东的生产经营场所进行生产经营的情况。公司不存在以资产、权益或信誉为股东的债务提 供担保的情况，公司对所有资产拥有完全的控制支配权，不存在资产、资金被股东占用而损害公司利益的情况。</w:t>
      </w:r>
    </w:p>
    <w:p>
      <w:pPr>
        <w:pStyle w:val="Style29"/>
        <w:keepNext w:val="0"/>
        <w:keepLines w:val="0"/>
        <w:widowControl w:val="0"/>
        <w:shd w:val="clear" w:color="auto" w:fill="auto"/>
        <w:tabs>
          <w:tab w:pos="875" w:val="left"/>
        </w:tabs>
        <w:bidi w:val="0"/>
        <w:spacing w:before="0" w:after="0" w:line="313" w:lineRule="exact"/>
        <w:ind w:left="0" w:right="0" w:firstLine="380"/>
        <w:jc w:val="both"/>
      </w:pPr>
      <w:bookmarkStart w:id="556" w:name="bookmark556"/>
      <w:r>
        <w:rPr>
          <w:color w:val="000000"/>
          <w:spacing w:val="0"/>
          <w:w w:val="100"/>
          <w:position w:val="0"/>
        </w:rPr>
        <w:t>（</w:t>
      </w:r>
      <w:bookmarkEnd w:id="556"/>
      <w:r>
        <w:rPr>
          <w:color w:val="000000"/>
          <w:spacing w:val="0"/>
          <w:w w:val="100"/>
          <w:position w:val="0"/>
        </w:rPr>
        <w:t>四）</w:t>
        <w:tab/>
        <w:t>机构独立情况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公司设立健全的组织体系，股东大会、董事会、监事会及各职能部门均独立运作，依法独立行使各自职权。公司经营和 办公机构完全独立，不存在与股东混合经营的情形。公司的机构设置均独立于控股股东，未发生控股股东及其关联企业干预 公司机构设置和生产经营活动的情况。</w:t>
      </w:r>
    </w:p>
    <w:p>
      <w:pPr>
        <w:pStyle w:val="Style29"/>
        <w:keepNext w:val="0"/>
        <w:keepLines w:val="0"/>
        <w:widowControl w:val="0"/>
        <w:shd w:val="clear" w:color="auto" w:fill="auto"/>
        <w:tabs>
          <w:tab w:pos="875" w:val="left"/>
        </w:tabs>
        <w:bidi w:val="0"/>
        <w:spacing w:before="0" w:after="0" w:line="313" w:lineRule="exact"/>
        <w:ind w:left="0" w:right="0" w:firstLine="380"/>
        <w:jc w:val="both"/>
      </w:pPr>
      <w:bookmarkStart w:id="557" w:name="bookmark557"/>
      <w:r>
        <w:rPr>
          <w:color w:val="000000"/>
          <w:spacing w:val="0"/>
          <w:w w:val="100"/>
          <w:position w:val="0"/>
        </w:rPr>
        <w:t>（</w:t>
      </w:r>
      <w:bookmarkEnd w:id="557"/>
      <w:r>
        <w:rPr>
          <w:color w:val="000000"/>
          <w:spacing w:val="0"/>
          <w:w w:val="100"/>
          <w:position w:val="0"/>
        </w:rPr>
        <w:t>五）</w:t>
        <w:tab/>
        <w:t>财务独立情况</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公司设有独立的财务会计部门和内部审计部门，并配备专职财务管理人员及内部审计人员。公司制定了独立于控股股东 的财务管理制度和内部审计管理制度，并建立了独立的会计核算体系。公司具有独立的银行账户并依法独立纳税。</w:t>
      </w:r>
    </w:p>
    <w:p>
      <w:pPr>
        <w:pStyle w:val="Style24"/>
        <w:keepNext/>
        <w:keepLines/>
        <w:widowControl w:val="0"/>
        <w:shd w:val="clear" w:color="auto" w:fill="auto"/>
        <w:tabs>
          <w:tab w:pos="497" w:val="left"/>
        </w:tabs>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三</w:t>
      </w:r>
      <w:bookmarkEnd w:id="560"/>
      <w:r>
        <w:rPr>
          <w:color w:val="000000"/>
          <w:spacing w:val="0"/>
          <w:w w:val="100"/>
          <w:position w:val="0"/>
          <w:sz w:val="24"/>
          <w:szCs w:val="24"/>
        </w:rPr>
        <w:t>、</w:t>
        <w:tab/>
        <w:t>同业竞争情况</w:t>
      </w:r>
      <w:bookmarkEnd w:id="558"/>
      <w:bookmarkEnd w:id="559"/>
      <w:bookmarkEnd w:id="56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、报告期内召开的年度股东大会和临时股东大会的有关情况</w:t>
      </w:r>
      <w:bookmarkEnd w:id="562"/>
      <w:bookmarkEnd w:id="563"/>
      <w:bookmarkEnd w:id="565"/>
    </w:p>
    <w:p>
      <w:pPr>
        <w:pStyle w:val="Style33"/>
        <w:keepNext/>
        <w:keepLines/>
        <w:widowControl w:val="0"/>
        <w:shd w:val="clear" w:color="auto" w:fill="auto"/>
        <w:bidi w:val="0"/>
        <w:spacing w:before="0" w:after="32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、本报告期股东大会情况</w:t>
      </w:r>
      <w:bookmarkEnd w:id="566"/>
      <w:bookmarkEnd w:id="567"/>
      <w:bookmarkEnd w:id="56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年度股东大 会决议公告》（巨潮 资讯网公告编号： </w:t>
            </w:r>
            <w:r>
              <w:rPr>
                <w:rFonts w:ascii="Times New Roman" w:eastAsia="Times New Roman" w:hAnsi="Times New Roman" w:cs="Times New Roman"/>
                <w:color w:val="000000"/>
                <w:spacing w:val="0"/>
                <w:w w:val="100"/>
                <w:position w:val="0"/>
              </w:rPr>
              <w:t>2020-048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时股东大会决议公 告》（巨潮资讯网公 告编号：</w:t>
            </w:r>
            <w:r>
              <w:rPr>
                <w:rFonts w:ascii="Times New Roman" w:eastAsia="Times New Roman" w:hAnsi="Times New Roman" w:cs="Times New Roman"/>
                <w:color w:val="000000"/>
                <w:spacing w:val="0"/>
                <w:w w:val="100"/>
                <w:position w:val="0"/>
              </w:rPr>
              <w:t>2020-069</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2020</w:t>
            </w:r>
            <w:r>
              <w:rPr>
                <w:color w:val="000000"/>
                <w:spacing w:val="0"/>
                <w:w w:val="100"/>
                <w:position w:val="0"/>
              </w:rPr>
              <w:t>年第二次临 时股东大会决议公 告》（巨潮资讯网公 告编号：</w:t>
            </w:r>
            <w:r>
              <w:rPr>
                <w:rFonts w:ascii="Times New Roman" w:eastAsia="Times New Roman" w:hAnsi="Times New Roman" w:cs="Times New Roman"/>
                <w:color w:val="000000"/>
                <w:spacing w:val="0"/>
                <w:w w:val="100"/>
                <w:position w:val="0"/>
              </w:rPr>
              <w:t>2020-090</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2020</w:t>
            </w:r>
            <w:r>
              <w:rPr>
                <w:color w:val="000000"/>
                <w:spacing w:val="0"/>
                <w:w w:val="100"/>
                <w:position w:val="0"/>
              </w:rPr>
              <w:t>年第三次临 时股东大会决议公 告》（巨潮资讯网公 告编号：</w:t>
            </w:r>
            <w:r>
              <w:rPr>
                <w:rFonts w:ascii="Times New Roman" w:eastAsia="Times New Roman" w:hAnsi="Times New Roman" w:cs="Times New Roman"/>
                <w:color w:val="000000"/>
                <w:spacing w:val="0"/>
                <w:w w:val="100"/>
                <w:position w:val="0"/>
              </w:rPr>
              <w:t>2020-103</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、表决权恢复的优先股股东请求召开临时股东大会</w:t>
      </w:r>
      <w:bookmarkEnd w:id="570"/>
      <w:bookmarkEnd w:id="571"/>
      <w:bookmarkEnd w:id="57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五</w:t>
      </w:r>
      <w:bookmarkEnd w:id="576"/>
      <w:r>
        <w:rPr>
          <w:color w:val="000000"/>
          <w:spacing w:val="0"/>
          <w:w w:val="100"/>
          <w:position w:val="0"/>
          <w:sz w:val="24"/>
          <w:szCs w:val="24"/>
        </w:rPr>
        <w:t>、报告期内独立董事履行职责的情况</w:t>
      </w:r>
      <w:bookmarkEnd w:id="574"/>
      <w:bookmarkEnd w:id="575"/>
      <w:bookmarkEnd w:id="577"/>
    </w:p>
    <w:p>
      <w:pPr>
        <w:pStyle w:val="Style33"/>
        <w:keepNext/>
        <w:keepLines/>
        <w:widowControl w:val="0"/>
        <w:shd w:val="clear" w:color="auto" w:fill="auto"/>
        <w:bidi w:val="0"/>
        <w:spacing w:before="0" w:after="32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、独立董事出席董事会及股东大会的情况</w:t>
      </w:r>
      <w:bookmarkEnd w:id="578"/>
      <w:bookmarkEnd w:id="579"/>
      <w:bookmarkEnd w:id="58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狄瑞鹏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柴晓丽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、独立董事对公司有关事项提出异议的情况</w:t>
      </w:r>
      <w:bookmarkEnd w:id="582"/>
      <w:bookmarkEnd w:id="583"/>
      <w:bookmarkEnd w:id="58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3" w:lineRule="exact"/>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、独立董事履行职责的其他说明</w:t>
      </w:r>
      <w:bookmarkEnd w:id="586"/>
      <w:bookmarkEnd w:id="587"/>
      <w:bookmarkEnd w:id="58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报告期内，公司独立董事积极出席公司召开的董事会和股东大会，定期听取公司经营情况汇报，了解公司的经营情况和财务 状况，对公司转型为金融科技相关业务的合规性提出建议，并对公司的关联交易、内部控制及审计、聘任高管等事项发表独 立意见；并通过电话和邮件，独立董事积极与公司其他董事、高管人员及相关工作人员保持密切联系，时刻关注国内外经济 形势和行业发展态势对公司经营状况的影响，关注传媒、网络有关公司的相关报道，及时获悉公司各重大事项的进展情况， 定期审阅公司提供的信息报告，及时了解掌握公司经营与发展情况，深入探讨公司经营发展中的机遇与挑战，及时提示风险。 本年度重点关注主营业务转型状况、重大对外投资、关联交易等重大经营活动，掌握公司的运行动态，在充分掌握实际情况 的基础上提出相关意见与建议，独立董事对董事会各项议案的审议表决、对重大事项发表独立意见提供了有力的支持。</w:t>
      </w:r>
    </w:p>
    <w:p>
      <w:pPr>
        <w:pStyle w:val="Style24"/>
        <w:keepNext/>
        <w:keepLines/>
        <w:widowControl w:val="0"/>
        <w:shd w:val="clear" w:color="auto" w:fill="auto"/>
        <w:tabs>
          <w:tab w:pos="584" w:val="left"/>
        </w:tabs>
        <w:bidi w:val="0"/>
        <w:spacing w:before="0" w:after="2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六</w:t>
      </w:r>
      <w:bookmarkEnd w:id="592"/>
      <w:r>
        <w:rPr>
          <w:color w:val="000000"/>
          <w:spacing w:val="0"/>
          <w:w w:val="100"/>
          <w:position w:val="0"/>
          <w:sz w:val="24"/>
          <w:szCs w:val="24"/>
        </w:rPr>
        <w:t>、</w:t>
        <w:tab/>
        <w:t>董事会下设专门委员会在报告期内履行职责情况</w:t>
      </w:r>
      <w:bookmarkEnd w:id="590"/>
      <w:bookmarkEnd w:id="591"/>
      <w:bookmarkEnd w:id="593"/>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公司董事会下设四个专门委员会，分别为战略委员会、审计委员会、提名委员会、薪酬与考核委员会。本年度各专门委 员会本着勤勉尽责的原则，根据《公司法》、《上市公司治理准则》等有关法律法规及《公司章程》、《公司董事会各专门 委员会工作细则》的有关规定开展相关工作，报告期内，各专门委员会履职情况如下：</w:t>
      </w:r>
    </w:p>
    <w:p>
      <w:pPr>
        <w:pStyle w:val="Style29"/>
        <w:keepNext w:val="0"/>
        <w:keepLines w:val="0"/>
        <w:widowControl w:val="0"/>
        <w:shd w:val="clear" w:color="auto" w:fill="auto"/>
        <w:tabs>
          <w:tab w:pos="714" w:val="left"/>
        </w:tabs>
        <w:bidi w:val="0"/>
        <w:spacing w:before="0" w:after="0" w:line="313" w:lineRule="exact"/>
        <w:ind w:left="0" w:right="0" w:firstLine="380"/>
        <w:jc w:val="both"/>
      </w:pPr>
      <w:bookmarkStart w:id="594" w:name="bookmark594"/>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战略委员会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报告期内，战略委员会根据有关规定积极开展工作，认真履行职责。报告期内，战略委员会对公司对外投资、新设公司、 关联交易等重大事项进行了深入分析探讨，对公司发展战略的实施提出了合理建议。</w:t>
      </w:r>
    </w:p>
    <w:p>
      <w:pPr>
        <w:pStyle w:val="Style29"/>
        <w:keepNext w:val="0"/>
        <w:keepLines w:val="0"/>
        <w:widowControl w:val="0"/>
        <w:shd w:val="clear" w:color="auto" w:fill="auto"/>
        <w:tabs>
          <w:tab w:pos="734" w:val="left"/>
        </w:tabs>
        <w:bidi w:val="0"/>
        <w:spacing w:before="0" w:after="0" w:line="313" w:lineRule="exact"/>
        <w:ind w:left="0" w:right="0" w:firstLine="380"/>
        <w:jc w:val="both"/>
      </w:pPr>
      <w:bookmarkStart w:id="595" w:name="bookmark595"/>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审计委员会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报告期内，审计委员会根据有关规定，积极履行职责。报告期内，审计委员会审议了公司审计部提交的各项包括定期及 不定期的内部审计报告，听取了审计部年度工作总结和工作计划安排，对审计部的工作开展给予了一定的指导。对公司年度 审计、外部审计机构的聘任等事项给予合理的建议，对财务报告、内部控制建设等情况进行审核。</w:t>
      </w:r>
    </w:p>
    <w:p>
      <w:pPr>
        <w:pStyle w:val="Style29"/>
        <w:keepNext w:val="0"/>
        <w:keepLines w:val="0"/>
        <w:widowControl w:val="0"/>
        <w:shd w:val="clear" w:color="auto" w:fill="auto"/>
        <w:tabs>
          <w:tab w:pos="734" w:val="left"/>
        </w:tabs>
        <w:bidi w:val="0"/>
        <w:spacing w:before="0" w:after="0" w:line="313" w:lineRule="exact"/>
        <w:ind w:left="0" w:right="0" w:firstLine="380"/>
        <w:jc w:val="both"/>
      </w:pPr>
      <w:bookmarkStart w:id="596" w:name="bookmark596"/>
      <w:r>
        <w:rPr>
          <w:rFonts w:ascii="Times New Roman" w:eastAsia="Times New Roman" w:hAnsi="Times New Roman" w:cs="Times New Roman"/>
          <w:color w:val="000000"/>
          <w:spacing w:val="0"/>
          <w:w w:val="100"/>
          <w:position w:val="0"/>
        </w:rPr>
        <w:t>3</w:t>
      </w:r>
      <w:bookmarkEnd w:id="596"/>
      <w:r>
        <w:rPr>
          <w:color w:val="000000"/>
          <w:spacing w:val="0"/>
          <w:w w:val="100"/>
          <w:position w:val="0"/>
        </w:rPr>
        <w:t>、</w:t>
        <w:tab/>
        <w:t>提名委员会</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报告期内，提名委员会按照《董事会提名委员会工作细则》履行职责。</w:t>
      </w:r>
    </w:p>
    <w:p>
      <w:pPr>
        <w:pStyle w:val="Style29"/>
        <w:keepNext w:val="0"/>
        <w:keepLines w:val="0"/>
        <w:widowControl w:val="0"/>
        <w:shd w:val="clear" w:color="auto" w:fill="auto"/>
        <w:tabs>
          <w:tab w:pos="734" w:val="left"/>
        </w:tabs>
        <w:bidi w:val="0"/>
        <w:spacing w:before="0" w:after="0" w:line="313" w:lineRule="exact"/>
        <w:ind w:left="0" w:right="0" w:firstLine="380"/>
        <w:jc w:val="left"/>
      </w:pPr>
      <w:bookmarkStart w:id="597" w:name="bookmark597"/>
      <w:r>
        <w:rPr>
          <w:rFonts w:ascii="Times New Roman" w:eastAsia="Times New Roman" w:hAnsi="Times New Roman" w:cs="Times New Roman"/>
          <w:color w:val="000000"/>
          <w:spacing w:val="0"/>
          <w:w w:val="100"/>
          <w:position w:val="0"/>
        </w:rPr>
        <w:t>4</w:t>
      </w:r>
      <w:bookmarkEnd w:id="597"/>
      <w:r>
        <w:rPr>
          <w:color w:val="000000"/>
          <w:spacing w:val="0"/>
          <w:w w:val="100"/>
          <w:position w:val="0"/>
        </w:rPr>
        <w:t>、</w:t>
        <w:tab/>
        <w:t>薪酬与考核委员会</w:t>
      </w:r>
    </w:p>
    <w:p>
      <w:pPr>
        <w:pStyle w:val="Style29"/>
        <w:keepNext w:val="0"/>
        <w:keepLines w:val="0"/>
        <w:widowControl w:val="0"/>
        <w:shd w:val="clear" w:color="auto" w:fill="auto"/>
        <w:bidi w:val="0"/>
        <w:spacing w:before="0" w:after="380" w:line="295" w:lineRule="exact"/>
        <w:ind w:left="0" w:right="0" w:firstLine="300"/>
        <w:jc w:val="both"/>
      </w:pPr>
      <w:r>
        <w:rPr>
          <w:color w:val="000000"/>
          <w:spacing w:val="0"/>
          <w:w w:val="100"/>
          <w:position w:val="0"/>
        </w:rPr>
        <w:t>报告期内，薪酬与考核委员会根据有关规定，积极履行职责。薪酬与考核委员会对公司董事、监事和高级管理人员的薪 酬审核后认为，公司逐步建立公正、公平、公开、有效的高级管理人员绩效评价标准和激励约束机制，公司高级管理人员实 行基本年薪与年终绩效考核相结合的薪酬制度。公司董事、监事和高级管理人员报告期内薪酬真实，符合公司绩效考核指标。</w:t>
      </w:r>
    </w:p>
    <w:p>
      <w:pPr>
        <w:pStyle w:val="Style24"/>
        <w:keepNext/>
        <w:keepLines/>
        <w:widowControl w:val="0"/>
        <w:shd w:val="clear" w:color="auto" w:fill="auto"/>
        <w:tabs>
          <w:tab w:pos="584"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七</w:t>
      </w:r>
      <w:bookmarkEnd w:id="600"/>
      <w:r>
        <w:rPr>
          <w:color w:val="000000"/>
          <w:spacing w:val="0"/>
          <w:w w:val="100"/>
          <w:position w:val="0"/>
          <w:sz w:val="24"/>
          <w:szCs w:val="24"/>
        </w:rPr>
        <w:t>、</w:t>
        <w:tab/>
        <w:t>监事会工作情况</w:t>
      </w:r>
      <w:bookmarkEnd w:id="598"/>
      <w:bookmarkEnd w:id="599"/>
      <w:bookmarkEnd w:id="601"/>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84"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八</w:t>
      </w:r>
      <w:bookmarkEnd w:id="604"/>
      <w:r>
        <w:rPr>
          <w:color w:val="000000"/>
          <w:spacing w:val="0"/>
          <w:w w:val="100"/>
          <w:position w:val="0"/>
          <w:sz w:val="24"/>
          <w:szCs w:val="24"/>
        </w:rPr>
        <w:t>、</w:t>
        <w:tab/>
        <w:t>高级管理人员的考评及激励情况</w:t>
      </w:r>
      <w:bookmarkEnd w:id="602"/>
      <w:bookmarkEnd w:id="603"/>
      <w:bookmarkEnd w:id="605"/>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高级管理人员实行年薪制，依据行业薪酬水平，经营效益、岗位职级等因素确定。年终对高级管理人员的履行职责情况和年</w:t>
        <w:br w:type="page"/>
      </w:r>
      <w:r>
        <w:rPr>
          <w:color w:val="000000"/>
          <w:spacing w:val="0"/>
          <w:w w:val="100"/>
          <w:position w:val="0"/>
        </w:rPr>
        <w:t>度实际业绩进行绩效考核，并根据考核情况核发年度绩效薪酬。</w:t>
      </w:r>
      <w:r>
        <w:rPr>
          <w:rFonts w:ascii="Times New Roman" w:eastAsia="Times New Roman" w:hAnsi="Times New Roman" w:cs="Times New Roman"/>
          <w:color w:val="000000"/>
          <w:spacing w:val="0"/>
          <w:w w:val="100"/>
          <w:position w:val="0"/>
        </w:rPr>
        <w:t>2020</w:t>
      </w:r>
      <w:r>
        <w:rPr>
          <w:color w:val="000000"/>
          <w:spacing w:val="0"/>
          <w:w w:val="100"/>
          <w:position w:val="0"/>
        </w:rPr>
        <w:t>年度高级管理人员的考核均为合格。</w:t>
      </w:r>
      <w:r>
        <w:rPr>
          <w:rFonts w:ascii="Times New Roman" w:eastAsia="Times New Roman" w:hAnsi="Times New Roman" w:cs="Times New Roman"/>
          <w:color w:val="000000"/>
          <w:spacing w:val="0"/>
          <w:w w:val="100"/>
          <w:position w:val="0"/>
        </w:rPr>
        <w:t>2020</w:t>
      </w:r>
      <w:r>
        <w:rPr>
          <w:color w:val="000000"/>
          <w:spacing w:val="0"/>
          <w:w w:val="100"/>
          <w:position w:val="0"/>
        </w:rPr>
        <w:t>年度公司未实 行股权激励的事项。</w:t>
      </w:r>
    </w:p>
    <w:p>
      <w:pPr>
        <w:pStyle w:val="Style24"/>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九</w:t>
      </w:r>
      <w:bookmarkEnd w:id="608"/>
      <w:r>
        <w:rPr>
          <w:color w:val="000000"/>
          <w:spacing w:val="0"/>
          <w:w w:val="100"/>
          <w:position w:val="0"/>
          <w:sz w:val="24"/>
          <w:szCs w:val="24"/>
        </w:rPr>
        <w:t>、内部控制评价报告</w:t>
      </w:r>
      <w:bookmarkEnd w:id="606"/>
      <w:bookmarkEnd w:id="607"/>
      <w:bookmarkEnd w:id="609"/>
    </w:p>
    <w:p>
      <w:pPr>
        <w:pStyle w:val="Style33"/>
        <w:keepNext/>
        <w:keepLines/>
        <w:widowControl w:val="0"/>
        <w:shd w:val="clear" w:color="auto" w:fill="auto"/>
        <w:bidi w:val="0"/>
        <w:spacing w:before="0" w:after="24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、报告期内发现的内部控制重大缺陷的具体情况</w:t>
      </w:r>
      <w:bookmarkEnd w:id="610"/>
      <w:bookmarkEnd w:id="611"/>
      <w:bookmarkEnd w:id="613"/>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、内控自我评价报告</w:t>
      </w:r>
      <w:bookmarkEnd w:id="614"/>
      <w:bookmarkEnd w:id="615"/>
      <w:bookmarkEnd w:id="61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7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定性标准，指涉及业务性质的严重程度， 根据其直接或潜在负面影响的性质、范围 等因素确定。公司在进行内部控制自我评 价时，对可能存在的内部控制缺陷定性标 准如下：</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财务报告重大缺陷的迹象包括：公司董事、 监事和高级管理人员的舞弊行为、公司更 正已公布的财务报告、注册会计师发现的 却未被公司内部控制识别的当期财务报告 中的重大错报、审计委员会和审计部对公 司的对外财务报告和财务报告内部控制监 督无效；</w:t>
            </w:r>
          </w:p>
          <w:p>
            <w:pPr>
              <w:pStyle w:val="Style22"/>
              <w:keepNext w:val="0"/>
              <w:keepLines w:val="0"/>
              <w:widowControl w:val="0"/>
              <w:shd w:val="clear" w:color="auto" w:fill="auto"/>
              <w:bidi w:val="0"/>
              <w:spacing w:before="0" w:after="80" w:line="312" w:lineRule="exact"/>
              <w:ind w:left="0" w:right="0" w:firstLine="0"/>
              <w:jc w:val="both"/>
            </w:pPr>
            <w:r>
              <w:rPr>
                <w:color w:val="000000"/>
                <w:spacing w:val="0"/>
                <w:w w:val="100"/>
                <w:position w:val="0"/>
              </w:rPr>
              <w:t>财务报告重要缺陷的迹象包括：未建立反 舞弊程序和控制措施、对于非常规或特殊 交易的账务处理没有建立相应的控制机制 或没有实施且没有相应的补偿性控制、对 于期末财务报告过程的控制存在一项或多 项缺陷且不能合理保证编制的财务报表达 到真实、准确的目标；</w:t>
            </w:r>
          </w:p>
          <w:p>
            <w:pPr>
              <w:pStyle w:val="Style22"/>
              <w:keepNext w:val="0"/>
              <w:keepLines w:val="0"/>
              <w:widowControl w:val="0"/>
              <w:shd w:val="clear" w:color="auto" w:fill="auto"/>
              <w:bidi w:val="0"/>
              <w:spacing w:before="0" w:after="60" w:line="312"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重大缺陷迹象：公司决策程序不科学导 致重大决策失败;违犯国家法律、法规； 重大偏离预算；制度缺失导致系统性失 效；前期重大缺陷或重要缺陷未得到整 改；管理人员和技术人员流失严重；媒 体负面新闻频现；其他对公司负面影响 重大的情形。</w:t>
            </w:r>
          </w:p>
          <w:p>
            <w:pPr>
              <w:pStyle w:val="Style2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重要缺陷迹象：公司决策程序不科学对 公司经营产生中度影响；违犯行业规 范，受到政府部门或监管机构处罚；部 分偏离预算；重要制度不完善，导致系 统性运行障碍；前期重要缺陷不能得到 整改；公司关键岗位业务人员流失严 重；媒体负面新闻对公司产生中度负面 影响；其他对公司负面影响重要的情 形。</w:t>
            </w:r>
          </w:p>
          <w:p>
            <w:pPr>
              <w:pStyle w:val="Style22"/>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一般缺陷迹象：除上述重大缺陷、重要 缺陷之外的其他控制缺陷。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重大缺陷：一个或者多个控制缺陷的组合</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根据可能造成直接财产损失的绝对金</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1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可能导致企业严重偏离控制目标的情形 </w:t>
            </w:r>
            <w:r>
              <w:rPr>
                <w:rFonts w:ascii="Times New Roman" w:eastAsia="Times New Roman" w:hAnsi="Times New Roman" w:cs="Times New Roman"/>
                <w:color w:val="000000"/>
                <w:spacing w:val="0"/>
                <w:w w:val="100"/>
                <w:position w:val="0"/>
              </w:rPr>
              <w:t>（</w:t>
            </w:r>
            <w:r>
              <w:rPr>
                <w:color w:val="000000"/>
                <w:spacing w:val="0"/>
                <w:w w:val="100"/>
                <w:position w:val="0"/>
              </w:rPr>
              <w:t>可能导致的错报金额</w:t>
            </w:r>
            <w:r>
              <w:rPr>
                <w:rFonts w:ascii="Times New Roman" w:eastAsia="Times New Roman" w:hAnsi="Times New Roman" w:cs="Times New Roman"/>
                <w:color w:val="000000"/>
                <w:spacing w:val="0"/>
                <w:w w:val="100"/>
                <w:position w:val="0"/>
              </w:rPr>
              <w:t>Z</w:t>
            </w:r>
            <w:r>
              <w:rPr>
                <w:color w:val="000000"/>
                <w:spacing w:val="0"/>
                <w:w w:val="100"/>
                <w:position w:val="0"/>
              </w:rPr>
              <w:t>整体重要性水平</w:t>
            </w:r>
            <w:r>
              <w:rPr>
                <w:rFonts w:ascii="Times New Roman" w:eastAsia="Times New Roman" w:hAnsi="Times New Roman" w:cs="Times New Roman"/>
                <w:color w:val="000000"/>
                <w:spacing w:val="0"/>
                <w:w w:val="100"/>
                <w:position w:val="0"/>
              </w:rPr>
              <w:t>））</w:t>
            </w:r>
            <w:r>
              <w:rPr>
                <w:color w:val="000000"/>
                <w:spacing w:val="0"/>
                <w:w w:val="100"/>
                <w:position w:val="0"/>
              </w:rPr>
              <w:t>； 具体指标为：资产总额潜在错报</w:t>
            </w:r>
            <w:r>
              <w:rPr>
                <w:rFonts w:ascii="Times New Roman" w:eastAsia="Times New Roman" w:hAnsi="Times New Roman" w:cs="Times New Roman"/>
                <w:color w:val="000000"/>
                <w:spacing w:val="0"/>
                <w:w w:val="100"/>
                <w:position w:val="0"/>
              </w:rPr>
              <w:t xml:space="preserve">＞1% </w:t>
            </w:r>
            <w:r>
              <w:rPr>
                <w:color w:val="000000"/>
                <w:spacing w:val="0"/>
                <w:w w:val="100"/>
                <w:position w:val="0"/>
              </w:rPr>
              <w:t>;净 资产潜在错报</w:t>
            </w:r>
            <w:r>
              <w:rPr>
                <w:rFonts w:ascii="Times New Roman" w:eastAsia="Times New Roman" w:hAnsi="Times New Roman" w:cs="Times New Roman"/>
                <w:color w:val="000000"/>
                <w:spacing w:val="0"/>
                <w:w w:val="100"/>
                <w:position w:val="0"/>
              </w:rPr>
              <w:t>＞1%</w:t>
            </w:r>
            <w:r>
              <w:rPr>
                <w:color w:val="000000"/>
                <w:spacing w:val="0"/>
                <w:w w:val="100"/>
                <w:position w:val="0"/>
              </w:rPr>
              <w:t xml:space="preserve">;营业收入潜在错报 </w:t>
            </w:r>
            <w:r>
              <w:rPr>
                <w:rFonts w:ascii="Times New Roman" w:eastAsia="Times New Roman" w:hAnsi="Times New Roman" w:cs="Times New Roman"/>
                <w:color w:val="000000"/>
                <w:spacing w:val="0"/>
                <w:w w:val="100"/>
                <w:position w:val="0"/>
              </w:rPr>
              <w:t>＞1%</w:t>
            </w:r>
            <w:r>
              <w:rPr>
                <w:color w:val="000000"/>
                <w:spacing w:val="0"/>
                <w:w w:val="100"/>
                <w:position w:val="0"/>
              </w:rPr>
              <w:t>；利润总额潜在错报</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2"/>
              <w:keepNext w:val="0"/>
              <w:keepLines w:val="0"/>
              <w:widowControl w:val="0"/>
              <w:shd w:val="clear" w:color="auto" w:fill="auto"/>
              <w:tabs>
                <w:tab w:pos="1498" w:val="left"/>
              </w:tabs>
              <w:bidi w:val="0"/>
              <w:spacing w:before="0" w:after="0" w:line="310" w:lineRule="exact"/>
              <w:ind w:left="0" w:right="0" w:firstLine="0"/>
              <w:jc w:val="left"/>
            </w:pPr>
            <w:r>
              <w:rPr>
                <w:color w:val="000000"/>
                <w:spacing w:val="0"/>
                <w:w w:val="100"/>
                <w:position w:val="0"/>
              </w:rPr>
              <w:t>重要缺陷：一个或者多个控制缺陷的组合</w:t>
            </w:r>
            <w:r>
              <w:rPr>
                <w:rFonts w:ascii="Times New Roman" w:eastAsia="Times New Roman" w:hAnsi="Times New Roman" w:cs="Times New Roman"/>
                <w:color w:val="000000"/>
                <w:spacing w:val="0"/>
                <w:w w:val="100"/>
                <w:position w:val="0"/>
              </w:rPr>
              <w:t xml:space="preserve">, </w:t>
            </w:r>
            <w:r>
              <w:rPr>
                <w:color w:val="000000"/>
                <w:spacing w:val="0"/>
                <w:w w:val="100"/>
                <w:position w:val="0"/>
              </w:rPr>
              <w:t>其严重程度和经济后果低于重大缺陷</w:t>
            </w:r>
            <w:r>
              <w:rPr>
                <w:color w:val="000000"/>
                <w:spacing w:val="0"/>
                <w:w w:val="100"/>
                <w:position w:val="0"/>
              </w:rPr>
              <w:t>，</w:t>
            </w:r>
            <w:r>
              <w:rPr>
                <w:color w:val="000000"/>
                <w:spacing w:val="0"/>
                <w:w w:val="100"/>
                <w:position w:val="0"/>
              </w:rPr>
              <w:t xml:space="preserve">但 仍有可能导致企业偏离控制目标的情形 </w:t>
            </w:r>
            <w:r>
              <w:rPr>
                <w:rFonts w:ascii="Times New Roman" w:eastAsia="Times New Roman" w:hAnsi="Times New Roman" w:cs="Times New Roman"/>
                <w:color w:val="000000"/>
                <w:spacing w:val="0"/>
                <w:w w:val="100"/>
                <w:position w:val="0"/>
              </w:rPr>
              <w:t>（</w:t>
            </w:r>
            <w:r>
              <w:rPr>
                <w:color w:val="000000"/>
                <w:spacing w:val="0"/>
                <w:w w:val="100"/>
                <w:position w:val="0"/>
              </w:rPr>
              <w:t>整体重要性水平</w:t>
            </w:r>
            <w:r>
              <w:rPr>
                <w:color w:val="000000"/>
                <w:spacing w:val="0"/>
                <w:w w:val="100"/>
                <w:position w:val="0"/>
              </w:rPr>
              <w:t>〉</w:t>
            </w:r>
            <w:r>
              <w:rPr>
                <w:color w:val="000000"/>
                <w:spacing w:val="0"/>
                <w:w w:val="100"/>
                <w:position w:val="0"/>
              </w:rPr>
              <w:t>可能导致的错报金额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实际执行的重要性水平</w:t>
            </w:r>
            <w:r>
              <w:rPr>
                <w:rFonts w:ascii="Times New Roman" w:eastAsia="Times New Roman" w:hAnsi="Times New Roman" w:cs="Times New Roman"/>
                <w:color w:val="000000"/>
                <w:spacing w:val="0"/>
                <w:w w:val="100"/>
                <w:position w:val="0"/>
              </w:rPr>
              <w:t>））</w:t>
            </w:r>
            <w:r>
              <w:rPr>
                <w:color w:val="000000"/>
                <w:spacing w:val="0"/>
                <w:w w:val="100"/>
                <w:position w:val="0"/>
              </w:rPr>
              <w:t xml:space="preserve">；具体指标为： </w:t>
            </w:r>
            <w:r>
              <w:rPr>
                <w:rFonts w:ascii="Times New Roman" w:eastAsia="Times New Roman" w:hAnsi="Times New Roman" w:cs="Times New Roman"/>
                <w:color w:val="000000"/>
                <w:spacing w:val="0"/>
                <w:w w:val="100"/>
                <w:position w:val="0"/>
              </w:rPr>
              <w:t>0.5%＜</w:t>
            </w:r>
            <w:r>
              <w:rPr>
                <w:color w:val="000000"/>
                <w:spacing w:val="0"/>
                <w:w w:val="100"/>
                <w:position w:val="0"/>
              </w:rPr>
              <w:t>资产总额潜在错报＜</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0.5%＜</w:t>
            </w:r>
            <w:r>
              <w:rPr>
                <w:color w:val="000000"/>
                <w:spacing w:val="0"/>
                <w:w w:val="100"/>
                <w:position w:val="0"/>
              </w:rPr>
              <w:t>净资 产潜在错报＜</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0.5%＜</w:t>
            </w:r>
            <w:r>
              <w:rPr>
                <w:color w:val="000000"/>
                <w:spacing w:val="0"/>
                <w:w w:val="100"/>
                <w:position w:val="0"/>
              </w:rPr>
              <w:t>营业收入潜在错</w:t>
            </w:r>
          </w:p>
          <w:p>
            <w:pPr>
              <w:pStyle w:val="Style22"/>
              <w:keepNext w:val="0"/>
              <w:keepLines w:val="0"/>
              <w:widowControl w:val="0"/>
              <w:shd w:val="clear" w:color="auto" w:fill="auto"/>
              <w:tabs>
                <w:tab w:pos="778" w:val="left"/>
              </w:tabs>
              <w:bidi w:val="0"/>
              <w:spacing w:before="0" w:after="80" w:line="310" w:lineRule="exact"/>
              <w:ind w:left="0" w:right="0" w:firstLine="0"/>
              <w:jc w:val="left"/>
            </w:pPr>
            <w:r>
              <w:rPr>
                <w:color w:val="000000"/>
                <w:spacing w:val="0"/>
                <w:w w:val="100"/>
                <w:position w:val="0"/>
              </w:rPr>
              <w:t>报＜</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利润总额潜在错报＜</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2"/>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一般缺陷：除重大缺陷、重要缺陷之外的 其他控制缺陷</w:t>
            </w:r>
            <w:r>
              <w:rPr>
                <w:rFonts w:ascii="Times New Roman" w:eastAsia="Times New Roman" w:hAnsi="Times New Roman" w:cs="Times New Roman"/>
                <w:color w:val="000000"/>
                <w:spacing w:val="0"/>
                <w:w w:val="100"/>
                <w:position w:val="0"/>
              </w:rPr>
              <w:t>（</w:t>
            </w:r>
            <w:r>
              <w:rPr>
                <w:color w:val="000000"/>
                <w:spacing w:val="0"/>
                <w:w w:val="100"/>
                <w:position w:val="0"/>
              </w:rPr>
              <w:t>可能导致的错报金额</w:t>
            </w:r>
            <w:r>
              <w:rPr>
                <w:color w:val="000000"/>
                <w:spacing w:val="0"/>
                <w:w w:val="100"/>
                <w:position w:val="0"/>
              </w:rPr>
              <w:t>〈</w:t>
            </w:r>
            <w:r>
              <w:rPr>
                <w:color w:val="000000"/>
                <w:spacing w:val="0"/>
                <w:w w:val="100"/>
                <w:position w:val="0"/>
              </w:rPr>
              <w:t>实际 执行的重要性水平</w:t>
            </w:r>
            <w:r>
              <w:rPr>
                <w:rFonts w:ascii="Times New Roman" w:eastAsia="Times New Roman" w:hAnsi="Times New Roman" w:cs="Times New Roman"/>
                <w:color w:val="000000"/>
                <w:spacing w:val="0"/>
                <w:w w:val="100"/>
                <w:position w:val="0"/>
              </w:rPr>
              <w:t>））</w:t>
            </w:r>
            <w:r>
              <w:rPr>
                <w:color w:val="000000"/>
                <w:spacing w:val="0"/>
                <w:w w:val="100"/>
                <w:position w:val="0"/>
              </w:rPr>
              <w:t>。具体指标为：资产 总额潜在错报＜</w:t>
            </w:r>
            <w:r>
              <w:rPr>
                <w:rFonts w:ascii="Times New Roman" w:eastAsia="Times New Roman" w:hAnsi="Times New Roman" w:cs="Times New Roman"/>
                <w:color w:val="000000"/>
                <w:spacing w:val="0"/>
                <w:w w:val="100"/>
                <w:position w:val="0"/>
              </w:rPr>
              <w:t>0.5%</w:t>
            </w:r>
            <w:r>
              <w:rPr>
                <w:color w:val="000000"/>
                <w:spacing w:val="0"/>
                <w:w w:val="100"/>
                <w:position w:val="0"/>
              </w:rPr>
              <w:t xml:space="preserve">；净资产潜在错报＜ </w:t>
            </w:r>
            <w:r>
              <w:rPr>
                <w:rFonts w:ascii="Times New Roman" w:eastAsia="Times New Roman" w:hAnsi="Times New Roman" w:cs="Times New Roman"/>
                <w:color w:val="000000"/>
                <w:spacing w:val="0"/>
                <w:w w:val="100"/>
                <w:position w:val="0"/>
              </w:rPr>
              <w:t>0.5%</w:t>
            </w:r>
            <w:r>
              <w:rPr>
                <w:color w:val="000000"/>
                <w:spacing w:val="0"/>
                <w:w w:val="100"/>
                <w:position w:val="0"/>
              </w:rPr>
              <w:t>；营业收入潜在错报＜</w:t>
            </w:r>
            <w:r>
              <w:rPr>
                <w:rFonts w:ascii="Times New Roman" w:eastAsia="Times New Roman" w:hAnsi="Times New Roman" w:cs="Times New Roman"/>
                <w:color w:val="000000"/>
                <w:spacing w:val="0"/>
                <w:w w:val="100"/>
                <w:position w:val="0"/>
              </w:rPr>
              <w:t>0.5%</w:t>
            </w:r>
            <w:r>
              <w:rPr>
                <w:color w:val="000000"/>
                <w:spacing w:val="0"/>
                <w:w w:val="100"/>
                <w:position w:val="0"/>
              </w:rPr>
              <w:t>；利润总 额潜在错报＜</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额或潜在负面影响等因素确定非财务 报告内部控制缺陷的定量评价标准如 下：</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重大缺陷：是指金额在</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以上，对公司定期报告披露造成负面影 响；</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重要缺陷：是指金额在</w:t>
            </w:r>
            <w:r>
              <w:rPr>
                <w:rFonts w:ascii="Times New Roman" w:eastAsia="Times New Roman" w:hAnsi="Times New Roman" w:cs="Times New Roman"/>
                <w:color w:val="000000"/>
                <w:spacing w:val="0"/>
                <w:w w:val="100"/>
                <w:position w:val="0"/>
              </w:rPr>
              <w:t>500</w:t>
            </w:r>
            <w:r>
              <w:rPr>
                <w:color w:val="000000"/>
                <w:spacing w:val="0"/>
                <w:w w:val="100"/>
                <w:position w:val="0"/>
              </w:rPr>
              <w:t>万</w:t>
            </w:r>
          </w:p>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）-1000</w:t>
            </w:r>
            <w:r>
              <w:rPr>
                <w:color w:val="000000"/>
                <w:spacing w:val="0"/>
                <w:w w:val="100"/>
                <w:position w:val="0"/>
              </w:rPr>
              <w:t>万元之间，对公司定期报 告披露造成负面影响；</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一般缺陷：是指金额在</w:t>
            </w:r>
            <w:r>
              <w:rPr>
                <w:rFonts w:ascii="Times New Roman" w:eastAsia="Times New Roman" w:hAnsi="Times New Roman" w:cs="Times New Roman"/>
                <w:color w:val="000000"/>
                <w:spacing w:val="0"/>
                <w:w w:val="100"/>
                <w:position w:val="0"/>
              </w:rPr>
              <w:t>500</w:t>
            </w:r>
            <w:r>
              <w:rPr>
                <w:color w:val="000000"/>
                <w:spacing w:val="0"/>
                <w:w w:val="100"/>
                <w:position w:val="0"/>
              </w:rPr>
              <w:t>万元以下 的，未对公司定期报告披露造成负面影 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r>
        <w:rPr>
          <w:color w:val="000000"/>
          <w:spacing w:val="0"/>
          <w:w w:val="100"/>
          <w:position w:val="0"/>
          <w:sz w:val="24"/>
          <w:szCs w:val="24"/>
        </w:rPr>
        <w:t>十、内部控制审计报告或鉴证报告</w:t>
      </w:r>
      <w:bookmarkEnd w:id="618"/>
      <w:bookmarkEnd w:id="619"/>
      <w:bookmarkEnd w:id="620"/>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我们认为，仁东控股公司于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巨潮资讯网《内部控制审计报告》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00" w:line="336" w:lineRule="exact"/>
        <w:ind w:left="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1"/>
        <w:keepNext/>
        <w:keepLines/>
        <w:widowControl w:val="0"/>
        <w:shd w:val="clear" w:color="auto" w:fill="auto"/>
        <w:bidi w:val="0"/>
        <w:spacing w:before="0" w:after="580" w:line="240" w:lineRule="auto"/>
        <w:ind w:left="0" w:right="0" w:firstLine="0"/>
        <w:jc w:val="center"/>
      </w:pPr>
      <w:bookmarkStart w:id="621" w:name="bookmark621"/>
      <w:bookmarkStart w:id="622" w:name="bookmark622"/>
      <w:bookmarkStart w:id="623" w:name="bookmark623"/>
      <w:r>
        <w:rPr>
          <w:color w:val="000000"/>
          <w:spacing w:val="0"/>
          <w:w w:val="100"/>
          <w:position w:val="0"/>
        </w:rPr>
        <w:t>第十一节公司债券相关情况</w:t>
      </w:r>
      <w:bookmarkEnd w:id="621"/>
      <w:bookmarkEnd w:id="622"/>
      <w:bookmarkEnd w:id="623"/>
    </w:p>
    <w:p>
      <w:pPr>
        <w:pStyle w:val="Style29"/>
        <w:keepNext w:val="0"/>
        <w:keepLines w:val="0"/>
        <w:widowControl w:val="0"/>
        <w:shd w:val="clear" w:color="auto" w:fill="auto"/>
        <w:bidi w:val="0"/>
        <w:spacing w:before="0" w:after="140" w:line="240" w:lineRule="auto"/>
        <w:ind w:left="0" w:right="0" w:firstLine="0"/>
        <w:jc w:val="left"/>
      </w:pPr>
      <w:bookmarkStart w:id="624" w:name="bookmark624"/>
      <w:r>
        <w:rPr>
          <w:color w:val="000000"/>
          <w:spacing w:val="0"/>
          <w:w w:val="100"/>
          <w:position w:val="0"/>
        </w:rPr>
        <w:t>公司是否存在公开发行并在证券交易所上市，且在年度报告批准报出日未到期或到期未能全额兑付的公司债券</w:t>
      </w:r>
      <w:bookmarkEnd w:id="624"/>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65" w:bottom="1469" w:left="1062"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20" w:after="560" w:line="240" w:lineRule="auto"/>
        <w:ind w:left="0" w:right="0" w:firstLine="0"/>
        <w:jc w:val="center"/>
      </w:pPr>
      <w:bookmarkStart w:id="625" w:name="bookmark625"/>
      <w:bookmarkStart w:id="626" w:name="bookmark626"/>
      <w:bookmarkStart w:id="627" w:name="bookmark627"/>
      <w:r>
        <w:rPr>
          <w:color w:val="000000"/>
          <w:spacing w:val="0"/>
          <w:w w:val="100"/>
          <w:position w:val="0"/>
        </w:rPr>
        <w:t>第十二节财务报告</w:t>
      </w:r>
      <w:bookmarkEnd w:id="625"/>
      <w:bookmarkEnd w:id="626"/>
      <w:bookmarkEnd w:id="627"/>
    </w:p>
    <w:p>
      <w:pPr>
        <w:pStyle w:val="Style24"/>
        <w:keepNext/>
        <w:keepLines/>
        <w:widowControl w:val="0"/>
        <w:shd w:val="clear" w:color="auto" w:fill="auto"/>
        <w:bidi w:val="0"/>
        <w:spacing w:before="0" w:after="320" w:line="240" w:lineRule="auto"/>
        <w:ind w:left="0" w:right="0" w:firstLine="0"/>
        <w:jc w:val="left"/>
      </w:pPr>
      <w:bookmarkStart w:id="628" w:name="bookmark628"/>
      <w:bookmarkStart w:id="629" w:name="bookmark629"/>
      <w:bookmarkStart w:id="630" w:name="bookmark630"/>
      <w:bookmarkStart w:id="631" w:name="bookmark631"/>
      <w:bookmarkStart w:id="632" w:name="bookmark632"/>
      <w:r>
        <w:rPr>
          <w:color w:val="000000"/>
          <w:spacing w:val="0"/>
          <w:w w:val="100"/>
          <w:position w:val="0"/>
          <w:sz w:val="24"/>
          <w:szCs w:val="24"/>
        </w:rPr>
        <w:t>一</w:t>
      </w:r>
      <w:bookmarkEnd w:id="631"/>
      <w:r>
        <w:rPr>
          <w:color w:val="000000"/>
          <w:spacing w:val="0"/>
          <w:w w:val="100"/>
          <w:position w:val="0"/>
          <w:sz w:val="24"/>
          <w:szCs w:val="24"/>
        </w:rPr>
        <w:t>、审计报告</w:t>
      </w:r>
      <w:bookmarkEnd w:id="629"/>
      <w:bookmarkEnd w:id="630"/>
      <w:bookmarkEnd w:id="632"/>
      <w:bookmarkEnd w:id="62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105018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齐正华、孟晓光</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仁东控股股份有限公司全体股东：</w:t>
      </w:r>
    </w:p>
    <w:p>
      <w:pPr>
        <w:pStyle w:val="Style29"/>
        <w:keepNext w:val="0"/>
        <w:keepLines w:val="0"/>
        <w:widowControl w:val="0"/>
        <w:shd w:val="clear" w:color="auto" w:fill="auto"/>
        <w:tabs>
          <w:tab w:pos="815" w:val="left"/>
        </w:tabs>
        <w:bidi w:val="0"/>
        <w:spacing w:before="0" w:after="0" w:line="314" w:lineRule="exact"/>
        <w:ind w:left="0" w:right="0" w:firstLine="380"/>
        <w:jc w:val="left"/>
      </w:pPr>
      <w:bookmarkStart w:id="633" w:name="bookmark633"/>
      <w:r>
        <w:rPr>
          <w:b/>
          <w:bCs/>
          <w:color w:val="000000"/>
          <w:spacing w:val="0"/>
          <w:w w:val="100"/>
          <w:position w:val="0"/>
        </w:rPr>
        <w:t>一</w:t>
      </w:r>
      <w:bookmarkEnd w:id="633"/>
      <w:r>
        <w:rPr>
          <w:b/>
          <w:bCs/>
          <w:color w:val="000000"/>
          <w:spacing w:val="0"/>
          <w:w w:val="100"/>
          <w:position w:val="0"/>
        </w:rPr>
        <w:t>、</w:t>
        <w:tab/>
        <w:t>审计意见</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我们审计了仁东控股股份有限公司（以下简称仁东控股公司）财务报表，包括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 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年度的合并及公司利润表、合并及公司现金流量表、合并及公司股东权益变动表以及财务报表附注。</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我们认为，后附的财务报表在所有重大方面按照企业会计准则的规定编制，公允反映了仁东控股公司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29"/>
        <w:keepNext w:val="0"/>
        <w:keepLines w:val="0"/>
        <w:widowControl w:val="0"/>
        <w:shd w:val="clear" w:color="auto" w:fill="auto"/>
        <w:tabs>
          <w:tab w:pos="815" w:val="left"/>
        </w:tabs>
        <w:bidi w:val="0"/>
        <w:spacing w:before="0" w:after="0" w:line="314" w:lineRule="exact"/>
        <w:ind w:left="0" w:right="0" w:firstLine="380"/>
        <w:jc w:val="both"/>
      </w:pPr>
      <w:bookmarkStart w:id="634" w:name="bookmark634"/>
      <w:r>
        <w:rPr>
          <w:b/>
          <w:bCs/>
          <w:color w:val="000000"/>
          <w:spacing w:val="0"/>
          <w:w w:val="100"/>
          <w:position w:val="0"/>
        </w:rPr>
        <w:t>二</w:t>
      </w:r>
      <w:bookmarkEnd w:id="634"/>
      <w:r>
        <w:rPr>
          <w:b/>
          <w:bCs/>
          <w:color w:val="000000"/>
          <w:spacing w:val="0"/>
          <w:w w:val="100"/>
          <w:position w:val="0"/>
        </w:rPr>
        <w:t>、</w:t>
        <w:tab/>
        <w:t>形成审计意见的基础</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阐述了我们在这些准则下的责任。按照中国注册会计师职业道德守则，我们独立于仁东控股公司，并履行了职业道德方面的 其他责任。我们相信，我们获取的审计证据是充分、适当的，为发表审计意见提供了基础。</w:t>
      </w:r>
    </w:p>
    <w:p>
      <w:pPr>
        <w:pStyle w:val="Style29"/>
        <w:keepNext w:val="0"/>
        <w:keepLines w:val="0"/>
        <w:widowControl w:val="0"/>
        <w:shd w:val="clear" w:color="auto" w:fill="auto"/>
        <w:tabs>
          <w:tab w:pos="820" w:val="left"/>
        </w:tabs>
        <w:bidi w:val="0"/>
        <w:spacing w:before="0" w:after="0" w:line="314" w:lineRule="exact"/>
        <w:ind w:left="0" w:right="0" w:firstLine="380"/>
        <w:jc w:val="both"/>
      </w:pPr>
      <w:bookmarkStart w:id="635" w:name="bookmark635"/>
      <w:r>
        <w:rPr>
          <w:b/>
          <w:bCs/>
          <w:color w:val="000000"/>
          <w:spacing w:val="0"/>
          <w:w w:val="100"/>
          <w:position w:val="0"/>
        </w:rPr>
        <w:t>三</w:t>
      </w:r>
      <w:bookmarkEnd w:id="635"/>
      <w:r>
        <w:rPr>
          <w:b/>
          <w:bCs/>
          <w:color w:val="000000"/>
          <w:spacing w:val="0"/>
          <w:w w:val="100"/>
          <w:position w:val="0"/>
        </w:rPr>
        <w:t>、</w:t>
        <w:tab/>
        <w:t>关键审计事项</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9"/>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收入的确认</w:t>
      </w:r>
    </w:p>
    <w:p>
      <w:pPr>
        <w:pStyle w:val="Style29"/>
        <w:keepNext w:val="0"/>
        <w:keepLines w:val="0"/>
        <w:widowControl w:val="0"/>
        <w:numPr>
          <w:ilvl w:val="0"/>
          <w:numId w:val="7"/>
        </w:numPr>
        <w:shd w:val="clear" w:color="auto" w:fill="auto"/>
        <w:tabs>
          <w:tab w:pos="681" w:val="left"/>
        </w:tabs>
        <w:bidi w:val="0"/>
        <w:spacing w:before="0" w:after="0"/>
        <w:ind w:left="0" w:right="0" w:firstLine="380"/>
        <w:jc w:val="both"/>
      </w:pPr>
      <w:bookmarkStart w:id="636" w:name="bookmark636"/>
      <w:bookmarkEnd w:id="636"/>
      <w:r>
        <w:rPr>
          <w:color w:val="000000"/>
          <w:spacing w:val="0"/>
          <w:w w:val="100"/>
          <w:position w:val="0"/>
        </w:rPr>
        <w:t>事项描述</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关于收入详见财务报表附注</w:t>
      </w:r>
      <w:r>
        <w:rPr>
          <w:rFonts w:ascii="Times New Roman" w:eastAsia="Times New Roman" w:hAnsi="Times New Roman" w:cs="Times New Roman"/>
          <w:color w:val="000000"/>
          <w:spacing w:val="0"/>
          <w:w w:val="100"/>
          <w:position w:val="0"/>
        </w:rPr>
        <w:t>“</w:t>
      </w:r>
      <w:r>
        <w:rPr>
          <w:color w:val="000000"/>
          <w:spacing w:val="0"/>
          <w:w w:val="100"/>
          <w:position w:val="0"/>
        </w:rPr>
        <w:t>三、公司重要会计政策和会计估计</w:t>
      </w:r>
      <w:r>
        <w:rPr>
          <w:rFonts w:ascii="Times New Roman" w:eastAsia="Times New Roman" w:hAnsi="Times New Roman" w:cs="Times New Roman"/>
          <w:color w:val="000000"/>
          <w:spacing w:val="0"/>
          <w:w w:val="100"/>
          <w:position w:val="0"/>
        </w:rPr>
        <w:t>”23</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五、合并财务报表项目注释</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仁东控股公司及其子公司主要从事供应链、保理、第三方支付、小贷、租赁业务。</w:t>
      </w:r>
      <w:r>
        <w:rPr>
          <w:rFonts w:ascii="Times New Roman" w:eastAsia="Times New Roman" w:hAnsi="Times New Roman" w:cs="Times New Roman"/>
          <w:color w:val="000000"/>
          <w:spacing w:val="0"/>
          <w:w w:val="100"/>
          <w:position w:val="0"/>
        </w:rPr>
        <w:t>2020</w:t>
      </w:r>
      <w:r>
        <w:rPr>
          <w:color w:val="000000"/>
          <w:spacing w:val="0"/>
          <w:w w:val="100"/>
          <w:position w:val="0"/>
        </w:rPr>
        <w:t>年度，仁东控股公司营业收入为 人民币</w:t>
      </w:r>
      <w:r>
        <w:rPr>
          <w:rFonts w:ascii="Times New Roman" w:eastAsia="Times New Roman" w:hAnsi="Times New Roman" w:cs="Times New Roman"/>
          <w:color w:val="000000"/>
          <w:spacing w:val="0"/>
          <w:w w:val="100"/>
          <w:position w:val="0"/>
        </w:rPr>
        <w:t>213,028.56</w:t>
      </w:r>
      <w:r>
        <w:rPr>
          <w:color w:val="000000"/>
          <w:spacing w:val="0"/>
          <w:w w:val="100"/>
          <w:position w:val="0"/>
        </w:rPr>
        <w:t>万元，较上年增长</w:t>
      </w:r>
      <w:r>
        <w:rPr>
          <w:rFonts w:ascii="Times New Roman" w:eastAsia="Times New Roman" w:hAnsi="Times New Roman" w:cs="Times New Roman"/>
          <w:color w:val="000000"/>
          <w:spacing w:val="0"/>
          <w:w w:val="100"/>
          <w:position w:val="0"/>
        </w:rPr>
        <w:t>16.36%</w:t>
      </w:r>
      <w:r>
        <w:rPr>
          <w:color w:val="000000"/>
          <w:spacing w:val="0"/>
          <w:w w:val="100"/>
          <w:position w:val="0"/>
        </w:rPr>
        <w:t>，主要为国内销售产生的收入。</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由于收入是仁东控股公司的关键业绩指标之一，从而存在管理层为了达到特定目标或期望而操纵收入确认时点的固有风 险，我们将仁东控股公司收入确认识别为关键审计事项。</w:t>
      </w:r>
    </w:p>
    <w:p>
      <w:pPr>
        <w:pStyle w:val="Style29"/>
        <w:keepNext w:val="0"/>
        <w:keepLines w:val="0"/>
        <w:widowControl w:val="0"/>
        <w:numPr>
          <w:ilvl w:val="0"/>
          <w:numId w:val="7"/>
        </w:numPr>
        <w:shd w:val="clear" w:color="auto" w:fill="auto"/>
        <w:tabs>
          <w:tab w:pos="700" w:val="left"/>
        </w:tabs>
        <w:bidi w:val="0"/>
        <w:spacing w:before="0" w:after="0"/>
        <w:ind w:left="0" w:right="0" w:firstLine="380"/>
        <w:jc w:val="both"/>
      </w:pPr>
      <w:bookmarkStart w:id="637" w:name="bookmark637"/>
      <w:bookmarkEnd w:id="637"/>
      <w:r>
        <w:rPr>
          <w:color w:val="000000"/>
          <w:spacing w:val="0"/>
          <w:w w:val="100"/>
          <w:position w:val="0"/>
        </w:rPr>
        <w:t>审计应对</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我们执行的与收入确认相关的审计程序主要包括：</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1</w:t>
      </w:r>
      <w:r>
        <w:rPr>
          <w:color w:val="000000"/>
          <w:spacing w:val="0"/>
          <w:w w:val="100"/>
          <w:position w:val="0"/>
        </w:rPr>
        <w:t>）</w:t>
        <w:tab/>
        <w:t>了解、评价和测试管理层与收入确认相关的关键内部控制的设计和运行有效性；</w:t>
      </w:r>
    </w:p>
    <w:p>
      <w:pPr>
        <w:pStyle w:val="Style29"/>
        <w:keepNext w:val="0"/>
        <w:keepLines w:val="0"/>
        <w:widowControl w:val="0"/>
        <w:shd w:val="clear" w:color="auto" w:fill="auto"/>
        <w:tabs>
          <w:tab w:pos="901" w:val="left"/>
        </w:tabs>
        <w:bidi w:val="0"/>
        <w:spacing w:before="0" w:after="0" w:line="314" w:lineRule="exact"/>
        <w:ind w:left="0" w:right="0" w:firstLine="38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选取样本检查销售合同，识别与商品所有权上的控制权转移相关的合同条款与条件，评价仁东控股公司的收入确 认时点是否符合企业会计准则的要求；</w:t>
      </w:r>
    </w:p>
    <w:p>
      <w:pPr>
        <w:pStyle w:val="Style29"/>
        <w:keepNext w:val="0"/>
        <w:keepLines w:val="0"/>
        <w:widowControl w:val="0"/>
        <w:shd w:val="clear" w:color="auto" w:fill="auto"/>
        <w:tabs>
          <w:tab w:pos="896" w:val="left"/>
        </w:tabs>
        <w:bidi w:val="0"/>
        <w:spacing w:before="0" w:after="0" w:line="314" w:lineRule="exact"/>
        <w:ind w:left="0" w:right="0" w:firstLine="38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3</w:t>
      </w:r>
      <w:r>
        <w:rPr>
          <w:color w:val="000000"/>
          <w:spacing w:val="0"/>
          <w:w w:val="100"/>
          <w:position w:val="0"/>
        </w:rPr>
        <w:t>）</w:t>
        <w:tab/>
        <w:t>对本年记录的收入交易选取样本，核对发票、业务合同及客户验收回单和银行回单等资料，评价相关收入确认是 否符合仁东控股公司收入确认的会计政策；</w:t>
      </w:r>
    </w:p>
    <w:p>
      <w:pPr>
        <w:pStyle w:val="Style29"/>
        <w:keepNext w:val="0"/>
        <w:keepLines w:val="0"/>
        <w:widowControl w:val="0"/>
        <w:shd w:val="clear" w:color="auto" w:fill="auto"/>
        <w:tabs>
          <w:tab w:pos="901" w:val="left"/>
        </w:tabs>
        <w:bidi w:val="0"/>
        <w:spacing w:before="0" w:after="0" w:line="314" w:lineRule="exact"/>
        <w:ind w:left="0" w:right="0" w:firstLine="38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rPr>
        <w:t>4</w:t>
      </w:r>
      <w:r>
        <w:rPr>
          <w:color w:val="000000"/>
          <w:spacing w:val="0"/>
          <w:w w:val="100"/>
          <w:position w:val="0"/>
        </w:rPr>
        <w:t>）</w:t>
        <w:tab/>
        <w:t>向重要客户实施函证程序，询证本期收入及往来款项余额，确认收入的真实性、完整性；执行分析性复核程序， 分析本期营业收入规模增长及毛利率变动的合理性；</w:t>
      </w:r>
    </w:p>
    <w:p>
      <w:pPr>
        <w:pStyle w:val="Style29"/>
        <w:keepNext w:val="0"/>
        <w:keepLines w:val="0"/>
        <w:widowControl w:val="0"/>
        <w:shd w:val="clear" w:color="auto" w:fill="auto"/>
        <w:tabs>
          <w:tab w:pos="445" w:val="left"/>
        </w:tabs>
        <w:bidi w:val="0"/>
        <w:spacing w:before="0" w:after="0" w:line="314" w:lineRule="exact"/>
        <w:ind w:left="0" w:right="0" w:firstLine="38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rPr>
        <w:t>5</w:t>
      </w:r>
      <w:r>
        <w:rPr>
          <w:color w:val="000000"/>
          <w:spacing w:val="0"/>
          <w:w w:val="100"/>
          <w:position w:val="0"/>
        </w:rPr>
        <w:t>）</w:t>
        <w:tab/>
        <w:t xml:space="preserve">对于第三方支付业务，我们利用本所信息系统审计师的工作，评价与业务系统运行相关的关键信息技术内部控制 </w:t>
      </w:r>
      <w:r>
        <w:rPr>
          <w:color w:val="000000"/>
          <w:spacing w:val="0"/>
          <w:w w:val="100"/>
          <w:position w:val="0"/>
        </w:rPr>
        <w:t>的设计和运行有效性，以审核其是否有效，抽取交易样本，取得交易明细，按照合同费率测算与系统得出的结果是否一致；</w:t>
      </w:r>
    </w:p>
    <w:p>
      <w:pPr>
        <w:pStyle w:val="Style29"/>
        <w:keepNext w:val="0"/>
        <w:keepLines w:val="0"/>
        <w:widowControl w:val="0"/>
        <w:shd w:val="clear" w:color="auto" w:fill="auto"/>
        <w:bidi w:val="0"/>
        <w:spacing w:before="0" w:after="0" w:line="326" w:lineRule="exact"/>
        <w:ind w:left="0" w:right="0" w:firstLine="38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rPr>
        <w:t>6</w:t>
      </w:r>
      <w:r>
        <w:rPr>
          <w:color w:val="000000"/>
          <w:spacing w:val="0"/>
          <w:w w:val="100"/>
          <w:position w:val="0"/>
        </w:rPr>
        <w:t>）就资产负债表日前后记录的收入交易，选取样本，核对原始单据及其他支持性文件，以评价收入是否被记录于恰 当的会计期间。</w:t>
      </w:r>
    </w:p>
    <w:p>
      <w:pPr>
        <w:pStyle w:val="Style29"/>
        <w:keepNext w:val="0"/>
        <w:keepLines w:val="0"/>
        <w:widowControl w:val="0"/>
        <w:shd w:val="clear" w:color="auto" w:fill="auto"/>
        <w:bidi w:val="0"/>
        <w:spacing w:before="0" w:line="315" w:lineRule="exact"/>
        <w:ind w:left="0" w:right="0" w:firstLine="380"/>
        <w:jc w:val="both"/>
      </w:pPr>
      <w:r>
        <w:rPr>
          <w:color w:val="000000"/>
          <w:spacing w:val="0"/>
          <w:w w:val="100"/>
          <w:position w:val="0"/>
        </w:rPr>
        <w:t>（二）商誉减值</w:t>
      </w:r>
    </w:p>
    <w:p>
      <w:pPr>
        <w:pStyle w:val="Style29"/>
        <w:keepNext w:val="0"/>
        <w:keepLines w:val="0"/>
        <w:widowControl w:val="0"/>
        <w:numPr>
          <w:ilvl w:val="0"/>
          <w:numId w:val="9"/>
        </w:numPr>
        <w:shd w:val="clear" w:color="auto" w:fill="auto"/>
        <w:tabs>
          <w:tab w:pos="668" w:val="left"/>
        </w:tabs>
        <w:bidi w:val="0"/>
        <w:spacing w:before="0" w:after="0"/>
        <w:ind w:left="0" w:right="0" w:firstLine="380"/>
        <w:jc w:val="both"/>
      </w:pPr>
      <w:bookmarkStart w:id="644" w:name="bookmark644"/>
      <w:bookmarkEnd w:id="644"/>
      <w:r>
        <w:rPr>
          <w:color w:val="000000"/>
          <w:spacing w:val="0"/>
          <w:w w:val="100"/>
          <w:position w:val="0"/>
        </w:rPr>
        <w:t>事项描述</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相关信息披露详见财务报表</w:t>
      </w:r>
      <w:r>
        <w:rPr>
          <w:rFonts w:ascii="Times New Roman" w:eastAsia="Times New Roman" w:hAnsi="Times New Roman" w:cs="Times New Roman"/>
          <w:color w:val="000000"/>
          <w:spacing w:val="0"/>
          <w:w w:val="100"/>
          <w:position w:val="0"/>
        </w:rPr>
        <w:t>“</w:t>
      </w:r>
      <w:r>
        <w:rPr>
          <w:color w:val="000000"/>
          <w:spacing w:val="0"/>
          <w:w w:val="100"/>
          <w:position w:val="0"/>
        </w:rPr>
        <w:t>附注三、</w:t>
      </w:r>
      <w:r>
        <w:rPr>
          <w:rFonts w:ascii="Times New Roman" w:eastAsia="Times New Roman" w:hAnsi="Times New Roman" w:cs="Times New Roman"/>
          <w:color w:val="000000"/>
          <w:spacing w:val="0"/>
          <w:w w:val="100"/>
          <w:position w:val="0"/>
        </w:rPr>
        <w:t>21</w:t>
      </w:r>
      <w:r>
        <w:rPr>
          <w:color w:val="000000"/>
          <w:spacing w:val="0"/>
          <w:w w:val="100"/>
          <w:position w:val="0"/>
        </w:rPr>
        <w:t>、附注五、</w:t>
      </w:r>
      <w:r>
        <w:rPr>
          <w:rFonts w:ascii="Times New Roman" w:eastAsia="Times New Roman" w:hAnsi="Times New Roman" w:cs="Times New Roman"/>
          <w:color w:val="000000"/>
          <w:spacing w:val="0"/>
          <w:w w:val="100"/>
          <w:position w:val="0"/>
        </w:rPr>
        <w:t>13”</w:t>
      </w:r>
    </w:p>
    <w:p>
      <w:pPr>
        <w:pStyle w:val="Style29"/>
        <w:keepNext w:val="0"/>
        <w:keepLines w:val="0"/>
        <w:widowControl w:val="0"/>
        <w:shd w:val="clear" w:color="auto" w:fill="auto"/>
        <w:bidi w:val="0"/>
        <w:spacing w:before="0" w:line="315"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日，仁东控股公司的合并财务报表商誉账面价值为人民币</w:t>
      </w:r>
      <w:r>
        <w:rPr>
          <w:rFonts w:ascii="Times New Roman" w:eastAsia="Times New Roman" w:hAnsi="Times New Roman" w:cs="Times New Roman"/>
          <w:color w:val="000000"/>
          <w:spacing w:val="0"/>
          <w:w w:val="100"/>
          <w:position w:val="0"/>
        </w:rPr>
        <w:t>8.94</w:t>
      </w:r>
      <w:r>
        <w:rPr>
          <w:color w:val="000000"/>
          <w:spacing w:val="0"/>
          <w:w w:val="100"/>
          <w:position w:val="0"/>
        </w:rPr>
        <w:t>亿元，其中本报告期计提的商誉减值准 备为人民币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w:t>
      </w:r>
      <w:r>
        <w:rPr>
          <w:color w:val="000000"/>
          <w:spacing w:val="0"/>
          <w:w w:val="100"/>
          <w:position w:val="0"/>
        </w:rPr>
        <w:t>亿元。管理层在每年年度终了对商誉进行减值测试，并依据减值测试的结果调整商誉的账面价值。商誉减值 测试的结果很大程度上依赖于管理层所做的估计和采用的假设（例如对资产组预计未来可产生现金流量和折现率的估计）， 该等估计受管理层对未来市场以及对经济环境判断的影响，采用不同的估计和假设会对评估商誉的可收回价值产生很大影 响。因此，我们将商誉的减值测算作为关键审计事项。</w:t>
      </w:r>
    </w:p>
    <w:p>
      <w:pPr>
        <w:pStyle w:val="Style29"/>
        <w:keepNext w:val="0"/>
        <w:keepLines w:val="0"/>
        <w:widowControl w:val="0"/>
        <w:numPr>
          <w:ilvl w:val="0"/>
          <w:numId w:val="9"/>
        </w:numPr>
        <w:shd w:val="clear" w:color="auto" w:fill="auto"/>
        <w:tabs>
          <w:tab w:pos="687" w:val="left"/>
        </w:tabs>
        <w:bidi w:val="0"/>
        <w:spacing w:before="0" w:after="0"/>
        <w:ind w:left="0" w:right="0" w:firstLine="380"/>
        <w:jc w:val="both"/>
      </w:pPr>
      <w:bookmarkStart w:id="645" w:name="bookmark645"/>
      <w:bookmarkEnd w:id="645"/>
      <w:r>
        <w:rPr>
          <w:color w:val="000000"/>
          <w:spacing w:val="0"/>
          <w:w w:val="100"/>
          <w:position w:val="0"/>
        </w:rPr>
        <w:t>审计应对</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针对上述关键审计事项，我们执行了以下主要审计程序：</w:t>
      </w:r>
    </w:p>
    <w:p>
      <w:pPr>
        <w:pStyle w:val="Style29"/>
        <w:keepNext w:val="0"/>
        <w:keepLines w:val="0"/>
        <w:widowControl w:val="0"/>
        <w:shd w:val="clear" w:color="auto" w:fill="auto"/>
        <w:tabs>
          <w:tab w:pos="812" w:val="left"/>
        </w:tabs>
        <w:bidi w:val="0"/>
        <w:spacing w:before="0" w:after="0" w:line="315" w:lineRule="exact"/>
        <w:ind w:left="0" w:right="0" w:firstLine="38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1</w:t>
      </w:r>
      <w:r>
        <w:rPr>
          <w:color w:val="000000"/>
          <w:spacing w:val="0"/>
          <w:w w:val="100"/>
          <w:position w:val="0"/>
        </w:rPr>
        <w:t>）</w:t>
        <w:tab/>
        <w:t>了解并测试了仁东控股公司对商誉减值评估的内部控制；</w:t>
      </w:r>
    </w:p>
    <w:p>
      <w:pPr>
        <w:pStyle w:val="Style29"/>
        <w:keepNext w:val="0"/>
        <w:keepLines w:val="0"/>
        <w:widowControl w:val="0"/>
        <w:shd w:val="clear" w:color="auto" w:fill="auto"/>
        <w:bidi w:val="0"/>
        <w:spacing w:before="0" w:after="0" w:line="315" w:lineRule="exact"/>
        <w:ind w:left="0" w:right="0" w:firstLine="38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2</w:t>
      </w:r>
      <w:r>
        <w:rPr>
          <w:color w:val="000000"/>
          <w:spacing w:val="0"/>
          <w:w w:val="100"/>
          <w:position w:val="0"/>
        </w:rPr>
        <w:t>） 复核管理层对资产组的认定和商誉的分摊方法；了解资产组的历史业绩情况及发展规划，以及宏观经济和所属行 业的发展趋势；评价管理层估计资产可收回价值时采用的假设和方法；评价和测试仁东控股公司在评估商誉于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日是否减值时的假设、估值方法，与商誉相关的资产组的确定，现金流量预测及所使用的其他数据和参数，我们也对其他重 要参数进行了评估，包括销售增长率、产量、生产成本、营业费用和折现率等；</w:t>
      </w:r>
    </w:p>
    <w:p>
      <w:pPr>
        <w:pStyle w:val="Style29"/>
        <w:keepNext w:val="0"/>
        <w:keepLines w:val="0"/>
        <w:widowControl w:val="0"/>
        <w:shd w:val="clear" w:color="auto" w:fill="auto"/>
        <w:bidi w:val="0"/>
        <w:spacing w:before="0" w:after="0" w:line="315" w:lineRule="exact"/>
        <w:ind w:left="0" w:right="0" w:firstLine="38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3</w:t>
      </w:r>
      <w:r>
        <w:rPr>
          <w:color w:val="000000"/>
          <w:spacing w:val="0"/>
          <w:w w:val="100"/>
          <w:position w:val="0"/>
        </w:rPr>
        <w:t>） 评价资产评估师的专业胜任能力、客观性及独立性，查阅评估报告的评估技术说明、分析评估取值和计算公式是 否合理、复核计算评估数据。同时对评估师进行访谈，访谈内容包括出具的评估报告的目的和范围、其独立性、评估方法选 用、评估过程、其主要参数的选取及评估结果的合理性；</w:t>
      </w:r>
    </w:p>
    <w:p>
      <w:pPr>
        <w:pStyle w:val="Style29"/>
        <w:keepNext w:val="0"/>
        <w:keepLines w:val="0"/>
        <w:widowControl w:val="0"/>
        <w:shd w:val="clear" w:color="auto" w:fill="auto"/>
        <w:tabs>
          <w:tab w:pos="812" w:val="left"/>
        </w:tabs>
        <w:bidi w:val="0"/>
        <w:spacing w:before="0" w:after="0" w:line="315" w:lineRule="exact"/>
        <w:ind w:left="0" w:right="0" w:firstLine="38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4</w:t>
      </w:r>
      <w:r>
        <w:rPr>
          <w:color w:val="000000"/>
          <w:spacing w:val="0"/>
          <w:w w:val="100"/>
          <w:position w:val="0"/>
        </w:rPr>
        <w:t>）</w:t>
        <w:tab/>
        <w:t>复核仁东控股公司商誉列报是否恰当。</w:t>
      </w:r>
    </w:p>
    <w:p>
      <w:pPr>
        <w:pStyle w:val="Style29"/>
        <w:keepNext w:val="0"/>
        <w:keepLines w:val="0"/>
        <w:widowControl w:val="0"/>
        <w:shd w:val="clear" w:color="auto" w:fill="auto"/>
        <w:tabs>
          <w:tab w:pos="788" w:val="left"/>
        </w:tabs>
        <w:bidi w:val="0"/>
        <w:spacing w:before="0" w:after="0" w:line="315" w:lineRule="exact"/>
        <w:ind w:left="0" w:right="0" w:firstLine="380"/>
        <w:jc w:val="both"/>
      </w:pPr>
      <w:bookmarkStart w:id="650" w:name="bookmark650"/>
      <w:r>
        <w:rPr>
          <w:b/>
          <w:bCs/>
          <w:color w:val="000000"/>
          <w:spacing w:val="0"/>
          <w:w w:val="100"/>
          <w:position w:val="0"/>
        </w:rPr>
        <w:t>四</w:t>
      </w:r>
      <w:bookmarkEnd w:id="650"/>
      <w:r>
        <w:rPr>
          <w:b/>
          <w:bCs/>
          <w:color w:val="000000"/>
          <w:spacing w:val="0"/>
          <w:w w:val="100"/>
          <w:position w:val="0"/>
        </w:rPr>
        <w:t>、</w:t>
        <w:tab/>
        <w:t>其他信息</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仁东控股公司管理层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对其他信息负责。其他信息包括仁东控股公司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 但不包括财务报表和我们的审计报告。</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9"/>
        <w:keepNext w:val="0"/>
        <w:keepLines w:val="0"/>
        <w:widowControl w:val="0"/>
        <w:shd w:val="clear" w:color="auto" w:fill="auto"/>
        <w:tabs>
          <w:tab w:pos="803" w:val="left"/>
        </w:tabs>
        <w:bidi w:val="0"/>
        <w:spacing w:before="0" w:after="0" w:line="315" w:lineRule="exact"/>
        <w:ind w:left="0" w:right="0" w:firstLine="380"/>
        <w:jc w:val="both"/>
      </w:pPr>
      <w:bookmarkStart w:id="651" w:name="bookmark651"/>
      <w:r>
        <w:rPr>
          <w:b/>
          <w:bCs/>
          <w:color w:val="000000"/>
          <w:spacing w:val="0"/>
          <w:w w:val="100"/>
          <w:position w:val="0"/>
        </w:rPr>
        <w:t>五</w:t>
      </w:r>
      <w:bookmarkEnd w:id="651"/>
      <w:r>
        <w:rPr>
          <w:b/>
          <w:bCs/>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在编制财务报表时，管理层负责评估仁东控股公司的持续经营能力，披露与持续经营相关的事项（如适用），并运用持 续经营假设，除非管理层计划清算仁东控股公司、终止运营或别无其他现实的选择。</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治理层负责监督仁东控股公司的财务报告过程。</w:t>
      </w:r>
    </w:p>
    <w:p>
      <w:pPr>
        <w:pStyle w:val="Style29"/>
        <w:keepNext w:val="0"/>
        <w:keepLines w:val="0"/>
        <w:widowControl w:val="0"/>
        <w:shd w:val="clear" w:color="auto" w:fill="auto"/>
        <w:tabs>
          <w:tab w:pos="807" w:val="left"/>
        </w:tabs>
        <w:bidi w:val="0"/>
        <w:spacing w:before="0" w:after="0" w:line="315" w:lineRule="exact"/>
        <w:ind w:left="0" w:right="0" w:firstLine="380"/>
        <w:jc w:val="both"/>
      </w:pPr>
      <w:bookmarkStart w:id="652" w:name="bookmark652"/>
      <w:r>
        <w:rPr>
          <w:b/>
          <w:bCs/>
          <w:color w:val="000000"/>
          <w:spacing w:val="0"/>
          <w:w w:val="100"/>
          <w:position w:val="0"/>
        </w:rPr>
        <w:t>六</w:t>
      </w:r>
      <w:bookmarkEnd w:id="652"/>
      <w:r>
        <w:rPr>
          <w:b/>
          <w:bCs/>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bidi w:val="0"/>
        <w:spacing w:before="0" w:after="0" w:line="315" w:lineRule="exact"/>
        <w:ind w:left="0" w:right="0" w:firstLine="38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br w:type="page"/>
      </w:r>
      <w:r>
        <w:rPr>
          <w:color w:val="000000"/>
          <w:spacing w:val="0"/>
          <w:w w:val="100"/>
          <w:position w:val="0"/>
        </w:rPr>
        <w:t>未能发现由于舞弊导致的重大错报的风险高于未能发现由于错误导致的重大错报的风险。</w:t>
      </w:r>
    </w:p>
    <w:p>
      <w:pPr>
        <w:pStyle w:val="Style29"/>
        <w:keepNext w:val="0"/>
        <w:keepLines w:val="0"/>
        <w:widowControl w:val="0"/>
        <w:shd w:val="clear" w:color="auto" w:fill="auto"/>
        <w:tabs>
          <w:tab w:pos="805" w:val="left"/>
        </w:tabs>
        <w:bidi w:val="0"/>
        <w:spacing w:before="0" w:after="0" w:line="314" w:lineRule="exact"/>
        <w:ind w:left="0" w:right="0" w:firstLine="36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29"/>
        <w:keepNext w:val="0"/>
        <w:keepLines w:val="0"/>
        <w:widowControl w:val="0"/>
        <w:shd w:val="clear" w:color="auto" w:fill="auto"/>
        <w:tabs>
          <w:tab w:pos="805" w:val="left"/>
        </w:tabs>
        <w:bidi w:val="0"/>
        <w:spacing w:before="0" w:after="0" w:line="314" w:lineRule="exact"/>
        <w:ind w:left="0" w:right="0" w:firstLine="36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9"/>
        <w:keepNext w:val="0"/>
        <w:keepLines w:val="0"/>
        <w:widowControl w:val="0"/>
        <w:shd w:val="clear" w:color="auto" w:fill="auto"/>
        <w:tabs>
          <w:tab w:pos="901" w:val="left"/>
        </w:tabs>
        <w:bidi w:val="0"/>
        <w:spacing w:before="0" w:after="0" w:line="314" w:lineRule="exact"/>
        <w:ind w:left="0" w:right="0" w:firstLine="36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对管理层使用持续经营假设的恰当性得出结论。同时，根据获取的审计证据，就可能导致对仁东控股公司持续经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论基于截至审计报告日可获得的信息。然而，未来的事项或情况可能导致仁东控股公司不能持续经营。</w:t>
      </w:r>
    </w:p>
    <w:p>
      <w:pPr>
        <w:pStyle w:val="Style29"/>
        <w:keepNext w:val="0"/>
        <w:keepLines w:val="0"/>
        <w:widowControl w:val="0"/>
        <w:shd w:val="clear" w:color="auto" w:fill="auto"/>
        <w:tabs>
          <w:tab w:pos="805" w:val="left"/>
        </w:tabs>
        <w:bidi w:val="0"/>
        <w:spacing w:before="0" w:after="0" w:line="314" w:lineRule="exact"/>
        <w:ind w:left="0" w:right="0" w:firstLine="36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9"/>
        <w:keepNext w:val="0"/>
        <w:keepLines w:val="0"/>
        <w:widowControl w:val="0"/>
        <w:shd w:val="clear" w:color="auto" w:fill="auto"/>
        <w:tabs>
          <w:tab w:pos="896" w:val="left"/>
        </w:tabs>
        <w:bidi w:val="0"/>
        <w:spacing w:before="0" w:after="0" w:line="314" w:lineRule="exact"/>
        <w:ind w:left="0" w:right="0" w:firstLine="36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6</w:t>
      </w:r>
      <w:r>
        <w:rPr>
          <w:color w:val="000000"/>
          <w:spacing w:val="0"/>
          <w:w w:val="100"/>
          <w:position w:val="0"/>
        </w:rPr>
        <w:t>）</w:t>
        <w:tab/>
        <w:t>就仁东控股公司中实体或业务活动的财务信息获取充分、适当的审计证据，以对财务报表发表审计意见。我们负 责指导、监督和执行集团审计，并对审计意见承担全部责任。</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29"/>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9"/>
        <w:keepNext w:val="0"/>
        <w:keepLines w:val="0"/>
        <w:widowControl w:val="0"/>
        <w:shd w:val="clear" w:color="auto" w:fill="auto"/>
        <w:bidi w:val="0"/>
        <w:spacing w:before="0" w:after="10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978535</wp:posOffset>
                </wp:positionH>
                <wp:positionV relativeFrom="paragraph">
                  <wp:posOffset>12700</wp:posOffset>
                </wp:positionV>
                <wp:extent cx="1273810" cy="347345"/>
                <wp:wrapSquare wrapText="right"/>
                <wp:docPr id="14" name="Shape 14"/>
                <a:graphic xmlns:a="http://schemas.openxmlformats.org/drawingml/2006/main">
                  <a:graphicData uri="http://schemas.microsoft.com/office/word/2010/wordprocessingShape">
                    <wps:wsp>
                      <wps:cNvSpPr txBox="1"/>
                      <wps:spPr>
                        <a:xfrm>
                          <a:ext cx="1273810" cy="347345"/>
                        </a:xfrm>
                        <a:prstGeom prst="rect"/>
                        <a:noFill/>
                      </wps:spPr>
                      <wps:txbx>
                        <w:txbxContent>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中兴财光华会计师事务所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0" type="#_x0000_t202" style="position:absolute;margin-left:77.049999999999997pt;margin-top:1.pt;width:100.3pt;height:27.350000000000001pt;z-index:-125829373;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中兴财光华会计师事务所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w:rPr>
          <w:color w:val="000000"/>
          <w:spacing w:val="0"/>
          <w:w w:val="100"/>
          <w:position w:val="0"/>
        </w:rPr>
        <w:t>中国注册会计师：齐正华</w:t>
      </w:r>
    </w:p>
    <w:p>
      <w:pPr>
        <w:pStyle w:val="Style29"/>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（项目合伙人）</w:t>
      </w:r>
    </w:p>
    <w:p>
      <w:pPr>
        <w:pStyle w:val="Style29"/>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中国注册会计师：孟晓光</w:t>
      </w:r>
    </w:p>
    <w:p>
      <w:pPr>
        <w:pStyle w:val="Style29"/>
        <w:keepNext w:val="0"/>
        <w:keepLines w:val="0"/>
        <w:widowControl w:val="0"/>
        <w:shd w:val="clear" w:color="auto" w:fill="auto"/>
        <w:tabs>
          <w:tab w:pos="5693" w:val="left"/>
        </w:tabs>
        <w:bidi w:val="0"/>
        <w:spacing w:before="0" w:after="380" w:line="240" w:lineRule="auto"/>
        <w:ind w:left="0" w:right="0" w:firstLine="60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4"/>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二</w:t>
      </w:r>
      <w:bookmarkEnd w:id="661"/>
      <w:r>
        <w:rPr>
          <w:color w:val="000000"/>
          <w:spacing w:val="0"/>
          <w:w w:val="100"/>
          <w:position w:val="0"/>
          <w:sz w:val="24"/>
          <w:szCs w:val="24"/>
        </w:rPr>
        <w:t>、财务报表</w:t>
      </w:r>
      <w:bookmarkEnd w:id="659"/>
      <w:bookmarkEnd w:id="660"/>
      <w:bookmarkEnd w:id="66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、合并资产负债表</w:t>
      </w:r>
      <w:bookmarkEnd w:id="663"/>
      <w:bookmarkEnd w:id="664"/>
      <w:bookmarkEnd w:id="66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编制单位：仁东控股股份有限公司</w:t>
      </w:r>
    </w:p>
    <w:p>
      <w:pPr>
        <w:pStyle w:val="Style4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1,835,647,301.12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1,430,315,992.53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229,704,702.88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399,513,632.32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5,160,646.84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23,841,507.01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30,814,646.65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15,286,464.24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10,246,500.00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43,616,083.67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130,891,664.03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48,348,880.76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23,850,840.34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2,193,412,457.29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2,023,768,635.15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57,580,118.66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48,277,280.22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29,095,395.89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3,567,349.53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341,157,500.00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462,085,000.00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147,338,618.92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4,718,403.41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25,732,100.90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31,576,151.81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894,356,808.55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998,642,311.55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7,423,307.01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3,761,814.08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33,194,625.35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1,859,548.42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1,536,783,807.36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1,555,393,191.10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3,730,196,264.65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3,579,161,826.25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378,999,681.10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440,765,723.60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178,360,094.52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76,389,232.71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264,229.14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161,503.30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33,293,112.45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15,225,509.68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18,248,063.64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14,815,231.29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264,738,890.62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182,431,015.69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1,051,360.78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506,541,700.88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180,397,719.29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1,595,047,400.31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1,223,955,031.96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2,975,390,446.82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2,134,243,693.36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415,887,638.89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4,086,851.66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198,140,000.04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419,974,490.55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3,173,530,446.86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2,554,218,183.91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559,936,650.00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559,936,650.00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191,142,018.58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191,142,018.58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-98,226,299.52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1,231,773.16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3,573,773.16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-181,691,963.93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189,550,879.17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515,936,992.95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987,742,300.83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40,728,824.84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37,201,341.51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556,665,817.79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1,024,943,642.34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3,730,196,264.65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3,579,161,826.25</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382" behindDoc="0" locked="0" layoutInCell="1" allowOverlap="1">
                <wp:simplePos x="0" y="0"/>
                <wp:positionH relativeFrom="page">
                  <wp:posOffset>699770</wp:posOffset>
                </wp:positionH>
                <wp:positionV relativeFrom="margin">
                  <wp:posOffset>6897370</wp:posOffset>
                </wp:positionV>
                <wp:extent cx="1051560" cy="149225"/>
                <wp:wrapTopAndBottom/>
                <wp:docPr id="16" name="Shape 1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法定代表人：王石山</w:t>
                            </w:r>
                          </w:p>
                        </w:txbxContent>
                      </wps:txbx>
                      <wps:bodyPr wrap="none" lIns="0" tIns="0" rIns="0" bIns="0">
                        <a:noAutoFit/>
                      </wps:bodyPr>
                    </wps:wsp>
                  </a:graphicData>
                </a:graphic>
              </wp:anchor>
            </w:drawing>
          </mc:Choice>
          <mc:Fallback>
            <w:pict>
              <v:shape id="_x0000_s1042" type="#_x0000_t202" style="position:absolute;margin-left:55.100000000000001pt;margin-top:543.10000000000002pt;width:82.799999999999997pt;height:11.75pt;z-index:-125829371;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法定代表人：王石山</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2875915</wp:posOffset>
                </wp:positionH>
                <wp:positionV relativeFrom="margin">
                  <wp:posOffset>6897370</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主管会计工作负责人：王石山</w:t>
                            </w:r>
                          </w:p>
                        </w:txbxContent>
                      </wps:txbx>
                      <wps:bodyPr wrap="none" lIns="0" tIns="0" rIns="0" bIns="0">
                        <a:noAutoFit/>
                      </wps:bodyPr>
                    </wps:wsp>
                  </a:graphicData>
                </a:graphic>
              </wp:anchor>
            </w:drawing>
          </mc:Choice>
          <mc:Fallback>
            <w:pict>
              <v:shape id="_x0000_s1044" type="#_x0000_t202" style="position:absolute;margin-left:226.45000000000002pt;margin-top:543.10000000000002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主管会计工作负责人：王石山</w:t>
                      </w:r>
                    </w:p>
                  </w:txbxContent>
                </v:textbox>
                <w10:wrap type="topAndBottom" anchorx="page" anchory="margin"/>
              </v:shape>
            </w:pict>
          </mc:Fallback>
        </mc:AlternateContent>
      </w:r>
      <w:r>
        <mc:AlternateContent>
          <mc:Choice Requires="wps">
            <w:drawing>
              <wp:anchor distT="152400" distB="0" distL="4921250" distR="114300" simplePos="0" relativeHeight="125829386" behindDoc="0" locked="0" layoutInCell="1" allowOverlap="1">
                <wp:simplePos x="0" y="0"/>
                <wp:positionH relativeFrom="page">
                  <wp:posOffset>5506720</wp:posOffset>
                </wp:positionH>
                <wp:positionV relativeFrom="margin">
                  <wp:posOffset>6897370</wp:posOffset>
                </wp:positionV>
                <wp:extent cx="1280160" cy="149225"/>
                <wp:wrapTopAndBottom/>
                <wp:docPr id="20" name="Shape 20"/>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会计机构负责人：徐义宾</w:t>
                            </w:r>
                          </w:p>
                        </w:txbxContent>
                      </wps:txbx>
                      <wps:bodyPr wrap="none" lIns="0" tIns="0" rIns="0" bIns="0">
                        <a:noAutoFit/>
                      </wps:bodyPr>
                    </wps:wsp>
                  </a:graphicData>
                </a:graphic>
              </wp:anchor>
            </w:drawing>
          </mc:Choice>
          <mc:Fallback>
            <w:pict>
              <v:shape id="_x0000_s1046" type="#_x0000_t202" style="position:absolute;margin-left:433.60000000000002pt;margin-top:543.10000000000002pt;width:100.8pt;height:11.75pt;z-index:-125829367;mso-wrap-distance-left:38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会计机构负责人：徐义宾</w:t>
                      </w:r>
                    </w:p>
                  </w:txbxContent>
                </v:textbox>
                <w10:wrap type="topAndBottom" anchorx="page" anchory="margin"/>
              </v:shape>
            </w:pict>
          </mc:Fallback>
        </mc:AlternateContent>
      </w: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、母公司资产负债表</w:t>
      </w:r>
      <w:bookmarkEnd w:id="667"/>
      <w:bookmarkEnd w:id="668"/>
      <w:bookmarkEnd w:id="67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3,326,092.25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2,981,291.82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259,047.48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1,305,815.39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432,264,596.37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426,983,912.64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1,492,043.98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1,201,893.31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437,341,780.08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432,472,913.16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5,051,677,591.00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5,051,677,591.00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6,369,927.13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134,072.78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323,514.02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6,681,182.60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2,726,190.73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5,214,862,773.51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5,204,966,646.37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5,652,204,553.59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5,637,439,559.53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358,974,319.95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440,765,723.60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486,169.81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24,450.00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1,085,521.48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2,028,402.42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118,888.77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75,761.96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4,010,942,889.00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3,897,478,016.56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1,051,360.78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24,166.67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326,103,755.56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4,697,711,544.57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4,340,372,354.54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415,887,638.89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415,887,638.89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4,892,711,544.57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4,756,259,993.43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559,936,650.00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559,936,650.00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309,684,562.96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309,684,562.96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-153,673,018.60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-31,986,461.52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759,493,009.02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881,179,566.10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5,652,204,553.59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5,637,439,559.53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、合并利润表</w:t>
      </w:r>
      <w:bookmarkEnd w:id="671"/>
      <w:bookmarkEnd w:id="672"/>
      <w:bookmarkEnd w:id="6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2,130,285,587.66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1,830,818,307.68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2,130,285,587.66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1,830,818,307.68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2,199,296,960.17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1,782,718,129.14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1,886,171,969.36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1,539,348,844.59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1,780,388.35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2,451,068.44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47,073,296.88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37,806,671.44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135,297,283.06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104,324,301.34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43,411,988.99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47,385,239.55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85,562,033.53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51,402,003.78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91,563,039.19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54,637,319.11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6,147,574.34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3,473,661.33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11,596,197.81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4,456,635.19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10,272,954.79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11,385,000.00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-233,891,080.01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-15,389,254.64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-104,285,503.00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-385,340,371.21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48,531,333.48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32,186,657.04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6,901,800.36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1,638,982.13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1,143,674.62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-354,792,696.30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54,289,459.22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15,264,663.47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21,643,890.61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-370,057,359.77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32,645,568.61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-370,057,359.77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32,645,568.61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-373,584,843.10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29,899,681.04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3,527,483.33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2,745,887.57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-98,220,464.78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3,298.10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-98,220,464.78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-98,195,625.00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-98,195,625.00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3,298.10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-468,277,824.55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32,648,866.71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-471,805,307.88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29,902,979.14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3,527,483.33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2,745,887.57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9"/>
        <w:keepNext w:val="0"/>
        <w:keepLines w:val="0"/>
        <w:widowControl w:val="0"/>
        <w:shd w:val="clear" w:color="auto" w:fill="auto"/>
        <w:tabs>
          <w:tab w:pos="3422" w:val="left"/>
          <w:tab w:pos="7565" w:val="left"/>
        </w:tabs>
        <w:bidi w:val="0"/>
        <w:spacing w:before="0" w:after="0" w:line="240" w:lineRule="auto"/>
        <w:ind w:left="0" w:right="0" w:firstLine="0"/>
        <w:jc w:val="both"/>
      </w:pPr>
      <w:r>
        <w:rPr>
          <w:color w:val="000000"/>
          <w:spacing w:val="0"/>
          <w:w w:val="100"/>
          <w:position w:val="0"/>
        </w:rPr>
        <w:t>法定代表人：王石山</w:t>
        <w:tab/>
        <w:t>主管会计工作负责人：王石山</w:t>
        <w:tab/>
        <w:t>会计机构负责人：徐义宾</w:t>
      </w:r>
      <w:r>
        <w:br w:type="page"/>
      </w:r>
    </w:p>
    <w:p>
      <w:pPr>
        <w:pStyle w:val="Style33"/>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、母公司利润表</w:t>
      </w:r>
      <w:bookmarkEnd w:id="675"/>
      <w:bookmarkEnd w:id="676"/>
      <w:bookmarkEnd w:id="6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826,970,760.92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535,848,200.63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814,341,648.32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533,711,043.37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182,105.80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142,107.80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59,511.55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34,682,391.26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27,571,949.49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99,459,471.25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56,740,187.45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99,528,998.29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57,557,523.51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94,032.95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846,158.26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11,452.08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20,540.89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-5,253,905.39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-121,686,557.08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-87,625,084.36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-121,686,557.08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-87,625,084.24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-121,686,557.08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-87,625,084.24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-121,686,557.08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-87,625,084.24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-121,686,557.08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-87,625,084.24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-121,686,557.08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-87,625,084.24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、合并现金流量表</w:t>
      </w:r>
      <w:bookmarkEnd w:id="679"/>
      <w:bookmarkEnd w:id="680"/>
      <w:bookmarkEnd w:id="682"/>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2,285,099,965.49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1,916,333,941.92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912,388,473.31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543,763,232.96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3,197,740,638.80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2,460,097,174.88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2,006,127,555.86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1,625,190,782.08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10,932,774.24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42,682,125.72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112,690,588.38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94,869,026.03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28,127,773.93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57,363,651.49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945,737,935.68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706,799,061.60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3,103,616,628.09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2,526,904,646.92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94,124,010.71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-66,807,472.04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26,454.79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11,385,000.00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21,376,554.79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22,189,200.00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113,612,857.56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5,338,776.26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200,612,857.56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140,338,776.26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-179,236,302.77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-118,149,576.26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589,900,000.00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345,200,000.00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935,100,000.00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120,940,515.04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344,650,000.00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65,162,536.11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64,820,154.80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196,603,051.15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1,154,470,154.80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48,396,948.85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-219,370,154.80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-36,738,915.78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-404,324,354.82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89,106,145.61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493,430,500.43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52,367,229.83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89,106,145.61</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6</w:t>
      </w:r>
      <w:bookmarkEnd w:id="685"/>
      <w:r>
        <w:rPr>
          <w:color w:val="000000"/>
          <w:spacing w:val="0"/>
          <w:w w:val="100"/>
          <w:position w:val="0"/>
        </w:rPr>
        <w:t>、母公司现金流量表</w:t>
      </w:r>
      <w:bookmarkEnd w:id="683"/>
      <w:bookmarkEnd w:id="684"/>
      <w:bookmarkEnd w:id="6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926,965,375.77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605,393,525.30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2,105,164.43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2,986,515.92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929,070,540.20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608,380,041.22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916,283,531.35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603,060,402.68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15,535,167.73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7,912,819.85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181,301.80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144,136.40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19,855,521.22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19,674,459.67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951,855,522.10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630,791,818.60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-22,784,981.90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-22,411,777.38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5,867,504.14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896,822,637.75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5,867,664.14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896,825,916.92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14,363,699.42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2,801,567.00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14,219,630.00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325,522,500.00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88,583,329.42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463,324,067.00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-82,715,665.28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433,501,849.92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439,900,000.00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316,537,858.76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461,537,858.76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1,228,300,000.00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120,940,515.04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174,650,000.00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65,162,536.11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56,745,154.80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169,589,360.00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1,413,098,160.00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355,692,411.15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1,644,493,314.80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105,845,447.61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-416,193,314.80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344,800.43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-5,103,242.26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2,981,291.82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8,084,534.08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3,326,092.25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2,981,291.82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7</w:t>
      </w:r>
      <w:bookmarkEnd w:id="689"/>
      <w:r>
        <w:rPr>
          <w:color w:val="000000"/>
          <w:spacing w:val="0"/>
          <w:w w:val="100"/>
          <w:position w:val="0"/>
        </w:rPr>
        <w:t>、合并所有者权益变动表</w:t>
      </w:r>
      <w:bookmarkEnd w:id="687"/>
      <w:bookmarkEnd w:id="688"/>
      <w:bookmarkEnd w:id="69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773.16</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w:t>
            </w:r>
          </w:p>
        </w:tc>
      </w:tr>
      <w:tr>
        <w:trPr>
          <w:trHeight w:val="30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动金额（减少以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42,843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05,307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77,824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-98,22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0,464.</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-373,5</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84,843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-471,8</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05,307</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3,527,</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-468,2</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77,824</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-2,342,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2,342,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-2,342,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2,342,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36,65</w:t>
            </w:r>
          </w:p>
          <w:p>
            <w:pPr>
              <w:pStyle w:val="Style2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191,14</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-98,22</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6,299.</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43,544</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,814.6</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-181,6</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91,963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515,93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6,992.</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40,728</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,824.8</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556,66</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5,817.</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968,73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w:t>
            </w:r>
          </w:p>
        </w:tc>
      </w:tr>
      <w:tr>
        <w:trPr>
          <w:trHeight w:val="163"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93,508.</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453.94</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968,73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93,508.</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453.94</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42"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2,745,8</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w:t>
            </w:r>
          </w:p>
        </w:tc>
      </w:tr>
      <w:tr>
        <w:trPr>
          <w:trHeight w:val="139"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,948.0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87.57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32,648,</w:t>
            </w:r>
          </w:p>
        </w:tc>
      </w:tr>
      <w:tr>
        <w:trPr>
          <w:trHeight w:val="350"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87.57</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8,733.</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-11,198,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3,570,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3,570,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36,65</w:t>
            </w:r>
          </w:p>
          <w:p>
            <w:pPr>
              <w:pStyle w:val="Style2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191,14</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43,544</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,814.6</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3,573,</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189,55</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0,879.</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987,74</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2,300.</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37,201,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1,024,9</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43,642.</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8</w:t>
      </w:r>
      <w:bookmarkEnd w:id="693"/>
      <w:r>
        <w:rPr>
          <w:color w:val="000000"/>
          <w:spacing w:val="0"/>
          <w:w w:val="100"/>
          <w:position w:val="0"/>
        </w:rPr>
        <w:t>、母公司所有者权益变动表</w:t>
      </w:r>
      <w:bookmarkEnd w:id="691"/>
      <w:bookmarkEnd w:id="692"/>
      <w:bookmarkEnd w:id="6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6,650.0</w:t>
            </w:r>
          </w:p>
          <w:p>
            <w:pPr>
              <w:pStyle w:val="Style2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309,684,</w:t>
            </w:r>
          </w:p>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43,544,8</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-31,986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881,179,5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6,650.0</w:t>
            </w:r>
          </w:p>
          <w:p>
            <w:pPr>
              <w:pStyle w:val="Style2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309,684,</w:t>
            </w:r>
          </w:p>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43,544,8</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-31,986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881,179,5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36" w:lineRule="exact"/>
              <w:ind w:left="0" w:right="0" w:firstLine="0"/>
              <w:jc w:val="both"/>
            </w:pPr>
            <w:r>
              <w:rPr>
                <w:color w:val="000000"/>
                <w:spacing w:val="0"/>
                <w:w w:val="100"/>
                <w:position w:val="0"/>
              </w:rPr>
              <w:t>三、本期增减变 动金额（减少以</w:t>
            </w:r>
          </w:p>
          <w:p>
            <w:pPr>
              <w:pStyle w:val="Style22"/>
              <w:keepNext w:val="0"/>
              <w:keepLines w:val="0"/>
              <w:widowControl w:val="0"/>
              <w:shd w:val="clear" w:color="auto" w:fill="auto"/>
              <w:bidi w:val="0"/>
              <w:spacing w:before="0" w:after="0" w:line="389"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-121,68</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6,557.0</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-121,686,5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-121,68</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6,557.0</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-121,686,5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309,684,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43,544,8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-153,67</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759,493,0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09.02</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6,650.</w:t>
            </w:r>
          </w:p>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309,684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43,544,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66,837,35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980,003,38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6,650.</w:t>
            </w:r>
          </w:p>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309,684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43,544,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66,837,35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980,003,38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2"/>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-98,823,8</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-98,823,817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-87,625,0</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-87,625,084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-11,198,7</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-11,198,733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-11,198,7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-11,198,733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559,93</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6,650.</w:t>
            </w:r>
          </w:p>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309,684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-31,986,4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881,179,56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三</w:t>
      </w:r>
      <w:bookmarkEnd w:id="697"/>
      <w:r>
        <w:rPr>
          <w:color w:val="000000"/>
          <w:spacing w:val="0"/>
          <w:w w:val="100"/>
          <w:position w:val="0"/>
          <w:sz w:val="24"/>
          <w:szCs w:val="24"/>
        </w:rPr>
        <w:t>、公司基本情况</w:t>
      </w:r>
      <w:bookmarkEnd w:id="695"/>
      <w:bookmarkEnd w:id="696"/>
      <w:bookmarkEnd w:id="698"/>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仁东控股股份有限公司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前身为浙江宏磊铜业股份有限公司，浙江宏磊铜业股份有限公司系在宏 磊集团有限公司的基础上采用整体变更方式设立的股份有限公司，于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日在浙江省工商行政管理局登记注册，取 得注册号为</w:t>
      </w:r>
      <w:r>
        <w:rPr>
          <w:rFonts w:ascii="Times New Roman" w:eastAsia="Times New Roman" w:hAnsi="Times New Roman" w:cs="Times New Roman"/>
          <w:color w:val="000000"/>
          <w:spacing w:val="0"/>
          <w:w w:val="100"/>
          <w:position w:val="0"/>
        </w:rPr>
        <w:t>330681000010590</w:t>
      </w:r>
      <w:r>
        <w:rPr>
          <w:color w:val="000000"/>
          <w:spacing w:val="0"/>
          <w:w w:val="100"/>
          <w:position w:val="0"/>
        </w:rPr>
        <w:t>的《企业法人营业执照》。</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月，公司名称变更为民盛金科控股股份有限公司。</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2011]1923</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核准，公司获准向社会公开发行人民币普通股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4,223</w:t>
      </w:r>
      <w:r>
        <w:rPr>
          <w:color w:val="000000"/>
          <w:spacing w:val="0"/>
          <w:w w:val="100"/>
          <w:position w:val="0"/>
        </w:rPr>
        <w:t>万 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，公司股票于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日在深圳证券交易所挂牌交易，发行后公司注册资本为</w:t>
      </w:r>
      <w:r>
        <w:rPr>
          <w:rFonts w:ascii="Times New Roman" w:eastAsia="Times New Roman" w:hAnsi="Times New Roman" w:cs="Times New Roman"/>
          <w:color w:val="000000"/>
          <w:spacing w:val="0"/>
          <w:w w:val="100"/>
          <w:position w:val="0"/>
        </w:rPr>
        <w:t>16,891</w:t>
      </w:r>
      <w:r>
        <w:rPr>
          <w:color w:val="000000"/>
          <w:spacing w:val="0"/>
          <w:w w:val="100"/>
          <w:position w:val="0"/>
        </w:rPr>
        <w:t xml:space="preserve">万元，股份总数 </w:t>
      </w:r>
      <w:r>
        <w:rPr>
          <w:rFonts w:ascii="Times New Roman" w:eastAsia="Times New Roman" w:hAnsi="Times New Roman" w:cs="Times New Roman"/>
          <w:color w:val="000000"/>
          <w:spacing w:val="0"/>
          <w:w w:val="100"/>
          <w:position w:val="0"/>
        </w:rPr>
        <w:t>16,891</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股。以</w:t>
      </w:r>
      <w:r>
        <w:rPr>
          <w:rFonts w:ascii="Times New Roman" w:eastAsia="Times New Roman" w:hAnsi="Times New Roman" w:cs="Times New Roman"/>
          <w:color w:val="000000"/>
          <w:spacing w:val="0"/>
          <w:w w:val="100"/>
          <w:position w:val="0"/>
        </w:rPr>
        <w:t>16,891</w:t>
      </w:r>
      <w:r>
        <w:rPr>
          <w:color w:val="000000"/>
          <w:spacing w:val="0"/>
          <w:w w:val="100"/>
          <w:position w:val="0"/>
        </w:rPr>
        <w:t>万股为基数，本 次资本公积转增股本新增公司注册资本</w:t>
      </w:r>
      <w:r>
        <w:rPr>
          <w:rFonts w:ascii="Times New Roman" w:eastAsia="Times New Roman" w:hAnsi="Times New Roman" w:cs="Times New Roman"/>
          <w:color w:val="000000"/>
          <w:spacing w:val="0"/>
          <w:w w:val="100"/>
          <w:position w:val="0"/>
        </w:rPr>
        <w:t>5,067.30</w:t>
      </w:r>
      <w:r>
        <w:rPr>
          <w:color w:val="000000"/>
          <w:spacing w:val="0"/>
          <w:w w:val="100"/>
          <w:position w:val="0"/>
        </w:rPr>
        <w:t>万元，新增股份</w:t>
      </w:r>
      <w:r>
        <w:rPr>
          <w:rFonts w:ascii="Times New Roman" w:eastAsia="Times New Roman" w:hAnsi="Times New Roman" w:cs="Times New Roman"/>
          <w:color w:val="000000"/>
          <w:spacing w:val="0"/>
          <w:w w:val="100"/>
          <w:position w:val="0"/>
        </w:rPr>
        <w:t>5,067.3</w:t>
      </w:r>
      <w:r>
        <w:rPr>
          <w:rFonts w:ascii="Times New Roman" w:eastAsia="Times New Roman" w:hAnsi="Times New Roman" w:cs="Times New Roman"/>
          <w:color w:val="000000"/>
          <w:spacing w:val="0"/>
          <w:w w:val="100"/>
          <w:position w:val="0"/>
        </w:rPr>
        <w:t>0</w:t>
      </w:r>
      <w:r>
        <w:rPr>
          <w:color w:val="000000"/>
          <w:spacing w:val="0"/>
          <w:w w:val="100"/>
          <w:position w:val="0"/>
        </w:rPr>
        <w:t>万股。转增后公司注册资本为</w:t>
      </w:r>
      <w:r>
        <w:rPr>
          <w:rFonts w:ascii="Times New Roman" w:eastAsia="Times New Roman" w:hAnsi="Times New Roman" w:cs="Times New Roman"/>
          <w:color w:val="000000"/>
          <w:spacing w:val="0"/>
          <w:w w:val="100"/>
          <w:position w:val="0"/>
        </w:rPr>
        <w:t>21,958.3</w:t>
      </w:r>
      <w:r>
        <w:rPr>
          <w:rFonts w:ascii="Times New Roman" w:eastAsia="Times New Roman" w:hAnsi="Times New Roman" w:cs="Times New Roman"/>
          <w:color w:val="000000"/>
          <w:spacing w:val="0"/>
          <w:w w:val="100"/>
          <w:position w:val="0"/>
        </w:rPr>
        <w:t>0</w:t>
      </w:r>
      <w:r>
        <w:rPr>
          <w:color w:val="000000"/>
          <w:spacing w:val="0"/>
          <w:w w:val="100"/>
          <w:position w:val="0"/>
        </w:rPr>
        <w:t>万元，股份总 数</w:t>
      </w:r>
      <w:r>
        <w:rPr>
          <w:rFonts w:ascii="Times New Roman" w:eastAsia="Times New Roman" w:hAnsi="Times New Roman" w:cs="Times New Roman"/>
          <w:color w:val="000000"/>
          <w:spacing w:val="0"/>
          <w:w w:val="100"/>
          <w:position w:val="0"/>
        </w:rPr>
        <w:t>21,958.30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日办妥工商变更登记。</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年度股东大会决议，以资本公积金向全体股东每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股。以</w:t>
      </w:r>
      <w:r>
        <w:rPr>
          <w:rFonts w:ascii="Times New Roman" w:eastAsia="Times New Roman" w:hAnsi="Times New Roman" w:cs="Times New Roman"/>
          <w:color w:val="000000"/>
          <w:spacing w:val="0"/>
          <w:w w:val="100"/>
          <w:position w:val="0"/>
        </w:rPr>
        <w:t>21,958.30</w:t>
      </w:r>
      <w:r>
        <w:rPr>
          <w:color w:val="000000"/>
          <w:spacing w:val="0"/>
          <w:w w:val="100"/>
          <w:position w:val="0"/>
        </w:rPr>
        <w:t xml:space="preserve">万股为基数， </w:t>
      </w:r>
      <w:r>
        <w:rPr>
          <w:color w:val="000000"/>
          <w:spacing w:val="0"/>
          <w:w w:val="100"/>
          <w:position w:val="0"/>
        </w:rPr>
        <w:t>本次资本公积转增股本新增公司注册资本</w:t>
      </w:r>
      <w:r>
        <w:rPr>
          <w:rFonts w:ascii="Times New Roman" w:eastAsia="Times New Roman" w:hAnsi="Times New Roman" w:cs="Times New Roman"/>
          <w:color w:val="000000"/>
          <w:spacing w:val="0"/>
          <w:w w:val="100"/>
          <w:position w:val="0"/>
        </w:rPr>
        <w:t>15,370.8</w:t>
      </w:r>
      <w:r>
        <w:rPr>
          <w:rFonts w:ascii="Times New Roman" w:eastAsia="Times New Roman" w:hAnsi="Times New Roman" w:cs="Times New Roman"/>
          <w:color w:val="000000"/>
          <w:spacing w:val="0"/>
          <w:w w:val="100"/>
          <w:position w:val="0"/>
        </w:rPr>
        <w:t>1</w:t>
      </w:r>
      <w:r>
        <w:rPr>
          <w:color w:val="000000"/>
          <w:spacing w:val="0"/>
          <w:w w:val="100"/>
          <w:position w:val="0"/>
        </w:rPr>
        <w:t>万元，新增股份</w:t>
      </w:r>
      <w:r>
        <w:rPr>
          <w:rFonts w:ascii="Times New Roman" w:eastAsia="Times New Roman" w:hAnsi="Times New Roman" w:cs="Times New Roman"/>
          <w:color w:val="000000"/>
          <w:spacing w:val="0"/>
          <w:w w:val="100"/>
          <w:position w:val="0"/>
        </w:rPr>
        <w:t>15,370.81</w:t>
      </w:r>
      <w:r>
        <w:rPr>
          <w:color w:val="000000"/>
          <w:spacing w:val="0"/>
          <w:w w:val="100"/>
          <w:position w:val="0"/>
        </w:rPr>
        <w:t>万股。转增后公司注册资本为</w:t>
      </w:r>
      <w:r>
        <w:rPr>
          <w:rFonts w:ascii="Times New Roman" w:eastAsia="Times New Roman" w:hAnsi="Times New Roman" w:cs="Times New Roman"/>
          <w:color w:val="000000"/>
          <w:spacing w:val="0"/>
          <w:w w:val="100"/>
          <w:position w:val="0"/>
        </w:rPr>
        <w:t>37,329.11</w:t>
      </w:r>
      <w:r>
        <w:rPr>
          <w:color w:val="000000"/>
          <w:spacing w:val="0"/>
          <w:w w:val="100"/>
          <w:position w:val="0"/>
        </w:rPr>
        <w:t>万元，股 份总数</w:t>
      </w:r>
      <w:r>
        <w:rPr>
          <w:rFonts w:ascii="Times New Roman" w:eastAsia="Times New Roman" w:hAnsi="Times New Roman" w:cs="Times New Roman"/>
          <w:color w:val="000000"/>
          <w:spacing w:val="0"/>
          <w:w w:val="100"/>
          <w:position w:val="0"/>
        </w:rPr>
        <w:t>37,329.11</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日办妥工商变更登记。</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日，公司权益变动涉及的协议转让股权在中国证券登记结算有限责任公司深圳分公司完成了过户登记手 续，公司的控股股东由和柚技术集团有限公司变更为内蒙古正东云驱科技有限公司。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日，因控股股东发生了变 更，公司的办公地址由深圳迁至北京，公司的工作区域中心发生变更。</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年度股东大会决议，以资本公积金向全体股东每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股。以</w:t>
      </w:r>
      <w:r>
        <w:rPr>
          <w:rFonts w:ascii="Times New Roman" w:eastAsia="Times New Roman" w:hAnsi="Times New Roman" w:cs="Times New Roman"/>
          <w:color w:val="000000"/>
          <w:spacing w:val="0"/>
          <w:w w:val="100"/>
          <w:position w:val="0"/>
        </w:rPr>
        <w:t>37,329.11</w:t>
      </w:r>
      <w:r>
        <w:rPr>
          <w:color w:val="000000"/>
          <w:spacing w:val="0"/>
          <w:w w:val="100"/>
          <w:position w:val="0"/>
        </w:rPr>
        <w:t>万股为基数，本 次资本公积转增股本新增公司注册资本</w:t>
      </w:r>
      <w:r>
        <w:rPr>
          <w:rFonts w:ascii="Times New Roman" w:eastAsia="Times New Roman" w:hAnsi="Times New Roman" w:cs="Times New Roman"/>
          <w:color w:val="000000"/>
          <w:spacing w:val="0"/>
          <w:w w:val="100"/>
          <w:position w:val="0"/>
        </w:rPr>
        <w:t>18,664.56</w:t>
      </w:r>
      <w:r>
        <w:rPr>
          <w:color w:val="000000"/>
          <w:spacing w:val="0"/>
          <w:w w:val="100"/>
          <w:position w:val="0"/>
        </w:rPr>
        <w:t>万元，新增股份</w:t>
      </w:r>
      <w:r>
        <w:rPr>
          <w:rFonts w:ascii="Times New Roman" w:eastAsia="Times New Roman" w:hAnsi="Times New Roman" w:cs="Times New Roman"/>
          <w:color w:val="000000"/>
          <w:spacing w:val="0"/>
          <w:w w:val="100"/>
          <w:position w:val="0"/>
        </w:rPr>
        <w:t>18,664.56</w:t>
      </w:r>
      <w:r>
        <w:rPr>
          <w:color w:val="000000"/>
          <w:spacing w:val="0"/>
          <w:w w:val="100"/>
          <w:position w:val="0"/>
        </w:rPr>
        <w:t>万股。转增后公司注册资本为</w:t>
      </w:r>
      <w:r>
        <w:rPr>
          <w:rFonts w:ascii="Times New Roman" w:eastAsia="Times New Roman" w:hAnsi="Times New Roman" w:cs="Times New Roman"/>
          <w:color w:val="000000"/>
          <w:spacing w:val="0"/>
          <w:w w:val="100"/>
          <w:position w:val="0"/>
        </w:rPr>
        <w:t>55,993.67</w:t>
      </w:r>
      <w:r>
        <w:rPr>
          <w:color w:val="000000"/>
          <w:spacing w:val="0"/>
          <w:w w:val="100"/>
          <w:position w:val="0"/>
        </w:rPr>
        <w:t>万元，股份 总数</w:t>
      </w:r>
      <w:r>
        <w:rPr>
          <w:rFonts w:ascii="Times New Roman" w:eastAsia="Times New Roman" w:hAnsi="Times New Roman" w:cs="Times New Roman"/>
          <w:color w:val="000000"/>
          <w:spacing w:val="0"/>
          <w:w w:val="100"/>
          <w:position w:val="0"/>
        </w:rPr>
        <w:t>55,993.67</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日办妥工商变更登记。</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日公司控股股东内蒙古仁东科技有限公司的公司名称发生变更，由内蒙古正东云驱科技有限公司变更 为内蒙古仁东科技有限公司。</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日公司召开第四届董事会第二次会议，并于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 了《关于变更公司名称及证券简称的议案》，公司名称变更为：仁东控股股份有限公司。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日经北京市工商行政 管理局朝阳分局核准，公司控股股东内蒙古仁东科技有限公司名称变更为北京仁东信息技术有限公司。</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日，北京仁东信息技术有限公司（以下简称仁东信息）、仁东</w:t>
      </w:r>
      <w:r>
        <w:rPr>
          <w:rFonts w:ascii="Times New Roman" w:eastAsia="Times New Roman" w:hAnsi="Times New Roman" w:cs="Times New Roman"/>
          <w:color w:val="000000"/>
          <w:spacing w:val="0"/>
          <w:w w:val="100"/>
          <w:position w:val="0"/>
        </w:rPr>
        <w:t>（</w:t>
      </w:r>
      <w:r>
        <w:rPr>
          <w:color w:val="000000"/>
          <w:spacing w:val="0"/>
          <w:w w:val="100"/>
          <w:position w:val="0"/>
        </w:rPr>
        <w:t>天津</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天津仁 东</w:t>
      </w:r>
      <w:r>
        <w:rPr>
          <w:rFonts w:ascii="Times New Roman" w:eastAsia="Times New Roman" w:hAnsi="Times New Roman" w:cs="Times New Roman"/>
          <w:color w:val="000000"/>
          <w:spacing w:val="0"/>
          <w:w w:val="100"/>
          <w:position w:val="0"/>
        </w:rPr>
        <w:t>”）</w:t>
      </w:r>
      <w:r>
        <w:rPr>
          <w:color w:val="000000"/>
          <w:spacing w:val="0"/>
          <w:w w:val="100"/>
          <w:position w:val="0"/>
        </w:rPr>
        <w:t>、仁东（天津）科技发展集团有限公司、霍东与北京海淀科技金融资本控股集团股份有限公司（以下简称海科金集团） 签署了《关于仁东控股股份有限公司的股份委托管理协议》，仁东信息将其持有的仁东控股</w:t>
      </w:r>
      <w:r>
        <w:rPr>
          <w:rFonts w:ascii="Times New Roman" w:eastAsia="Times New Roman" w:hAnsi="Times New Roman" w:cs="Times New Roman"/>
          <w:color w:val="000000"/>
          <w:spacing w:val="0"/>
          <w:w w:val="100"/>
          <w:position w:val="0"/>
        </w:rPr>
        <w:t>119,088,160</w:t>
      </w:r>
      <w:r>
        <w:rPr>
          <w:color w:val="000000"/>
          <w:spacing w:val="0"/>
          <w:w w:val="100"/>
          <w:position w:val="0"/>
        </w:rPr>
        <w:t>股股份（占上市公 司总股本的</w:t>
      </w:r>
      <w:r>
        <w:rPr>
          <w:rFonts w:ascii="Times New Roman" w:eastAsia="Times New Roman" w:hAnsi="Times New Roman" w:cs="Times New Roman"/>
          <w:color w:val="000000"/>
          <w:spacing w:val="0"/>
          <w:w w:val="100"/>
          <w:position w:val="0"/>
        </w:rPr>
        <w:t>21.27%</w:t>
      </w:r>
      <w:r>
        <w:rPr>
          <w:color w:val="000000"/>
          <w:spacing w:val="0"/>
          <w:w w:val="100"/>
          <w:position w:val="0"/>
        </w:rPr>
        <w:t>）对应的表决权等股东权利委托海科金集团进行管理。同时，仁东信息、天津仁东与海科金集团签署了 《关于仁东控股股份有限公司的一致行动协议》（以下简称</w:t>
      </w:r>
      <w:r>
        <w:rPr>
          <w:rFonts w:ascii="Times New Roman" w:eastAsia="Times New Roman" w:hAnsi="Times New Roman" w:cs="Times New Roman"/>
          <w:color w:val="000000"/>
          <w:spacing w:val="0"/>
          <w:w w:val="100"/>
          <w:position w:val="0"/>
        </w:rPr>
        <w:t>“</w:t>
      </w:r>
      <w:r>
        <w:rPr>
          <w:color w:val="000000"/>
          <w:spacing w:val="0"/>
          <w:w w:val="100"/>
          <w:position w:val="0"/>
        </w:rPr>
        <w:t>《一致行动协议厂</w:t>
      </w:r>
      <w:r>
        <w:rPr>
          <w:color w:val="000000"/>
          <w:spacing w:val="0"/>
          <w:w w:val="100"/>
          <w:position w:val="0"/>
        </w:rPr>
        <w:t>'）</w:t>
      </w:r>
      <w:r>
        <w:rPr>
          <w:color w:val="000000"/>
          <w:spacing w:val="0"/>
          <w:w w:val="100"/>
          <w:position w:val="0"/>
        </w:rPr>
        <w:t>，仁东信息、天津仁东、海科金集团同意， 托管期限内，在上市公司所有重大事项决策中，保持一致行动，仁东信息、天津仁东应当与海科金集团取得一致意见，若无 法形成一致意见，以海科金集团的意见为一致表决意见。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日，上述协议正式生效，海科金集团将通过股份托管 的方式持有上市公司</w:t>
      </w:r>
      <w:r>
        <w:rPr>
          <w:rFonts w:ascii="Times New Roman" w:eastAsia="Times New Roman" w:hAnsi="Times New Roman" w:cs="Times New Roman"/>
          <w:color w:val="000000"/>
          <w:spacing w:val="0"/>
          <w:w w:val="100"/>
          <w:position w:val="0"/>
        </w:rPr>
        <w:t>119,088,160</w:t>
      </w:r>
      <w:r>
        <w:rPr>
          <w:color w:val="000000"/>
          <w:spacing w:val="0"/>
          <w:w w:val="100"/>
          <w:position w:val="0"/>
        </w:rPr>
        <w:t>股股份对应的表决权，占上市公司总股本的</w:t>
      </w:r>
      <w:r>
        <w:rPr>
          <w:rFonts w:ascii="Times New Roman" w:eastAsia="Times New Roman" w:hAnsi="Times New Roman" w:cs="Times New Roman"/>
          <w:color w:val="000000"/>
          <w:spacing w:val="0"/>
          <w:w w:val="100"/>
          <w:position w:val="0"/>
        </w:rPr>
        <w:t>21.27%</w:t>
      </w:r>
      <w:r>
        <w:rPr>
          <w:color w:val="000000"/>
          <w:spacing w:val="0"/>
          <w:w w:val="100"/>
          <w:position w:val="0"/>
        </w:rPr>
        <w:t>。通过《关于仁东控股股份有限公司的 一致行动协议》，海科金集团及其一致行动人将合计控制上市公司</w:t>
      </w:r>
      <w:r>
        <w:rPr>
          <w:rFonts w:ascii="Times New Roman" w:eastAsia="Times New Roman" w:hAnsi="Times New Roman" w:cs="Times New Roman"/>
          <w:color w:val="000000"/>
          <w:spacing w:val="0"/>
          <w:w w:val="100"/>
          <w:position w:val="0"/>
        </w:rPr>
        <w:t>29.93%</w:t>
      </w:r>
      <w:r>
        <w:rPr>
          <w:color w:val="000000"/>
          <w:spacing w:val="0"/>
          <w:w w:val="100"/>
          <w:position w:val="0"/>
        </w:rPr>
        <w:t>的股份表决权。海科金集团成为公司控股股东， 其实际控制人北京市海淀区人民政府国有资产监督管理委员会成为公司的实际控制人。截至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本公司累计发 行股本总数</w:t>
      </w:r>
      <w:r>
        <w:rPr>
          <w:rFonts w:ascii="Times New Roman" w:eastAsia="Times New Roman" w:hAnsi="Times New Roman" w:cs="Times New Roman"/>
          <w:color w:val="000000"/>
          <w:spacing w:val="0"/>
          <w:w w:val="100"/>
          <w:position w:val="0"/>
        </w:rPr>
        <w:t>559,936,650.00</w:t>
      </w:r>
      <w:r>
        <w:rPr>
          <w:color w:val="000000"/>
          <w:spacing w:val="0"/>
          <w:w w:val="100"/>
          <w:position w:val="0"/>
        </w:rPr>
        <w:t>股，公司注册资本为</w:t>
      </w:r>
      <w:r>
        <w:rPr>
          <w:rFonts w:ascii="Times New Roman" w:eastAsia="Times New Roman" w:hAnsi="Times New Roman" w:cs="Times New Roman"/>
          <w:color w:val="000000"/>
          <w:spacing w:val="0"/>
          <w:w w:val="100"/>
          <w:position w:val="0"/>
        </w:rPr>
        <w:t>559,936,650.00</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日，仁东信息与海科金集团、天津仁东、仁东科技、霍东签署《终止股份委托管理关系和一致行动关系 的协议》，海科金集团不再拥有仁东信息持有的仁东控股</w:t>
      </w:r>
      <w:r>
        <w:rPr>
          <w:rFonts w:ascii="Times New Roman" w:eastAsia="Times New Roman" w:hAnsi="Times New Roman" w:cs="Times New Roman"/>
          <w:color w:val="000000"/>
          <w:spacing w:val="0"/>
          <w:w w:val="100"/>
          <w:position w:val="0"/>
        </w:rPr>
        <w:t>119,088,160</w:t>
      </w:r>
      <w:r>
        <w:rPr>
          <w:color w:val="000000"/>
          <w:spacing w:val="0"/>
          <w:w w:val="100"/>
          <w:position w:val="0"/>
        </w:rPr>
        <w:t>股股份对应的表决权等股东权利。同时，仁东信息及其 一致行动人天津仁东与海科金的一致行动关系终止。本次权益变动完成后，海科金集团不再拥有公司</w:t>
      </w:r>
      <w:r>
        <w:rPr>
          <w:rFonts w:ascii="Times New Roman" w:eastAsia="Times New Roman" w:hAnsi="Times New Roman" w:cs="Times New Roman"/>
          <w:color w:val="000000"/>
          <w:spacing w:val="0"/>
          <w:w w:val="100"/>
          <w:position w:val="0"/>
        </w:rPr>
        <w:t>160,994,805</w:t>
      </w:r>
      <w:r>
        <w:rPr>
          <w:color w:val="000000"/>
          <w:spacing w:val="0"/>
          <w:w w:val="100"/>
          <w:position w:val="0"/>
        </w:rPr>
        <w:t>股股份对应 的表决权，也未持有公司任何股份。仁东信息持有公司</w:t>
      </w:r>
      <w:r>
        <w:rPr>
          <w:rFonts w:ascii="Times New Roman" w:eastAsia="Times New Roman" w:hAnsi="Times New Roman" w:cs="Times New Roman"/>
          <w:color w:val="000000"/>
          <w:spacing w:val="0"/>
          <w:w w:val="100"/>
          <w:position w:val="0"/>
        </w:rPr>
        <w:t>131,513,847</w:t>
      </w:r>
      <w:r>
        <w:rPr>
          <w:color w:val="000000"/>
          <w:spacing w:val="0"/>
          <w:w w:val="100"/>
          <w:position w:val="0"/>
        </w:rPr>
        <w:t>股股份，其一致行动人天津仁东持有公司</w:t>
      </w:r>
      <w:r>
        <w:rPr>
          <w:rFonts w:ascii="Times New Roman" w:eastAsia="Times New Roman" w:hAnsi="Times New Roman" w:cs="Times New Roman"/>
          <w:color w:val="000000"/>
          <w:spacing w:val="0"/>
          <w:w w:val="100"/>
          <w:position w:val="0"/>
        </w:rPr>
        <w:t>29,480,958</w:t>
      </w:r>
      <w:r>
        <w:rPr>
          <w:color w:val="000000"/>
          <w:spacing w:val="0"/>
          <w:w w:val="100"/>
          <w:position w:val="0"/>
        </w:rPr>
        <w:t>股股 份，霍东将通过间接方式合计持有公司</w:t>
      </w:r>
      <w:r>
        <w:rPr>
          <w:rFonts w:ascii="Times New Roman" w:eastAsia="Times New Roman" w:hAnsi="Times New Roman" w:cs="Times New Roman"/>
          <w:color w:val="000000"/>
          <w:spacing w:val="0"/>
          <w:w w:val="100"/>
          <w:position w:val="0"/>
        </w:rPr>
        <w:t>160,994,805</w:t>
      </w:r>
      <w:r>
        <w:rPr>
          <w:color w:val="000000"/>
          <w:spacing w:val="0"/>
          <w:w w:val="100"/>
          <w:position w:val="0"/>
        </w:rPr>
        <w:t>股股份，占上市公司总股本的</w:t>
      </w:r>
      <w:r>
        <w:rPr>
          <w:rFonts w:ascii="Times New Roman" w:eastAsia="Times New Roman" w:hAnsi="Times New Roman" w:cs="Times New Roman"/>
          <w:color w:val="000000"/>
          <w:spacing w:val="0"/>
          <w:w w:val="100"/>
          <w:position w:val="0"/>
        </w:rPr>
        <w:t>28.75%</w:t>
      </w:r>
      <w:r>
        <w:rPr>
          <w:color w:val="000000"/>
          <w:spacing w:val="0"/>
          <w:w w:val="100"/>
          <w:position w:val="0"/>
        </w:rPr>
        <w:t>。公司控股股东正式变更为仁东信 息，实际控制人变更为霍东。</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法定代表人：王石山</w:t>
      </w:r>
    </w:p>
    <w:p>
      <w:pPr>
        <w:pStyle w:val="Style44"/>
        <w:keepNext w:val="0"/>
        <w:keepLines w:val="0"/>
        <w:widowControl w:val="0"/>
        <w:shd w:val="clear" w:color="auto" w:fill="auto"/>
        <w:bidi w:val="0"/>
        <w:spacing w:before="0" w:after="0" w:line="314" w:lineRule="exact"/>
        <w:ind w:left="0" w:right="0" w:firstLine="440"/>
        <w:jc w:val="both"/>
      </w:pPr>
      <w:r>
        <w:rPr>
          <w:rFonts w:ascii="SimSun" w:eastAsia="SimSun" w:hAnsi="SimSun" w:cs="SimSun"/>
          <w:color w:val="000000"/>
          <w:spacing w:val="0"/>
          <w:w w:val="100"/>
          <w:position w:val="0"/>
        </w:rPr>
        <w:t>企业法人营业执照统一社会信用代码：</w:t>
      </w:r>
      <w:r>
        <w:rPr>
          <w:color w:val="000000"/>
          <w:spacing w:val="0"/>
          <w:w w:val="100"/>
          <w:position w:val="0"/>
        </w:rPr>
        <w:t>91330000753974205M</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注册地：浙江省诸暨市大唐镇开元东路</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本公司经营范围：实业投资，资产管理。</w:t>
      </w:r>
      <w:r>
        <w:rPr>
          <w:color w:val="000000"/>
          <w:spacing w:val="0"/>
          <w:w w:val="100"/>
          <w:position w:val="0"/>
        </w:rPr>
        <w:t>（</w:t>
      </w:r>
      <w:r>
        <w:rPr>
          <w:color w:val="000000"/>
          <w:spacing w:val="0"/>
          <w:w w:val="100"/>
          <w:position w:val="0"/>
        </w:rPr>
        <w:t>未经金融等监管部门批准不得从事向公众融资存款、融资担保、代客理财等金融 服务</w:t>
      </w:r>
      <w:r>
        <w:rPr>
          <w:rFonts w:ascii="Times New Roman" w:eastAsia="Times New Roman" w:hAnsi="Times New Roman" w:cs="Times New Roman"/>
          <w:color w:val="000000"/>
          <w:spacing w:val="0"/>
          <w:w w:val="100"/>
          <w:position w:val="0"/>
        </w:rPr>
        <w:t>）</w:t>
      </w:r>
      <w:r>
        <w:rPr>
          <w:color w:val="000000"/>
          <w:spacing w:val="0"/>
          <w:w w:val="100"/>
          <w:position w:val="0"/>
        </w:rPr>
        <w:t>，投资咨询服务，信息系统集成服务，信息技术咨询服务，数据处理、数据库服务，企业征信服务，网络技术的研究 开发、技术咨询、技术服务，软件开发，企业管理咨询服务，供应链管理，从事进出口业务。</w:t>
      </w:r>
      <w:r>
        <w:rPr>
          <w:color w:val="000000"/>
          <w:spacing w:val="0"/>
          <w:w w:val="100"/>
          <w:position w:val="0"/>
        </w:rPr>
        <w:t>（</w:t>
      </w:r>
      <w:r>
        <w:rPr>
          <w:color w:val="000000"/>
          <w:spacing w:val="0"/>
          <w:w w:val="100"/>
          <w:position w:val="0"/>
        </w:rPr>
        <w:t>依法须经批准的项目，经相 关部门批准后方可开展经营活动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本财务报告已于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日经公司第四届董事会第二十一次会议批准报出。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21</w:t>
      </w:r>
      <w:r>
        <w:rPr>
          <w:color w:val="000000"/>
          <w:spacing w:val="0"/>
          <w:w w:val="100"/>
          <w:position w:val="0"/>
        </w:rPr>
        <w:t>家，详见附注九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。与上年度相比，本公司本年度合并范围 新增</w:t>
      </w:r>
      <w:r>
        <w:rPr>
          <w:rFonts w:ascii="Times New Roman" w:eastAsia="Times New Roman" w:hAnsi="Times New Roman" w:cs="Times New Roman"/>
          <w:color w:val="000000"/>
          <w:spacing w:val="0"/>
          <w:w w:val="100"/>
          <w:position w:val="0"/>
        </w:rPr>
        <w:t>2</w:t>
      </w:r>
      <w:r>
        <w:rPr>
          <w:color w:val="000000"/>
          <w:spacing w:val="0"/>
          <w:w w:val="100"/>
          <w:position w:val="0"/>
        </w:rPr>
        <w:t>家，详见附注八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98" w:val="left"/>
        </w:tabs>
        <w:bidi w:val="0"/>
        <w:spacing w:before="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sz w:val="24"/>
          <w:szCs w:val="24"/>
        </w:rPr>
        <w:t>四</w:t>
      </w:r>
      <w:bookmarkEnd w:id="701"/>
      <w:r>
        <w:rPr>
          <w:color w:val="000000"/>
          <w:spacing w:val="0"/>
          <w:w w:val="100"/>
          <w:position w:val="0"/>
          <w:sz w:val="24"/>
          <w:szCs w:val="24"/>
        </w:rPr>
        <w:t>、</w:t>
        <w:tab/>
        <w:t>财务报表的编制基础</w:t>
      </w:r>
      <w:bookmarkEnd w:id="699"/>
      <w:bookmarkEnd w:id="700"/>
      <w:bookmarkEnd w:id="702"/>
    </w:p>
    <w:p>
      <w:pPr>
        <w:pStyle w:val="Style33"/>
        <w:keepNext/>
        <w:keepLines/>
        <w:widowControl w:val="0"/>
        <w:shd w:val="clear" w:color="auto" w:fill="auto"/>
        <w:tabs>
          <w:tab w:pos="368" w:val="left"/>
        </w:tabs>
        <w:bidi w:val="0"/>
        <w:spacing w:before="0" w:after="180" w:line="326"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w:t>
        <w:tab/>
        <w:t>编制基础</w:t>
      </w:r>
      <w:bookmarkEnd w:id="703"/>
      <w:bookmarkEnd w:id="704"/>
      <w:bookmarkEnd w:id="706"/>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本公司财务报表以持续经营假设为基础，根据实际发生的交易和事项，按照财政部于</w:t>
      </w:r>
      <w:r>
        <w:rPr>
          <w:b/>
          <w:bCs/>
          <w:color w:val="000000"/>
          <w:spacing w:val="0"/>
          <w:w w:val="100"/>
          <w:position w:val="0"/>
        </w:rPr>
        <w:t>2006</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15</w:t>
      </w:r>
      <w:r>
        <w:rPr>
          <w:color w:val="000000"/>
          <w:spacing w:val="0"/>
          <w:w w:val="100"/>
          <w:position w:val="0"/>
        </w:rPr>
        <w:t>日及以后 颁布的《企业会计准则一基本准则》和各项具体会计准则、企业会计准则应用指南、企业会计准则解释及其 他相关规定（以下合称</w:t>
      </w:r>
      <w:r>
        <w:rPr>
          <w:b/>
          <w:bCs/>
          <w:color w:val="000000"/>
          <w:spacing w:val="0"/>
          <w:w w:val="100"/>
          <w:position w:val="0"/>
        </w:rPr>
        <w:t>“</w:t>
      </w:r>
      <w:r>
        <w:rPr>
          <w:color w:val="000000"/>
          <w:spacing w:val="0"/>
          <w:w w:val="100"/>
          <w:position w:val="0"/>
        </w:rPr>
        <w:t>企业会计准则</w:t>
      </w:r>
      <w:r>
        <w:rPr>
          <w:b/>
          <w:bCs/>
          <w:color w:val="000000"/>
          <w:spacing w:val="0"/>
          <w:w w:val="100"/>
          <w:position w:val="0"/>
        </w:rPr>
        <w:t>”</w:t>
      </w:r>
      <w:r>
        <w:rPr>
          <w:color w:val="000000"/>
          <w:spacing w:val="0"/>
          <w:w w:val="100"/>
          <w:position w:val="0"/>
        </w:rPr>
        <w:t>），以及中国证券监督管理委员会《公开发行证券的公司信息披露编报 规则第</w:t>
      </w:r>
      <w:r>
        <w:rPr>
          <w:b/>
          <w:bCs/>
          <w:color w:val="000000"/>
          <w:spacing w:val="0"/>
          <w:w w:val="100"/>
          <w:position w:val="0"/>
        </w:rPr>
        <w:t>15</w:t>
      </w:r>
      <w:r>
        <w:rPr>
          <w:color w:val="000000"/>
          <w:spacing w:val="0"/>
          <w:w w:val="100"/>
          <w:position w:val="0"/>
        </w:rPr>
        <w:t>号——财务报告的一般规定》的披露规定编制。</w:t>
      </w:r>
    </w:p>
    <w:p>
      <w:pPr>
        <w:pStyle w:val="Style37"/>
        <w:keepNext w:val="0"/>
        <w:keepLines w:val="0"/>
        <w:widowControl w:val="0"/>
        <w:shd w:val="clear" w:color="auto" w:fill="auto"/>
        <w:bidi w:val="0"/>
        <w:spacing w:before="0" w:after="360" w:line="313" w:lineRule="exact"/>
        <w:ind w:left="0" w:right="0"/>
        <w:jc w:val="both"/>
      </w:pPr>
      <w:r>
        <w:rPr>
          <w:color w:val="000000"/>
          <w:spacing w:val="0"/>
          <w:w w:val="100"/>
          <w:position w:val="0"/>
        </w:rPr>
        <w:t>根据企业会计准则的相关规定，本公司会计核算以权责发生制为基础。除某些金融工具外，本财务报表均 以历史成本为计量基础。资产如果发生减值，则按照相关规定计提相应的减值准备。</w:t>
      </w:r>
    </w:p>
    <w:p>
      <w:pPr>
        <w:pStyle w:val="Style33"/>
        <w:keepNext/>
        <w:keepLines/>
        <w:widowControl w:val="0"/>
        <w:shd w:val="clear" w:color="auto" w:fill="auto"/>
        <w:tabs>
          <w:tab w:pos="378" w:val="left"/>
        </w:tabs>
        <w:bidi w:val="0"/>
        <w:spacing w:before="0" w:after="180" w:line="326"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持续经营</w:t>
      </w:r>
      <w:bookmarkEnd w:id="707"/>
      <w:bookmarkEnd w:id="708"/>
      <w:bookmarkEnd w:id="710"/>
    </w:p>
    <w:p>
      <w:pPr>
        <w:pStyle w:val="Style37"/>
        <w:keepNext w:val="0"/>
        <w:keepLines w:val="0"/>
        <w:widowControl w:val="0"/>
        <w:shd w:val="clear" w:color="auto" w:fill="auto"/>
        <w:bidi w:val="0"/>
        <w:spacing w:before="0" w:after="360" w:line="313" w:lineRule="exact"/>
        <w:ind w:left="0" w:right="0" w:firstLine="420"/>
        <w:jc w:val="both"/>
      </w:pPr>
      <w:r>
        <w:rPr>
          <w:color w:val="000000"/>
          <w:spacing w:val="0"/>
          <w:w w:val="100"/>
          <w:position w:val="0"/>
        </w:rPr>
        <w:t>公司自本报告期末至少</w:t>
      </w:r>
      <w:r>
        <w:rPr>
          <w:b/>
          <w:bCs/>
          <w:color w:val="000000"/>
          <w:spacing w:val="0"/>
          <w:w w:val="100"/>
          <w:position w:val="0"/>
        </w:rPr>
        <w:t>12</w:t>
      </w:r>
      <w:r>
        <w:rPr>
          <w:color w:val="000000"/>
          <w:spacing w:val="0"/>
          <w:w w:val="100"/>
          <w:position w:val="0"/>
        </w:rPr>
        <w:t>个月内具备持续经营能力，无影响持续经营能力的重大事项。</w:t>
      </w:r>
    </w:p>
    <w:p>
      <w:pPr>
        <w:pStyle w:val="Style24"/>
        <w:keepNext/>
        <w:keepLines/>
        <w:widowControl w:val="0"/>
        <w:shd w:val="clear" w:color="auto" w:fill="auto"/>
        <w:tabs>
          <w:tab w:pos="517" w:val="left"/>
        </w:tabs>
        <w:bidi w:val="0"/>
        <w:spacing w:before="0" w:after="28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五</w:t>
      </w:r>
      <w:bookmarkEnd w:id="713"/>
      <w:r>
        <w:rPr>
          <w:color w:val="000000"/>
          <w:spacing w:val="0"/>
          <w:w w:val="100"/>
          <w:position w:val="0"/>
          <w:sz w:val="24"/>
          <w:szCs w:val="24"/>
        </w:rPr>
        <w:t>、</w:t>
        <w:tab/>
        <w:t>重要会计政策及会计估计</w:t>
      </w:r>
      <w:bookmarkEnd w:id="711"/>
      <w:bookmarkEnd w:id="712"/>
      <w:bookmarkEnd w:id="714"/>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本公司及各子公司根据实际生产经营特点，依据相关企业会计准则的规定，对应收款项的坏账准备的确认标准和计提方 法、收入确认等交易和事项指定了若干具体会计政策和会计估计。</w:t>
      </w:r>
    </w:p>
    <w:p>
      <w:pPr>
        <w:pStyle w:val="Style33"/>
        <w:keepNext/>
        <w:keepLines/>
        <w:widowControl w:val="0"/>
        <w:shd w:val="clear" w:color="auto" w:fill="auto"/>
        <w:bidi w:val="0"/>
        <w:spacing w:before="0" w:after="280" w:line="313" w:lineRule="exact"/>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color w:val="000000"/>
          <w:spacing w:val="0"/>
          <w:w w:val="100"/>
          <w:position w:val="0"/>
        </w:rPr>
        <w:t>、遵循企业会计准则的声明</w:t>
      </w:r>
      <w:bookmarkEnd w:id="715"/>
      <w:bookmarkEnd w:id="716"/>
      <w:bookmarkEnd w:id="718"/>
    </w:p>
    <w:p>
      <w:pPr>
        <w:pStyle w:val="Style37"/>
        <w:keepNext w:val="0"/>
        <w:keepLines w:val="0"/>
        <w:widowControl w:val="0"/>
        <w:shd w:val="clear" w:color="auto" w:fill="auto"/>
        <w:bidi w:val="0"/>
        <w:spacing w:before="0" w:after="620" w:line="307" w:lineRule="exact"/>
        <w:ind w:left="0" w:right="0"/>
        <w:jc w:val="both"/>
      </w:pPr>
      <w:r>
        <w:rPr>
          <w:color w:val="000000"/>
          <w:spacing w:val="0"/>
          <w:w w:val="100"/>
          <w:position w:val="0"/>
        </w:rPr>
        <w:t>本财务报表符合企业会计准则的要求，真实、完整地反映了本公司</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日的合并及公司财务状况 以及</w:t>
      </w:r>
      <w:r>
        <w:rPr>
          <w:b/>
          <w:bCs/>
          <w:color w:val="000000"/>
          <w:spacing w:val="0"/>
          <w:w w:val="100"/>
          <w:position w:val="0"/>
        </w:rPr>
        <w:t>2020</w:t>
      </w:r>
      <w:r>
        <w:rPr>
          <w:color w:val="000000"/>
          <w:spacing w:val="0"/>
          <w:w w:val="100"/>
          <w:position w:val="0"/>
        </w:rPr>
        <w:t>年度的合并及公司经营成果和现金流量。</w:t>
      </w:r>
    </w:p>
    <w:p>
      <w:pPr>
        <w:pStyle w:val="Style33"/>
        <w:keepNext/>
        <w:keepLines/>
        <w:widowControl w:val="0"/>
        <w:shd w:val="clear" w:color="auto" w:fill="auto"/>
        <w:tabs>
          <w:tab w:pos="378" w:val="left"/>
        </w:tabs>
        <w:bidi w:val="0"/>
        <w:spacing w:before="0" w:after="280" w:line="317" w:lineRule="exact"/>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2</w:t>
      </w:r>
      <w:bookmarkEnd w:id="721"/>
      <w:r>
        <w:rPr>
          <w:color w:val="000000"/>
          <w:spacing w:val="0"/>
          <w:w w:val="100"/>
          <w:position w:val="0"/>
        </w:rPr>
        <w:t>、</w:t>
        <w:tab/>
        <w:t>会计期间</w:t>
      </w:r>
      <w:bookmarkEnd w:id="719"/>
      <w:bookmarkEnd w:id="720"/>
      <w:bookmarkEnd w:id="722"/>
    </w:p>
    <w:p>
      <w:pPr>
        <w:pStyle w:val="Style37"/>
        <w:keepNext w:val="0"/>
        <w:keepLines w:val="0"/>
        <w:widowControl w:val="0"/>
        <w:shd w:val="clear" w:color="auto" w:fill="auto"/>
        <w:bidi w:val="0"/>
        <w:spacing w:before="0" w:after="280" w:line="307" w:lineRule="exact"/>
        <w:ind w:left="0" w:right="0" w:firstLine="500"/>
        <w:jc w:val="both"/>
      </w:pPr>
      <w:r>
        <w:rPr>
          <w:color w:val="000000"/>
          <w:spacing w:val="0"/>
          <w:w w:val="100"/>
          <w:position w:val="0"/>
        </w:rPr>
        <w:t>本公司的会计期间分为年度和中期，会计中期指短于一个完整的会计年度的报告期间。本公司会计年度采 用公历年度，即每年自</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80" w:line="317" w:lineRule="exact"/>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3</w:t>
      </w:r>
      <w:bookmarkEnd w:id="725"/>
      <w:r>
        <w:rPr>
          <w:color w:val="000000"/>
          <w:spacing w:val="0"/>
          <w:w w:val="100"/>
          <w:position w:val="0"/>
        </w:rPr>
        <w:t>、</w:t>
        <w:tab/>
        <w:t>营业周期</w:t>
      </w:r>
      <w:bookmarkEnd w:id="723"/>
      <w:bookmarkEnd w:id="724"/>
      <w:bookmarkEnd w:id="726"/>
    </w:p>
    <w:p>
      <w:pPr>
        <w:pStyle w:val="Style37"/>
        <w:keepNext w:val="0"/>
        <w:keepLines w:val="0"/>
        <w:widowControl w:val="0"/>
        <w:shd w:val="clear" w:color="auto" w:fill="auto"/>
        <w:bidi w:val="0"/>
        <w:spacing w:before="0" w:after="280" w:line="322" w:lineRule="exact"/>
        <w:ind w:left="0" w:right="0" w:firstLine="580"/>
        <w:jc w:val="both"/>
      </w:pPr>
      <w:r>
        <w:rPr>
          <w:color w:val="000000"/>
          <w:spacing w:val="0"/>
          <w:w w:val="100"/>
          <w:position w:val="0"/>
        </w:rPr>
        <w:t>正常营业周期是指本公司从购买用于加工的资产起至实现现金或现金等价物的期间。本公司以</w:t>
      </w:r>
      <w:r>
        <w:rPr>
          <w:b/>
          <w:bCs/>
          <w:color w:val="000000"/>
          <w:spacing w:val="0"/>
          <w:w w:val="100"/>
          <w:position w:val="0"/>
        </w:rPr>
        <w:t>12</w:t>
      </w:r>
      <w:r>
        <w:rPr>
          <w:color w:val="000000"/>
          <w:spacing w:val="0"/>
          <w:w w:val="100"/>
          <w:position w:val="0"/>
        </w:rPr>
        <w:t>个月作 为一个营业周期，并以其作为资产和负债的流动性划分标准。</w:t>
      </w:r>
    </w:p>
    <w:p>
      <w:pPr>
        <w:pStyle w:val="Style33"/>
        <w:keepNext/>
        <w:keepLines/>
        <w:widowControl w:val="0"/>
        <w:shd w:val="clear" w:color="auto" w:fill="auto"/>
        <w:tabs>
          <w:tab w:pos="378" w:val="left"/>
        </w:tabs>
        <w:bidi w:val="0"/>
        <w:spacing w:before="0" w:after="280" w:line="317" w:lineRule="exact"/>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4</w:t>
      </w:r>
      <w:bookmarkEnd w:id="729"/>
      <w:r>
        <w:rPr>
          <w:color w:val="000000"/>
          <w:spacing w:val="0"/>
          <w:w w:val="100"/>
          <w:position w:val="0"/>
        </w:rPr>
        <w:t>、</w:t>
        <w:tab/>
        <w:t>记账本位币</w:t>
      </w:r>
      <w:bookmarkEnd w:id="727"/>
      <w:bookmarkEnd w:id="728"/>
      <w:bookmarkEnd w:id="730"/>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本公司以人民币为记账本位币。</w:t>
      </w:r>
    </w:p>
    <w:p>
      <w:pPr>
        <w:pStyle w:val="Style37"/>
        <w:keepNext w:val="0"/>
        <w:keepLines w:val="0"/>
        <w:widowControl w:val="0"/>
        <w:shd w:val="clear" w:color="auto" w:fill="auto"/>
        <w:bidi w:val="0"/>
        <w:spacing w:before="0" w:after="280" w:line="317" w:lineRule="exact"/>
        <w:ind w:left="0" w:right="0"/>
        <w:jc w:val="both"/>
      </w:pPr>
      <w:r>
        <w:rPr>
          <w:color w:val="000000"/>
          <w:spacing w:val="0"/>
          <w:w w:val="100"/>
          <w:position w:val="0"/>
        </w:rPr>
        <w:t>本公司下属子公司、合营企业及联营企业，根据其经营所处的主要经济环境自行决定其记账本位币，编制 财务报表时折算为人民币。</w:t>
      </w:r>
    </w:p>
    <w:p>
      <w:pPr>
        <w:pStyle w:val="Style33"/>
        <w:keepNext/>
        <w:keepLines/>
        <w:widowControl w:val="0"/>
        <w:shd w:val="clear" w:color="auto" w:fill="auto"/>
        <w:bidi w:val="0"/>
        <w:spacing w:before="0" w:after="280" w:line="311" w:lineRule="exact"/>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5</w:t>
      </w:r>
      <w:bookmarkEnd w:id="733"/>
      <w:r>
        <w:rPr>
          <w:color w:val="000000"/>
          <w:spacing w:val="0"/>
          <w:w w:val="100"/>
          <w:position w:val="0"/>
        </w:rPr>
        <w:t>、同一控制下和非同一控制下企业合并的会计处理方法</w:t>
      </w:r>
      <w:bookmarkEnd w:id="731"/>
      <w:bookmarkEnd w:id="732"/>
      <w:bookmarkEnd w:id="734"/>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企业合并，是指将两个或两个以上单独的企业合并形成一个报告主体的交易或事项。企业合并分为同一控 制下企业合并和非同一控制下企业合并。</w:t>
      </w:r>
    </w:p>
    <w:p>
      <w:pPr>
        <w:pStyle w:val="Style37"/>
        <w:keepNext w:val="0"/>
        <w:keepLines w:val="0"/>
        <w:widowControl w:val="0"/>
        <w:shd w:val="clear" w:color="auto" w:fill="auto"/>
        <w:tabs>
          <w:tab w:pos="844" w:val="left"/>
        </w:tabs>
        <w:bidi w:val="0"/>
        <w:spacing w:before="0" w:after="0" w:line="311" w:lineRule="exact"/>
        <w:ind w:left="0" w:right="0"/>
        <w:jc w:val="both"/>
      </w:pPr>
      <w:bookmarkStart w:id="735" w:name="bookmark735"/>
      <w:r>
        <w:rPr>
          <w:color w:val="000000"/>
          <w:spacing w:val="0"/>
          <w:w w:val="100"/>
          <w:position w:val="0"/>
        </w:rPr>
        <w:t>（</w:t>
      </w:r>
      <w:bookmarkEnd w:id="735"/>
      <w:r>
        <w:rPr>
          <w:b/>
          <w:bCs/>
          <w:color w:val="000000"/>
          <w:spacing w:val="0"/>
          <w:w w:val="100"/>
          <w:position w:val="0"/>
        </w:rPr>
        <w:t>1</w:t>
      </w:r>
      <w:r>
        <w:rPr>
          <w:color w:val="000000"/>
          <w:spacing w:val="0"/>
          <w:w w:val="100"/>
          <w:position w:val="0"/>
        </w:rPr>
        <w:t>）</w:t>
        <w:tab/>
        <w:t>同一控制下企业合并</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参与合并的企业在合并前后均受同一方或相同的多方最终控制，且该控制并非暂时性的，为同一控制下的 企业合并。同一控制下的企业合并，在合并日取得对其他参与合并企业控制权的一方为合并方，参与合并的其 他企业为被合并方。合并日，是指合并方实际取得对被合并方控制权的日期。</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合并方取得的资产和负债均按合并日在被合并方的账面价值计量。合并方取得的净资产账面价值与支付的 合并对价账面价值（或发行股份面值总额）的差额，调整资本公积（股本溢价）；资本公积（股本溢价）不足 以冲减的，调整留存收益。</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合并方为进行企业合并发生的各项直接费用，于发生时计入当期损益。</w:t>
      </w:r>
    </w:p>
    <w:p>
      <w:pPr>
        <w:pStyle w:val="Style37"/>
        <w:keepNext w:val="0"/>
        <w:keepLines w:val="0"/>
        <w:widowControl w:val="0"/>
        <w:shd w:val="clear" w:color="auto" w:fill="auto"/>
        <w:tabs>
          <w:tab w:pos="844" w:val="left"/>
        </w:tabs>
        <w:bidi w:val="0"/>
        <w:spacing w:before="0" w:after="0" w:line="311" w:lineRule="exact"/>
        <w:ind w:left="0" w:right="0"/>
        <w:jc w:val="both"/>
      </w:pPr>
      <w:bookmarkStart w:id="736" w:name="bookmark736"/>
      <w:r>
        <w:rPr>
          <w:color w:val="000000"/>
          <w:spacing w:val="0"/>
          <w:w w:val="100"/>
          <w:position w:val="0"/>
        </w:rPr>
        <w:t>（</w:t>
      </w:r>
      <w:bookmarkEnd w:id="736"/>
      <w:r>
        <w:rPr>
          <w:b/>
          <w:bCs/>
          <w:color w:val="000000"/>
          <w:spacing w:val="0"/>
          <w:w w:val="100"/>
          <w:position w:val="0"/>
        </w:rPr>
        <w:t>2</w:t>
      </w:r>
      <w:r>
        <w:rPr>
          <w:color w:val="000000"/>
          <w:spacing w:val="0"/>
          <w:w w:val="100"/>
          <w:position w:val="0"/>
        </w:rPr>
        <w:t>）</w:t>
        <w:tab/>
        <w:t>非同一控制下企业合并</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参与合并的企业在合并前后不受同一方或相同的多方最终控制的，为非同一控制下的企业合并。非同一控 制下的企业合并，在购买日取得对其他参与合并企业控制权的一方为购买方，参与合并的其他企业为被购买方。 购买日，是指为购买方实际取得对被购买方控制权的日期。</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对于非同一控制下的企业合并，合并成本包含购买日购买方为取得对被购买方的控制权而付出的资产、发 生或承担的负债以及发行的权益性证券的公允价值，为企业合并发生的审计、法律服务、评估咨询等中介费用 以及其他管理费用于发生时计入当期损益。购买方作为合并对价发行的权益性证券或债务性证券的交易费用， 计入权益性证券或债务性证券的初始确认金额。所涉及的或有对价按其在购买日的公允价值计入合并成本，购 买日后</w:t>
      </w:r>
      <w:r>
        <w:rPr>
          <w:b/>
          <w:bCs/>
          <w:color w:val="000000"/>
          <w:spacing w:val="0"/>
          <w:w w:val="100"/>
          <w:position w:val="0"/>
        </w:rPr>
        <w:t>12</w:t>
      </w:r>
      <w:r>
        <w:rPr>
          <w:color w:val="000000"/>
          <w:spacing w:val="0"/>
          <w:w w:val="100"/>
          <w:position w:val="0"/>
        </w:rPr>
        <w:t>个月内出现对购买日已存在情况的新的或进一步证据而需要调整或有对价的，相应调整合并商誉。购 买方发生的合并成本及在合并中取得的可辨认净资产按购买日的公允价值计量。合并成本大于合并中取得的被 购买方于购买日可辨认净资产公允价值份额的差额，确认为商誉。合并成本小于合并中取得的被购买方可辨认 净资产公允价值份额的，首先对取得的被购买方各项可辨认资产、负债及或有负债的公允价值以及合并成本的 计量进行复核，复核后合并成本仍小于合并中取得的被购买方可辨认净资产公允价值份额的，其差额计入当期 损益。</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购买方取得被购买方的可抵扣暂时性差异，在购买日因不符合递延所得税资产确认条件而未予确认的，在 购买日后</w:t>
      </w:r>
      <w:r>
        <w:rPr>
          <w:b/>
          <w:bCs/>
          <w:color w:val="000000"/>
          <w:spacing w:val="0"/>
          <w:w w:val="100"/>
          <w:position w:val="0"/>
        </w:rPr>
        <w:t>12</w:t>
      </w:r>
      <w:r>
        <w:rPr>
          <w:color w:val="000000"/>
          <w:spacing w:val="0"/>
          <w:w w:val="100"/>
          <w:position w:val="0"/>
        </w:rPr>
        <w:t>个月内，如取得新的或进一步的信息表明购买日的相关情况已经存在，预期被购买方在购买日可抵 扣暂时性差异带来的经济利益能够实现的，则确认相关的递延所得税资产，同时减少商誉，商誉不足冲减的， 差额部分确认为当期损益；除上述情况以外，确认与企业合并相关的递延所得税资产的，计入当期损益。</w:t>
      </w:r>
    </w:p>
    <w:p>
      <w:pPr>
        <w:pStyle w:val="Style37"/>
        <w:keepNext w:val="0"/>
        <w:keepLines w:val="0"/>
        <w:widowControl w:val="0"/>
        <w:shd w:val="clear" w:color="auto" w:fill="auto"/>
        <w:tabs>
          <w:tab w:pos="1310" w:val="left"/>
        </w:tabs>
        <w:bidi w:val="0"/>
        <w:spacing w:before="0" w:after="0" w:line="311" w:lineRule="exact"/>
        <w:ind w:left="0" w:right="0"/>
        <w:jc w:val="both"/>
      </w:pPr>
      <w:r>
        <w:rPr>
          <w:color w:val="000000"/>
          <w:spacing w:val="0"/>
          <w:w w:val="100"/>
          <w:position w:val="0"/>
        </w:rPr>
        <w:t>通过多次交易分步实现的非同一控制下企业合并，根据《财政部关于印发企业会计准则解释第</w:t>
      </w:r>
      <w:r>
        <w:rPr>
          <w:b/>
          <w:bCs/>
          <w:color w:val="000000"/>
          <w:spacing w:val="0"/>
          <w:w w:val="100"/>
          <w:position w:val="0"/>
        </w:rPr>
        <w:t>5</w:t>
      </w:r>
      <w:r>
        <w:rPr>
          <w:color w:val="000000"/>
          <w:spacing w:val="0"/>
          <w:w w:val="100"/>
          <w:position w:val="0"/>
        </w:rPr>
        <w:t>号的通知》 （财会〔</w:t>
      </w:r>
      <w:r>
        <w:rPr>
          <w:b/>
          <w:bCs/>
          <w:color w:val="000000"/>
          <w:spacing w:val="0"/>
          <w:w w:val="100"/>
          <w:position w:val="0"/>
        </w:rPr>
        <w:t>2012</w:t>
      </w:r>
      <w:r>
        <w:rPr>
          <w:color w:val="000000"/>
          <w:spacing w:val="0"/>
          <w:w w:val="100"/>
          <w:position w:val="0"/>
        </w:rPr>
        <w:t>）</w:t>
        <w:tab/>
      </w:r>
      <w:r>
        <w:rPr>
          <w:b/>
          <w:bCs/>
          <w:color w:val="000000"/>
          <w:spacing w:val="0"/>
          <w:w w:val="100"/>
          <w:position w:val="0"/>
        </w:rPr>
        <w:t>19</w:t>
      </w:r>
      <w:r>
        <w:rPr>
          <w:color w:val="000000"/>
          <w:spacing w:val="0"/>
          <w:w w:val="100"/>
          <w:position w:val="0"/>
        </w:rPr>
        <w:t>号）和《企业会计准则第</w:t>
      </w:r>
      <w:r>
        <w:rPr>
          <w:b/>
          <w:bCs/>
          <w:color w:val="000000"/>
          <w:spacing w:val="0"/>
          <w:w w:val="100"/>
          <w:position w:val="0"/>
        </w:rPr>
        <w:t>33</w:t>
      </w:r>
      <w:r>
        <w:rPr>
          <w:color w:val="000000"/>
          <w:spacing w:val="0"/>
          <w:w w:val="100"/>
          <w:position w:val="0"/>
        </w:rPr>
        <w:t>号——合并财务报表》第五十一条关于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的判断标准</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（参见本附注三、</w:t>
      </w:r>
      <w:r>
        <w:rPr>
          <w:b/>
          <w:bCs/>
          <w:color w:val="000000"/>
          <w:spacing w:val="0"/>
          <w:w w:val="100"/>
          <w:position w:val="0"/>
        </w:rPr>
        <w:t xml:space="preserve">6 </w:t>
      </w:r>
      <w:r>
        <w:rPr>
          <w:color w:val="000000"/>
          <w:spacing w:val="0"/>
          <w:w w:val="100"/>
          <w:position w:val="0"/>
        </w:rPr>
        <w:t>（</w:t>
      </w:r>
      <w:r>
        <w:rPr>
          <w:b/>
          <w:bCs/>
          <w:color w:val="000000"/>
          <w:spacing w:val="0"/>
          <w:w w:val="100"/>
          <w:position w:val="0"/>
        </w:rPr>
        <w:t>2</w:t>
      </w:r>
      <w:r>
        <w:rPr>
          <w:color w:val="000000"/>
          <w:spacing w:val="0"/>
          <w:w w:val="100"/>
          <w:position w:val="0"/>
        </w:rPr>
        <w:t>））,判断该多次交易是否属于</w:t>
      </w:r>
      <w:r>
        <w:rPr>
          <w:b/>
          <w:bCs/>
          <w:color w:val="000000"/>
          <w:spacing w:val="0"/>
          <w:w w:val="100"/>
          <w:position w:val="0"/>
        </w:rPr>
        <w:t>“</w:t>
      </w:r>
      <w:r>
        <w:rPr>
          <w:color w:val="000000"/>
          <w:spacing w:val="0"/>
          <w:w w:val="100"/>
          <w:position w:val="0"/>
        </w:rPr>
        <w:t>一揽子交易属于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的，参考本部分前面 各段描述及本附注三、</w:t>
      </w:r>
      <w:r>
        <w:rPr>
          <w:b/>
          <w:bCs/>
          <w:color w:val="000000"/>
          <w:spacing w:val="0"/>
          <w:w w:val="100"/>
          <w:position w:val="0"/>
        </w:rPr>
        <w:t>14“</w:t>
      </w:r>
      <w:r>
        <w:rPr>
          <w:color w:val="000000"/>
          <w:spacing w:val="0"/>
          <w:w w:val="100"/>
          <w:position w:val="0"/>
        </w:rPr>
        <w:t>长期股权投资</w:t>
      </w:r>
      <w:r>
        <w:rPr>
          <w:b/>
          <w:bCs/>
          <w:color w:val="000000"/>
          <w:spacing w:val="0"/>
          <w:w w:val="100"/>
          <w:position w:val="0"/>
        </w:rPr>
        <w:t>”</w:t>
      </w:r>
      <w:r>
        <w:rPr>
          <w:color w:val="000000"/>
          <w:spacing w:val="0"/>
          <w:w w:val="100"/>
          <w:position w:val="0"/>
        </w:rPr>
        <w:t>进行会计处理；不属于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的，区分个别财务报表和合并财 务报表进行相关会计处理：</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在个别财务报表中，以购买日之前所持被购买方的股权投资的账面价值与购买日新增投资成本之和，作为 该项投资的初始投资成本；购买日之前持有的被购买方的股权涉及其他综合收益的，在处置该项投资时将与其 相关的其他综合收益采用与被购买方直接处置相关资产或负债相同的基础进行会计处理（即，除了按照权益法 核算的在被购买方重新计量设定受益计划净负债或净资产导致的变动中的相应份额以外，其余转入当期投资收 益）。</w:t>
      </w:r>
    </w:p>
    <w:p>
      <w:pPr>
        <w:pStyle w:val="Style37"/>
        <w:keepNext w:val="0"/>
        <w:keepLines w:val="0"/>
        <w:widowControl w:val="0"/>
        <w:shd w:val="clear" w:color="auto" w:fill="auto"/>
        <w:bidi w:val="0"/>
        <w:spacing w:before="0" w:after="280" w:line="311" w:lineRule="exact"/>
        <w:ind w:left="0" w:right="0" w:firstLine="0"/>
        <w:jc w:val="both"/>
      </w:pPr>
      <w:r>
        <w:rPr>
          <w:color w:val="000000"/>
          <w:spacing w:val="0"/>
          <w:w w:val="100"/>
          <w:position w:val="0"/>
        </w:rPr>
        <w:t xml:space="preserve">在合并财务报表中，对于购买日之前持有的被购买方的股权，按照该股权在购买日的公允价值进行重新计量， 公允价值与其账面价值的差额计入当期投资收益；购买日之前持有的被购买方的股权涉及其他综合收益的，与 其相关的其他综合收益应当采用与被购买方直接处置相关资产或负债相同的基础进行会计处理（即，除了按照 权益法核算的在被购买方重新计量设定受益计划净负债或净资产导致的变动中的相应份额以外，其余转为购买 </w:t>
      </w:r>
      <w:r>
        <w:rPr>
          <w:color w:val="000000"/>
          <w:spacing w:val="0"/>
          <w:w w:val="100"/>
          <w:position w:val="0"/>
        </w:rPr>
        <w:t>日所属当期投资收益）。</w:t>
      </w:r>
    </w:p>
    <w:p>
      <w:pPr>
        <w:pStyle w:val="Style33"/>
        <w:keepNext/>
        <w:keepLines/>
        <w:widowControl w:val="0"/>
        <w:shd w:val="clear" w:color="auto" w:fill="auto"/>
        <w:bidi w:val="0"/>
        <w:spacing w:before="0" w:after="280" w:line="312"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6</w:t>
      </w:r>
      <w:bookmarkEnd w:id="739"/>
      <w:r>
        <w:rPr>
          <w:color w:val="000000"/>
          <w:spacing w:val="0"/>
          <w:w w:val="100"/>
          <w:position w:val="0"/>
        </w:rPr>
        <w:t>、合并财务报表的编制方法</w:t>
      </w:r>
      <w:bookmarkEnd w:id="737"/>
      <w:bookmarkEnd w:id="738"/>
      <w:bookmarkEnd w:id="740"/>
    </w:p>
    <w:p>
      <w:pPr>
        <w:pStyle w:val="Style37"/>
        <w:keepNext w:val="0"/>
        <w:keepLines w:val="0"/>
        <w:widowControl w:val="0"/>
        <w:shd w:val="clear" w:color="auto" w:fill="auto"/>
        <w:tabs>
          <w:tab w:pos="844" w:val="left"/>
        </w:tabs>
        <w:bidi w:val="0"/>
        <w:spacing w:before="0" w:after="0"/>
        <w:ind w:left="0" w:right="0"/>
        <w:jc w:val="both"/>
      </w:pPr>
      <w:bookmarkStart w:id="741" w:name="bookmark741"/>
      <w:r>
        <w:rPr>
          <w:color w:val="000000"/>
          <w:spacing w:val="0"/>
          <w:w w:val="100"/>
          <w:position w:val="0"/>
        </w:rPr>
        <w:t>（</w:t>
      </w:r>
      <w:bookmarkEnd w:id="741"/>
      <w:r>
        <w:rPr>
          <w:b/>
          <w:bCs/>
          <w:color w:val="000000"/>
          <w:spacing w:val="0"/>
          <w:w w:val="100"/>
          <w:position w:val="0"/>
        </w:rPr>
        <w:t>1</w:t>
      </w:r>
      <w:r>
        <w:rPr>
          <w:color w:val="000000"/>
          <w:spacing w:val="0"/>
          <w:w w:val="100"/>
          <w:position w:val="0"/>
        </w:rPr>
        <w:t>）</w:t>
        <w:tab/>
        <w:t>合并财务报表范围的确定原则</w:t>
      </w:r>
    </w:p>
    <w:p>
      <w:pPr>
        <w:pStyle w:val="Style37"/>
        <w:keepNext w:val="0"/>
        <w:keepLines w:val="0"/>
        <w:widowControl w:val="0"/>
        <w:shd w:val="clear" w:color="auto" w:fill="auto"/>
        <w:bidi w:val="0"/>
        <w:spacing w:before="0" w:after="0"/>
        <w:ind w:left="0" w:right="0"/>
        <w:jc w:val="both"/>
      </w:pPr>
      <w:r>
        <w:rPr>
          <w:color w:val="000000"/>
          <w:spacing w:val="0"/>
          <w:w w:val="100"/>
          <w:position w:val="0"/>
        </w:rPr>
        <w:t>合并财务报表的合并范围以控制为基础予以确定。控制是指本公司拥有对被投资方的权力，通过参与被投 资方的相关活动而享有可变回报，并且有能力运用对被投资方的权力影响该回报金额。合并范围包括本公司及 全部子公司。子公司，是指被本公司控制的主体。</w:t>
      </w:r>
    </w:p>
    <w:p>
      <w:pPr>
        <w:pStyle w:val="Style37"/>
        <w:keepNext w:val="0"/>
        <w:keepLines w:val="0"/>
        <w:widowControl w:val="0"/>
        <w:shd w:val="clear" w:color="auto" w:fill="auto"/>
        <w:bidi w:val="0"/>
        <w:spacing w:before="0" w:after="0"/>
        <w:ind w:left="0" w:right="0"/>
        <w:jc w:val="both"/>
      </w:pPr>
      <w:r>
        <w:rPr>
          <w:color w:val="000000"/>
          <w:spacing w:val="0"/>
          <w:w w:val="100"/>
          <w:position w:val="0"/>
        </w:rPr>
        <w:t>一旦相关事实和情况的变化导致上述控制定义涉及的相关要素发生了变化，本公司将进行重新评估。</w:t>
      </w:r>
    </w:p>
    <w:p>
      <w:pPr>
        <w:pStyle w:val="Style37"/>
        <w:keepNext w:val="0"/>
        <w:keepLines w:val="0"/>
        <w:widowControl w:val="0"/>
        <w:shd w:val="clear" w:color="auto" w:fill="auto"/>
        <w:tabs>
          <w:tab w:pos="844" w:val="left"/>
        </w:tabs>
        <w:bidi w:val="0"/>
        <w:spacing w:before="0" w:after="0"/>
        <w:ind w:left="0" w:right="0"/>
        <w:jc w:val="both"/>
      </w:pPr>
      <w:bookmarkStart w:id="742" w:name="bookmark742"/>
      <w:r>
        <w:rPr>
          <w:color w:val="000000"/>
          <w:spacing w:val="0"/>
          <w:w w:val="100"/>
          <w:position w:val="0"/>
        </w:rPr>
        <w:t>（</w:t>
      </w:r>
      <w:bookmarkEnd w:id="742"/>
      <w:r>
        <w:rPr>
          <w:b/>
          <w:bCs/>
          <w:color w:val="000000"/>
          <w:spacing w:val="0"/>
          <w:w w:val="100"/>
          <w:position w:val="0"/>
        </w:rPr>
        <w:t>2</w:t>
      </w:r>
      <w:r>
        <w:rPr>
          <w:color w:val="000000"/>
          <w:spacing w:val="0"/>
          <w:w w:val="100"/>
          <w:position w:val="0"/>
        </w:rPr>
        <w:t>）</w:t>
        <w:tab/>
        <w:t>合并财务报表编制的方法</w:t>
      </w:r>
    </w:p>
    <w:p>
      <w:pPr>
        <w:pStyle w:val="Style37"/>
        <w:keepNext w:val="0"/>
        <w:keepLines w:val="0"/>
        <w:widowControl w:val="0"/>
        <w:shd w:val="clear" w:color="auto" w:fill="auto"/>
        <w:bidi w:val="0"/>
        <w:spacing w:before="0" w:after="0"/>
        <w:ind w:left="0" w:right="0"/>
        <w:jc w:val="both"/>
      </w:pPr>
      <w:r>
        <w:rPr>
          <w:color w:val="000000"/>
          <w:spacing w:val="0"/>
          <w:w w:val="100"/>
          <w:position w:val="0"/>
        </w:rPr>
        <w:t>从取得子公司的净资产和生产经营决策的实际控制权之日起，本公司开始将其纳入合并范围；从丧失实际 控制权之日起停止纳入合并范围。对于处置的子公司，处置日前的经营成果和现金流量已经适当地包括在合并 利润表和合并现金流量表中；当期处置的子公司，不调整合并资产负债表的期初数。非同一控制下企业合并增 加的子公司，其购买日后的经营成果及现金流量已经适当地包括在合并利润表和合并现金流量表中，且不调整 合并财务报表的期初数和对比数。同一控制下企业合并增加的子公司及吸收合并下的被合并方，其自合并当期 期初至合并日的经营成果和现金流量已经适当地包括在合并利润表和合并现金流量表中，并且同时调整合并财 务报表的对比数。</w:t>
      </w:r>
    </w:p>
    <w:p>
      <w:pPr>
        <w:pStyle w:val="Style37"/>
        <w:keepNext w:val="0"/>
        <w:keepLines w:val="0"/>
        <w:widowControl w:val="0"/>
        <w:shd w:val="clear" w:color="auto" w:fill="auto"/>
        <w:bidi w:val="0"/>
        <w:spacing w:before="0" w:after="0"/>
        <w:ind w:left="0" w:right="0"/>
        <w:jc w:val="both"/>
      </w:pPr>
      <w:r>
        <w:rPr>
          <w:color w:val="000000"/>
          <w:spacing w:val="0"/>
          <w:w w:val="100"/>
          <w:position w:val="0"/>
        </w:rPr>
        <w:t>在编制合并财务报表时，子公司与本公司采用的会计政策或会计期间不一致的，按照本公司的会计政策和 会计期间对子公司财务报表进行必要的调整。对于非同一控制下企业合并取得的子公司，以购买日可辨认净资 产公允价值为基础对其财务报表进行调整。</w:t>
      </w:r>
    </w:p>
    <w:p>
      <w:pPr>
        <w:pStyle w:val="Style37"/>
        <w:keepNext w:val="0"/>
        <w:keepLines w:val="0"/>
        <w:widowControl w:val="0"/>
        <w:shd w:val="clear" w:color="auto" w:fill="auto"/>
        <w:bidi w:val="0"/>
        <w:spacing w:before="0" w:after="0"/>
        <w:ind w:left="0" w:right="0"/>
        <w:jc w:val="both"/>
      </w:pPr>
      <w:r>
        <w:rPr>
          <w:color w:val="000000"/>
          <w:spacing w:val="0"/>
          <w:w w:val="100"/>
          <w:position w:val="0"/>
        </w:rPr>
        <w:t>公司内往来余额、交易及未实现利润在合并财务报表编制时予以抵销。</w:t>
      </w:r>
    </w:p>
    <w:p>
      <w:pPr>
        <w:pStyle w:val="Style37"/>
        <w:keepNext w:val="0"/>
        <w:keepLines w:val="0"/>
        <w:widowControl w:val="0"/>
        <w:shd w:val="clear" w:color="auto" w:fill="auto"/>
        <w:bidi w:val="0"/>
        <w:spacing w:before="0" w:after="0"/>
        <w:ind w:left="0" w:right="0"/>
        <w:jc w:val="both"/>
      </w:pPr>
      <w:r>
        <w:rPr>
          <w:color w:val="000000"/>
          <w:spacing w:val="0"/>
          <w:w w:val="100"/>
          <w:position w:val="0"/>
        </w:rPr>
        <w:t>子公司的股东权益及当期净损益中不属于本公司所拥有的部分分别作为少数股东权益及少数股东损益在合 并财务报表中股东权益及净利润项下单独列示。子公司当期净损益中属于少数股东权益的份额，在合并利润表 中净利润项目下以</w:t>
      </w:r>
      <w:r>
        <w:rPr>
          <w:b/>
          <w:bCs/>
          <w:color w:val="000000"/>
          <w:spacing w:val="0"/>
          <w:w w:val="100"/>
          <w:position w:val="0"/>
        </w:rPr>
        <w:t>“</w:t>
      </w:r>
      <w:r>
        <w:rPr>
          <w:color w:val="000000"/>
          <w:spacing w:val="0"/>
          <w:w w:val="100"/>
          <w:position w:val="0"/>
        </w:rPr>
        <w:t>少数股东损益</w:t>
      </w:r>
      <w:r>
        <w:rPr>
          <w:b/>
          <w:bCs/>
          <w:color w:val="000000"/>
          <w:spacing w:val="0"/>
          <w:w w:val="100"/>
          <w:position w:val="0"/>
        </w:rPr>
        <w:t>”</w:t>
      </w:r>
      <w:r>
        <w:rPr>
          <w:color w:val="000000"/>
          <w:spacing w:val="0"/>
          <w:w w:val="100"/>
          <w:position w:val="0"/>
        </w:rPr>
        <w:t>项目列示。少数股东分担的子公司的亏损超过了少数股东在该子公司期初股 东权益中所享有的份额，仍冲减少数股东权益。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当因处置部分股权投资或其他原因丧失了对原有子公司的控制权时，对于剩余股权，按照其在丧失控制权 日的公允价值进行重新计量。处置股权取得的对价与剩余股权公允价值之和，减去按原持股比例计算应享有原 有子公司自购买日开始持续计算的净资产的份额之间的差额，计入丧失控制权当期的投资收益。与原有子公司 股权投资相关的其他综合收益，在丧失控制权时采用与被购买方直接处置相关资产或负债相同的基础进行会计 处理（即，除了在该原有子公司重新计量设定受益计划净负债或净资产导致的变动以外，其余一并转为当期投 资收益）。其后</w:t>
      </w:r>
      <w:r>
        <w:rPr>
          <w:b/>
          <w:bCs/>
          <w:color w:val="000000"/>
          <w:spacing w:val="0"/>
          <w:w w:val="100"/>
          <w:position w:val="0"/>
        </w:rPr>
        <w:t>，</w:t>
      </w:r>
      <w:r>
        <w:rPr>
          <w:color w:val="000000"/>
          <w:spacing w:val="0"/>
          <w:w w:val="100"/>
          <w:position w:val="0"/>
        </w:rPr>
        <w:t>对该部分剩余股权按照《企业会计准则第</w:t>
      </w:r>
      <w:r>
        <w:rPr>
          <w:b/>
          <w:bCs/>
          <w:color w:val="000000"/>
          <w:spacing w:val="0"/>
          <w:w w:val="100"/>
          <w:position w:val="0"/>
        </w:rPr>
        <w:t>2</w:t>
      </w:r>
      <w:r>
        <w:rPr>
          <w:color w:val="000000"/>
          <w:spacing w:val="0"/>
          <w:w w:val="100"/>
          <w:position w:val="0"/>
        </w:rPr>
        <w:t>号——长期股权投资》或《企业会计准则第</w:t>
      </w:r>
      <w:r>
        <w:rPr>
          <w:b/>
          <w:bCs/>
          <w:color w:val="000000"/>
          <w:spacing w:val="0"/>
          <w:w w:val="100"/>
          <w:position w:val="0"/>
        </w:rPr>
        <w:t>22</w:t>
      </w:r>
      <w:r>
        <w:rPr>
          <w:color w:val="000000"/>
          <w:spacing w:val="0"/>
          <w:w w:val="100"/>
          <w:position w:val="0"/>
        </w:rPr>
        <w:t>号—— 金融工具确认和计量》等相关规定进行后续计量，详见本附注三、</w:t>
      </w:r>
      <w:r>
        <w:rPr>
          <w:b/>
          <w:bCs/>
          <w:color w:val="000000"/>
          <w:spacing w:val="0"/>
          <w:w w:val="100"/>
          <w:position w:val="0"/>
        </w:rPr>
        <w:t>14</w:t>
      </w:r>
      <w:r>
        <w:rPr>
          <w:color w:val="000000"/>
          <w:spacing w:val="0"/>
          <w:w w:val="100"/>
          <w:position w:val="0"/>
        </w:rPr>
        <w:t>长期股权投资</w:t>
      </w:r>
      <w:r>
        <w:rPr>
          <w:b/>
          <w:bCs/>
          <w:color w:val="000000"/>
          <w:spacing w:val="0"/>
          <w:w w:val="100"/>
          <w:position w:val="0"/>
        </w:rPr>
        <w:t>”</w:t>
      </w:r>
      <w:r>
        <w:rPr>
          <w:color w:val="000000"/>
          <w:spacing w:val="0"/>
          <w:w w:val="100"/>
          <w:position w:val="0"/>
        </w:rPr>
        <w:t>或本附注三、</w:t>
      </w:r>
      <w:r>
        <w:rPr>
          <w:b/>
          <w:bCs/>
          <w:color w:val="000000"/>
          <w:spacing w:val="0"/>
          <w:w w:val="100"/>
          <w:position w:val="0"/>
        </w:rPr>
        <w:t>10“</w:t>
      </w:r>
      <w:r>
        <w:rPr>
          <w:color w:val="000000"/>
          <w:spacing w:val="0"/>
          <w:w w:val="100"/>
          <w:position w:val="0"/>
        </w:rPr>
        <w:t>金融工具</w:t>
      </w:r>
      <w:r>
        <w:rPr>
          <w:b/>
          <w:bCs/>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140"/>
        <w:ind w:left="0" w:right="0"/>
        <w:jc w:val="both"/>
      </w:pPr>
      <w:r>
        <w:rPr>
          <w:color w:val="000000"/>
          <w:spacing w:val="0"/>
          <w:w w:val="100"/>
          <w:position w:val="0"/>
        </w:rPr>
        <w:t>本公司通过多次交易分步处置对子公司股权投资直至丧失控制权的，需区分处置对子公司股权投资直至丧 失控制权的各项交易是否属于一揽子交易。处置对子公司股权投资的各项交易的条款、条件以及经济影响符合 以下一种或多种情况，通常表明应将多次交易事项作为一揽子交易进行会计处理：①这些交易是同时或者在 考虑了彼此影响的情况下订立的；②这些交易整体才能达成一项完整的商业结果；③一项交易的发生取决于其 他至少一项交易的发生；④一项交易单独看是不经济的，但是和其他交易一并考虑时是经济的。不属于一揽子 交易的，对其中的每一项交易视情况分别按照</w:t>
      </w:r>
      <w:r>
        <w:rPr>
          <w:b/>
          <w:bCs/>
          <w:color w:val="000000"/>
          <w:spacing w:val="0"/>
          <w:w w:val="100"/>
          <w:position w:val="0"/>
        </w:rPr>
        <w:t>“</w:t>
      </w:r>
      <w:r>
        <w:rPr>
          <w:color w:val="000000"/>
          <w:spacing w:val="0"/>
          <w:w w:val="100"/>
          <w:position w:val="0"/>
        </w:rPr>
        <w:t>不丧失控制权的情况下部分处置对子公司的长期股权投资</w:t>
      </w:r>
      <w:r>
        <w:rPr>
          <w:b/>
          <w:bCs/>
          <w:color w:val="000000"/>
          <w:spacing w:val="0"/>
          <w:w w:val="100"/>
          <w:position w:val="0"/>
        </w:rPr>
        <w:t>”</w:t>
      </w:r>
      <w:r>
        <w:rPr>
          <w:color w:val="000000"/>
          <w:spacing w:val="0"/>
          <w:w w:val="100"/>
          <w:position w:val="0"/>
        </w:rPr>
        <w:t>（详 见本附注三、</w:t>
      </w:r>
      <w:r>
        <w:rPr>
          <w:b/>
          <w:bCs/>
          <w:color w:val="000000"/>
          <w:spacing w:val="0"/>
          <w:w w:val="100"/>
          <w:position w:val="0"/>
        </w:rPr>
        <w:t>14</w:t>
      </w:r>
      <w:r>
        <w:rPr>
          <w:color w:val="000000"/>
          <w:spacing w:val="0"/>
          <w:w w:val="100"/>
          <w:position w:val="0"/>
        </w:rPr>
        <w:t>、（</w:t>
      </w:r>
      <w:r>
        <w:rPr>
          <w:b/>
          <w:bCs/>
          <w:color w:val="000000"/>
          <w:spacing w:val="0"/>
          <w:w w:val="100"/>
          <w:position w:val="0"/>
        </w:rPr>
        <w:t>2</w:t>
      </w:r>
      <w:r>
        <w:rPr>
          <w:color w:val="000000"/>
          <w:spacing w:val="0"/>
          <w:w w:val="100"/>
          <w:position w:val="0"/>
        </w:rPr>
        <w:t>）④）和</w:t>
      </w:r>
      <w:r>
        <w:rPr>
          <w:b/>
          <w:bCs/>
          <w:color w:val="000000"/>
          <w:spacing w:val="0"/>
          <w:w w:val="100"/>
          <w:position w:val="0"/>
        </w:rPr>
        <w:t>“</w:t>
      </w:r>
      <w:r>
        <w:rPr>
          <w:color w:val="000000"/>
          <w:spacing w:val="0"/>
          <w:w w:val="100"/>
          <w:position w:val="0"/>
        </w:rPr>
        <w:t>因处置部分股权投资或其他原因丧失了对原有子公司的控制权</w:t>
      </w:r>
      <w:r>
        <w:rPr>
          <w:b/>
          <w:bCs/>
          <w:color w:val="000000"/>
          <w:spacing w:val="0"/>
          <w:w w:val="100"/>
          <w:position w:val="0"/>
        </w:rPr>
        <w:t>”</w:t>
      </w:r>
      <w:r>
        <w:rPr>
          <w:color w:val="000000"/>
          <w:spacing w:val="0"/>
          <w:w w:val="100"/>
          <w:position w:val="0"/>
        </w:rPr>
        <w:t>（详见前段）适 用的原则进行会计处理。处置对子公司股权投资直至丧失控制权的各项交易属于一揽子交易的，将各项交易作 为一项处置子公司并丧失控制权的交易进行会计处理；但是，在丧失控制权之前每一次处置价款与处置投资对 应的享有该子公司净资产份额的差额，在合并财务报表中确认为其他综合收益，在丧失控制权时一并转入丧失 控制权当期的损益。</w:t>
      </w:r>
    </w:p>
    <w:p>
      <w:pPr>
        <w:pStyle w:val="Style33"/>
        <w:keepNext/>
        <w:keepLines/>
        <w:widowControl w:val="0"/>
        <w:shd w:val="clear" w:color="auto" w:fill="auto"/>
        <w:tabs>
          <w:tab w:pos="318" w:val="left"/>
        </w:tabs>
        <w:bidi w:val="0"/>
        <w:spacing w:before="0" w:after="300" w:line="312" w:lineRule="exact"/>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7</w:t>
      </w:r>
      <w:bookmarkEnd w:id="745"/>
      <w:r>
        <w:rPr>
          <w:color w:val="000000"/>
          <w:spacing w:val="0"/>
          <w:w w:val="100"/>
          <w:position w:val="0"/>
        </w:rPr>
        <w:t>、</w:t>
        <w:tab/>
        <w:t>合营安排分类及共同经营会计处理方法</w:t>
      </w:r>
      <w:bookmarkEnd w:id="743"/>
      <w:bookmarkEnd w:id="744"/>
      <w:bookmarkEnd w:id="746"/>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合营安排，是指一项由两个或两个以上的参与方共同控制的安排。本公司根据在合营安排中享有的权利和 承担的义务，将合营安排分为共同经营和合营企业。共同经营，是指本公司享有该安排相关资产且承担该安排 相关负债的合营安排。合营企业，是指本公司仅对该安排的净资产享有权利的合营安排。</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本公司对合营企业的投资采用权益法核算，按照本附注三、</w:t>
      </w:r>
      <w:r>
        <w:rPr>
          <w:b/>
          <w:bCs/>
          <w:color w:val="000000"/>
          <w:spacing w:val="0"/>
          <w:w w:val="100"/>
          <w:position w:val="0"/>
        </w:rPr>
        <w:t xml:space="preserve">14 </w:t>
      </w:r>
      <w:r>
        <w:rPr>
          <w:color w:val="000000"/>
          <w:spacing w:val="0"/>
          <w:w w:val="100"/>
          <w:position w:val="0"/>
        </w:rPr>
        <w:t>（</w:t>
      </w:r>
      <w:r>
        <w:rPr>
          <w:b/>
          <w:bCs/>
          <w:color w:val="000000"/>
          <w:spacing w:val="0"/>
          <w:w w:val="100"/>
          <w:position w:val="0"/>
        </w:rPr>
        <w:t>2</w:t>
      </w:r>
      <w:r>
        <w:rPr>
          <w:color w:val="000000"/>
          <w:spacing w:val="0"/>
          <w:w w:val="100"/>
          <w:position w:val="0"/>
        </w:rPr>
        <w:t>）②</w:t>
      </w:r>
      <w:r>
        <w:rPr>
          <w:b/>
          <w:bCs/>
          <w:color w:val="000000"/>
          <w:spacing w:val="0"/>
          <w:w w:val="100"/>
          <w:position w:val="0"/>
        </w:rPr>
        <w:t>“</w:t>
      </w:r>
      <w:r>
        <w:rPr>
          <w:color w:val="000000"/>
          <w:spacing w:val="0"/>
          <w:w w:val="100"/>
          <w:position w:val="0"/>
        </w:rPr>
        <w:t>权益法核算的长期股权投资</w:t>
      </w:r>
      <w:r>
        <w:rPr>
          <w:b/>
          <w:bCs/>
          <w:color w:val="000000"/>
          <w:spacing w:val="0"/>
          <w:w w:val="100"/>
          <w:position w:val="0"/>
        </w:rPr>
        <w:t>”</w:t>
      </w:r>
      <w:r>
        <w:rPr>
          <w:color w:val="000000"/>
          <w:spacing w:val="0"/>
          <w:w w:val="100"/>
          <w:position w:val="0"/>
        </w:rPr>
        <w:t>中所 述的会计政策处理。</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本公司作为合营方对共同经营，确认本公司单独持有的资产、单独所承担的负债，以及按本公司份额确认 共同持有的资产和共同承担的负债；确认出售本公司享有的共同经营产出份额所产生的收入；按本公司份额确 认共同经营因出售产出所产生的收入；确认本公司单独所发生的费用，以及按本公司份额确认共同经营发生的 费用。</w:t>
      </w:r>
    </w:p>
    <w:p>
      <w:pPr>
        <w:pStyle w:val="Style37"/>
        <w:keepNext w:val="0"/>
        <w:keepLines w:val="0"/>
        <w:widowControl w:val="0"/>
        <w:shd w:val="clear" w:color="auto" w:fill="auto"/>
        <w:bidi w:val="0"/>
        <w:spacing w:before="0" w:after="300" w:line="320" w:lineRule="exact"/>
        <w:ind w:left="0" w:right="0" w:firstLine="0"/>
        <w:jc w:val="both"/>
      </w:pPr>
      <w:r>
        <w:rPr>
          <w:color w:val="000000"/>
          <w:spacing w:val="0"/>
          <w:w w:val="100"/>
          <w:position w:val="0"/>
        </w:rPr>
        <w:t>当本公司作为合营方向共同经营投出或出售资产（该资产不构成业务，下同）或者自共同经营购买资产时，在 该等资产出售给第三方之前，本公司仅确认因该交易产生的损益中归属于共同经营其他参与方的部分。该等资 产发生符合《企业会计准则第</w:t>
      </w:r>
      <w:r>
        <w:rPr>
          <w:b/>
          <w:bCs/>
          <w:color w:val="000000"/>
          <w:spacing w:val="0"/>
          <w:w w:val="100"/>
          <w:position w:val="0"/>
        </w:rPr>
        <w:t>8</w:t>
      </w:r>
      <w:r>
        <w:rPr>
          <w:color w:val="000000"/>
          <w:spacing w:val="0"/>
          <w:w w:val="100"/>
          <w:position w:val="0"/>
        </w:rPr>
        <w:t>号——资产减值》等规定的资产减值损失的，对于由本公司向共同经营投出或出 售资产的情况，本公司全额确认该损失；对于本公司自共同经营购买资产的情况，本公司按承担的份额确认该 损失。</w:t>
      </w:r>
    </w:p>
    <w:p>
      <w:pPr>
        <w:pStyle w:val="Style33"/>
        <w:keepNext/>
        <w:keepLines/>
        <w:widowControl w:val="0"/>
        <w:shd w:val="clear" w:color="auto" w:fill="auto"/>
        <w:tabs>
          <w:tab w:pos="323" w:val="left"/>
        </w:tabs>
        <w:bidi w:val="0"/>
        <w:spacing w:before="0" w:after="300" w:line="312" w:lineRule="exact"/>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w:t>
        <w:tab/>
        <w:t>现金及现金等价物的确定标准</w:t>
      </w:r>
      <w:bookmarkEnd w:id="747"/>
      <w:bookmarkEnd w:id="748"/>
      <w:bookmarkEnd w:id="750"/>
    </w:p>
    <w:p>
      <w:pPr>
        <w:pStyle w:val="Style37"/>
        <w:keepNext w:val="0"/>
        <w:keepLines w:val="0"/>
        <w:widowControl w:val="0"/>
        <w:shd w:val="clear" w:color="auto" w:fill="auto"/>
        <w:bidi w:val="0"/>
        <w:spacing w:before="0" w:after="300" w:line="307" w:lineRule="exact"/>
        <w:ind w:left="0" w:right="0"/>
        <w:jc w:val="both"/>
      </w:pPr>
      <w:r>
        <w:rPr>
          <w:color w:val="000000"/>
          <w:spacing w:val="0"/>
          <w:w w:val="100"/>
          <w:position w:val="0"/>
        </w:rPr>
        <w:t>本公司现金及现金等价物包括库存现金、可以随时用于支付的存款以及本公司持有的期限短（一般为从购 买日起，三个月内到期）、流动性强、易于转换为已知金额的现金、价值变动风险很小的投资。</w:t>
      </w:r>
    </w:p>
    <w:p>
      <w:pPr>
        <w:pStyle w:val="Style33"/>
        <w:keepNext/>
        <w:keepLines/>
        <w:widowControl w:val="0"/>
        <w:shd w:val="clear" w:color="auto" w:fill="auto"/>
        <w:tabs>
          <w:tab w:pos="323" w:val="left"/>
        </w:tabs>
        <w:bidi w:val="0"/>
        <w:spacing w:before="0" w:after="300" w:line="312" w:lineRule="exact"/>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9</w:t>
      </w:r>
      <w:bookmarkEnd w:id="753"/>
      <w:r>
        <w:rPr>
          <w:color w:val="000000"/>
          <w:spacing w:val="0"/>
          <w:w w:val="100"/>
          <w:position w:val="0"/>
        </w:rPr>
        <w:t>、</w:t>
        <w:tab/>
        <w:t>外币业务和外币报表折算</w:t>
      </w:r>
      <w:bookmarkEnd w:id="751"/>
      <w:bookmarkEnd w:id="752"/>
      <w:bookmarkEnd w:id="754"/>
    </w:p>
    <w:p>
      <w:pPr>
        <w:pStyle w:val="Style37"/>
        <w:keepNext w:val="0"/>
        <w:keepLines w:val="0"/>
        <w:widowControl w:val="0"/>
        <w:shd w:val="clear" w:color="auto" w:fill="auto"/>
        <w:tabs>
          <w:tab w:pos="850" w:val="left"/>
        </w:tabs>
        <w:bidi w:val="0"/>
        <w:spacing w:before="0" w:after="0" w:line="312" w:lineRule="exact"/>
        <w:ind w:left="0" w:right="0"/>
        <w:jc w:val="both"/>
      </w:pPr>
      <w:bookmarkStart w:id="755" w:name="bookmark755"/>
      <w:r>
        <w:rPr>
          <w:color w:val="000000"/>
          <w:spacing w:val="0"/>
          <w:w w:val="100"/>
          <w:position w:val="0"/>
        </w:rPr>
        <w:t>（</w:t>
      </w:r>
      <w:bookmarkEnd w:id="755"/>
      <w:r>
        <w:rPr>
          <w:b/>
          <w:bCs/>
          <w:color w:val="000000"/>
          <w:spacing w:val="0"/>
          <w:w w:val="100"/>
          <w:position w:val="0"/>
        </w:rPr>
        <w:t>1</w:t>
      </w:r>
      <w:r>
        <w:rPr>
          <w:color w:val="000000"/>
          <w:spacing w:val="0"/>
          <w:w w:val="100"/>
          <w:position w:val="0"/>
        </w:rPr>
        <w:t>）</w:t>
        <w:tab/>
        <w:t>外币交易的折算方法</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本公司发生的外币交易在初始确认时，按交易日的即期汇率（通常指中国人民银行公布的当日外汇牌价的 中间价，下同）折算为记账本位币金额，但公司发生的外币兑换业务或涉及外币兑换的交易事项，按照实际采 用的汇率折算为记账本位币金额。</w:t>
      </w:r>
    </w:p>
    <w:p>
      <w:pPr>
        <w:pStyle w:val="Style37"/>
        <w:keepNext w:val="0"/>
        <w:keepLines w:val="0"/>
        <w:widowControl w:val="0"/>
        <w:shd w:val="clear" w:color="auto" w:fill="auto"/>
        <w:tabs>
          <w:tab w:pos="850" w:val="left"/>
        </w:tabs>
        <w:bidi w:val="0"/>
        <w:spacing w:before="0" w:after="0" w:line="312" w:lineRule="exact"/>
        <w:ind w:left="0" w:right="0"/>
        <w:jc w:val="both"/>
      </w:pPr>
      <w:bookmarkStart w:id="756" w:name="bookmark756"/>
      <w:r>
        <w:rPr>
          <w:color w:val="000000"/>
          <w:spacing w:val="0"/>
          <w:w w:val="100"/>
          <w:position w:val="0"/>
        </w:rPr>
        <w:t>（</w:t>
      </w:r>
      <w:bookmarkEnd w:id="756"/>
      <w:r>
        <w:rPr>
          <w:b/>
          <w:bCs/>
          <w:color w:val="000000"/>
          <w:spacing w:val="0"/>
          <w:w w:val="100"/>
          <w:position w:val="0"/>
        </w:rPr>
        <w:t>2</w:t>
      </w:r>
      <w:r>
        <w:rPr>
          <w:color w:val="000000"/>
          <w:spacing w:val="0"/>
          <w:w w:val="100"/>
          <w:position w:val="0"/>
        </w:rPr>
        <w:t>）</w:t>
        <w:tab/>
        <w:t>对于外币货币性项目和外币非货币性项目的折算方法</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资产负债表日，对于外币货币性项目采用资产负债表日即期汇率折算，由此产生的汇兑差额，除：属于与 购建符合资本化条件的资产相关的外币专门借款产生的汇兑差额按照借款费用资本化的原则处理，以及可供出 售的外币货币性项目除摊余成本之外的其他账面余额变动产生的汇兑差额计入其他综合收益之外，均计入当期 损益。</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 价值计量的外币非货币性项目，采用公允价值确定日的即期汇率折算，折算后的记账本位币金额与原记账本位 币金额的差额，作为公允价值变动（含汇率变动）处理，计入当期损益或确认为其他综合收益。</w:t>
      </w:r>
    </w:p>
    <w:p>
      <w:pPr>
        <w:pStyle w:val="Style37"/>
        <w:keepNext w:val="0"/>
        <w:keepLines w:val="0"/>
        <w:widowControl w:val="0"/>
        <w:shd w:val="clear" w:color="auto" w:fill="auto"/>
        <w:tabs>
          <w:tab w:pos="850" w:val="left"/>
        </w:tabs>
        <w:bidi w:val="0"/>
        <w:spacing w:before="0" w:after="0" w:line="312" w:lineRule="exact"/>
        <w:ind w:left="0" w:right="0"/>
        <w:jc w:val="both"/>
      </w:pPr>
      <w:bookmarkStart w:id="757" w:name="bookmark757"/>
      <w:r>
        <w:rPr>
          <w:color w:val="000000"/>
          <w:spacing w:val="0"/>
          <w:w w:val="100"/>
          <w:position w:val="0"/>
        </w:rPr>
        <w:t>（</w:t>
      </w:r>
      <w:bookmarkEnd w:id="757"/>
      <w:r>
        <w:rPr>
          <w:b/>
          <w:bCs/>
          <w:color w:val="000000"/>
          <w:spacing w:val="0"/>
          <w:w w:val="100"/>
          <w:position w:val="0"/>
        </w:rPr>
        <w:t>3</w:t>
      </w:r>
      <w:r>
        <w:rPr>
          <w:color w:val="000000"/>
          <w:spacing w:val="0"/>
          <w:w w:val="100"/>
          <w:position w:val="0"/>
        </w:rPr>
        <w:t>）</w:t>
        <w:tab/>
        <w:t>外币财务报表的折算方法</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 产生的汇兑差额，作为</w:t>
      </w:r>
      <w:r>
        <w:rPr>
          <w:b/>
          <w:bCs/>
          <w:color w:val="000000"/>
          <w:spacing w:val="0"/>
          <w:w w:val="100"/>
          <w:position w:val="0"/>
        </w:rPr>
        <w:t>“</w:t>
      </w:r>
      <w:r>
        <w:rPr>
          <w:color w:val="000000"/>
          <w:spacing w:val="0"/>
          <w:w w:val="100"/>
          <w:position w:val="0"/>
        </w:rPr>
        <w:t>外币报表折算差额</w:t>
      </w:r>
      <w:r>
        <w:rPr>
          <w:b/>
          <w:bCs/>
          <w:color w:val="000000"/>
          <w:spacing w:val="0"/>
          <w:w w:val="100"/>
          <w:position w:val="0"/>
        </w:rPr>
        <w:t>”</w:t>
      </w:r>
      <w:r>
        <w:rPr>
          <w:color w:val="000000"/>
          <w:spacing w:val="0"/>
          <w:w w:val="100"/>
          <w:position w:val="0"/>
        </w:rPr>
        <w:t>确认为其他综合收益；处置境外经营时，计入处置当期损益。</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境外经营的外币财务报表按以下方法折算为人民币报表：资产负债表中的资产和负债项目，采用资产负债 表日的即期汇率折算；股东权益类项目除</w:t>
      </w:r>
      <w:r>
        <w:rPr>
          <w:b/>
          <w:bCs/>
          <w:color w:val="000000"/>
          <w:spacing w:val="0"/>
          <w:w w:val="100"/>
          <w:position w:val="0"/>
        </w:rPr>
        <w:t>“</w:t>
      </w:r>
      <w:r>
        <w:rPr>
          <w:color w:val="000000"/>
          <w:spacing w:val="0"/>
          <w:w w:val="100"/>
          <w:position w:val="0"/>
        </w:rPr>
        <w:t>未分配利润</w:t>
      </w:r>
      <w:r>
        <w:rPr>
          <w:b/>
          <w:bCs/>
          <w:color w:val="000000"/>
          <w:spacing w:val="0"/>
          <w:w w:val="100"/>
          <w:position w:val="0"/>
        </w:rPr>
        <w:t>”</w:t>
      </w:r>
      <w:r>
        <w:rPr>
          <w:color w:val="000000"/>
          <w:spacing w:val="0"/>
          <w:w w:val="100"/>
          <w:position w:val="0"/>
        </w:rPr>
        <w:t xml:space="preserve">项目外，其他项目采用发生时的即期汇率折算。利润表 中的收入和费用项目，采用交易发生当期平均汇率折算。年初未分配利润为上一年折算后的年末未分配利润； 年末未分配利润按折算后的利润分配各项目计算列示；折算后资产类项目与负债类项目和股东权益类项目合计 数的差额，作为外币报表折算差额，确认为其他综合收益。处置境外经营并丧失控制权时，将资产负债表中股 东权益项目下列示的、与该境外经营相关的外币报表折算差额，全部或按处置该境外经营的比例转入处置当期 </w:t>
      </w:r>
      <w:r>
        <w:rPr>
          <w:color w:val="000000"/>
          <w:spacing w:val="0"/>
          <w:w w:val="100"/>
          <w:position w:val="0"/>
        </w:rPr>
        <w:t>损益。</w:t>
      </w:r>
    </w:p>
    <w:p>
      <w:pPr>
        <w:pStyle w:val="Style37"/>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外币现金流量以及境外子公司的现金流量，采用现金流量发生当期平均汇率折算。汇率变动对现金的影响 额作为调节项目，在现金流量表中单独列报。</w:t>
      </w:r>
    </w:p>
    <w:p>
      <w:pPr>
        <w:pStyle w:val="Style37"/>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年初数和上年实际数按照上年财务报表折算后的数额列示。</w:t>
      </w:r>
    </w:p>
    <w:p>
      <w:pPr>
        <w:pStyle w:val="Style37"/>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在处置本公司在境外经营的全部所有者权益或因处置部分股权投资或其他原因丧失了对境外经营控制权 时，将资产负债表中股东权益项目下列示的、与该境外经营相关的归属于母公司所有者权益的外币报表折算差 额，全部转入处置当期损益。</w:t>
      </w:r>
    </w:p>
    <w:p>
      <w:pPr>
        <w:pStyle w:val="Style37"/>
        <w:keepNext w:val="0"/>
        <w:keepLines w:val="0"/>
        <w:widowControl w:val="0"/>
        <w:shd w:val="clear" w:color="auto" w:fill="auto"/>
        <w:bidi w:val="0"/>
        <w:spacing w:before="0" w:after="0" w:line="270" w:lineRule="exact"/>
        <w:ind w:left="0" w:right="0" w:firstLine="520"/>
        <w:jc w:val="both"/>
      </w:pPr>
      <w:r>
        <w:rPr>
          <w:color w:val="000000"/>
          <w:spacing w:val="0"/>
          <w:w w:val="100"/>
          <w:position w:val="0"/>
        </w:rPr>
        <w:t xml:space="preserve">在处置部分股权投资或其他原因导致持有境外经营权益比例降低但不丧失对境外经营控制权时，与该境外 经营处置部分相关的外币报表折算差额将归属于少数股东权益，不转入当期损益。在处置境外经营为联营企业 或合营企业的部分股权时，与该境外经营相关的外币报表折算差额，按处置该境外经营的比例转入处置当期损 </w:t>
      </w:r>
      <w:r>
        <w:rPr>
          <w:color w:val="000000"/>
          <w:spacing w:val="0"/>
          <w:w w:val="100"/>
          <w:position w:val="0"/>
          <w:u w:val="single"/>
        </w:rPr>
        <w:t>、，.</w:t>
      </w:r>
    </w:p>
    <w:p>
      <w:pPr>
        <w:pStyle w:val="Style37"/>
        <w:keepNext w:val="0"/>
        <w:keepLines w:val="0"/>
        <w:widowControl w:val="0"/>
        <w:shd w:val="clear" w:color="auto" w:fill="auto"/>
        <w:bidi w:val="0"/>
        <w:spacing w:before="0" w:after="420" w:line="240" w:lineRule="auto"/>
        <w:ind w:left="0" w:right="0" w:firstLine="0"/>
        <w:jc w:val="both"/>
      </w:pPr>
      <w:r>
        <w:rPr>
          <w:color w:val="000000"/>
          <w:spacing w:val="0"/>
          <w:w w:val="100"/>
          <w:position w:val="0"/>
          <w:u w:val="single"/>
        </w:rPr>
        <w:t>益</w:t>
      </w:r>
      <w:r>
        <w:rPr>
          <w:color w:val="000000"/>
          <w:spacing w:val="0"/>
          <w:w w:val="100"/>
          <w:position w:val="0"/>
        </w:rPr>
        <w:t>。</w:t>
      </w:r>
    </w:p>
    <w:p>
      <w:pPr>
        <w:pStyle w:val="Style33"/>
        <w:keepNext/>
        <w:keepLines/>
        <w:widowControl w:val="0"/>
        <w:shd w:val="clear" w:color="auto" w:fill="auto"/>
        <w:bidi w:val="0"/>
        <w:spacing w:before="0" w:after="180" w:line="329"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8"/>
      <w:bookmarkEnd w:id="759"/>
      <w:bookmarkEnd w:id="761"/>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金融工具，是指形成一方的金融资产并形成其他方的金融负债或权益工具的合同。当本公司成为金融工具合同的一方 时，确认相关的金融资产或金融负债。</w:t>
      </w:r>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金融资产和金融负债在初始确认时以公允价值计量：①对于以公允价值计量且其变动计入当期损益的金融资产和金融 负债，相关交易费用直接计入当期损益；②对于其他类别的金融资产和金融负债，相关交易费用计入初始确认金额。金融资 产和金融负债的后续计量取决于其分类。</w:t>
      </w:r>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金融资产或金融负债满足下列条件之一的，表明持有目的是交易性的：①取得相关金融资产或承担相关金融负债的目 的，主要是为了近期内出售或回购；②初始确认时属于集中管理的可辨认金融工具组合的一部分，且有客观证据表明近期实 际存在短期获利模式；③属于衍生工具，但符合财务担保合同定义的衍生工具以及被指定为有效套期工具的衍生工具除外。</w:t>
      </w:r>
    </w:p>
    <w:p>
      <w:pPr>
        <w:pStyle w:val="Style29"/>
        <w:keepNext w:val="0"/>
        <w:keepLines w:val="0"/>
        <w:widowControl w:val="0"/>
        <w:numPr>
          <w:ilvl w:val="0"/>
          <w:numId w:val="11"/>
        </w:numPr>
        <w:shd w:val="clear" w:color="auto" w:fill="auto"/>
        <w:tabs>
          <w:tab w:pos="900" w:val="left"/>
        </w:tabs>
        <w:bidi w:val="0"/>
        <w:spacing w:before="0" w:after="0" w:line="312" w:lineRule="exact"/>
        <w:ind w:left="0" w:right="0" w:firstLine="520"/>
        <w:jc w:val="both"/>
      </w:pPr>
      <w:bookmarkStart w:id="762" w:name="bookmark762"/>
      <w:bookmarkEnd w:id="762"/>
      <w:r>
        <w:rPr>
          <w:color w:val="000000"/>
          <w:spacing w:val="0"/>
          <w:w w:val="100"/>
          <w:position w:val="0"/>
        </w:rPr>
        <w:t>债务工具</w:t>
      </w:r>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债务工具是指从发行方角度分析符合金融负债定义的工具。债务工具的分类和后续计量取决于本公司管理金融资产的 业务模式，以及金融资产的合同现金流量特征。不能通过现金流量特征测试的，直接分类为以公允价值计量且其变动计入当 期损益的金融资产；能够通过现金流量特征测试的，其分类取决于管理金融资产的业务模式，以及是否将其指定为以公允价 值计量且其变动计入当期损益的金融资产。</w:t>
      </w:r>
    </w:p>
    <w:p>
      <w:pPr>
        <w:pStyle w:val="Style29"/>
        <w:keepNext w:val="0"/>
        <w:keepLines w:val="0"/>
        <w:widowControl w:val="0"/>
        <w:numPr>
          <w:ilvl w:val="0"/>
          <w:numId w:val="13"/>
        </w:numPr>
        <w:shd w:val="clear" w:color="auto" w:fill="auto"/>
        <w:tabs>
          <w:tab w:pos="735" w:val="left"/>
        </w:tabs>
        <w:bidi w:val="0"/>
        <w:spacing w:before="0" w:after="0" w:line="312" w:lineRule="exact"/>
        <w:ind w:left="0" w:right="0" w:firstLine="520"/>
        <w:jc w:val="both"/>
      </w:pPr>
      <w:bookmarkStart w:id="763" w:name="bookmark763"/>
      <w:bookmarkEnd w:id="763"/>
      <w:r>
        <w:rPr>
          <w:color w:val="000000"/>
          <w:spacing w:val="0"/>
          <w:w w:val="100"/>
          <w:position w:val="0"/>
        </w:rPr>
        <w:t>以摊余成本计量。本公司管理此类金融资产的业务模式为以收取合同现金流量为目标，且此类金融资产的合同现金 流量特征与基本借贷安排相一致，即在特定日期产生的现金流量，仅为对本金和以未偿付本金金额为基础的利息的支付，同 时并未指定此类金融资产为以公允价值计量且其变动计入当期损益。本公司对于此类金融资产按照实际利率法确认利息收 入。此类金融资产因终止确认产生的利得或损失以及因减值导致的损失直接计入当期损益。</w:t>
      </w:r>
    </w:p>
    <w:p>
      <w:pPr>
        <w:pStyle w:val="Style29"/>
        <w:keepNext w:val="0"/>
        <w:keepLines w:val="0"/>
        <w:widowControl w:val="0"/>
        <w:numPr>
          <w:ilvl w:val="0"/>
          <w:numId w:val="13"/>
        </w:numPr>
        <w:shd w:val="clear" w:color="auto" w:fill="auto"/>
        <w:tabs>
          <w:tab w:pos="730" w:val="left"/>
        </w:tabs>
        <w:bidi w:val="0"/>
        <w:spacing w:before="0" w:after="0" w:line="312" w:lineRule="exact"/>
        <w:ind w:left="0" w:right="0" w:firstLine="520"/>
        <w:jc w:val="both"/>
      </w:pPr>
      <w:bookmarkStart w:id="764" w:name="bookmark764"/>
      <w:bookmarkEnd w:id="764"/>
      <w:r>
        <w:rPr>
          <w:color w:val="000000"/>
          <w:spacing w:val="0"/>
          <w:w w:val="100"/>
          <w:position w:val="0"/>
        </w:rPr>
        <w:t>以公允价值计量且其变动计入其他综合收益。本公司管理此类金融资产的业务模式为既以收取合同现金流量为目标 又以出售为目标，且此类金融资产的合同现金流量特征与基本借贷安排相一致，即在特定日期产生的现金流量，仅为对本金 和以未偿付本金金额为基础的利息的支付，同时并未指定此类金融资产为以公允价值计量且其变动计入当期损益。此类金融 资产按照公允价值计量且其变动计入其他综合收益，但减值损失或利得、汇兑损益和按照实际利率法计算的利息收入计入当 期损益。此类金融资产终止确认时，累计计入其他综合收益的公允价值变动将结转计入当期损益。此类金融资产列示为其他 债权投资。</w:t>
      </w:r>
    </w:p>
    <w:p>
      <w:pPr>
        <w:pStyle w:val="Style29"/>
        <w:keepNext w:val="0"/>
        <w:keepLines w:val="0"/>
        <w:widowControl w:val="0"/>
        <w:numPr>
          <w:ilvl w:val="0"/>
          <w:numId w:val="13"/>
        </w:numPr>
        <w:shd w:val="clear" w:color="auto" w:fill="auto"/>
        <w:tabs>
          <w:tab w:pos="735" w:val="left"/>
        </w:tabs>
        <w:bidi w:val="0"/>
        <w:spacing w:before="0" w:after="0" w:line="312" w:lineRule="exact"/>
        <w:ind w:left="0" w:right="0" w:firstLine="520"/>
        <w:jc w:val="both"/>
      </w:pPr>
      <w:bookmarkStart w:id="765" w:name="bookmark765"/>
      <w:bookmarkEnd w:id="765"/>
      <w:r>
        <w:rPr>
          <w:color w:val="000000"/>
          <w:spacing w:val="0"/>
          <w:w w:val="100"/>
          <w:position w:val="0"/>
        </w:rPr>
        <w:t>以公允价值计量且其变动计入当期损益。本公司将持有的未划分为以摊余成本计量和以公允价值计量且其变动计入 其他综合收益的债务工具，以公允价值计量且其变动计入当期损益，分类为以公允价值计量且其变动计入当期损益的金融资 产，列示为交易性金融资产或其他非流动金融资产。</w:t>
      </w:r>
    </w:p>
    <w:p>
      <w:pPr>
        <w:pStyle w:val="Style29"/>
        <w:keepNext w:val="0"/>
        <w:keepLines w:val="0"/>
        <w:widowControl w:val="0"/>
        <w:numPr>
          <w:ilvl w:val="0"/>
          <w:numId w:val="11"/>
        </w:numPr>
        <w:shd w:val="clear" w:color="auto" w:fill="auto"/>
        <w:tabs>
          <w:tab w:pos="900" w:val="left"/>
        </w:tabs>
        <w:bidi w:val="0"/>
        <w:spacing w:before="0" w:after="0" w:line="312" w:lineRule="exact"/>
        <w:ind w:left="0" w:right="0" w:firstLine="520"/>
        <w:jc w:val="both"/>
      </w:pPr>
      <w:bookmarkStart w:id="766" w:name="bookmark766"/>
      <w:bookmarkEnd w:id="766"/>
      <w:r>
        <w:rPr>
          <w:color w:val="000000"/>
          <w:spacing w:val="0"/>
          <w:w w:val="100"/>
          <w:position w:val="0"/>
        </w:rPr>
        <w:t>权益工具</w:t>
      </w:r>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权益工具是指从发行方角度分析符合权益工具定义的工具。权益工具投资以公允价值计量且其变动计入当期损益，列 示为交易性金融资产，但本公司管理层指定为以公允价值计量且其变动计入其他综合收益除外。指定为以公允价值计量且其 变动计入综合收益的，列示为其他权益工具投资，相关公允价值变动不得结转至当期损益，且该指定一经作出不得撤销。相 </w:t>
      </w:r>
      <w:r>
        <w:rPr>
          <w:color w:val="000000"/>
          <w:spacing w:val="0"/>
          <w:w w:val="100"/>
          <w:position w:val="0"/>
        </w:rPr>
        <w:t>关股利收入计入当期损益。其他权益工具投资不计提减值准备，终止确认时，之前计入其他综合收益的累计利得或损失从其 他综合收益转出，计入留存收益。</w:t>
      </w:r>
    </w:p>
    <w:p>
      <w:pPr>
        <w:pStyle w:val="Style29"/>
        <w:keepNext w:val="0"/>
        <w:keepLines w:val="0"/>
        <w:widowControl w:val="0"/>
        <w:shd w:val="clear" w:color="auto" w:fill="auto"/>
        <w:tabs>
          <w:tab w:pos="926" w:val="left"/>
        </w:tabs>
        <w:bidi w:val="0"/>
        <w:spacing w:before="0" w:after="0" w:line="313" w:lineRule="exact"/>
        <w:ind w:left="0" w:right="0" w:firstLine="52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3</w:t>
      </w:r>
      <w:r>
        <w:rPr>
          <w:color w:val="000000"/>
          <w:spacing w:val="0"/>
          <w:w w:val="100"/>
          <w:position w:val="0"/>
        </w:rPr>
        <w:t>）</w:t>
        <w:tab/>
        <w:t>金融负债</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金融负债于初始确认时分类为以公允价值计量且其变动计入当期损益的金融负债及其他金融负债。</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以公允价值计量且其变动计入当期损益的金融负债，包括交易性金融负债和指定为以公允价值计量且其变动计入当期 损益的金融负债。满足以下条件之一时，金融负债可在初始计量时指定为以公允价值计量且其变动计入当期损益的金融负债：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指定为以公允价值计量且变动计入当期损益的金融负债，由公司自身信用风险变动引起的公允价值的变动金额，计入 其他综合收益；其他公允价值变动，计入当期损益。该金融负债终止确认时，之前计入其他综合收益的累计利得或损失从其 他综合收益转出，计入留存收益。</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本公司其他金融负债主要包括短期借款、长期借款、应付债券等。对于此类金融负债，采用实际利率法，按照摊余成 本进行后续计量。</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财务担保合同，是指当特定债务人到期不能按照最初或修改后的债务工具条款偿付债务时，要求发行方向蒙受损失的 合同持有人赔付特定金额的合同。贷款承诺，是指按照预先规定的条款和条件提供信用的确定性承诺。不属于以公允价值计 量且其变动计入当期损益的金融负债的财务担保合同，以及以低于市场利率贷款的贷款承诺，本公司作为发行方的，在初始 确认后按照以下二者孰高进行计量：①损失准备金额；②初始确认金额扣除依据《企业会计准则第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收入》确定的累 计摊销额后的余额。</w:t>
      </w:r>
    </w:p>
    <w:p>
      <w:pPr>
        <w:pStyle w:val="Style29"/>
        <w:keepNext w:val="0"/>
        <w:keepLines w:val="0"/>
        <w:widowControl w:val="0"/>
        <w:shd w:val="clear" w:color="auto" w:fill="auto"/>
        <w:tabs>
          <w:tab w:pos="926" w:val="left"/>
        </w:tabs>
        <w:bidi w:val="0"/>
        <w:spacing w:before="0" w:after="0" w:line="313" w:lineRule="exact"/>
        <w:ind w:left="0" w:right="0" w:firstLine="52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金融资产和金融负债的终止确认</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金融资产满足下列条件之一的，予以终止确认：</w:t>
      </w:r>
    </w:p>
    <w:p>
      <w:pPr>
        <w:pStyle w:val="Style29"/>
        <w:keepNext w:val="0"/>
        <w:keepLines w:val="0"/>
        <w:widowControl w:val="0"/>
        <w:numPr>
          <w:ilvl w:val="0"/>
          <w:numId w:val="15"/>
        </w:numPr>
        <w:shd w:val="clear" w:color="auto" w:fill="auto"/>
        <w:tabs>
          <w:tab w:pos="859" w:val="left"/>
        </w:tabs>
        <w:bidi w:val="0"/>
        <w:spacing w:before="0" w:after="0" w:line="313" w:lineRule="exact"/>
        <w:ind w:left="0" w:right="0" w:firstLine="520"/>
        <w:jc w:val="both"/>
      </w:pPr>
      <w:bookmarkStart w:id="769" w:name="bookmark769"/>
      <w:bookmarkEnd w:id="769"/>
      <w:r>
        <w:rPr>
          <w:color w:val="000000"/>
          <w:spacing w:val="0"/>
          <w:w w:val="100"/>
          <w:position w:val="0"/>
        </w:rPr>
        <w:t>收取该金融资产现金流量的合同权利终止；</w:t>
      </w:r>
    </w:p>
    <w:p>
      <w:pPr>
        <w:pStyle w:val="Style29"/>
        <w:keepNext w:val="0"/>
        <w:keepLines w:val="0"/>
        <w:widowControl w:val="0"/>
        <w:numPr>
          <w:ilvl w:val="0"/>
          <w:numId w:val="15"/>
        </w:numPr>
        <w:shd w:val="clear" w:color="auto" w:fill="auto"/>
        <w:tabs>
          <w:tab w:pos="859" w:val="left"/>
        </w:tabs>
        <w:bidi w:val="0"/>
        <w:spacing w:before="0" w:after="0" w:line="313" w:lineRule="exact"/>
        <w:ind w:left="0" w:right="0" w:firstLine="520"/>
        <w:jc w:val="both"/>
      </w:pPr>
      <w:bookmarkStart w:id="770" w:name="bookmark770"/>
      <w:bookmarkEnd w:id="770"/>
      <w:r>
        <w:rPr>
          <w:color w:val="000000"/>
          <w:spacing w:val="0"/>
          <w:w w:val="100"/>
          <w:position w:val="0"/>
        </w:rPr>
        <w:t>该金融资产已转移，且本公司将金融资产所有权上几乎所有的风险和报酬转移给转入方；</w:t>
      </w:r>
    </w:p>
    <w:p>
      <w:pPr>
        <w:pStyle w:val="Style29"/>
        <w:keepNext w:val="0"/>
        <w:keepLines w:val="0"/>
        <w:widowControl w:val="0"/>
        <w:numPr>
          <w:ilvl w:val="0"/>
          <w:numId w:val="15"/>
        </w:numPr>
        <w:shd w:val="clear" w:color="auto" w:fill="auto"/>
        <w:tabs>
          <w:tab w:pos="757" w:val="left"/>
        </w:tabs>
        <w:bidi w:val="0"/>
        <w:spacing w:before="0" w:after="0" w:line="313" w:lineRule="exact"/>
        <w:ind w:left="0" w:right="0" w:firstLine="520"/>
        <w:jc w:val="both"/>
      </w:pPr>
      <w:bookmarkStart w:id="771" w:name="bookmark771"/>
      <w:bookmarkEnd w:id="771"/>
      <w:r>
        <w:rPr>
          <w:color w:val="000000"/>
          <w:spacing w:val="0"/>
          <w:w w:val="100"/>
          <w:position w:val="0"/>
        </w:rPr>
        <w:t>该金融资产已转移，虽然本公司既没有转移也没有保留金融资产所有权上几乎所有的风险和报酬，但是放弃了对该 金融资产的控制。</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金融负债（或其一部分）的现时义务已经解除的，本公司终止确认该金融负债（或该部分金融负债）。</w:t>
      </w:r>
    </w:p>
    <w:p>
      <w:pPr>
        <w:pStyle w:val="Style29"/>
        <w:keepNext w:val="0"/>
        <w:keepLines w:val="0"/>
        <w:widowControl w:val="0"/>
        <w:shd w:val="clear" w:color="auto" w:fill="auto"/>
        <w:tabs>
          <w:tab w:pos="926" w:val="left"/>
        </w:tabs>
        <w:bidi w:val="0"/>
        <w:spacing w:before="0" w:after="0" w:line="313" w:lineRule="exact"/>
        <w:ind w:left="0" w:right="0" w:firstLine="52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金融工具的减值</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本公司以预期信用损失为基础进行金融工具减值会计处理并确认损失准备。预期信用损失，是指以发生违约的风险为 权重的金融工具信用损失的加权平均值。信用损失，是指按照原实际利率折现的、根据合同应收的所有合同现金流量与预期 收取的所有现金流量之间的差额，即全部现金短缺的现值。</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况预测的合理且有依据的信息。本公司按照下列方法确定相关金融工具的预期信用损失：</w:t>
      </w:r>
    </w:p>
    <w:p>
      <w:pPr>
        <w:pStyle w:val="Style29"/>
        <w:keepNext w:val="0"/>
        <w:keepLines w:val="0"/>
        <w:widowControl w:val="0"/>
        <w:numPr>
          <w:ilvl w:val="0"/>
          <w:numId w:val="17"/>
        </w:numPr>
        <w:shd w:val="clear" w:color="auto" w:fill="auto"/>
        <w:tabs>
          <w:tab w:pos="859" w:val="left"/>
        </w:tabs>
        <w:bidi w:val="0"/>
        <w:spacing w:before="0" w:after="0" w:line="313" w:lineRule="exact"/>
        <w:ind w:left="0" w:right="0" w:firstLine="520"/>
        <w:jc w:val="both"/>
      </w:pPr>
      <w:bookmarkStart w:id="773" w:name="bookmark773"/>
      <w:bookmarkEnd w:id="773"/>
      <w:r>
        <w:rPr>
          <w:color w:val="000000"/>
          <w:spacing w:val="0"/>
          <w:w w:val="100"/>
          <w:position w:val="0"/>
        </w:rPr>
        <w:t>对于金融资产，信用损失为本公司应收取的合同现金流量与预期收取的现金流量之间差额的现值；</w:t>
      </w:r>
    </w:p>
    <w:p>
      <w:pPr>
        <w:pStyle w:val="Style29"/>
        <w:keepNext w:val="0"/>
        <w:keepLines w:val="0"/>
        <w:widowControl w:val="0"/>
        <w:numPr>
          <w:ilvl w:val="0"/>
          <w:numId w:val="17"/>
        </w:numPr>
        <w:shd w:val="clear" w:color="auto" w:fill="auto"/>
        <w:tabs>
          <w:tab w:pos="859" w:val="left"/>
        </w:tabs>
        <w:bidi w:val="0"/>
        <w:spacing w:before="0" w:after="0" w:line="313" w:lineRule="exact"/>
        <w:ind w:left="0" w:right="0" w:firstLine="520"/>
        <w:jc w:val="both"/>
      </w:pPr>
      <w:bookmarkStart w:id="774" w:name="bookmark774"/>
      <w:bookmarkEnd w:id="774"/>
      <w:r>
        <w:rPr>
          <w:color w:val="000000"/>
          <w:spacing w:val="0"/>
          <w:w w:val="100"/>
          <w:position w:val="0"/>
        </w:rPr>
        <w:t>对于租赁应收款项，信用损失为本公司应收取的合同现金流量与预期收取的现金流量之间差额的现值；</w:t>
      </w:r>
    </w:p>
    <w:p>
      <w:pPr>
        <w:pStyle w:val="Style29"/>
        <w:keepNext w:val="0"/>
        <w:keepLines w:val="0"/>
        <w:widowControl w:val="0"/>
        <w:numPr>
          <w:ilvl w:val="0"/>
          <w:numId w:val="17"/>
        </w:numPr>
        <w:shd w:val="clear" w:color="auto" w:fill="auto"/>
        <w:tabs>
          <w:tab w:pos="757" w:val="left"/>
        </w:tabs>
        <w:bidi w:val="0"/>
        <w:spacing w:before="0" w:after="0" w:line="313" w:lineRule="exact"/>
        <w:ind w:left="0" w:right="0" w:firstLine="520"/>
        <w:jc w:val="both"/>
      </w:pPr>
      <w:bookmarkStart w:id="775" w:name="bookmark775"/>
      <w:bookmarkEnd w:id="775"/>
      <w:r>
        <w:rPr>
          <w:color w:val="000000"/>
          <w:spacing w:val="0"/>
          <w:w w:val="100"/>
          <w:position w:val="0"/>
        </w:rPr>
        <w:t>对于未提用的贷款承诺，信用损失为在贷款承诺持有人提用相应贷款的情况下，本公司应收取的合同现金流量与预 期收取的现金流量之间差额的现值。本公司对贷款承诺预期信用损失的估计，与其对该贷款承诺提用情况的预期保持一致；</w:t>
      </w:r>
    </w:p>
    <w:p>
      <w:pPr>
        <w:pStyle w:val="Style29"/>
        <w:keepNext w:val="0"/>
        <w:keepLines w:val="0"/>
        <w:widowControl w:val="0"/>
        <w:numPr>
          <w:ilvl w:val="0"/>
          <w:numId w:val="17"/>
        </w:numPr>
        <w:shd w:val="clear" w:color="auto" w:fill="auto"/>
        <w:tabs>
          <w:tab w:pos="757" w:val="left"/>
        </w:tabs>
        <w:bidi w:val="0"/>
        <w:spacing w:before="0" w:after="0" w:line="313" w:lineRule="exact"/>
        <w:ind w:left="0" w:right="0" w:firstLine="520"/>
        <w:jc w:val="both"/>
      </w:pPr>
      <w:bookmarkStart w:id="776" w:name="bookmark776"/>
      <w:bookmarkEnd w:id="776"/>
      <w:r>
        <w:rPr>
          <w:color w:val="000000"/>
          <w:spacing w:val="0"/>
          <w:w w:val="100"/>
          <w:position w:val="0"/>
        </w:rPr>
        <w:t>对于财务担保合同，信用损失为本公司就该合同持有人发生的信用损失向其做出赔付的预计付款额，减去本公司预 期向该合同持有人、债务人或任何其他方收取的金额之间差额的现值；</w:t>
      </w:r>
    </w:p>
    <w:p>
      <w:pPr>
        <w:pStyle w:val="Style29"/>
        <w:keepNext w:val="0"/>
        <w:keepLines w:val="0"/>
        <w:widowControl w:val="0"/>
        <w:numPr>
          <w:ilvl w:val="0"/>
          <w:numId w:val="17"/>
        </w:numPr>
        <w:shd w:val="clear" w:color="auto" w:fill="auto"/>
        <w:tabs>
          <w:tab w:pos="752" w:val="left"/>
        </w:tabs>
        <w:bidi w:val="0"/>
        <w:spacing w:before="0" w:after="0" w:line="313" w:lineRule="exact"/>
        <w:ind w:left="0" w:right="0" w:firstLine="520"/>
        <w:jc w:val="both"/>
      </w:pPr>
      <w:bookmarkStart w:id="777" w:name="bookmark777"/>
      <w:bookmarkEnd w:id="777"/>
      <w:r>
        <w:rPr>
          <w:color w:val="000000"/>
          <w:spacing w:val="0"/>
          <w:w w:val="100"/>
          <w:position w:val="0"/>
        </w:rPr>
        <w:t>对于资产负债表日已发生信用减值但并非购买或源生已发生信用减值的金融资产，信用损失为该金融资产账面余额 与按原实际利率折现的估计未来现金流量的现值之间的差额。</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对于购买或源生的未发生信用减值的金融工具，每个资产负债表日，考虑合理且有依据的信息（包括前瞻性信息）， 评估其信用风险自初始确认后是否显著增加，按照三阶段分别确认预期信用损失。信用风险自初始确认后未显著增加的，处 于第一阶段，按照该金融工具未来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个月内的预期信用损失计量损失准备；信用风险自初始确认后已显著增加但尚未发生信 </w:t>
      </w:r>
      <w:r>
        <w:rPr>
          <w:color w:val="000000"/>
          <w:spacing w:val="0"/>
          <w:w w:val="100"/>
          <w:position w:val="0"/>
        </w:rPr>
        <w:t>用减值的，处于第二阶段，按照该金融工具整个存续期的预期信用损失计量损失准备；自初始确认后已经发生信用减值的， 处于第三阶段，按照该金融工具整个存续期的预期信用损失计量损失准备。处于第一阶段和第二阶段的金融工具，按照其账 面余额和实际利率计算利息收入；处于第三阶段的金融工具，按照其摊余成本和实际利率计算确定利息收入。</w:t>
      </w:r>
    </w:p>
    <w:p>
      <w:pPr>
        <w:pStyle w:val="Style29"/>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对于购买或源生的已发生信用减值的金融资产，在资产负债表日仅将自初始确认后整个存续期内预期信用损失的累计 变动确认为损失准备，其利息收入按照金融资产的摊余成本和经信用调整的实际利率计算确定。</w:t>
      </w:r>
    </w:p>
    <w:p>
      <w:pPr>
        <w:pStyle w:val="Style29"/>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损失准备的增加或转回，作为减值损失或利得，计入当期损益。对于持有的以公允价值计量且其变动计入其他综合收 益的债务工具，减值损失或利得计入当期损益的同时调整其他综合收益。</w:t>
      </w:r>
    </w:p>
    <w:p>
      <w:pPr>
        <w:pStyle w:val="Style29"/>
        <w:keepNext w:val="0"/>
        <w:keepLines w:val="0"/>
        <w:widowControl w:val="0"/>
        <w:shd w:val="clear" w:color="auto" w:fill="auto"/>
        <w:bidi w:val="0"/>
        <w:spacing w:before="0" w:after="0" w:line="313" w:lineRule="exact"/>
        <w:ind w:left="0" w:right="0" w:firstLine="520"/>
        <w:jc w:val="left"/>
      </w:pPr>
      <w:r>
        <w:rPr>
          <w:rFonts w:ascii="Times New Roman" w:eastAsia="Times New Roman" w:hAnsi="Times New Roman" w:cs="Times New Roman"/>
          <w:color w:val="000000"/>
          <w:spacing w:val="0"/>
          <w:w w:val="100"/>
          <w:position w:val="0"/>
        </w:rPr>
        <w:t>A.</w:t>
      </w:r>
      <w:r>
        <w:rPr>
          <w:color w:val="000000"/>
          <w:spacing w:val="0"/>
          <w:w w:val="100"/>
          <w:position w:val="0"/>
        </w:rPr>
        <w:t>对于应收票据和应收账款，无论是否存在重大融资成分，本公司均按照整个存续期的预期信用损失计量损失准备。 当单项应收票据和应收账款无法以合理成本取得评估预期信用损失的信息时，本公司依据信用风险特征，将应收票据 和应收账款划分为若干组合，在组合基础上计算预期信用损失。</w:t>
      </w:r>
    </w:p>
    <w:p>
      <w:pPr>
        <w:pStyle w:val="Style29"/>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险敞口和整个存续期预期信用损失率，计算预期信用损失。确定组合的依据如下：</w:t>
      </w:r>
    </w:p>
    <w:p>
      <w:pPr>
        <w:pStyle w:val="Style29"/>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商业承兑汇票</w:t>
      </w:r>
    </w:p>
    <w:p>
      <w:pPr>
        <w:pStyle w:val="Style29"/>
        <w:keepNext w:val="0"/>
        <w:keepLines w:val="0"/>
        <w:widowControl w:val="0"/>
        <w:shd w:val="clear" w:color="auto" w:fill="auto"/>
        <w:tabs>
          <w:tab w:pos="1912" w:val="left"/>
        </w:tabs>
        <w:bidi w:val="0"/>
        <w:spacing w:before="0" w:line="313" w:lineRule="exact"/>
        <w:ind w:left="0" w:right="0" w:firstLine="52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tab/>
      </w:r>
      <w:r>
        <w:rPr>
          <w:color w:val="000000"/>
          <w:spacing w:val="0"/>
          <w:w w:val="100"/>
          <w:position w:val="0"/>
        </w:rPr>
        <w:t>银行承兑汇票</w:t>
      </w:r>
    </w:p>
    <w:p>
      <w:pPr>
        <w:pStyle w:val="Style27"/>
        <w:keepNext w:val="0"/>
        <w:keepLines w:val="0"/>
        <w:widowControl w:val="0"/>
        <w:shd w:val="clear" w:color="auto" w:fill="auto"/>
        <w:bidi w:val="0"/>
        <w:spacing w:before="0" w:after="0" w:line="313" w:lineRule="exact"/>
        <w:ind w:left="96" w:right="0" w:firstLine="0"/>
        <w:jc w:val="left"/>
      </w:pPr>
      <w:r>
        <w:rPr>
          <w:color w:val="000000"/>
          <w:spacing w:val="0"/>
          <w:w w:val="100"/>
          <w:position w:val="0"/>
        </w:rPr>
        <w:t>对于划分为组合的应收账款，本公司参考历史信用损失经验，结合当前状况以及对未来经济状况的预测，编制应收账 款账龄与整个存续期预期信用损失率对照表，计算预期信用损失。确定组合的依据如下：</w:t>
      </w:r>
    </w:p>
    <w:tbl>
      <w:tblPr>
        <w:tblOverlap w:val="never"/>
        <w:jc w:val="center"/>
        <w:tblLayout w:type="fixed"/>
      </w:tblPr>
      <w:tblGrid>
        <w:gridCol w:w="3269"/>
        <w:gridCol w:w="5534"/>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以应收款项的账龄作为信用风险特征</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保理业务应收款项及应收利息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贷款业务应收款项及应收利息</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应收本公司合并报表范围内关联方应收款项</w:t>
            </w:r>
          </w:p>
        </w:tc>
      </w:tr>
    </w:tbl>
    <w:p>
      <w:pPr>
        <w:widowControl w:val="0"/>
        <w:spacing w:line="1" w:lineRule="exact"/>
      </w:pPr>
    </w:p>
    <w:p>
      <w:pPr>
        <w:pStyle w:val="Style27"/>
        <w:keepNext w:val="0"/>
        <w:keepLines w:val="0"/>
        <w:widowControl w:val="0"/>
        <w:shd w:val="clear" w:color="auto" w:fill="auto"/>
        <w:bidi w:val="0"/>
        <w:spacing w:before="0" w:after="0" w:line="326" w:lineRule="exact"/>
        <w:ind w:left="91"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当单项其他应收款、长期应收款无法以合理成本取得评估预期信用损失的信息时，本公司依据信用风险特征将其他 应收款、长期应收款划分为若干组合，在组合基础上计算预期信用损失。确定组合的依据如下：</w:t>
      </w:r>
    </w:p>
    <w:tbl>
      <w:tblPr>
        <w:tblOverlap w:val="never"/>
        <w:jc w:val="center"/>
        <w:tblLayout w:type="fixed"/>
      </w:tblPr>
      <w:tblGrid>
        <w:gridCol w:w="2275"/>
        <w:gridCol w:w="652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以应收款项的账龄作为信用风险特征</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应收取的各类保证金、押金、备用金、代垫及暂付款项等应收款项。</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应收本公司合并报表范围内关联方应收款项</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长期应收款组合、应收租赁款</w:t>
            </w:r>
          </w:p>
        </w:tc>
      </w:tr>
    </w:tbl>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对于应收租赁款，本公司参考历史信用损失经验，结合当前状况以及对未来经济状况的预测，通过违约风险敞口和整 个存续期预期信用损失率，计算预期信用损失。除应收租赁款之外的划分为组合的其他应收款和长期应收款，通过违约风险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9"/>
        <w:keepNext w:val="0"/>
        <w:keepLines w:val="0"/>
        <w:widowControl w:val="0"/>
        <w:shd w:val="clear" w:color="auto" w:fill="auto"/>
        <w:tabs>
          <w:tab w:pos="945" w:val="left"/>
        </w:tabs>
        <w:bidi w:val="0"/>
        <w:spacing w:before="0" w:after="0" w:line="315" w:lineRule="exact"/>
        <w:ind w:left="0" w:right="0" w:firstLine="52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6</w:t>
      </w:r>
      <w:r>
        <w:rPr>
          <w:color w:val="000000"/>
          <w:spacing w:val="0"/>
          <w:w w:val="100"/>
          <w:position w:val="0"/>
        </w:rPr>
        <w:t>）</w:t>
        <w:tab/>
        <w:t>衍生工具及嵌入衍生工具</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本公司衍生工具主要包括远期合同、期货合同、互换合同。衍生工具初始以衍生交易合同签订当日的公允价值进行计 量，并以其公允价值进行后续计量。本公司衍生工具公允价值变动而产生的利得或损失，直接计入当期损益。</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嵌入衍生工具是指嵌入到非衍生工具（即主合同）中的衍生工具，与主合同构成混合合同。混合合同包含的主合同属 于金融工具准则规范的资产的，本公司不从该混合合同中分拆嵌入衍生工具，而是将该混合合同作为一个整体适用金融工具 准则关于金融资产分类的相关规定。</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混合合同包含的主合同不属于金融工具准则规范的资产，且同时符合下列条件的，本公司从主合同中分拆嵌入衍生工 具，将其作为单独存在的衍生工具进行处理：</w:t>
      </w:r>
    </w:p>
    <w:p>
      <w:pPr>
        <w:pStyle w:val="Style29"/>
        <w:keepNext w:val="0"/>
        <w:keepLines w:val="0"/>
        <w:widowControl w:val="0"/>
        <w:numPr>
          <w:ilvl w:val="0"/>
          <w:numId w:val="19"/>
        </w:numPr>
        <w:shd w:val="clear" w:color="auto" w:fill="auto"/>
        <w:tabs>
          <w:tab w:pos="878" w:val="left"/>
        </w:tabs>
        <w:bidi w:val="0"/>
        <w:spacing w:before="0" w:after="0" w:line="315" w:lineRule="exact"/>
        <w:ind w:left="0" w:right="0" w:firstLine="520"/>
        <w:jc w:val="both"/>
      </w:pPr>
      <w:bookmarkStart w:id="779" w:name="bookmark779"/>
      <w:bookmarkEnd w:id="779"/>
      <w:r>
        <w:rPr>
          <w:color w:val="000000"/>
          <w:spacing w:val="0"/>
          <w:w w:val="100"/>
          <w:position w:val="0"/>
        </w:rPr>
        <w:t>嵌入衍生工具的经济特征和风险与主合同的经济特征和风险不紧密相关；</w:t>
      </w:r>
    </w:p>
    <w:p>
      <w:pPr>
        <w:pStyle w:val="Style29"/>
        <w:keepNext w:val="0"/>
        <w:keepLines w:val="0"/>
        <w:widowControl w:val="0"/>
        <w:numPr>
          <w:ilvl w:val="0"/>
          <w:numId w:val="19"/>
        </w:numPr>
        <w:shd w:val="clear" w:color="auto" w:fill="auto"/>
        <w:tabs>
          <w:tab w:pos="878" w:val="left"/>
        </w:tabs>
        <w:bidi w:val="0"/>
        <w:spacing w:before="0" w:after="0" w:line="315" w:lineRule="exact"/>
        <w:ind w:left="0" w:right="0" w:firstLine="520"/>
        <w:jc w:val="left"/>
      </w:pPr>
      <w:bookmarkStart w:id="780" w:name="bookmark780"/>
      <w:bookmarkEnd w:id="780"/>
      <w:r>
        <w:rPr>
          <w:color w:val="000000"/>
          <w:spacing w:val="0"/>
          <w:w w:val="100"/>
          <w:position w:val="0"/>
        </w:rPr>
        <w:t>与嵌入衍生工具具有相关条款的单独工具符合衍生工具的定义；</w:t>
      </w:r>
    </w:p>
    <w:p>
      <w:pPr>
        <w:pStyle w:val="Style29"/>
        <w:keepNext w:val="0"/>
        <w:keepLines w:val="0"/>
        <w:widowControl w:val="0"/>
        <w:numPr>
          <w:ilvl w:val="0"/>
          <w:numId w:val="19"/>
        </w:numPr>
        <w:shd w:val="clear" w:color="auto" w:fill="auto"/>
        <w:tabs>
          <w:tab w:pos="878" w:val="left"/>
        </w:tabs>
        <w:bidi w:val="0"/>
        <w:spacing w:before="0" w:after="0" w:line="315" w:lineRule="exact"/>
        <w:ind w:left="0" w:right="0" w:firstLine="520"/>
        <w:jc w:val="left"/>
      </w:pPr>
      <w:bookmarkStart w:id="781" w:name="bookmark781"/>
      <w:bookmarkEnd w:id="781"/>
      <w:r>
        <w:rPr>
          <w:color w:val="000000"/>
          <w:spacing w:val="0"/>
          <w:w w:val="100"/>
          <w:position w:val="0"/>
        </w:rPr>
        <w:t>该混合合同不是以公允价值计量且其变动计入当期损益进行会计处理。</w:t>
      </w:r>
    </w:p>
    <w:p>
      <w:pPr>
        <w:pStyle w:val="Style29"/>
        <w:keepNext w:val="0"/>
        <w:keepLines w:val="0"/>
        <w:widowControl w:val="0"/>
        <w:shd w:val="clear" w:color="auto" w:fill="auto"/>
        <w:tabs>
          <w:tab w:pos="945" w:val="left"/>
        </w:tabs>
        <w:bidi w:val="0"/>
        <w:spacing w:before="0" w:after="0" w:line="315" w:lineRule="exact"/>
        <w:ind w:left="0" w:right="0" w:firstLine="52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 xml:space="preserve">当本公司具有抵销已确认金融资产和金融负债的法定权利，且目前可执行该种法定权利，同时本公司计划以净额结算 </w:t>
      </w:r>
      <w:r>
        <w:rPr>
          <w:color w:val="000000"/>
          <w:spacing w:val="0"/>
          <w:w w:val="100"/>
          <w:position w:val="0"/>
        </w:rPr>
        <w:t>或同时变现该金融资产和清偿该金融负债时，金融资产和金融负债以相互抵销后的金额在资产负债表内列示。除此以外，金 融资产和金融负债在资产负债表内分别列示，不予相互抵销。</w:t>
      </w:r>
    </w:p>
    <w:p>
      <w:pPr>
        <w:pStyle w:val="Style29"/>
        <w:keepNext w:val="0"/>
        <w:keepLines w:val="0"/>
        <w:widowControl w:val="0"/>
        <w:shd w:val="clear" w:color="auto" w:fill="auto"/>
        <w:bidi w:val="0"/>
        <w:spacing w:before="0" w:after="0" w:line="315" w:lineRule="exact"/>
        <w:ind w:left="0" w:right="0" w:firstLine="440"/>
        <w:jc w:val="left"/>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8</w:t>
      </w:r>
      <w:r>
        <w:rPr>
          <w:color w:val="000000"/>
          <w:spacing w:val="0"/>
          <w:w w:val="100"/>
          <w:position w:val="0"/>
        </w:rPr>
        <w:t>）金融工具的公允价值确定</w:t>
      </w:r>
    </w:p>
    <w:p>
      <w:pPr>
        <w:pStyle w:val="Style29"/>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存在活跃市场的金融工具，以市场参与者在计量日发生的有序交易中，出售一项资产所能收到或者转移一项负债所需 支付的价格确定其公允价值。不存在活跃市场的金融工具，采用估值技术确定其公允价值。在估值时，本公司采用在当前情 况下适用并且有足够可利用数据和其他信息支持的估值技术,选择与市场参与者在相关资产或负债的交易中所考虑的资产或 负债特征相一致的输入值，并尽可能优先使用相关可观察输入值。在相关可观察输入值无法取得或取得不切实可行时，使用 不可观察输入值。</w:t>
      </w:r>
    </w:p>
    <w:p>
      <w:pPr>
        <w:pStyle w:val="Style37"/>
        <w:keepNext w:val="0"/>
        <w:keepLines w:val="0"/>
        <w:widowControl w:val="0"/>
        <w:shd w:val="clear" w:color="auto" w:fill="auto"/>
        <w:tabs>
          <w:tab w:pos="464" w:val="left"/>
        </w:tabs>
        <w:bidi w:val="0"/>
        <w:spacing w:before="0" w:after="280" w:line="326" w:lineRule="auto"/>
        <w:ind w:left="0" w:right="0" w:firstLine="0"/>
        <w:jc w:val="left"/>
      </w:pPr>
      <w:bookmarkStart w:id="784" w:name="bookmark784"/>
      <w:r>
        <w:rPr>
          <w:rFonts w:ascii="Times New Roman" w:eastAsia="Times New Roman" w:hAnsi="Times New Roman" w:cs="Times New Roman"/>
          <w:b/>
          <w:bCs/>
          <w:color w:val="000000"/>
          <w:spacing w:val="0"/>
          <w:w w:val="100"/>
          <w:position w:val="0"/>
        </w:rPr>
        <w:t>1</w:t>
      </w:r>
      <w:bookmarkEnd w:id="78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应收票据</w:t>
      </w:r>
    </w:p>
    <w:p>
      <w:pPr>
        <w:pStyle w:val="Style37"/>
        <w:keepNext w:val="0"/>
        <w:keepLines w:val="0"/>
        <w:widowControl w:val="0"/>
        <w:shd w:val="clear" w:color="auto" w:fill="auto"/>
        <w:tabs>
          <w:tab w:pos="464" w:val="left"/>
        </w:tabs>
        <w:bidi w:val="0"/>
        <w:spacing w:before="0" w:after="280" w:line="326" w:lineRule="auto"/>
        <w:ind w:left="0" w:right="0" w:firstLine="0"/>
        <w:jc w:val="left"/>
      </w:pPr>
      <w:bookmarkStart w:id="785" w:name="bookmark785"/>
      <w:r>
        <w:rPr>
          <w:rFonts w:ascii="Times New Roman" w:eastAsia="Times New Roman" w:hAnsi="Times New Roman" w:cs="Times New Roman"/>
          <w:b/>
          <w:bCs/>
          <w:color w:val="000000"/>
          <w:spacing w:val="0"/>
          <w:w w:val="100"/>
          <w:position w:val="0"/>
        </w:rPr>
        <w:t>1</w:t>
      </w:r>
      <w:bookmarkEnd w:id="78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应收账款</w:t>
      </w:r>
    </w:p>
    <w:p>
      <w:pPr>
        <w:pStyle w:val="Style37"/>
        <w:keepNext w:val="0"/>
        <w:keepLines w:val="0"/>
        <w:widowControl w:val="0"/>
        <w:shd w:val="clear" w:color="auto" w:fill="auto"/>
        <w:tabs>
          <w:tab w:pos="464" w:val="left"/>
        </w:tabs>
        <w:bidi w:val="0"/>
        <w:spacing w:before="0" w:after="280" w:line="326" w:lineRule="auto"/>
        <w:ind w:left="0" w:right="0" w:firstLine="0"/>
        <w:jc w:val="left"/>
      </w:pPr>
      <w:bookmarkStart w:id="786" w:name="bookmark786"/>
      <w:r>
        <w:rPr>
          <w:rFonts w:ascii="Times New Roman" w:eastAsia="Times New Roman" w:hAnsi="Times New Roman" w:cs="Times New Roman"/>
          <w:b/>
          <w:bCs/>
          <w:color w:val="000000"/>
          <w:spacing w:val="0"/>
          <w:w w:val="100"/>
          <w:position w:val="0"/>
        </w:rPr>
        <w:t>1</w:t>
      </w:r>
      <w:bookmarkEnd w:id="78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应收款项融资</w:t>
      </w:r>
    </w:p>
    <w:p>
      <w:pPr>
        <w:pStyle w:val="Style37"/>
        <w:keepNext w:val="0"/>
        <w:keepLines w:val="0"/>
        <w:widowControl w:val="0"/>
        <w:shd w:val="clear" w:color="auto" w:fill="auto"/>
        <w:tabs>
          <w:tab w:pos="464" w:val="left"/>
        </w:tabs>
        <w:bidi w:val="0"/>
        <w:spacing w:before="0" w:after="200" w:line="326" w:lineRule="auto"/>
        <w:ind w:left="0" w:right="0" w:firstLine="0"/>
        <w:jc w:val="left"/>
      </w:pPr>
      <w:bookmarkStart w:id="787" w:name="bookmark787"/>
      <w:r>
        <w:rPr>
          <w:rFonts w:ascii="Times New Roman" w:eastAsia="Times New Roman" w:hAnsi="Times New Roman" w:cs="Times New Roman"/>
          <w:b/>
          <w:bCs/>
          <w:color w:val="000000"/>
          <w:spacing w:val="0"/>
          <w:w w:val="100"/>
          <w:position w:val="0"/>
        </w:rPr>
        <w:t>1</w:t>
      </w:r>
      <w:bookmarkEnd w:id="78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其他应收款</w:t>
      </w:r>
    </w:p>
    <w:p>
      <w:pPr>
        <w:pStyle w:val="Style2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其他应收款的预期信用损失的确定方法及会计处理方法</w:t>
      </w:r>
    </w:p>
    <w:p>
      <w:pPr>
        <w:pStyle w:val="Style33"/>
        <w:keepNext/>
        <w:keepLines/>
        <w:widowControl w:val="0"/>
        <w:shd w:val="clear" w:color="auto" w:fill="auto"/>
        <w:tabs>
          <w:tab w:pos="464" w:val="left"/>
        </w:tabs>
        <w:bidi w:val="0"/>
        <w:spacing w:before="0" w:after="200" w:line="326"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88"/>
      <w:bookmarkEnd w:id="789"/>
      <w:bookmarkEnd w:id="791"/>
    </w:p>
    <w:p>
      <w:pPr>
        <w:pStyle w:val="Style37"/>
        <w:keepNext w:val="0"/>
        <w:keepLines w:val="0"/>
        <w:widowControl w:val="0"/>
        <w:shd w:val="clear" w:color="auto" w:fill="auto"/>
        <w:tabs>
          <w:tab w:pos="895" w:val="left"/>
        </w:tabs>
        <w:bidi w:val="0"/>
        <w:spacing w:before="0" w:after="0" w:line="313" w:lineRule="exact"/>
        <w:ind w:left="0" w:right="0"/>
        <w:jc w:val="left"/>
      </w:pPr>
      <w:bookmarkStart w:id="792" w:name="bookmark792"/>
      <w:r>
        <w:rPr>
          <w:color w:val="000000"/>
          <w:spacing w:val="0"/>
          <w:w w:val="100"/>
          <w:position w:val="0"/>
        </w:rPr>
        <w:t>（</w:t>
      </w:r>
      <w:bookmarkEnd w:id="792"/>
      <w:r>
        <w:rPr>
          <w:b/>
          <w:bCs/>
          <w:color w:val="000000"/>
          <w:spacing w:val="0"/>
          <w:w w:val="100"/>
          <w:position w:val="0"/>
        </w:rPr>
        <w:t>1</w:t>
      </w:r>
      <w:r>
        <w:rPr>
          <w:color w:val="000000"/>
          <w:spacing w:val="0"/>
          <w:w w:val="100"/>
          <w:position w:val="0"/>
        </w:rPr>
        <w:t>）</w:t>
        <w:tab/>
        <w:t>存货的分类</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本公司存货分为原材料、在产品、库存商品、周转材料等。</w:t>
      </w:r>
    </w:p>
    <w:p>
      <w:pPr>
        <w:pStyle w:val="Style37"/>
        <w:keepNext w:val="0"/>
        <w:keepLines w:val="0"/>
        <w:widowControl w:val="0"/>
        <w:shd w:val="clear" w:color="auto" w:fill="auto"/>
        <w:tabs>
          <w:tab w:pos="895" w:val="left"/>
        </w:tabs>
        <w:bidi w:val="0"/>
        <w:spacing w:before="0" w:after="0" w:line="313" w:lineRule="exact"/>
        <w:ind w:left="0" w:right="0"/>
        <w:jc w:val="left"/>
      </w:pPr>
      <w:bookmarkStart w:id="793" w:name="bookmark793"/>
      <w:r>
        <w:rPr>
          <w:color w:val="000000"/>
          <w:spacing w:val="0"/>
          <w:w w:val="100"/>
          <w:position w:val="0"/>
        </w:rPr>
        <w:t>（</w:t>
      </w:r>
      <w:bookmarkEnd w:id="793"/>
      <w:r>
        <w:rPr>
          <w:b/>
          <w:bCs/>
          <w:color w:val="000000"/>
          <w:spacing w:val="0"/>
          <w:w w:val="100"/>
          <w:position w:val="0"/>
        </w:rPr>
        <w:t>2</w:t>
      </w:r>
      <w:r>
        <w:rPr>
          <w:color w:val="000000"/>
          <w:spacing w:val="0"/>
          <w:w w:val="100"/>
          <w:position w:val="0"/>
        </w:rPr>
        <w:t>）</w:t>
        <w:tab/>
        <w:t>存货取得和发出的计价方法</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本公司存货盘存制度采用永续盘存制，存货取得时按实际成本计价。原材料、在产品、库存商品等发出时 采用加权平均法计价；周转用包装物和低值易耗品领用时采用一次转销法摊销。</w:t>
      </w:r>
    </w:p>
    <w:p>
      <w:pPr>
        <w:pStyle w:val="Style37"/>
        <w:keepNext w:val="0"/>
        <w:keepLines w:val="0"/>
        <w:widowControl w:val="0"/>
        <w:shd w:val="clear" w:color="auto" w:fill="auto"/>
        <w:tabs>
          <w:tab w:pos="895" w:val="left"/>
        </w:tabs>
        <w:bidi w:val="0"/>
        <w:spacing w:before="0" w:after="0" w:line="313" w:lineRule="exact"/>
        <w:ind w:left="0" w:right="0"/>
        <w:jc w:val="both"/>
      </w:pPr>
      <w:bookmarkStart w:id="794" w:name="bookmark794"/>
      <w:r>
        <w:rPr>
          <w:color w:val="000000"/>
          <w:spacing w:val="0"/>
          <w:w w:val="100"/>
          <w:position w:val="0"/>
        </w:rPr>
        <w:t>（</w:t>
      </w:r>
      <w:bookmarkEnd w:id="794"/>
      <w:r>
        <w:rPr>
          <w:b/>
          <w:bCs/>
          <w:color w:val="000000"/>
          <w:spacing w:val="0"/>
          <w:w w:val="100"/>
          <w:position w:val="0"/>
        </w:rPr>
        <w:t>3</w:t>
      </w:r>
      <w:r>
        <w:rPr>
          <w:color w:val="000000"/>
          <w:spacing w:val="0"/>
          <w:w w:val="100"/>
          <w:position w:val="0"/>
        </w:rPr>
        <w:t>）</w:t>
        <w:tab/>
        <w:t>存货跌价准备计提方法</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本公司期末存货成本高于其可变现净值的，计提存货跌价准备。本公司通常按照类别计提存货跌价准备， 期末，以前减记存货价值的影响因素已经消失的，存货跌价准备在原已计提的金额内转回。</w:t>
      </w:r>
    </w:p>
    <w:p>
      <w:pPr>
        <w:pStyle w:val="Style37"/>
        <w:keepNext w:val="0"/>
        <w:keepLines w:val="0"/>
        <w:widowControl w:val="0"/>
        <w:shd w:val="clear" w:color="auto" w:fill="auto"/>
        <w:tabs>
          <w:tab w:pos="895" w:val="left"/>
        </w:tabs>
        <w:bidi w:val="0"/>
        <w:spacing w:before="0" w:after="0" w:line="313" w:lineRule="exact"/>
        <w:ind w:left="0" w:right="0"/>
        <w:jc w:val="both"/>
      </w:pPr>
      <w:bookmarkStart w:id="795" w:name="bookmark795"/>
      <w:r>
        <w:rPr>
          <w:color w:val="000000"/>
          <w:spacing w:val="0"/>
          <w:w w:val="100"/>
          <w:position w:val="0"/>
        </w:rPr>
        <w:t>（</w:t>
      </w:r>
      <w:bookmarkEnd w:id="795"/>
      <w:r>
        <w:rPr>
          <w:b/>
          <w:bCs/>
          <w:color w:val="000000"/>
          <w:spacing w:val="0"/>
          <w:w w:val="100"/>
          <w:position w:val="0"/>
        </w:rPr>
        <w:t>4</w:t>
      </w:r>
      <w:r>
        <w:rPr>
          <w:color w:val="000000"/>
          <w:spacing w:val="0"/>
          <w:w w:val="100"/>
          <w:position w:val="0"/>
        </w:rPr>
        <w:t>）</w:t>
        <w:tab/>
        <w:t>存货可变现净值的确认方法</w:t>
      </w:r>
    </w:p>
    <w:p>
      <w:pPr>
        <w:pStyle w:val="Style3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期末对存货进行全面清查后，按存货的成本与可变现净值孰低提取或调整存货跌价准备。产成品和用于出售的 材料等直接用于出售的商品存货，在正常生产经营过程中，以该存货的估计售价减去估计的销售费用和相关税 费后的金额，确定其可变现净值；需要经过加工的材料存货，在正常生产经营过程中，以所生产的产成品的估 计售价减去至完工时估计将要发生的成本、估计的销售费用和相关税费后的金额，确定其可变现净值；为执行 销售合同或者劳务合同而持有的存货，其可变现净值以合同价格为基础计算，若持有存货的数量多于销售合同 订购数量的，超出部分的存货的可变现净值以一般销售价格为基础计算。期末按照单个存货项目计提存货跌价 准备；但对于数量繁多、单价较低的存货，按照存货类别计提存货跌价准备；与在同一地区生产和销售的产品 系列相关、具有相同或类似最终用途或目的，且难以与其他项目分开计量的存货，则合并计提存货跌价准备。 除有明确证据表明资产负债表日市场价格异常外，存货项目的可变现净值以资产负债表日市场价格为基础确定。 本期期末存货项目的可变现净值以资产负债表日市场价格为基础确定。</w:t>
      </w:r>
    </w:p>
    <w:p>
      <w:pPr>
        <w:pStyle w:val="Style37"/>
        <w:keepNext w:val="0"/>
        <w:keepLines w:val="0"/>
        <w:widowControl w:val="0"/>
        <w:shd w:val="clear" w:color="auto" w:fill="auto"/>
        <w:tabs>
          <w:tab w:pos="464" w:val="left"/>
        </w:tabs>
        <w:bidi w:val="0"/>
        <w:spacing w:before="0" w:after="280" w:line="326" w:lineRule="auto"/>
        <w:ind w:left="0" w:right="0" w:firstLine="0"/>
        <w:jc w:val="both"/>
      </w:pPr>
      <w:bookmarkStart w:id="796" w:name="bookmark796"/>
      <w:r>
        <w:rPr>
          <w:rFonts w:ascii="Times New Roman" w:eastAsia="Times New Roman" w:hAnsi="Times New Roman" w:cs="Times New Roman"/>
          <w:b/>
          <w:bCs/>
          <w:color w:val="000000"/>
          <w:spacing w:val="0"/>
          <w:w w:val="100"/>
          <w:position w:val="0"/>
        </w:rPr>
        <w:t>1</w:t>
      </w:r>
      <w:bookmarkEnd w:id="79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合同资产</w:t>
      </w:r>
    </w:p>
    <w:p>
      <w:pPr>
        <w:pStyle w:val="Style33"/>
        <w:keepNext/>
        <w:keepLines/>
        <w:widowControl w:val="0"/>
        <w:shd w:val="clear" w:color="auto" w:fill="auto"/>
        <w:tabs>
          <w:tab w:pos="418" w:val="left"/>
        </w:tabs>
        <w:bidi w:val="0"/>
        <w:spacing w:before="0" w:after="280" w:line="311" w:lineRule="exact"/>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97"/>
      <w:bookmarkEnd w:id="798"/>
      <w:bookmarkEnd w:id="800"/>
    </w:p>
    <w:p>
      <w:pPr>
        <w:pStyle w:val="Style33"/>
        <w:keepNext/>
        <w:keepLines/>
        <w:widowControl w:val="0"/>
        <w:shd w:val="clear" w:color="auto" w:fill="auto"/>
        <w:tabs>
          <w:tab w:pos="418" w:val="left"/>
        </w:tabs>
        <w:bidi w:val="0"/>
        <w:spacing w:before="0" w:after="280" w:line="311" w:lineRule="exact"/>
        <w:ind w:left="0" w:right="0" w:firstLine="0"/>
        <w:jc w:val="both"/>
      </w:pPr>
      <w:bookmarkStart w:id="797" w:name="bookmark797"/>
      <w:bookmarkStart w:id="798" w:name="bookmark798"/>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97"/>
      <w:bookmarkEnd w:id="798"/>
      <w:bookmarkEnd w:id="802"/>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本公司将通过出售（包括具有商业实质的非货币性资产交换，下同）而非持续使用一项非流动资产或处置 组收回其账面价值，并同时满足以下两个条件的，划分为持有待售类别：（</w:t>
      </w:r>
      <w:r>
        <w:rPr>
          <w:b/>
          <w:bCs/>
          <w:color w:val="000000"/>
          <w:spacing w:val="0"/>
          <w:w w:val="100"/>
          <w:position w:val="0"/>
        </w:rPr>
        <w:t>1</w:t>
      </w:r>
      <w:r>
        <w:rPr>
          <w:color w:val="000000"/>
          <w:spacing w:val="0"/>
          <w:w w:val="100"/>
          <w:position w:val="0"/>
        </w:rPr>
        <w:t>）某项非流动资产或处置组根据类 似交易中出售此类资产或处置组的惯例，在当前状况下即可立即出售；（</w:t>
      </w:r>
      <w:r>
        <w:rPr>
          <w:b/>
          <w:bCs/>
          <w:color w:val="000000"/>
          <w:spacing w:val="0"/>
          <w:w w:val="100"/>
          <w:position w:val="0"/>
        </w:rPr>
        <w:t>2</w:t>
      </w:r>
      <w:r>
        <w:rPr>
          <w:color w:val="000000"/>
          <w:spacing w:val="0"/>
          <w:w w:val="100"/>
          <w:position w:val="0"/>
        </w:rPr>
        <w:t>）本公司已经就出售计划作出决议且 获得确定的购买承诺，预计出售将在一年内完成。（有关规定要求相关权力机构或者监管部门批准后方可出售 的，已经获得批准。）</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本公司将专为转售而取得的非流动资产或处置组，在取得日满足</w:t>
      </w:r>
      <w:r>
        <w:rPr>
          <w:b/>
          <w:bCs/>
          <w:color w:val="000000"/>
          <w:spacing w:val="0"/>
          <w:w w:val="100"/>
          <w:position w:val="0"/>
        </w:rPr>
        <w:t>“</w:t>
      </w:r>
      <w:r>
        <w:rPr>
          <w:color w:val="000000"/>
          <w:spacing w:val="0"/>
          <w:w w:val="100"/>
          <w:position w:val="0"/>
        </w:rPr>
        <w:t>预计出售将在一年内完成</w:t>
      </w:r>
      <w:r>
        <w:rPr>
          <w:b/>
          <w:bCs/>
          <w:color w:val="000000"/>
          <w:spacing w:val="0"/>
          <w:w w:val="100"/>
          <w:position w:val="0"/>
        </w:rPr>
        <w:t>”</w:t>
      </w:r>
      <w:r>
        <w:rPr>
          <w:color w:val="000000"/>
          <w:spacing w:val="0"/>
          <w:w w:val="100"/>
          <w:position w:val="0"/>
        </w:rPr>
        <w:t>的规定条件， 且短期（通常为</w:t>
      </w:r>
      <w:r>
        <w:rPr>
          <w:b/>
          <w:bCs/>
          <w:color w:val="000000"/>
          <w:spacing w:val="0"/>
          <w:w w:val="100"/>
          <w:position w:val="0"/>
        </w:rPr>
        <w:t>3</w:t>
      </w:r>
      <w:r>
        <w:rPr>
          <w:color w:val="000000"/>
          <w:spacing w:val="0"/>
          <w:w w:val="100"/>
          <w:position w:val="0"/>
        </w:rPr>
        <w:t>个月）内很可能满足持有待售类别的其他划分条件的，在取得日划分为持有待售类别。</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本公司初始计量或在资产负债表日重新计量划分为持有待售的非流动资产和处置组时，其账面价值高于公 允价值减去出售费用后的净额的，将账面价值减记至公允价值减去出售费用后的净额，减记的金额确认为资产 减值损失，计入当期损益，同时计提持有待售资产减值准备。对于持有待售的处置组确认的资产减值损失金额， 先抵减处置组中商誉的账面价值，再根据处置组中适用《企业会计准则第</w:t>
      </w:r>
      <w:r>
        <w:rPr>
          <w:b/>
          <w:bCs/>
          <w:color w:val="000000"/>
          <w:spacing w:val="0"/>
          <w:w w:val="100"/>
          <w:position w:val="0"/>
        </w:rPr>
        <w:t>42</w:t>
      </w:r>
      <w:r>
        <w:rPr>
          <w:color w:val="000000"/>
          <w:spacing w:val="0"/>
          <w:w w:val="100"/>
          <w:position w:val="0"/>
        </w:rPr>
        <w:t>号——持有待售的非流动资产、处 置组和终止经营》计量规定的各项非流动资产账面价值所占比重，按比例抵减其账面价值。</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后续资产负债表日持有待售的非流动资产公允价值减去出售费用后的净额增加的，以前减记的金额予以恢 复，并在划分为持有待售类别后确认的资产减值损失金额内转回，转回金额计入当期损益。划分为持有待售类 别前确认的资产减值损失不转回。持有待售的处置组以前减记的金额应当予以恢复，并在划分为持有待售类别 后适用《企业会计准则第</w:t>
      </w:r>
      <w:r>
        <w:rPr>
          <w:b/>
          <w:bCs/>
          <w:color w:val="000000"/>
          <w:spacing w:val="0"/>
          <w:w w:val="100"/>
          <w:position w:val="0"/>
        </w:rPr>
        <w:t>42</w:t>
      </w:r>
      <w:r>
        <w:rPr>
          <w:color w:val="000000"/>
          <w:spacing w:val="0"/>
          <w:w w:val="100"/>
          <w:position w:val="0"/>
        </w:rPr>
        <w:t>号——持有待售的非流动资产、处置组和终止经营》计量规定的非流动资产确认的 资产减值损失金额内转回，转回金额计入当期损益。已抵减的商誉账面价值，以及适用《企业会计准则第</w:t>
      </w:r>
      <w:r>
        <w:rPr>
          <w:b/>
          <w:bCs/>
          <w:color w:val="000000"/>
          <w:spacing w:val="0"/>
          <w:w w:val="100"/>
          <w:position w:val="0"/>
        </w:rPr>
        <w:t>42</w:t>
      </w:r>
      <w:r>
        <w:rPr>
          <w:color w:val="000000"/>
          <w:spacing w:val="0"/>
          <w:w w:val="100"/>
          <w:position w:val="0"/>
        </w:rPr>
        <w:t xml:space="preserve">号 </w:t>
      </w:r>
      <w:r>
        <w:rPr>
          <w:color w:val="000000"/>
          <w:spacing w:val="0"/>
          <w:w w:val="100"/>
          <w:position w:val="0"/>
        </w:rPr>
        <w:t>—</w:t>
      </w:r>
      <w:r>
        <w:rPr>
          <w:color w:val="000000"/>
          <w:spacing w:val="0"/>
          <w:w w:val="100"/>
          <w:position w:val="0"/>
        </w:rPr>
        <w:t>持有待售的非流动资产、处置组和终止经营》计量规定的非流动资产在划分为持有待售类别前确认的资产 减值损失不得转回。</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持有待售的非流动资产或处置组中的非流动资产不计提折旧或摊销，持有待售的处置组中负债的利息和其 他费用继续予以确认。</w:t>
      </w:r>
    </w:p>
    <w:p>
      <w:pPr>
        <w:pStyle w:val="Style37"/>
        <w:keepNext w:val="0"/>
        <w:keepLines w:val="0"/>
        <w:widowControl w:val="0"/>
        <w:shd w:val="clear" w:color="auto" w:fill="auto"/>
        <w:bidi w:val="0"/>
        <w:spacing w:before="0" w:after="280" w:line="311" w:lineRule="exact"/>
        <w:ind w:left="0" w:right="0" w:firstLine="0"/>
        <w:jc w:val="both"/>
      </w:pPr>
      <w:r>
        <w:rPr>
          <w:color w:val="000000"/>
          <w:spacing w:val="0"/>
          <w:w w:val="100"/>
          <w:position w:val="0"/>
        </w:rPr>
        <w:t>非流动资产或处置组因不再满足持有待售类别的划分条件时，本公司不再将其继续划分为持有待售类别或非流 动资产从持有待售的处置组中移除，并按照以下两者孰低计量：（</w:t>
      </w:r>
      <w:r>
        <w:rPr>
          <w:b/>
          <w:bCs/>
          <w:color w:val="000000"/>
          <w:spacing w:val="0"/>
          <w:w w:val="100"/>
          <w:position w:val="0"/>
        </w:rPr>
        <w:t>1</w:t>
      </w:r>
      <w:r>
        <w:rPr>
          <w:color w:val="000000"/>
          <w:spacing w:val="0"/>
          <w:w w:val="100"/>
          <w:position w:val="0"/>
        </w:rPr>
        <w:t>）划分为持有待售类别前的账面价值，按照 假定不划分为持有待售类别情况下本应确认的折旧、摊销或减值等进行调整后的金额；（</w:t>
      </w:r>
      <w:r>
        <w:rPr>
          <w:b/>
          <w:bCs/>
          <w:color w:val="000000"/>
          <w:spacing w:val="0"/>
          <w:w w:val="100"/>
          <w:position w:val="0"/>
        </w:rPr>
        <w:t>2</w:t>
      </w:r>
      <w:r>
        <w:rPr>
          <w:color w:val="000000"/>
          <w:spacing w:val="0"/>
          <w:w w:val="100"/>
          <w:position w:val="0"/>
        </w:rPr>
        <w:t>）可收回金额。终止 确认持有待售的非流动资产或处置组时，本公司将尚未确认的利得或损失计入当期损益。</w:t>
      </w:r>
    </w:p>
    <w:p>
      <w:pPr>
        <w:pStyle w:val="Style37"/>
        <w:keepNext w:val="0"/>
        <w:keepLines w:val="0"/>
        <w:widowControl w:val="0"/>
        <w:shd w:val="clear" w:color="auto" w:fill="auto"/>
        <w:tabs>
          <w:tab w:pos="418" w:val="left"/>
        </w:tabs>
        <w:bidi w:val="0"/>
        <w:spacing w:before="0" w:after="280" w:line="311" w:lineRule="exact"/>
        <w:ind w:left="0" w:right="0" w:firstLine="0"/>
        <w:jc w:val="both"/>
      </w:pPr>
      <w:bookmarkStart w:id="803" w:name="bookmark803"/>
      <w:r>
        <w:rPr>
          <w:rFonts w:ascii="Times New Roman" w:eastAsia="Times New Roman" w:hAnsi="Times New Roman" w:cs="Times New Roman"/>
          <w:b/>
          <w:bCs/>
          <w:color w:val="000000"/>
          <w:spacing w:val="0"/>
          <w:w w:val="100"/>
          <w:position w:val="0"/>
        </w:rPr>
        <w:t>1</w:t>
      </w:r>
      <w:bookmarkEnd w:id="80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37"/>
        <w:keepNext w:val="0"/>
        <w:keepLines w:val="0"/>
        <w:widowControl w:val="0"/>
        <w:shd w:val="clear" w:color="auto" w:fill="auto"/>
        <w:tabs>
          <w:tab w:pos="428" w:val="left"/>
        </w:tabs>
        <w:bidi w:val="0"/>
        <w:spacing w:before="0" w:after="280" w:line="311" w:lineRule="exact"/>
        <w:ind w:left="0" w:right="0" w:firstLine="0"/>
        <w:jc w:val="both"/>
      </w:pPr>
      <w:bookmarkStart w:id="804" w:name="bookmark804"/>
      <w:r>
        <w:rPr>
          <w:rFonts w:ascii="Times New Roman" w:eastAsia="Times New Roman" w:hAnsi="Times New Roman" w:cs="Times New Roman"/>
          <w:b/>
          <w:bCs/>
          <w:color w:val="000000"/>
          <w:spacing w:val="0"/>
          <w:w w:val="100"/>
          <w:position w:val="0"/>
        </w:rPr>
        <w:t>2</w:t>
      </w:r>
      <w:bookmarkEnd w:id="804"/>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37"/>
        <w:keepNext w:val="0"/>
        <w:keepLines w:val="0"/>
        <w:widowControl w:val="0"/>
        <w:shd w:val="clear" w:color="auto" w:fill="auto"/>
        <w:tabs>
          <w:tab w:pos="428" w:val="left"/>
        </w:tabs>
        <w:bidi w:val="0"/>
        <w:spacing w:before="0" w:after="280" w:line="311" w:lineRule="exact"/>
        <w:ind w:left="0" w:right="0" w:firstLine="0"/>
        <w:jc w:val="both"/>
      </w:pPr>
      <w:bookmarkStart w:id="805" w:name="bookmark805"/>
      <w:r>
        <w:rPr>
          <w:rFonts w:ascii="Times New Roman" w:eastAsia="Times New Roman" w:hAnsi="Times New Roman" w:cs="Times New Roman"/>
          <w:b/>
          <w:bCs/>
          <w:color w:val="000000"/>
          <w:spacing w:val="0"/>
          <w:w w:val="100"/>
          <w:position w:val="0"/>
        </w:rPr>
        <w:t>2</w:t>
      </w:r>
      <w:bookmarkEnd w:id="80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37"/>
        <w:keepNext w:val="0"/>
        <w:keepLines w:val="0"/>
        <w:widowControl w:val="0"/>
        <w:shd w:val="clear" w:color="auto" w:fill="auto"/>
        <w:tabs>
          <w:tab w:pos="428" w:val="left"/>
        </w:tabs>
        <w:bidi w:val="0"/>
        <w:spacing w:before="0" w:after="280" w:line="311" w:lineRule="exact"/>
        <w:ind w:left="0" w:right="0" w:firstLine="0"/>
        <w:jc w:val="both"/>
      </w:pPr>
      <w:bookmarkStart w:id="806" w:name="bookmark806"/>
      <w:r>
        <w:rPr>
          <w:rFonts w:ascii="Times New Roman" w:eastAsia="Times New Roman" w:hAnsi="Times New Roman" w:cs="Times New Roman"/>
          <w:b/>
          <w:bCs/>
          <w:color w:val="000000"/>
          <w:spacing w:val="0"/>
          <w:w w:val="100"/>
          <w:position w:val="0"/>
        </w:rPr>
        <w:t>2</w:t>
      </w:r>
      <w:bookmarkEnd w:id="80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本部分所指的长期股权投资是指本公司对被投资单位具有控制、共同控制或重大影响的长期股权投资。本 公司对被投资单位不具有控制、共同控制或重大影响的长期股权投资，作为可供出售金融资产或以公允价值计 量且其变动计入当期损益的金融资产核算，其会计政策详见附注三、</w:t>
      </w:r>
      <w:r>
        <w:rPr>
          <w:b/>
          <w:bCs/>
          <w:color w:val="000000"/>
          <w:spacing w:val="0"/>
          <w:w w:val="100"/>
          <w:position w:val="0"/>
        </w:rPr>
        <w:t>10</w:t>
      </w:r>
      <w:r>
        <w:rPr>
          <w:color w:val="000000"/>
          <w:spacing w:val="0"/>
          <w:w w:val="100"/>
          <w:position w:val="0"/>
        </w:rPr>
        <w:t>金融工具</w:t>
      </w:r>
      <w:r>
        <w:rPr>
          <w:b/>
          <w:bCs/>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共同控制，是指本公司按照相关约定对某项安排所共有的控制，并且该安排的相关活动必须经过分享控制 权的参与方一致同意后才能决策。重大影响，是指本公司对被投资单位的财务和经营政策有参与决策的权力， 但并不能够控制或者与其他方一起共同控制这些政策的制定。</w:t>
      </w:r>
    </w:p>
    <w:p>
      <w:pPr>
        <w:pStyle w:val="Style37"/>
        <w:keepNext w:val="0"/>
        <w:keepLines w:val="0"/>
        <w:widowControl w:val="0"/>
        <w:shd w:val="clear" w:color="auto" w:fill="auto"/>
        <w:bidi w:val="0"/>
        <w:spacing w:before="0" w:after="280" w:line="314" w:lineRule="exact"/>
        <w:ind w:left="0" w:right="0"/>
        <w:jc w:val="both"/>
      </w:pPr>
      <w:bookmarkStart w:id="807" w:name="bookmark807"/>
      <w:r>
        <w:rPr>
          <w:color w:val="000000"/>
          <w:spacing w:val="0"/>
          <w:w w:val="100"/>
          <w:position w:val="0"/>
        </w:rPr>
        <w:t>（</w:t>
      </w:r>
      <w:bookmarkEnd w:id="807"/>
      <w:r>
        <w:rPr>
          <w:b/>
          <w:bCs/>
          <w:color w:val="000000"/>
          <w:spacing w:val="0"/>
          <w:w w:val="100"/>
          <w:position w:val="0"/>
        </w:rPr>
        <w:t>1</w:t>
      </w:r>
      <w:r>
        <w:rPr>
          <w:color w:val="000000"/>
          <w:spacing w:val="0"/>
          <w:w w:val="100"/>
          <w:position w:val="0"/>
        </w:rPr>
        <w:t>）投资成本的确定</w:t>
      </w:r>
    </w:p>
    <w:p>
      <w:pPr>
        <w:pStyle w:val="Style37"/>
        <w:keepNext w:val="0"/>
        <w:keepLines w:val="0"/>
        <w:widowControl w:val="0"/>
        <w:shd w:val="clear" w:color="auto" w:fill="auto"/>
        <w:bidi w:val="0"/>
        <w:spacing w:before="0" w:after="0"/>
        <w:ind w:left="0" w:right="0"/>
        <w:jc w:val="both"/>
      </w:pPr>
      <w:r>
        <w:rPr>
          <w:color w:val="000000"/>
          <w:spacing w:val="0"/>
          <w:w w:val="100"/>
          <w:position w:val="0"/>
        </w:rPr>
        <w:t>对于同一控制下的企业合并取得的长期股权投资，在合并日按照被合并方股东权益</w:t>
      </w:r>
      <w:r>
        <w:rPr>
          <w:b/>
          <w:bCs/>
          <w:color w:val="000000"/>
          <w:spacing w:val="0"/>
          <w:w w:val="100"/>
          <w:position w:val="0"/>
        </w:rPr>
        <w:t>/</w:t>
      </w:r>
      <w:r>
        <w:rPr>
          <w:color w:val="000000"/>
          <w:spacing w:val="0"/>
          <w:w w:val="100"/>
          <w:position w:val="0"/>
        </w:rPr>
        <w:t>所有者权益在最终控制 方合并财务报表中的账面价值的份额作为长期股权投资的初始投资成本。长期股权投资初始投资成本与支付的 现金、转让的非现金资产以及所承担债务账面价值之间的差额，调整资本公积；资本公积不足冲减的，调整留 存收益。以发行权益性证券作为合并对价的，在合并日按照被合并方股东权益</w:t>
      </w:r>
      <w:r>
        <w:rPr>
          <w:b/>
          <w:bCs/>
          <w:color w:val="000000"/>
          <w:spacing w:val="0"/>
          <w:w w:val="100"/>
          <w:position w:val="0"/>
        </w:rPr>
        <w:t>/</w:t>
      </w:r>
      <w:r>
        <w:rPr>
          <w:color w:val="000000"/>
          <w:spacing w:val="0"/>
          <w:w w:val="100"/>
          <w:position w:val="0"/>
        </w:rPr>
        <w:t>所有者权益在最终控制方合并财 务报表中的账面价值的份额作为长期股权投资的初始投资成本，按照发行股份的面值总额作为股本，长期股权 投资初始投资成本与所发行股份面值总额之间的差额，调整资本公积；资本公积不足冲减的，调整留存收益。 通过多次交易分步取得同一控制下被合并方的股权，最终形成同一控制下企业合并的，应分别是否属于</w:t>
      </w:r>
      <w:r>
        <w:rPr>
          <w:b/>
          <w:bCs/>
          <w:color w:val="000000"/>
          <w:spacing w:val="0"/>
          <w:w w:val="100"/>
          <w:position w:val="0"/>
        </w:rPr>
        <w:t>“</w:t>
      </w:r>
      <w:r>
        <w:rPr>
          <w:color w:val="000000"/>
          <w:spacing w:val="0"/>
          <w:w w:val="100"/>
          <w:position w:val="0"/>
        </w:rPr>
        <w:t>一揽子 交易</w:t>
      </w:r>
      <w:r>
        <w:rPr>
          <w:b/>
          <w:bCs/>
          <w:color w:val="000000"/>
          <w:spacing w:val="0"/>
          <w:w w:val="100"/>
          <w:position w:val="0"/>
        </w:rPr>
        <w:t>”</w:t>
      </w:r>
      <w:r>
        <w:rPr>
          <w:color w:val="000000"/>
          <w:spacing w:val="0"/>
          <w:w w:val="100"/>
          <w:position w:val="0"/>
        </w:rPr>
        <w:t>进行处理：属于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的，将各项交易作为一项取得控制权的交易进行会计处理。不属于</w:t>
      </w:r>
      <w:r>
        <w:rPr>
          <w:b/>
          <w:bCs/>
          <w:color w:val="000000"/>
          <w:spacing w:val="0"/>
          <w:w w:val="100"/>
          <w:position w:val="0"/>
        </w:rPr>
        <w:t>“</w:t>
      </w:r>
      <w:r>
        <w:rPr>
          <w:color w:val="000000"/>
          <w:spacing w:val="0"/>
          <w:w w:val="100"/>
          <w:position w:val="0"/>
        </w:rPr>
        <w:t>一揽子 交易</w:t>
      </w:r>
      <w:r>
        <w:rPr>
          <w:b/>
          <w:bCs/>
          <w:color w:val="000000"/>
          <w:spacing w:val="0"/>
          <w:w w:val="100"/>
          <w:position w:val="0"/>
        </w:rPr>
        <w:t>”</w:t>
      </w:r>
      <w:r>
        <w:rPr>
          <w:color w:val="000000"/>
          <w:spacing w:val="0"/>
          <w:w w:val="100"/>
          <w:position w:val="0"/>
        </w:rPr>
        <w:t>的，在合并日按照应享有被合并方股东权益</w:t>
      </w:r>
      <w:r>
        <w:rPr>
          <w:b/>
          <w:bCs/>
          <w:color w:val="000000"/>
          <w:spacing w:val="0"/>
          <w:w w:val="100"/>
          <w:position w:val="0"/>
        </w:rPr>
        <w:t>/</w:t>
      </w:r>
      <w:r>
        <w:rPr>
          <w:color w:val="000000"/>
          <w:spacing w:val="0"/>
          <w:w w:val="100"/>
          <w:position w:val="0"/>
        </w:rPr>
        <w:t>所有者权益在最终控制方合并财务报表中的账面价值的份额 作为长期股权投资的初始投资成本，长期股权投资初始投资成本与达到合并前的长期股权投资账面价值加上合 并日进一步取得股份新支付对价的账面价值之和的差额，调整资本公积；资本公积不足冲减的，调整留存收益。 合并日之前持有的股权投资因采用权益法核算或为可供出售金融资产而确认的其他综合收益，暂不进行会计处 理。</w:t>
      </w:r>
    </w:p>
    <w:p>
      <w:pPr>
        <w:pStyle w:val="Style37"/>
        <w:keepNext w:val="0"/>
        <w:keepLines w:val="0"/>
        <w:widowControl w:val="0"/>
        <w:shd w:val="clear" w:color="auto" w:fill="auto"/>
        <w:bidi w:val="0"/>
        <w:spacing w:before="0" w:after="0"/>
        <w:ind w:left="0" w:right="0"/>
        <w:jc w:val="both"/>
      </w:pPr>
      <w:r>
        <w:rPr>
          <w:color w:val="000000"/>
          <w:spacing w:val="0"/>
          <w:w w:val="100"/>
          <w:position w:val="0"/>
        </w:rPr>
        <w:t>对于非同一控制下的企业合并取得的长期股权投资，在购买日按照合并成本作为长期股权投资的初始投资 成本，合并成本包括包括购买方付出的资产、发生或承担的负债、发行的权益性证券的公允价值之和。通过多 次交易分步取得被购买方的股权，最终形成非同一控制下的企业合并的，应分别是否属于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进行处 理：属于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的，将各项交易作为一项取得控制权的交易进行会计处理。不属于</w:t>
      </w:r>
      <w:r>
        <w:rPr>
          <w:b/>
          <w:bCs/>
          <w:color w:val="000000"/>
          <w:spacing w:val="0"/>
          <w:w w:val="100"/>
          <w:position w:val="0"/>
        </w:rPr>
        <w:t>“</w:t>
      </w:r>
      <w:r>
        <w:rPr>
          <w:color w:val="000000"/>
          <w:spacing w:val="0"/>
          <w:w w:val="100"/>
          <w:position w:val="0"/>
        </w:rPr>
        <w:t>一揽子交易</w:t>
      </w:r>
      <w:r>
        <w:rPr>
          <w:b/>
          <w:bCs/>
          <w:color w:val="000000"/>
          <w:spacing w:val="0"/>
          <w:w w:val="100"/>
          <w:position w:val="0"/>
        </w:rPr>
        <w:t>”</w:t>
      </w:r>
      <w:r>
        <w:rPr>
          <w:color w:val="000000"/>
          <w:spacing w:val="0"/>
          <w:w w:val="100"/>
          <w:position w:val="0"/>
        </w:rPr>
        <w:t>的，按 照原持有被购买方的股权投资账面价值加上新增投资成本之和，作为改按成本法核算的长期股权投资的初始投 资成本。原持有的股权采用权益法核算的，相关其他综合收益暂不进行会计处理。原持有股权投资为可供出售 金融资产的，其公允价值与账面价值之间的差额，以及原计入其他综合收益的累计公允价值变动转入当期损益。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合并方或购买方为企业合并发生的审计、法律服务、评估咨询等中介费用以及其他相关管理费用，于发生 时计入当期损益。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除企业合并形成的长期股权投资外的其他股权投资，按成本进行初始计量，该成本视长期股权投资取得方 式的不同，分别按照本公司实际支付的现金购买价款、本公司发行的权益性证券的公允价值、投资合同或协议 约定的价值、非货币性资产交换交易中换出资产的公允价值或原账面价值、该项长期股权投资自身的公允价值 等方式确定。与取得长期股权投资直接相关的费用、税金及其他必要支出也计入投资成本。对于因追加投资能 够对被投资单位实施重大影响或实施共同控制但不构成控制的，长期股权投资成本为按照《企业会计准则第</w:t>
      </w:r>
      <w:r>
        <w:rPr>
          <w:b/>
          <w:bCs/>
          <w:color w:val="000000"/>
          <w:spacing w:val="0"/>
          <w:w w:val="100"/>
          <w:position w:val="0"/>
        </w:rPr>
        <w:t xml:space="preserve">22 </w:t>
      </w:r>
      <w:r>
        <w:rPr>
          <w:color w:val="000000"/>
          <w:spacing w:val="0"/>
          <w:w w:val="100"/>
          <w:position w:val="0"/>
        </w:rPr>
        <w:t>号一金融工具确认和计量》确定的原持有股权投资的公允价值加上新增投资成本之和。</w:t>
      </w:r>
    </w:p>
    <w:p>
      <w:pPr>
        <w:pStyle w:val="Style37"/>
        <w:keepNext w:val="0"/>
        <w:keepLines w:val="0"/>
        <w:widowControl w:val="0"/>
        <w:numPr>
          <w:ilvl w:val="0"/>
          <w:numId w:val="21"/>
        </w:numPr>
        <w:shd w:val="clear" w:color="auto" w:fill="auto"/>
        <w:bidi w:val="0"/>
        <w:spacing w:before="0" w:after="0"/>
        <w:ind w:left="0" w:right="0"/>
        <w:jc w:val="both"/>
      </w:pPr>
      <w:bookmarkStart w:id="808" w:name="bookmark808"/>
      <w:bookmarkEnd w:id="808"/>
      <w:r>
        <w:rPr>
          <w:color w:val="000000"/>
          <w:spacing w:val="0"/>
          <w:w w:val="100"/>
          <w:position w:val="0"/>
        </w:rPr>
        <w:t>后续计量及损益确认方法</w:t>
      </w:r>
    </w:p>
    <w:p>
      <w:pPr>
        <w:pStyle w:val="Style37"/>
        <w:keepNext w:val="0"/>
        <w:keepLines w:val="0"/>
        <w:widowControl w:val="0"/>
        <w:shd w:val="clear" w:color="auto" w:fill="auto"/>
        <w:bidi w:val="0"/>
        <w:spacing w:before="0" w:after="0"/>
        <w:ind w:left="0" w:right="0"/>
        <w:jc w:val="both"/>
      </w:pPr>
      <w:r>
        <w:rPr>
          <w:color w:val="000000"/>
          <w:spacing w:val="0"/>
          <w:w w:val="100"/>
          <w:position w:val="0"/>
        </w:rPr>
        <w:t>对被投资单位具有共同控制(构成共同经营者除外)或重大影响的长期股权投资，采用权益法核算。此外， 公司财务报表采用成本法核算能够对被投资单位实施控制的长期股权投资。</w:t>
      </w:r>
    </w:p>
    <w:p>
      <w:pPr>
        <w:pStyle w:val="Style37"/>
        <w:keepNext w:val="0"/>
        <w:keepLines w:val="0"/>
        <w:widowControl w:val="0"/>
        <w:numPr>
          <w:ilvl w:val="0"/>
          <w:numId w:val="23"/>
        </w:numPr>
        <w:shd w:val="clear" w:color="auto" w:fill="auto"/>
        <w:tabs>
          <w:tab w:pos="767" w:val="left"/>
        </w:tabs>
        <w:bidi w:val="0"/>
        <w:spacing w:before="0" w:after="0"/>
        <w:ind w:left="0" w:right="0"/>
        <w:jc w:val="both"/>
      </w:pPr>
      <w:bookmarkStart w:id="809" w:name="bookmark809"/>
      <w:bookmarkEnd w:id="809"/>
      <w:r>
        <w:rPr>
          <w:color w:val="000000"/>
          <w:spacing w:val="0"/>
          <w:w w:val="100"/>
          <w:position w:val="0"/>
        </w:rPr>
        <w:t>成本法核算的长期股权投资</w:t>
      </w:r>
    </w:p>
    <w:p>
      <w:pPr>
        <w:pStyle w:val="Style37"/>
        <w:keepNext w:val="0"/>
        <w:keepLines w:val="0"/>
        <w:widowControl w:val="0"/>
        <w:shd w:val="clear" w:color="auto" w:fill="auto"/>
        <w:bidi w:val="0"/>
        <w:spacing w:before="0" w:after="0"/>
        <w:ind w:left="0" w:right="0"/>
        <w:jc w:val="both"/>
      </w:pPr>
      <w:r>
        <w:rPr>
          <w:color w:val="000000"/>
          <w:spacing w:val="0"/>
          <w:w w:val="100"/>
          <w:position w:val="0"/>
        </w:rPr>
        <w:t>采用成本法核算时，长期股权投资按初始投资成本计价，追加或收回投资调整长期股权投资的成本。除取 得投资时实际支付的价款或者对价中包含的已宣告但尚未发放的现金股利或者利润外，当期投资收益按照享有 被投资单位宣告发放的现金股利或利润确认。</w:t>
      </w:r>
    </w:p>
    <w:p>
      <w:pPr>
        <w:pStyle w:val="Style37"/>
        <w:keepNext w:val="0"/>
        <w:keepLines w:val="0"/>
        <w:widowControl w:val="0"/>
        <w:numPr>
          <w:ilvl w:val="0"/>
          <w:numId w:val="23"/>
        </w:numPr>
        <w:shd w:val="clear" w:color="auto" w:fill="auto"/>
        <w:tabs>
          <w:tab w:pos="767" w:val="left"/>
        </w:tabs>
        <w:bidi w:val="0"/>
        <w:spacing w:before="0" w:after="0"/>
        <w:ind w:left="0" w:right="0"/>
        <w:jc w:val="both"/>
      </w:pPr>
      <w:bookmarkStart w:id="810" w:name="bookmark810"/>
      <w:bookmarkEnd w:id="810"/>
      <w:r>
        <w:rPr>
          <w:color w:val="000000"/>
          <w:spacing w:val="0"/>
          <w:w w:val="100"/>
          <w:position w:val="0"/>
        </w:rPr>
        <w:t>权益法核算的长期股权投资</w:t>
      </w:r>
    </w:p>
    <w:p>
      <w:pPr>
        <w:pStyle w:val="Style37"/>
        <w:keepNext w:val="0"/>
        <w:keepLines w:val="0"/>
        <w:widowControl w:val="0"/>
        <w:shd w:val="clear" w:color="auto" w:fill="auto"/>
        <w:bidi w:val="0"/>
        <w:spacing w:before="0" w:after="0"/>
        <w:ind w:left="0" w:right="0"/>
        <w:jc w:val="both"/>
      </w:pPr>
      <w:r>
        <w:rPr>
          <w:color w:val="000000"/>
          <w:spacing w:val="0"/>
          <w:w w:val="100"/>
          <w:position w:val="0"/>
        </w:rPr>
        <w:t>采用权益法核算时，长期股权投资的初始投资成本大于投资时应享有被投资单位可辨认净资产公允价值份 额的，不调整长期股权投资的初始投资成本；初始投资成本小于投资时应享有被投资单位可辨认净资产公允价 值份额的，其差额计入当期损益，同时调整长期股权投资的成本。</w:t>
      </w:r>
    </w:p>
    <w:p>
      <w:pPr>
        <w:pStyle w:val="Style37"/>
        <w:keepNext w:val="0"/>
        <w:keepLines w:val="0"/>
        <w:widowControl w:val="0"/>
        <w:shd w:val="clear" w:color="auto" w:fill="auto"/>
        <w:bidi w:val="0"/>
        <w:spacing w:before="0" w:after="0"/>
        <w:ind w:left="0" w:right="0"/>
        <w:jc w:val="both"/>
      </w:pPr>
      <w:r>
        <w:rPr>
          <w:color w:val="000000"/>
          <w:spacing w:val="0"/>
          <w:w w:val="100"/>
          <w:position w:val="0"/>
        </w:rPr>
        <w:t xml:space="preserve">采用权益法核算时，按照应享有或应分担的被投资单位实现的净损益和其他综合收益的份额，分别确认投 资收益和其他综合收益，同时调整长期股权投资的账面价值；按照被投资单位宣告分派的利润或现金股利计算 应享有的部分，相应减少长期股权投资的账面价值；对于被投资单位除净损益、其他综合收益和利润分配以外 所有者权益的其他变动，调整长期股权投资的账面价值并计入资本公积。在确认应享有被投资单位净损益的份 额时，以取得投资时被投资单位各项可辨认资产等的公允价值为基础，对被投资单位的净利润进行调整后确认。 </w:t>
      </w:r>
      <w:r>
        <w:rPr>
          <w:color w:val="000000"/>
          <w:spacing w:val="0"/>
          <w:w w:val="100"/>
          <w:position w:val="0"/>
        </w:rPr>
        <w:t>被投资单位采用的会计政策及会计期间与本公司不一致的，按照本公司的会计政策及会计期间对被投资单位的 财务报表进行调整，并据以确认投资收益和其他综合收益。对于本公司与联营企业及合营企业之间发生的交易， 投出或出售的资产不构成业务的，未实现内部交易损益按照享有的比例计算归属于本公司的部分予以抵销，在 此基础上确认投资损益。但本公司与被投资单位发生的未实现内部交易损失，属于所转让资产减值损失的，不 予以抵销。本公司向合营企业或联营企业投出的资产构成业务的，投资方因此取得长期股权投资但未取得控制 权的，以投出业务的公允价值作为新增长期股权投资的初始投资成本，初始投资成本与投出业务的账面价值之 差，全额计入当期损益。本公司向合营企业或联营企业出售的资产构成业务的，取得的对价与业务的账面价值 之差，全额计入当期损益。本公司自联营企业及合营企业购入的资产构成业务的，按《企业会计准则第</w:t>
      </w:r>
      <w:r>
        <w:rPr>
          <w:b/>
          <w:bCs/>
          <w:color w:val="000000"/>
          <w:spacing w:val="0"/>
          <w:w w:val="100"/>
          <w:position w:val="0"/>
        </w:rPr>
        <w:t>20</w:t>
      </w:r>
      <w:r>
        <w:rPr>
          <w:color w:val="000000"/>
          <w:spacing w:val="0"/>
          <w:w w:val="100"/>
          <w:position w:val="0"/>
        </w:rPr>
        <w:t>号—— 企业合并》的规定进行会计处理，全额确认与交易相关的利得或损失。</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在确认应分担被投资单位发生的净亏损时，以长期股权投资的账面价值和其他实质上构成对被投资单位净 投资的长期权益减记至零为限。此外，如本公司对被投资单位负有承担额外损失的义务，则按预计承担的义务 确认预计负债，计入当期投资损失。被投资单位以后期间实现净利润的，本公司在收益分享额弥补未确认的亏 损分担额后，恢复确认收益分享额。</w:t>
      </w:r>
    </w:p>
    <w:p>
      <w:pPr>
        <w:pStyle w:val="Style37"/>
        <w:keepNext w:val="0"/>
        <w:keepLines w:val="0"/>
        <w:widowControl w:val="0"/>
        <w:numPr>
          <w:ilvl w:val="0"/>
          <w:numId w:val="23"/>
        </w:numPr>
        <w:shd w:val="clear" w:color="auto" w:fill="auto"/>
        <w:tabs>
          <w:tab w:pos="767" w:val="left"/>
        </w:tabs>
        <w:bidi w:val="0"/>
        <w:spacing w:before="0" w:after="60" w:line="311" w:lineRule="exact"/>
        <w:ind w:left="0" w:right="0"/>
        <w:jc w:val="both"/>
      </w:pPr>
      <w:bookmarkStart w:id="811" w:name="bookmark811"/>
      <w:bookmarkEnd w:id="811"/>
      <w:r>
        <w:rPr>
          <w:color w:val="000000"/>
          <w:spacing w:val="0"/>
          <w:w w:val="100"/>
          <w:position w:val="0"/>
        </w:rPr>
        <w:t>收购少数股权</w:t>
      </w:r>
    </w:p>
    <w:p>
      <w:pPr>
        <w:pStyle w:val="Style37"/>
        <w:keepNext w:val="0"/>
        <w:keepLines w:val="0"/>
        <w:widowControl w:val="0"/>
        <w:shd w:val="clear" w:color="auto" w:fill="auto"/>
        <w:bidi w:val="0"/>
        <w:spacing w:before="0" w:after="0" w:line="247" w:lineRule="exact"/>
        <w:ind w:left="0" w:right="0"/>
        <w:jc w:val="both"/>
      </w:pPr>
      <w:r>
        <w:rPr>
          <w:color w:val="000000"/>
          <w:spacing w:val="0"/>
          <w:w w:val="100"/>
          <w:position w:val="0"/>
        </w:rPr>
        <w:t xml:space="preserve">在编制合并财务报表时，因购买少数股权新增的长期股权投资与按照新增持股比例计算应享有子公司自购 买日（或合并日）开始持续计算的净资产份额之间的差额，调整资本公积，资本公积不足冲减的，调整留存收 </w:t>
      </w:r>
      <w:r>
        <w:rPr>
          <w:color w:val="000000"/>
          <w:spacing w:val="0"/>
          <w:w w:val="100"/>
          <w:position w:val="0"/>
          <w:u w:val="single"/>
        </w:rPr>
        <w:t>、，.</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u w:val="single"/>
        </w:rPr>
        <w:t>益</w:t>
      </w:r>
      <w:r>
        <w:rPr>
          <w:color w:val="000000"/>
          <w:spacing w:val="0"/>
          <w:w w:val="100"/>
          <w:position w:val="0"/>
        </w:rPr>
        <w:t>。</w:t>
      </w:r>
    </w:p>
    <w:p>
      <w:pPr>
        <w:pStyle w:val="Style37"/>
        <w:keepNext w:val="0"/>
        <w:keepLines w:val="0"/>
        <w:widowControl w:val="0"/>
        <w:numPr>
          <w:ilvl w:val="0"/>
          <w:numId w:val="23"/>
        </w:numPr>
        <w:shd w:val="clear" w:color="auto" w:fill="auto"/>
        <w:tabs>
          <w:tab w:pos="767" w:val="left"/>
        </w:tabs>
        <w:bidi w:val="0"/>
        <w:spacing w:before="0" w:after="0"/>
        <w:ind w:left="0" w:right="0"/>
        <w:jc w:val="both"/>
      </w:pPr>
      <w:bookmarkStart w:id="812" w:name="bookmark812"/>
      <w:bookmarkEnd w:id="812"/>
      <w:r>
        <w:rPr>
          <w:color w:val="000000"/>
          <w:spacing w:val="0"/>
          <w:w w:val="100"/>
          <w:position w:val="0"/>
        </w:rPr>
        <w:t>处置长期股权投资</w:t>
      </w:r>
    </w:p>
    <w:p>
      <w:pPr>
        <w:pStyle w:val="Style37"/>
        <w:keepNext w:val="0"/>
        <w:keepLines w:val="0"/>
        <w:widowControl w:val="0"/>
        <w:shd w:val="clear" w:color="auto" w:fill="auto"/>
        <w:bidi w:val="0"/>
        <w:spacing w:before="0" w:after="0"/>
        <w:ind w:left="0" w:right="0"/>
        <w:jc w:val="both"/>
      </w:pPr>
      <w:r>
        <w:rPr>
          <w:color w:val="000000"/>
          <w:spacing w:val="0"/>
          <w:w w:val="100"/>
          <w:position w:val="0"/>
        </w:rPr>
        <w:t>在合并财务报表中，母公司在不丧失控制权的情况下部分处置对子公司的长期股权投资，处置价款与处置 长期股权投资相对应享有子公司净资产的差额计入股东权益；母公司部分处置对子公司的长期股权投资导致丧 失对子公司控制权的，按本附注三、</w:t>
      </w:r>
      <w:r>
        <w:rPr>
          <w:b/>
          <w:bCs/>
          <w:color w:val="000000"/>
          <w:spacing w:val="0"/>
          <w:w w:val="100"/>
          <w:position w:val="0"/>
        </w:rPr>
        <w:t>6</w:t>
      </w:r>
      <w:r>
        <w:rPr>
          <w:color w:val="000000"/>
          <w:spacing w:val="0"/>
          <w:w w:val="100"/>
          <w:position w:val="0"/>
        </w:rPr>
        <w:t>、（</w:t>
      </w:r>
      <w:r>
        <w:rPr>
          <w:b/>
          <w:bCs/>
          <w:color w:val="000000"/>
          <w:spacing w:val="0"/>
          <w:w w:val="100"/>
          <w:position w:val="0"/>
        </w:rPr>
        <w:t>2</w:t>
      </w:r>
      <w:r>
        <w:rPr>
          <w:color w:val="000000"/>
          <w:spacing w:val="0"/>
          <w:w w:val="100"/>
          <w:position w:val="0"/>
        </w:rPr>
        <w:t xml:space="preserve">） </w:t>
      </w:r>
      <w:r>
        <w:rPr>
          <w:b/>
          <w:bCs/>
          <w:color w:val="000000"/>
          <w:spacing w:val="0"/>
          <w:w w:val="100"/>
          <w:position w:val="0"/>
        </w:rPr>
        <w:t>“</w:t>
      </w:r>
      <w:r>
        <w:rPr>
          <w:color w:val="000000"/>
          <w:spacing w:val="0"/>
          <w:w w:val="100"/>
          <w:position w:val="0"/>
        </w:rPr>
        <w:t>合并财务报表编制的方法</w:t>
      </w:r>
      <w:r>
        <w:rPr>
          <w:b/>
          <w:bCs/>
          <w:color w:val="000000"/>
          <w:spacing w:val="0"/>
          <w:w w:val="100"/>
          <w:position w:val="0"/>
        </w:rPr>
        <w:t>”</w:t>
      </w:r>
      <w:r>
        <w:rPr>
          <w:color w:val="000000"/>
          <w:spacing w:val="0"/>
          <w:w w:val="100"/>
          <w:position w:val="0"/>
        </w:rPr>
        <w:t>中所述的相关会计政策处理。</w:t>
      </w:r>
    </w:p>
    <w:p>
      <w:pPr>
        <w:pStyle w:val="Style37"/>
        <w:keepNext w:val="0"/>
        <w:keepLines w:val="0"/>
        <w:widowControl w:val="0"/>
        <w:shd w:val="clear" w:color="auto" w:fill="auto"/>
        <w:bidi w:val="0"/>
        <w:spacing w:before="0" w:after="0"/>
        <w:ind w:left="0" w:right="0"/>
        <w:jc w:val="both"/>
      </w:pPr>
      <w:r>
        <w:rPr>
          <w:color w:val="000000"/>
          <w:spacing w:val="0"/>
          <w:w w:val="100"/>
          <w:position w:val="0"/>
        </w:rPr>
        <w:t>其他情形下的长期股权投资处置，对于处置的股权，其账面价值与实际取得价款的差额，计入当期损益。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采用权益法核算的长期股权投资，处置后的剩余股权仍采用权益法核算的，在处置时将原计入股东权益的 其他综合收益部分按相应的比例采用与被投资单位直接处置相关资产或负债相同的基础进行会计处理。因被投 资方除净损益、其他综合收益和利润分配以外的其他所有者权益变动而确认的所有者权益，按比例结转入当期 损益。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采用成本法核算的长期股权投资，处置后剩余股权仍采用成本法核算的，其在取得对被投资单位的控制之 前因采用权益法核算或金融工具确认和计量准则核算而确认的其他综合收益，采用与被投资单位直接处置相关 资产或负债相同的基础进行会计处理，并按比例结转当期损益；因采用权益法核算而确认的被投资单位净资产 中除净损益、其他综合收益和利润分配以外的其他所有者权益变动按比例结转当期损益。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本公司因处置部分股权投资丧失了对被投资单位的控制的，在编制个别财务报表时，处置后的剩余股权能 够对被投资单位实施共同控制或施加重大影响的，改按权益法核算，并对该剩余股权视同自取得时即采用权益 法核算进行调整；处置后的剩余股权不能对被投资单位实施共同控制或施加重大影响的，改按金融工具确认和 计量准则的有关规定进行会计处理，其在丧失控制之日的公允价值与账面价值之间的差额计入当期损益。对于 本公司取得对被投资单位的控制之前，因采用权益法核算或金融工具确认和计量准则核算而确认的其他综合收 益，在丧失对被投资单位控制时采用与被投资单位直接处置相关资产或负债相同的基础进行会计处理，因采用 权益法核算而确认的被投资单位净资产中除净损益、其他综合收益和利润分配以外的其他所有者权益变动在丧 失对被投资单位控制时结转入当期损益。其中，处置后的剩余股权采用权益法核算的，其他综合收益和其他所 有者权益按比例结转；处置后的剩余股权改按金融工具确认和计量准则进行会计处理的，其他综合收益和其他 所有者权益全部结转。</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本公司因处置部分股权投资丧失了对被投资单位的共同控制或重大影响的，处置后的剩余股权改按金融工 具确认和计量准则核算，其在丧失共同控制或重大影响之日的公允价值与账面价值之间的差额计入当期损益。 原股权投资因采用权益法核算而确认的其他综合收益，在终止采用权益法核算时采用与被投资单位直接处置相 关资产或负债相同的基础进行会计处理，因被投资方除净损益、其他综合收益和利润分配以外的其他所有者权 </w:t>
      </w:r>
      <w:r>
        <w:rPr>
          <w:color w:val="000000"/>
          <w:spacing w:val="0"/>
          <w:w w:val="100"/>
          <w:position w:val="0"/>
        </w:rPr>
        <w:t>益变动而确认的所有者权益，在终止采用权益法时全部转入当期投资收益。</w:t>
      </w:r>
    </w:p>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本公司通过多次交易分步处置对子公司股权投资直至丧失控制权，如果上述交易属于一揽子交易的，将各 项交易作为一项处置子公司股权投资并丧失控制权的交易进行会计处理，在丧失控制权之前每一次处置价款与 所处置的股权对应的长期股权投资账面价值之间的差额，先确认为其他综合收益，到丧失控制权时再一并转入 丧失控制权的当期损益。</w:t>
      </w:r>
    </w:p>
    <w:p>
      <w:pPr>
        <w:pStyle w:val="Style33"/>
        <w:keepNext/>
        <w:keepLines/>
        <w:widowControl w:val="0"/>
        <w:shd w:val="clear" w:color="auto" w:fill="auto"/>
        <w:tabs>
          <w:tab w:pos="452" w:val="left"/>
        </w:tabs>
        <w:bidi w:val="0"/>
        <w:spacing w:before="0" w:after="200" w:line="326"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13"/>
      <w:bookmarkEnd w:id="814"/>
      <w:bookmarkEnd w:id="816"/>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52" w:val="left"/>
        </w:tabs>
        <w:bidi w:val="0"/>
        <w:spacing w:before="0" w:after="200" w:line="326"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17"/>
      <w:bookmarkEnd w:id="818"/>
      <w:bookmarkEnd w:id="820"/>
    </w:p>
    <w:p>
      <w:pPr>
        <w:pStyle w:val="Style33"/>
        <w:keepNext/>
        <w:keepLines/>
        <w:widowControl w:val="0"/>
        <w:shd w:val="clear" w:color="auto" w:fill="auto"/>
        <w:bidi w:val="0"/>
        <w:spacing w:before="0" w:after="280" w:line="314" w:lineRule="exact"/>
        <w:ind w:left="0" w:right="0" w:firstLine="0"/>
        <w:jc w:val="both"/>
      </w:pPr>
      <w:bookmarkStart w:id="817" w:name="bookmark817"/>
      <w:bookmarkStart w:id="818" w:name="bookmark818"/>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7"/>
      <w:bookmarkEnd w:id="818"/>
      <w:bookmarkEnd w:id="822"/>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本公司固定资产是指为生产商品、提供劳务、出租或经营管理而持有的，使用寿命超过一个会计年度的有形资产。与该固定 资产有关的经济利益很可能流入企业，并且该固定资产的成本能够可靠地计量时，固定资产才能予以确认。本公司固定资产 按照取得时的实际成本进行初始计量。</w:t>
      </w:r>
    </w:p>
    <w:p>
      <w:pPr>
        <w:pStyle w:val="Style33"/>
        <w:keepNext/>
        <w:keepLines/>
        <w:widowControl w:val="0"/>
        <w:shd w:val="clear" w:color="auto" w:fill="auto"/>
        <w:bidi w:val="0"/>
        <w:spacing w:before="0" w:after="320" w:line="240" w:lineRule="auto"/>
        <w:ind w:left="0" w:right="0" w:firstLine="14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23"/>
      <w:bookmarkEnd w:id="824"/>
      <w:bookmarkEnd w:id="826"/>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18.00-25.00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18.00-33.33</w:t>
            </w:r>
          </w:p>
        </w:tc>
      </w:tr>
    </w:tbl>
    <w:p>
      <w:pPr>
        <w:pStyle w:val="Style29"/>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动资产时停止计提折旧。在不考虑减值准备的情况下，按固定资产类别、预计使用寿命和预计残值，其中，已计提减值准备 的固定资产，还应扣除已计提的固定资产减值准备累计金额计算确定折旧率。每年年度终了，本公司对固定资产的使用寿命、 预计净残值和折旧方法进行复核。使用寿命预计数与原先估计数有差异的，调整固定资产使用寿命；预计净残值预计数与原 先估计数有差异的，调整预计净残值。</w:t>
      </w:r>
    </w:p>
    <w:p>
      <w:pPr>
        <w:pStyle w:val="Style33"/>
        <w:keepNext/>
        <w:keepLines/>
        <w:widowControl w:val="0"/>
        <w:shd w:val="clear" w:color="auto" w:fill="auto"/>
        <w:bidi w:val="0"/>
        <w:spacing w:before="0" w:after="280" w:line="312" w:lineRule="exact"/>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7"/>
      <w:bookmarkEnd w:id="828"/>
      <w:bookmarkEnd w:id="830"/>
    </w:p>
    <w:p>
      <w:pPr>
        <w:pStyle w:val="Style29"/>
        <w:keepNext w:val="0"/>
        <w:keepLines w:val="0"/>
        <w:widowControl w:val="0"/>
        <w:shd w:val="clear" w:color="auto" w:fill="auto"/>
        <w:bidi w:val="0"/>
        <w:spacing w:before="0" w:after="380" w:line="312" w:lineRule="exact"/>
        <w:ind w:left="0" w:right="0" w:firstLine="560"/>
        <w:jc w:val="left"/>
      </w:pPr>
      <w:r>
        <w:rPr>
          <w:color w:val="000000"/>
          <w:spacing w:val="0"/>
          <w:w w:val="100"/>
          <w:position w:val="0"/>
        </w:rPr>
        <w:t>公司与租赁方所签订的租赁协议条款中规定了下列条件之一的，确认为融资租入资产：①租赁期满后租赁资产的所 有权归属于本公司；②公司具有购买资产的选择权，购买价款远低于行使选择权时该资产的公允价值；③租赁期占所租赁资 产使用寿命的大部分；④租赁开始日的最低租赁付款额现值，与该资产的公允价值不存在较大的差异。公司在承租开始日，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账价值，其差额作为未确认的融资费。融资租入的固定资产，能够合理确定租赁期届满时将会取得租赁资产所有权的，在租 赁资产尚可使用年限内计提折旧；无法合理确定租赁期届满时能够取得租赁资产所有权的，在租赁期与租赁资产尚可使用年 限两者中较短的期间内计提折旧。</w:t>
      </w:r>
    </w:p>
    <w:p>
      <w:pPr>
        <w:pStyle w:val="Style33"/>
        <w:keepNext/>
        <w:keepLines/>
        <w:widowControl w:val="0"/>
        <w:shd w:val="clear" w:color="auto" w:fill="auto"/>
        <w:bidi w:val="0"/>
        <w:spacing w:before="0" w:after="200" w:line="326"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31"/>
      <w:bookmarkEnd w:id="832"/>
      <w:bookmarkEnd w:id="834"/>
    </w:p>
    <w:p>
      <w:pPr>
        <w:pStyle w:val="Style37"/>
        <w:keepNext w:val="0"/>
        <w:keepLines w:val="0"/>
        <w:widowControl w:val="0"/>
        <w:shd w:val="clear" w:color="auto" w:fill="auto"/>
        <w:bidi w:val="0"/>
        <w:spacing w:before="0" w:after="380"/>
        <w:ind w:left="0" w:right="0"/>
        <w:jc w:val="both"/>
      </w:pPr>
      <w:r>
        <w:rPr>
          <w:color w:val="000000"/>
          <w:spacing w:val="0"/>
          <w:w w:val="100"/>
          <w:position w:val="0"/>
        </w:rPr>
        <w:t xml:space="preserve">在建工程项目按建造该项资产达到预定可使用状态前所发生的必要支出，作为固定资产的入账价值。所建 造的固定资产在建工程已达到预定可使用状态，但尚未办理竣工决算的，自达到预定可使用状态之日起，根据 </w:t>
      </w:r>
      <w:r>
        <w:rPr>
          <w:color w:val="000000"/>
          <w:spacing w:val="0"/>
          <w:w w:val="100"/>
          <w:position w:val="0"/>
        </w:rPr>
        <w:t>工程预算、造价或者工程实际成本等，按估计的价值转入固定资产，并按本公司固定资产折旧政策计提固定资 产的折旧，待办理竣工决算后，再按实际成本调整原来的暂估价值，但不调整原已计提的折旧额。</w:t>
      </w:r>
    </w:p>
    <w:p>
      <w:pPr>
        <w:pStyle w:val="Style33"/>
        <w:keepNext/>
        <w:keepLines/>
        <w:widowControl w:val="0"/>
        <w:shd w:val="clear" w:color="auto" w:fill="auto"/>
        <w:tabs>
          <w:tab w:pos="461" w:val="left"/>
        </w:tabs>
        <w:bidi w:val="0"/>
        <w:spacing w:before="0" w:after="200" w:line="326"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5"/>
      <w:bookmarkEnd w:id="836"/>
      <w:bookmarkEnd w:id="838"/>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借款费用包括借款利息、折价或溢价的摊销、辅助费用以及因外币借款而发生的汇兑差额等。可直接归属 于符合资本化条件的资产的购建或者生产的借款费用，在资产支出已经发生、借款费用已经发生、为使资产达 到预定可使用或可销售状态所必要的购建或生产活动已经开始时，开始资本化；构建或者生产的符合资本化条 件的资产达到预定可使用状态或者可销售状态时，停止资本化。其余借款费用在发生当期确认为费用。</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专门借款当期实际发生的利息费用，减去尚未动用的借款资金存入银行取得的利息收入或进行暂时性投资 取得的投资收益后的金额予以资本化；一般借款根据累计资产支出超过专门借款部分的资产支出加权平均数乘 以所占用一般借款的资本化率，确定资本化金额。资本化率根据一般借款的加权平均利率计算确定。</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资本化期间内，外币专门借款的汇兑差额全部予以资本化；外币一般借款的汇兑差额计入当期损益。</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符合资本化条件的资产指需要经过相当长时间的购建或者生产活动才能达到预定可使用或可销售状态的固 定资产、投资性房地产和存货等资产。</w:t>
      </w:r>
    </w:p>
    <w:p>
      <w:pPr>
        <w:pStyle w:val="Style37"/>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如果符合资本化条件的资产在购建或生产过程中发生非正常中断、并且中断时间连续超过</w:t>
      </w:r>
      <w:r>
        <w:rPr>
          <w:b/>
          <w:bCs/>
          <w:color w:val="000000"/>
          <w:spacing w:val="0"/>
          <w:w w:val="100"/>
          <w:position w:val="0"/>
        </w:rPr>
        <w:t>3</w:t>
      </w:r>
      <w:r>
        <w:rPr>
          <w:color w:val="000000"/>
          <w:spacing w:val="0"/>
          <w:w w:val="100"/>
          <w:position w:val="0"/>
        </w:rPr>
        <w:t>个月的，暂停借 款费用的资本化，直至资产的购建或生产活动重新开始。</w:t>
      </w:r>
    </w:p>
    <w:p>
      <w:pPr>
        <w:pStyle w:val="Style37"/>
        <w:keepNext w:val="0"/>
        <w:keepLines w:val="0"/>
        <w:widowControl w:val="0"/>
        <w:shd w:val="clear" w:color="auto" w:fill="auto"/>
        <w:tabs>
          <w:tab w:pos="461" w:val="left"/>
        </w:tabs>
        <w:bidi w:val="0"/>
        <w:spacing w:before="0" w:after="280" w:line="326" w:lineRule="auto"/>
        <w:ind w:left="0" w:right="0" w:firstLine="0"/>
        <w:jc w:val="left"/>
      </w:pPr>
      <w:bookmarkStart w:id="839" w:name="bookmark839"/>
      <w:r>
        <w:rPr>
          <w:rFonts w:ascii="Times New Roman" w:eastAsia="Times New Roman" w:hAnsi="Times New Roman" w:cs="Times New Roman"/>
          <w:b/>
          <w:bCs/>
          <w:color w:val="000000"/>
          <w:spacing w:val="0"/>
          <w:w w:val="100"/>
          <w:position w:val="0"/>
        </w:rPr>
        <w:t>2</w:t>
      </w:r>
      <w:bookmarkEnd w:id="83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37"/>
        <w:keepNext w:val="0"/>
        <w:keepLines w:val="0"/>
        <w:widowControl w:val="0"/>
        <w:shd w:val="clear" w:color="auto" w:fill="auto"/>
        <w:tabs>
          <w:tab w:pos="461" w:val="left"/>
        </w:tabs>
        <w:bidi w:val="0"/>
        <w:spacing w:before="0" w:after="280" w:line="326" w:lineRule="auto"/>
        <w:ind w:left="0" w:right="0" w:firstLine="0"/>
        <w:jc w:val="left"/>
      </w:pPr>
      <w:bookmarkStart w:id="840" w:name="bookmark840"/>
      <w:r>
        <w:rPr>
          <w:rFonts w:ascii="Times New Roman" w:eastAsia="Times New Roman" w:hAnsi="Times New Roman" w:cs="Times New Roman"/>
          <w:b/>
          <w:bCs/>
          <w:color w:val="000000"/>
          <w:spacing w:val="0"/>
          <w:w w:val="100"/>
          <w:position w:val="0"/>
        </w:rPr>
        <w:t>2</w:t>
      </w:r>
      <w:bookmarkEnd w:id="840"/>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37"/>
        <w:keepNext w:val="0"/>
        <w:keepLines w:val="0"/>
        <w:widowControl w:val="0"/>
        <w:shd w:val="clear" w:color="auto" w:fill="auto"/>
        <w:tabs>
          <w:tab w:pos="461" w:val="left"/>
        </w:tabs>
        <w:bidi w:val="0"/>
        <w:spacing w:before="0" w:after="280" w:line="326" w:lineRule="auto"/>
        <w:ind w:left="0" w:right="0" w:firstLine="0"/>
        <w:jc w:val="left"/>
      </w:pPr>
      <w:bookmarkStart w:id="841" w:name="bookmark841"/>
      <w:r>
        <w:rPr>
          <w:rFonts w:ascii="Times New Roman" w:eastAsia="Times New Roman" w:hAnsi="Times New Roman" w:cs="Times New Roman"/>
          <w:b/>
          <w:bCs/>
          <w:color w:val="000000"/>
          <w:spacing w:val="0"/>
          <w:w w:val="100"/>
          <w:position w:val="0"/>
        </w:rPr>
        <w:t>2</w:t>
      </w:r>
      <w:bookmarkEnd w:id="84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37"/>
        <w:keepNext w:val="0"/>
        <w:keepLines w:val="0"/>
        <w:widowControl w:val="0"/>
        <w:shd w:val="clear" w:color="auto" w:fill="auto"/>
        <w:tabs>
          <w:tab w:pos="461" w:val="left"/>
        </w:tabs>
        <w:bidi w:val="0"/>
        <w:spacing w:before="0" w:after="200" w:line="326" w:lineRule="auto"/>
        <w:ind w:left="0" w:right="0" w:firstLine="0"/>
        <w:jc w:val="left"/>
      </w:pPr>
      <w:bookmarkStart w:id="842" w:name="bookmark842"/>
      <w:r>
        <w:rPr>
          <w:rFonts w:ascii="Times New Roman" w:eastAsia="Times New Roman" w:hAnsi="Times New Roman" w:cs="Times New Roman"/>
          <w:b/>
          <w:bCs/>
          <w:color w:val="000000"/>
          <w:spacing w:val="0"/>
          <w:w w:val="100"/>
          <w:position w:val="0"/>
        </w:rPr>
        <w:t>3</w:t>
      </w:r>
      <w:bookmarkEnd w:id="84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37"/>
        <w:keepNext w:val="0"/>
        <w:keepLines w:val="0"/>
        <w:widowControl w:val="0"/>
        <w:shd w:val="clear" w:color="auto" w:fill="auto"/>
        <w:bidi w:val="0"/>
        <w:spacing w:before="0" w:after="280" w:line="313" w:lineRule="exact"/>
        <w:ind w:left="0" w:right="0" w:firstLine="0"/>
        <w:jc w:val="left"/>
      </w:pPr>
      <w:bookmarkStart w:id="843" w:name="bookmark843"/>
      <w:r>
        <w:rPr>
          <w:b/>
          <w:bCs/>
          <w:color w:val="000000"/>
          <w:spacing w:val="0"/>
          <w:w w:val="100"/>
          <w:position w:val="0"/>
        </w:rPr>
        <w:t>（</w:t>
      </w:r>
      <w:bookmarkEnd w:id="843"/>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37"/>
        <w:keepNext w:val="0"/>
        <w:keepLines w:val="0"/>
        <w:widowControl w:val="0"/>
        <w:shd w:val="clear" w:color="auto" w:fill="auto"/>
        <w:bidi w:val="0"/>
        <w:spacing w:before="0" w:after="0" w:line="313" w:lineRule="exact"/>
        <w:ind w:left="0" w:right="0" w:firstLine="520"/>
        <w:jc w:val="both"/>
      </w:pPr>
      <w:bookmarkStart w:id="844" w:name="bookmark844"/>
      <w:r>
        <w:rPr>
          <w:color w:val="000000"/>
          <w:spacing w:val="0"/>
          <w:w w:val="100"/>
          <w:position w:val="0"/>
        </w:rPr>
        <w:t>（</w:t>
      </w:r>
      <w:bookmarkEnd w:id="844"/>
      <w:r>
        <w:rPr>
          <w:b/>
          <w:bCs/>
          <w:color w:val="000000"/>
          <w:spacing w:val="0"/>
          <w:w w:val="100"/>
          <w:position w:val="0"/>
        </w:rPr>
        <w:t>1</w:t>
      </w:r>
      <w:r>
        <w:rPr>
          <w:color w:val="000000"/>
          <w:spacing w:val="0"/>
          <w:w w:val="100"/>
          <w:position w:val="0"/>
        </w:rPr>
        <w:t>）无形资产的计价方法</w:t>
      </w:r>
    </w:p>
    <w:p>
      <w:pPr>
        <w:pStyle w:val="Style3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公司取得无形资产时按成本进行初始计量。外购无形资产的成本，包括购买价款、相关税费以及直接归属 于使该项资产达到预定用途所发生的其他支出。购买无形资产的价款超过正常信用条件延期支付，实质上具有 融资性质的，无形资产的成本以购买价款的现值为基础确定。债务重组取得债务人用以抵债的无形资产，以该 无形资产的公允价值为基础确定其入账价值，并将重组债务的账面价值与该用以抵债的无形资产公允价值之间 的差额，计入当期损益。在非货币性资产交换具备商业实质且换入资产或换出资产的公允价值能够可靠计量的 前提下，非货币性资产交换换入的无形资产以换出资产的公允价值为基础确定其入账价值，除非有确凿证据表 明换入资产的公允价值更加可靠；不满足上述前提的非货币性资产交换，以换出资产的账面价值和应支付的相 关税费作为换入无形资产的成本，不确认损益。</w:t>
      </w:r>
    </w:p>
    <w:p>
      <w:pPr>
        <w:pStyle w:val="Style37"/>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使用寿命有限的无形资产的使用寿命估计情况</w:t>
      </w:r>
    </w:p>
    <w:tbl>
      <w:tblPr>
        <w:tblOverlap w:val="never"/>
        <w:jc w:val="center"/>
        <w:tblLayout w:type="fixed"/>
      </w:tblPr>
      <w:tblGrid>
        <w:gridCol w:w="2986"/>
        <w:gridCol w:w="3269"/>
        <w:gridCol w:w="3043"/>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期限</w:t>
            </w:r>
            <w:r>
              <w:rPr>
                <w:b/>
                <w:bCs/>
                <w:color w:val="000000"/>
                <w:spacing w:val="0"/>
                <w:w w:val="100"/>
                <w:position w:val="0"/>
                <w:sz w:val="20"/>
                <w:szCs w:val="20"/>
              </w:rPr>
              <w:t>（</w:t>
            </w:r>
            <w:r>
              <w:rPr>
                <w:color w:val="000000"/>
                <w:spacing w:val="0"/>
                <w:w w:val="100"/>
                <w:position w:val="0"/>
                <w:sz w:val="20"/>
                <w:szCs w:val="20"/>
              </w:rPr>
              <w:t>年</w:t>
            </w:r>
            <w:r>
              <w:rPr>
                <w:b/>
                <w:bCs/>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商标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b/>
                <w:bCs/>
                <w:color w:val="000000"/>
                <w:spacing w:val="0"/>
                <w:w w:val="100"/>
                <w:position w:val="0"/>
                <w:sz w:val="20"/>
                <w:szCs w:val="20"/>
              </w:rPr>
              <w:t>10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专利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b/>
                <w:bCs/>
                <w:color w:val="000000"/>
                <w:spacing w:val="0"/>
                <w:w w:val="100"/>
                <w:position w:val="0"/>
                <w:sz w:val="20"/>
                <w:szCs w:val="20"/>
              </w:rPr>
              <w:t>5</w:t>
            </w:r>
          </w:p>
        </w:tc>
      </w:tr>
    </w:tbl>
    <w:p>
      <w:pPr>
        <w:pStyle w:val="Style37"/>
        <w:keepNext w:val="0"/>
        <w:keepLines w:val="0"/>
        <w:widowControl w:val="0"/>
        <w:shd w:val="clear" w:color="auto" w:fill="auto"/>
        <w:bidi w:val="0"/>
        <w:spacing w:before="0" w:after="0" w:line="311" w:lineRule="exact"/>
        <w:ind w:left="0" w:right="0" w:firstLine="420"/>
        <w:jc w:val="left"/>
      </w:pPr>
      <w:r>
        <w:rPr>
          <w:color w:val="000000"/>
          <w:spacing w:val="0"/>
          <w:w w:val="100"/>
          <w:position w:val="0"/>
        </w:rPr>
        <w:t>每期末，对使用寿命有限的无形资产的使用寿命及摊销方法进行复核。</w:t>
      </w:r>
    </w:p>
    <w:p>
      <w:pPr>
        <w:pStyle w:val="Style37"/>
        <w:keepNext w:val="0"/>
        <w:keepLines w:val="0"/>
        <w:widowControl w:val="0"/>
        <w:shd w:val="clear" w:color="auto" w:fill="auto"/>
        <w:bidi w:val="0"/>
        <w:spacing w:before="0" w:after="280" w:line="311" w:lineRule="exact"/>
        <w:ind w:left="0" w:right="0" w:firstLine="420"/>
        <w:jc w:val="left"/>
      </w:pPr>
      <w:r>
        <w:rPr>
          <w:color w:val="000000"/>
          <w:spacing w:val="0"/>
          <w:w w:val="100"/>
          <w:position w:val="0"/>
        </w:rPr>
        <w:t>经复核，本年期末无形资产的使用寿命及摊销方法与以前估计未有不同。</w:t>
      </w:r>
    </w:p>
    <w:p>
      <w:pPr>
        <w:pStyle w:val="Style33"/>
        <w:keepNext/>
        <w:keepLines/>
        <w:widowControl w:val="0"/>
        <w:numPr>
          <w:ilvl w:val="0"/>
          <w:numId w:val="25"/>
        </w:numPr>
        <w:shd w:val="clear" w:color="auto" w:fill="auto"/>
        <w:bidi w:val="0"/>
        <w:spacing w:before="0" w:after="280" w:line="311" w:lineRule="exact"/>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内部研究开发支出会计政策</w:t>
      </w:r>
      <w:bookmarkEnd w:id="845"/>
      <w:bookmarkEnd w:id="846"/>
      <w:bookmarkEnd w:id="848"/>
    </w:p>
    <w:p>
      <w:pPr>
        <w:pStyle w:val="Style37"/>
        <w:keepNext w:val="0"/>
        <w:keepLines w:val="0"/>
        <w:widowControl w:val="0"/>
        <w:shd w:val="clear" w:color="auto" w:fill="auto"/>
        <w:bidi w:val="0"/>
        <w:spacing w:before="0" w:after="0"/>
        <w:ind w:left="0" w:right="0" w:firstLine="420"/>
        <w:jc w:val="left"/>
      </w:pPr>
      <w:r>
        <w:rPr>
          <w:color w:val="000000"/>
          <w:spacing w:val="0"/>
          <w:w w:val="100"/>
          <w:position w:val="0"/>
        </w:rPr>
        <w:t>本公司将内部研究开发项目的支出，区分为研究阶段支出和开发阶段支出。</w:t>
      </w:r>
    </w:p>
    <w:p>
      <w:pPr>
        <w:pStyle w:val="Style37"/>
        <w:keepNext w:val="0"/>
        <w:keepLines w:val="0"/>
        <w:widowControl w:val="0"/>
        <w:shd w:val="clear" w:color="auto" w:fill="auto"/>
        <w:bidi w:val="0"/>
        <w:spacing w:before="0" w:after="0"/>
        <w:ind w:left="0" w:right="0" w:firstLine="420"/>
        <w:jc w:val="left"/>
      </w:pPr>
      <w:r>
        <w:rPr>
          <w:color w:val="000000"/>
          <w:spacing w:val="0"/>
          <w:w w:val="100"/>
          <w:position w:val="0"/>
        </w:rPr>
        <w:t>研究阶段的支出，于发生时计入当期损益。</w:t>
      </w:r>
    </w:p>
    <w:p>
      <w:pPr>
        <w:pStyle w:val="Style37"/>
        <w:keepNext w:val="0"/>
        <w:keepLines w:val="0"/>
        <w:widowControl w:val="0"/>
        <w:shd w:val="clear" w:color="auto" w:fill="auto"/>
        <w:bidi w:val="0"/>
        <w:spacing w:before="0" w:after="0"/>
        <w:ind w:left="0" w:right="0"/>
        <w:jc w:val="both"/>
      </w:pPr>
      <w:r>
        <w:rPr>
          <w:color w:val="000000"/>
          <w:spacing w:val="0"/>
          <w:w w:val="100"/>
          <w:position w:val="0"/>
        </w:rPr>
        <w:t>开发阶段的支出，同时满足下列条件的，才能予以资本化，即：完成该无形资产以使其能够使用或出售在 技术上具有可行性；具有完成该无形资产并使用或出售的意图；无形资产产生经济利益的方式，包括能够证明 运用该无形资产生产的产品存在市场或无形资产自身存在市场，无形资产将在内部使用的，能够证明其有用性; 有足够的技术、财务资源和其他资源支持，以完成该无形资产的开发，并有能力使用或出售该无形资产；归属 于该无形资产开发阶段的支出能够可靠地计量。不满足上述条件的开发支出计入当期损益。</w:t>
      </w:r>
    </w:p>
    <w:p>
      <w:pPr>
        <w:pStyle w:val="Style37"/>
        <w:keepNext w:val="0"/>
        <w:keepLines w:val="0"/>
        <w:widowControl w:val="0"/>
        <w:shd w:val="clear" w:color="auto" w:fill="auto"/>
        <w:bidi w:val="0"/>
        <w:spacing w:before="0" w:after="380"/>
        <w:ind w:left="0" w:right="0"/>
        <w:jc w:val="both"/>
      </w:pPr>
      <w:r>
        <w:rPr>
          <w:color w:val="000000"/>
          <w:spacing w:val="0"/>
          <w:w w:val="100"/>
          <w:position w:val="0"/>
        </w:rPr>
        <w:t>本公司相应项目在满足上述条件，通过技术可行性及经济可行性研究，形成项目立项后，进入开发阶段。</w:t>
      </w:r>
    </w:p>
    <w:p>
      <w:pPr>
        <w:pStyle w:val="Style33"/>
        <w:keepNext/>
        <w:keepLines/>
        <w:widowControl w:val="0"/>
        <w:shd w:val="clear" w:color="auto" w:fill="auto"/>
        <w:tabs>
          <w:tab w:pos="450" w:val="left"/>
        </w:tabs>
        <w:bidi w:val="0"/>
        <w:spacing w:before="0" w:after="200" w:line="324"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49"/>
      <w:bookmarkEnd w:id="850"/>
      <w:bookmarkEnd w:id="852"/>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对于固定资产、在建工程、使用寿命有限的无形资产、以成本模式计量的投资性房地产及对子公司、合营 企业、联营企业的长期股权投资等非流动非金融资产，本公司于资产负债表日判断是否存在减值迹象。如存在 减值迹象的，则估计其可收回金额，进行减值测试。商誉、使用寿命不确定的无形资产和尚未达到可使用状态 的无形资产，无论是否存在减值迹象，每年均进行减值测试。</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减值测试结果表明资产的可收回金额低于其账面价值的，按其差额计提减值准备并计入减值损失。可收回 金额为资产的公允价值减去处置费用后的净额与资产预计未来现金流量的现值两者之间的较高者。资产的公允 价值根据公平交易中销售协议价格确定；不存在销售协议但存在资产活跃市场的，公允价值按照该资产的买方 出价确定；不存在销售协议和资产活跃市场的，则以可获取的最佳信息为基础估计资产的公允价值。处置费用 包括与资产处置有关的法律费用、相关税费、搬运费以及为使资产达到可销售状态所发生的直接费用。资产预 计未来现金流量的现值，按照资产在持续使用过程中和最终处置时所产生的预计未来现金流量，选择恰当的折 现率对其进行折现后的金额加以确定。资产减值准备按单项资产为基础计算并确认，如果难以对单项资产的可 收回金额进行估计的，以该资产所属的资产组确定资产组的可收回金额。资产组是能够独立产生现金流入的最 小资产组合。</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在财务报表中单独列示的商誉，在进行减值测试时，将商誉的账面价值分摊至预期从企业合并的协同效应 中受益的资产组或资产组组合。测试结果表明包含分摊的商誉的资产组或资产组组合的可收回金额低于其账面 价值的，确认相应的减值损失。减值损失金额先抵减分摊至该资产组或资产组组合的商誉的账面价值，再根据 资产组或资产组组合中除商誉以外的其他各项资产的账面价值所占比重，按比例抵减其他各项资产的账面价值。</w:t>
      </w:r>
    </w:p>
    <w:p>
      <w:pPr>
        <w:pStyle w:val="Style37"/>
        <w:keepNext w:val="0"/>
        <w:keepLines w:val="0"/>
        <w:widowControl w:val="0"/>
        <w:shd w:val="clear" w:color="auto" w:fill="auto"/>
        <w:bidi w:val="0"/>
        <w:spacing w:before="0" w:after="380" w:line="311" w:lineRule="exact"/>
        <w:ind w:left="0" w:right="0" w:firstLine="420"/>
        <w:jc w:val="left"/>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50" w:val="left"/>
        </w:tabs>
        <w:bidi w:val="0"/>
        <w:spacing w:before="0" w:after="200" w:line="324"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3</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53"/>
      <w:bookmarkEnd w:id="854"/>
      <w:bookmarkEnd w:id="856"/>
    </w:p>
    <w:p>
      <w:pPr>
        <w:pStyle w:val="Style37"/>
        <w:keepNext w:val="0"/>
        <w:keepLines w:val="0"/>
        <w:widowControl w:val="0"/>
        <w:shd w:val="clear" w:color="auto" w:fill="auto"/>
        <w:bidi w:val="0"/>
        <w:spacing w:before="0" w:after="0"/>
        <w:ind w:left="0" w:right="0"/>
        <w:jc w:val="both"/>
      </w:pPr>
      <w:r>
        <w:rPr>
          <w:color w:val="000000"/>
          <w:spacing w:val="0"/>
          <w:w w:val="100"/>
          <w:position w:val="0"/>
        </w:rPr>
        <w:t>长期待摊费用按实际支出入账，在受益期或规定的期限内平均摊销。如果长期待摊的费用项目不能使以后 会计期间受益，则将尚未摊销的该项目的摊余价值全部转入当期损益。其中：</w:t>
      </w:r>
    </w:p>
    <w:p>
      <w:pPr>
        <w:pStyle w:val="Style37"/>
        <w:keepNext w:val="0"/>
        <w:keepLines w:val="0"/>
        <w:widowControl w:val="0"/>
        <w:shd w:val="clear" w:color="auto" w:fill="auto"/>
        <w:bidi w:val="0"/>
        <w:spacing w:before="0" w:after="0"/>
        <w:ind w:left="0" w:right="0" w:firstLine="420"/>
        <w:jc w:val="left"/>
      </w:pPr>
      <w:r>
        <w:rPr>
          <w:color w:val="000000"/>
          <w:spacing w:val="0"/>
          <w:w w:val="100"/>
          <w:position w:val="0"/>
        </w:rPr>
        <w:t>预付经营租入固定资产的租金，按租赁合同规定的期限平均摊销。</w:t>
      </w:r>
    </w:p>
    <w:p>
      <w:pPr>
        <w:pStyle w:val="Style37"/>
        <w:keepNext w:val="0"/>
        <w:keepLines w:val="0"/>
        <w:widowControl w:val="0"/>
        <w:shd w:val="clear" w:color="auto" w:fill="auto"/>
        <w:bidi w:val="0"/>
        <w:spacing w:before="0" w:after="0"/>
        <w:ind w:left="0" w:right="0"/>
        <w:jc w:val="both"/>
      </w:pPr>
      <w:r>
        <w:rPr>
          <w:color w:val="000000"/>
          <w:spacing w:val="0"/>
          <w:w w:val="100"/>
          <w:position w:val="0"/>
        </w:rPr>
        <w:t>经营租赁方式租入的固定资产改良支出，按剩余租赁期与租赁资产尚可使用年限两者中较短的期限平均摊 销。</w:t>
      </w:r>
    </w:p>
    <w:p>
      <w:pPr>
        <w:pStyle w:val="Style37"/>
        <w:keepNext w:val="0"/>
        <w:keepLines w:val="0"/>
        <w:widowControl w:val="0"/>
        <w:shd w:val="clear" w:color="auto" w:fill="auto"/>
        <w:bidi w:val="0"/>
        <w:spacing w:before="0" w:after="200"/>
        <w:ind w:left="0" w:right="0"/>
        <w:jc w:val="both"/>
      </w:pPr>
      <w:r>
        <w:rPr>
          <w:color w:val="000000"/>
          <w:spacing w:val="0"/>
          <w:w w:val="100"/>
          <w:position w:val="0"/>
        </w:rPr>
        <w:t>融资租赁方式租入的固定资产符合资本化条件的装修费用，按两次装修间隔期间、剩余租赁期与固定资产 尚可使用年限三者中较短的期限平均摊销。</w:t>
      </w:r>
    </w:p>
    <w:p>
      <w:pPr>
        <w:pStyle w:val="Style33"/>
        <w:keepNext/>
        <w:keepLines/>
        <w:widowControl w:val="0"/>
        <w:shd w:val="clear" w:color="auto" w:fill="auto"/>
        <w:tabs>
          <w:tab w:pos="449" w:val="left"/>
        </w:tabs>
        <w:bidi w:val="0"/>
        <w:spacing w:before="0" w:after="280" w:line="312"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3</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57"/>
      <w:bookmarkEnd w:id="858"/>
      <w:bookmarkEnd w:id="860"/>
    </w:p>
    <w:p>
      <w:pPr>
        <w:pStyle w:val="Style37"/>
        <w:keepNext w:val="0"/>
        <w:keepLines w:val="0"/>
        <w:widowControl w:val="0"/>
        <w:shd w:val="clear" w:color="auto" w:fill="auto"/>
        <w:bidi w:val="0"/>
        <w:spacing w:before="0" w:after="0"/>
        <w:ind w:left="0" w:right="0" w:firstLine="520"/>
        <w:jc w:val="both"/>
      </w:pPr>
      <w:r>
        <w:rPr>
          <w:color w:val="000000"/>
          <w:spacing w:val="0"/>
          <w:w w:val="100"/>
          <w:position w:val="0"/>
        </w:rPr>
        <w:t>本公司根据履行履约义务与客户付款之间的关系在资产负债表中列示合同资产或合同负债。合同资产是本 公司已向客户转让商品而有权收取对价的权利，且该权利取决于时间流逝之外的其他因素。合同负债是本公司 已收或应收客户对价而应向客户转让商品的义务。</w:t>
      </w:r>
    </w:p>
    <w:p>
      <w:pPr>
        <w:pStyle w:val="Style37"/>
        <w:keepNext w:val="0"/>
        <w:keepLines w:val="0"/>
        <w:widowControl w:val="0"/>
        <w:shd w:val="clear" w:color="auto" w:fill="auto"/>
        <w:bidi w:val="0"/>
        <w:spacing w:before="0" w:after="0"/>
        <w:ind w:left="0" w:right="0" w:firstLine="520"/>
        <w:jc w:val="both"/>
      </w:pPr>
      <w:r>
        <w:rPr>
          <w:color w:val="000000"/>
          <w:spacing w:val="0"/>
          <w:w w:val="100"/>
          <w:position w:val="0"/>
        </w:rPr>
        <w:t>合同资产按照预期信用损失法计提减值准备。无论是否包含重大融资成分，本公司在资产负债表日均按照 整个存续期内预期信用损失的金额计量其损失准备，如果该预期信用损失大于当前合同资产减值准备的账面金 额，将其差额确认为减值损失，反之则确认为减值利得。实际发生减值损失，认定相关合同资产无法收回，经 批准予以核销。</w:t>
      </w:r>
    </w:p>
    <w:p>
      <w:pPr>
        <w:pStyle w:val="Style37"/>
        <w:keepNext w:val="0"/>
        <w:keepLines w:val="0"/>
        <w:widowControl w:val="0"/>
        <w:shd w:val="clear" w:color="auto" w:fill="auto"/>
        <w:bidi w:val="0"/>
        <w:spacing w:before="0" w:after="280"/>
        <w:ind w:left="0" w:right="0" w:firstLine="0"/>
        <w:jc w:val="both"/>
      </w:pPr>
      <w:r>
        <w:rPr>
          <w:color w:val="000000"/>
          <w:spacing w:val="0"/>
          <w:w w:val="100"/>
          <w:position w:val="0"/>
        </w:rPr>
        <w:t>资产负债表日，对于不同合同下的合同资产、合同负债，分别列示。对于同一合同下的合同资产、合同负债， 以净额列示，净额为借方余额的，根据其流动性分别列示为合同资产或其他非流动资产，已计提减值准备的， 减去合同资产减值准备的期末余额后列示；净额为贷方余额的，根据其流动性列示为合同负债或其他非流动负 债。</w:t>
      </w:r>
    </w:p>
    <w:p>
      <w:pPr>
        <w:pStyle w:val="Style33"/>
        <w:keepNext/>
        <w:keepLines/>
        <w:widowControl w:val="0"/>
        <w:shd w:val="clear" w:color="auto" w:fill="auto"/>
        <w:tabs>
          <w:tab w:pos="449" w:val="left"/>
        </w:tabs>
        <w:bidi w:val="0"/>
        <w:spacing w:before="0" w:after="280" w:line="312"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3</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61"/>
      <w:bookmarkEnd w:id="862"/>
      <w:bookmarkEnd w:id="864"/>
    </w:p>
    <w:p>
      <w:pPr>
        <w:pStyle w:val="Style33"/>
        <w:keepNext/>
        <w:keepLines/>
        <w:widowControl w:val="0"/>
        <w:numPr>
          <w:ilvl w:val="0"/>
          <w:numId w:val="27"/>
        </w:numPr>
        <w:shd w:val="clear" w:color="auto" w:fill="auto"/>
        <w:tabs>
          <w:tab w:pos="459" w:val="left"/>
        </w:tabs>
        <w:bidi w:val="0"/>
        <w:spacing w:before="0" w:after="280" w:line="312" w:lineRule="exact"/>
        <w:ind w:left="0" w:right="0" w:firstLine="0"/>
        <w:jc w:val="left"/>
      </w:pPr>
      <w:bookmarkStart w:id="861" w:name="bookmark861"/>
      <w:bookmarkStart w:id="862" w:name="bookmark862"/>
      <w:bookmarkStart w:id="865" w:name="bookmark865"/>
      <w:bookmarkStart w:id="866" w:name="bookmark866"/>
      <w:bookmarkEnd w:id="865"/>
      <w:r>
        <w:rPr>
          <w:color w:val="000000"/>
          <w:spacing w:val="0"/>
          <w:w w:val="100"/>
          <w:position w:val="0"/>
        </w:rPr>
        <w:t>短期薪酬的会计处理方法</w:t>
      </w:r>
      <w:bookmarkEnd w:id="861"/>
      <w:bookmarkEnd w:id="862"/>
      <w:bookmarkEnd w:id="866"/>
    </w:p>
    <w:p>
      <w:pPr>
        <w:pStyle w:val="Style37"/>
        <w:keepNext w:val="0"/>
        <w:keepLines w:val="0"/>
        <w:widowControl w:val="0"/>
        <w:shd w:val="clear" w:color="auto" w:fill="auto"/>
        <w:bidi w:val="0"/>
        <w:spacing w:before="0" w:after="280" w:line="314" w:lineRule="exact"/>
        <w:ind w:left="0" w:right="0" w:firstLine="520"/>
        <w:jc w:val="both"/>
      </w:pPr>
      <w:r>
        <w:rPr>
          <w:color w:val="000000"/>
          <w:spacing w:val="0"/>
          <w:w w:val="100"/>
          <w:position w:val="0"/>
        </w:rPr>
        <w:t>本公司职工薪酬主要包括短期职工薪酬、离职后福利、辞退福利。其中：短期薪酬主要包括工资、奖金、 津贴和补贴、职工福利费、医疗保险费、生育保险费、工伤保险费、住房公积金、工会经费和职工教育经费、 非货币性福利等。本公司在职工为本公司提供服务的会计期间将实际发生的短期职工薪酬确认为负债，并计入 当期损益或相关资产成本。其中非货币性福利按公允价值计量。</w:t>
      </w:r>
    </w:p>
    <w:p>
      <w:pPr>
        <w:pStyle w:val="Style33"/>
        <w:keepNext/>
        <w:keepLines/>
        <w:widowControl w:val="0"/>
        <w:numPr>
          <w:ilvl w:val="0"/>
          <w:numId w:val="27"/>
        </w:numPr>
        <w:shd w:val="clear" w:color="auto" w:fill="auto"/>
        <w:tabs>
          <w:tab w:pos="459" w:val="left"/>
        </w:tabs>
        <w:bidi w:val="0"/>
        <w:spacing w:before="0" w:after="280" w:line="312" w:lineRule="exact"/>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离职后福利的会计处理方法</w:t>
      </w:r>
      <w:bookmarkEnd w:id="867"/>
      <w:bookmarkEnd w:id="868"/>
      <w:bookmarkEnd w:id="870"/>
    </w:p>
    <w:p>
      <w:pPr>
        <w:pStyle w:val="Style37"/>
        <w:keepNext w:val="0"/>
        <w:keepLines w:val="0"/>
        <w:widowControl w:val="0"/>
        <w:shd w:val="clear" w:color="auto" w:fill="auto"/>
        <w:bidi w:val="0"/>
        <w:spacing w:before="0" w:after="280"/>
        <w:ind w:left="0" w:right="0" w:firstLine="520"/>
        <w:jc w:val="both"/>
      </w:pPr>
      <w:r>
        <w:rPr>
          <w:color w:val="000000"/>
          <w:spacing w:val="0"/>
          <w:w w:val="100"/>
          <w:position w:val="0"/>
        </w:rPr>
        <w:t>离职后福利主要包括设定提存计划。其中设定提存计划主要包括基本养老保险、失业保险，相应的应缴存 金额于发生时计入相关资产成本或当期损益。</w:t>
      </w:r>
    </w:p>
    <w:p>
      <w:pPr>
        <w:pStyle w:val="Style33"/>
        <w:keepNext/>
        <w:keepLines/>
        <w:widowControl w:val="0"/>
        <w:numPr>
          <w:ilvl w:val="0"/>
          <w:numId w:val="27"/>
        </w:numPr>
        <w:shd w:val="clear" w:color="auto" w:fill="auto"/>
        <w:tabs>
          <w:tab w:pos="459" w:val="left"/>
        </w:tabs>
        <w:bidi w:val="0"/>
        <w:spacing w:before="0" w:after="280" w:line="312" w:lineRule="exact"/>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辞退福利的会计处理方法</w:t>
      </w:r>
      <w:bookmarkEnd w:id="871"/>
      <w:bookmarkEnd w:id="872"/>
      <w:bookmarkEnd w:id="874"/>
    </w:p>
    <w:p>
      <w:pPr>
        <w:pStyle w:val="Style37"/>
        <w:keepNext w:val="0"/>
        <w:keepLines w:val="0"/>
        <w:widowControl w:val="0"/>
        <w:shd w:val="clear" w:color="auto" w:fill="auto"/>
        <w:bidi w:val="0"/>
        <w:spacing w:before="0" w:after="280" w:line="310" w:lineRule="exact"/>
        <w:ind w:left="0" w:right="0" w:firstLine="520"/>
        <w:jc w:val="both"/>
      </w:pPr>
      <w:r>
        <w:rPr>
          <w:color w:val="000000"/>
          <w:spacing w:val="0"/>
          <w:w w:val="100"/>
          <w:position w:val="0"/>
        </w:rPr>
        <w:t>在职工劳动合同到期之前解除与职工的劳动关系，或为鼓励职工自愿接受裁减而提出给予补偿的建议，在 本公司不能单方面撤回因解除劳动关系计划或裁减建议所提供的辞退福利时，和本公司确认与涉及支付辞退福 利的重组相关的成本两者孰早日，确认辞退福利产生的职工薪酬负债，并计入当期损益。但辞退福利预期在年 度报告期结束后十二个月不能完全支付的，按照其他长期职工薪酬处理。</w:t>
      </w:r>
    </w:p>
    <w:p>
      <w:pPr>
        <w:pStyle w:val="Style33"/>
        <w:keepNext/>
        <w:keepLines/>
        <w:widowControl w:val="0"/>
        <w:numPr>
          <w:ilvl w:val="0"/>
          <w:numId w:val="27"/>
        </w:numPr>
        <w:shd w:val="clear" w:color="auto" w:fill="auto"/>
        <w:tabs>
          <w:tab w:pos="459" w:val="left"/>
        </w:tabs>
        <w:bidi w:val="0"/>
        <w:spacing w:before="0" w:after="280" w:line="312" w:lineRule="exact"/>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其他长期职工福利的会计处理方法</w:t>
      </w:r>
      <w:bookmarkEnd w:id="875"/>
      <w:bookmarkEnd w:id="876"/>
      <w:bookmarkEnd w:id="878"/>
    </w:p>
    <w:p>
      <w:pPr>
        <w:pStyle w:val="Style37"/>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本公司向职工提供的其他长期职工福利，符合设定提存计划的，按照设定提存计划进行会计处理，除此之 外按照设定收益计划进行会计处理。</w:t>
      </w:r>
    </w:p>
    <w:p>
      <w:pPr>
        <w:pStyle w:val="Style37"/>
        <w:keepNext w:val="0"/>
        <w:keepLines w:val="0"/>
        <w:widowControl w:val="0"/>
        <w:shd w:val="clear" w:color="auto" w:fill="auto"/>
        <w:tabs>
          <w:tab w:pos="483" w:val="left"/>
        </w:tabs>
        <w:bidi w:val="0"/>
        <w:spacing w:before="0" w:after="300"/>
        <w:ind w:left="0" w:right="0" w:firstLine="0"/>
        <w:jc w:val="left"/>
      </w:pPr>
      <w:bookmarkStart w:id="879" w:name="bookmark879"/>
      <w:r>
        <w:rPr>
          <w:rFonts w:ascii="Times New Roman" w:eastAsia="Times New Roman" w:hAnsi="Times New Roman" w:cs="Times New Roman"/>
          <w:b/>
          <w:bCs/>
          <w:color w:val="000000"/>
          <w:spacing w:val="0"/>
          <w:w w:val="100"/>
          <w:position w:val="0"/>
        </w:rPr>
        <w:t>3</w:t>
      </w:r>
      <w:bookmarkEnd w:id="87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租赁负债</w:t>
      </w:r>
    </w:p>
    <w:p>
      <w:pPr>
        <w:pStyle w:val="Style37"/>
        <w:keepNext w:val="0"/>
        <w:keepLines w:val="0"/>
        <w:widowControl w:val="0"/>
        <w:shd w:val="clear" w:color="auto" w:fill="auto"/>
        <w:tabs>
          <w:tab w:pos="483" w:val="left"/>
        </w:tabs>
        <w:bidi w:val="0"/>
        <w:spacing w:before="0" w:after="300"/>
        <w:ind w:left="0" w:right="0" w:firstLine="0"/>
        <w:jc w:val="left"/>
      </w:pPr>
      <w:bookmarkStart w:id="880" w:name="bookmark880"/>
      <w:r>
        <w:rPr>
          <w:rFonts w:ascii="Times New Roman" w:eastAsia="Times New Roman" w:hAnsi="Times New Roman" w:cs="Times New Roman"/>
          <w:b/>
          <w:bCs/>
          <w:color w:val="000000"/>
          <w:spacing w:val="0"/>
          <w:w w:val="100"/>
          <w:position w:val="0"/>
        </w:rPr>
        <w:t>3</w:t>
      </w:r>
      <w:bookmarkEnd w:id="880"/>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预计负债</w:t>
      </w:r>
    </w:p>
    <w:p>
      <w:pPr>
        <w:pStyle w:val="Style37"/>
        <w:keepNext w:val="0"/>
        <w:keepLines w:val="0"/>
        <w:widowControl w:val="0"/>
        <w:shd w:val="clear" w:color="auto" w:fill="auto"/>
        <w:tabs>
          <w:tab w:pos="483" w:val="left"/>
        </w:tabs>
        <w:bidi w:val="0"/>
        <w:spacing w:before="0" w:after="300"/>
        <w:ind w:left="0" w:right="0" w:firstLine="0"/>
        <w:jc w:val="left"/>
      </w:pPr>
      <w:bookmarkStart w:id="881" w:name="bookmark881"/>
      <w:r>
        <w:rPr>
          <w:rFonts w:ascii="Times New Roman" w:eastAsia="Times New Roman" w:hAnsi="Times New Roman" w:cs="Times New Roman"/>
          <w:b/>
          <w:bCs/>
          <w:color w:val="000000"/>
          <w:spacing w:val="0"/>
          <w:w w:val="100"/>
          <w:position w:val="0"/>
        </w:rPr>
        <w:t>3</w:t>
      </w:r>
      <w:bookmarkEnd w:id="88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股份支付</w:t>
      </w:r>
    </w:p>
    <w:p>
      <w:pPr>
        <w:pStyle w:val="Style37"/>
        <w:keepNext w:val="0"/>
        <w:keepLines w:val="0"/>
        <w:widowControl w:val="0"/>
        <w:shd w:val="clear" w:color="auto" w:fill="auto"/>
        <w:tabs>
          <w:tab w:pos="483" w:val="left"/>
        </w:tabs>
        <w:bidi w:val="0"/>
        <w:spacing w:before="0" w:after="300"/>
        <w:ind w:left="0" w:right="0" w:firstLine="0"/>
        <w:jc w:val="left"/>
      </w:pPr>
      <w:bookmarkStart w:id="882" w:name="bookmark882"/>
      <w:r>
        <w:rPr>
          <w:rFonts w:ascii="Times New Roman" w:eastAsia="Times New Roman" w:hAnsi="Times New Roman" w:cs="Times New Roman"/>
          <w:b/>
          <w:bCs/>
          <w:color w:val="000000"/>
          <w:spacing w:val="0"/>
          <w:w w:val="100"/>
          <w:position w:val="0"/>
        </w:rPr>
        <w:t>3</w:t>
      </w:r>
      <w:bookmarkEnd w:id="88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优先股、永续债等其他金融工具</w:t>
      </w:r>
    </w:p>
    <w:p>
      <w:pPr>
        <w:pStyle w:val="Style37"/>
        <w:keepNext w:val="0"/>
        <w:keepLines w:val="0"/>
        <w:widowControl w:val="0"/>
        <w:shd w:val="clear" w:color="auto" w:fill="auto"/>
        <w:tabs>
          <w:tab w:pos="483" w:val="left"/>
        </w:tabs>
        <w:bidi w:val="0"/>
        <w:spacing w:before="0" w:after="380"/>
        <w:ind w:left="0" w:right="0" w:firstLine="0"/>
        <w:jc w:val="left"/>
      </w:pPr>
      <w:bookmarkStart w:id="883" w:name="bookmark883"/>
      <w:r>
        <w:rPr>
          <w:rFonts w:ascii="Times New Roman" w:eastAsia="Times New Roman" w:hAnsi="Times New Roman" w:cs="Times New Roman"/>
          <w:b/>
          <w:bCs/>
          <w:color w:val="000000"/>
          <w:spacing w:val="0"/>
          <w:w w:val="100"/>
          <w:position w:val="0"/>
        </w:rPr>
        <w:t>3</w:t>
      </w:r>
      <w:bookmarkEnd w:id="88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收入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37"/>
        <w:keepNext w:val="0"/>
        <w:keepLines w:val="0"/>
        <w:widowControl w:val="0"/>
        <w:shd w:val="clear" w:color="auto" w:fill="auto"/>
        <w:bidi w:val="0"/>
        <w:spacing w:before="0" w:after="0"/>
        <w:ind w:left="0" w:right="0"/>
        <w:jc w:val="both"/>
      </w:pPr>
      <w:r>
        <w:rPr>
          <w:color w:val="000000"/>
          <w:spacing w:val="0"/>
          <w:w w:val="100"/>
          <w:position w:val="0"/>
        </w:rPr>
        <w:t>收入是本公司在日常活动中形成的、会导致股东权益增加且与股东投入资本无关的经济利益的总流入。本 公司在履行了合同中的履约义务，即在客户取得相关商品或服务(简称商品)的控制权时确认收入。</w:t>
      </w:r>
    </w:p>
    <w:p>
      <w:pPr>
        <w:pStyle w:val="Style37"/>
        <w:keepNext w:val="0"/>
        <w:keepLines w:val="0"/>
        <w:widowControl w:val="0"/>
        <w:shd w:val="clear" w:color="auto" w:fill="auto"/>
        <w:bidi w:val="0"/>
        <w:spacing w:before="0" w:after="0"/>
        <w:ind w:left="0" w:right="0"/>
        <w:jc w:val="both"/>
      </w:pPr>
      <w:r>
        <w:rPr>
          <w:color w:val="000000"/>
          <w:spacing w:val="0"/>
          <w:w w:val="100"/>
          <w:position w:val="0"/>
        </w:rPr>
        <w:t>合同中包含两项或多项履约义务的，本公司在合同开始日，按照各单项履约义务所承诺商品的单独售价的 相对比例，将交易价格分摊至各单项履约义务，按照分摊至各单项履约义务的交易价格计量收入。</w:t>
      </w:r>
    </w:p>
    <w:p>
      <w:pPr>
        <w:pStyle w:val="Style37"/>
        <w:keepNext w:val="0"/>
        <w:keepLines w:val="0"/>
        <w:widowControl w:val="0"/>
        <w:shd w:val="clear" w:color="auto" w:fill="auto"/>
        <w:bidi w:val="0"/>
        <w:spacing w:before="0" w:after="0"/>
        <w:ind w:left="0" w:right="0"/>
        <w:jc w:val="both"/>
      </w:pPr>
      <w:r>
        <w:rPr>
          <w:color w:val="000000"/>
          <w:spacing w:val="0"/>
          <w:w w:val="100"/>
          <w:position w:val="0"/>
        </w:rPr>
        <w:t>交易价格是本公司因向客户转让商品而预期有权收取的对价金额，不包括代第三方收取的款项。本公司确 认的交易价格不超过在相关不确定性消除时累计已确认收入极可能不会发生重大转回的金额。合同中存在重大 融资成分的，本公司按照假定客户在取得商品控制权时即以现金支付的应付金额确定交易价格，该交易价格与 合同承诺的对价之间的差额，在合同期间内采用实际利率法摊销。</w:t>
      </w:r>
    </w:p>
    <w:p>
      <w:pPr>
        <w:pStyle w:val="Style37"/>
        <w:keepNext w:val="0"/>
        <w:keepLines w:val="0"/>
        <w:widowControl w:val="0"/>
        <w:shd w:val="clear" w:color="auto" w:fill="auto"/>
        <w:bidi w:val="0"/>
        <w:spacing w:before="0" w:after="0"/>
        <w:ind w:left="0" w:right="0"/>
        <w:jc w:val="both"/>
      </w:pPr>
      <w:r>
        <w:rPr>
          <w:color w:val="000000"/>
          <w:spacing w:val="0"/>
          <w:w w:val="100"/>
          <w:position w:val="0"/>
        </w:rPr>
        <w:t>满足下列条件之一时，属于在某一时段内履行履约义务，否则，属于在某一时点履行履约义务：①客户在 本公司履约的同时即取得并消耗本公司履约所带来的经济利益；②客户能够控制本公司履约过程中在建的商品； ③本公司履约过程中所产出的商品具有不可替代用途，且本公司在整个合同期间内有权就累计至今已完成的履 约部分收取款项。</w:t>
      </w:r>
    </w:p>
    <w:p>
      <w:pPr>
        <w:pStyle w:val="Style37"/>
        <w:keepNext w:val="0"/>
        <w:keepLines w:val="0"/>
        <w:widowControl w:val="0"/>
        <w:shd w:val="clear" w:color="auto" w:fill="auto"/>
        <w:bidi w:val="0"/>
        <w:spacing w:before="0" w:after="0"/>
        <w:ind w:left="0" w:right="0"/>
        <w:jc w:val="both"/>
      </w:pPr>
      <w:r>
        <w:rPr>
          <w:color w:val="000000"/>
          <w:spacing w:val="0"/>
          <w:w w:val="100"/>
          <w:position w:val="0"/>
        </w:rPr>
        <w:t>对于在某一时段内履行的履约义务，本公司在该时段内按照履约进度确认收入。履约进度不能合理确定时, 本公司已经发生的成本预计能够得到补偿的，按照已经发生的成本金额确认收入，直至履约进度能够合理确定。 对于在某一时点履行的履约义务，本公司在客户取得相关商品控制权时点确认收入。</w:t>
      </w:r>
    </w:p>
    <w:p>
      <w:pPr>
        <w:pStyle w:val="Style37"/>
        <w:keepNext w:val="0"/>
        <w:keepLines w:val="0"/>
        <w:widowControl w:val="0"/>
        <w:numPr>
          <w:ilvl w:val="0"/>
          <w:numId w:val="29"/>
        </w:numPr>
        <w:shd w:val="clear" w:color="auto" w:fill="auto"/>
        <w:bidi w:val="0"/>
        <w:spacing w:before="0" w:after="0"/>
        <w:ind w:left="0" w:right="0"/>
        <w:jc w:val="both"/>
      </w:pPr>
      <w:bookmarkStart w:id="884" w:name="bookmark884"/>
      <w:bookmarkEnd w:id="884"/>
      <w:r>
        <w:rPr>
          <w:color w:val="000000"/>
          <w:spacing w:val="0"/>
          <w:w w:val="100"/>
          <w:position w:val="0"/>
        </w:rPr>
        <w:t>本公司收入的具体确认原则</w:t>
      </w:r>
    </w:p>
    <w:p>
      <w:pPr>
        <w:pStyle w:val="Style37"/>
        <w:keepNext w:val="0"/>
        <w:keepLines w:val="0"/>
        <w:widowControl w:val="0"/>
        <w:numPr>
          <w:ilvl w:val="0"/>
          <w:numId w:val="31"/>
        </w:numPr>
        <w:shd w:val="clear" w:color="auto" w:fill="auto"/>
        <w:tabs>
          <w:tab w:pos="904" w:val="left"/>
        </w:tabs>
        <w:bidi w:val="0"/>
        <w:spacing w:before="0" w:after="0"/>
        <w:ind w:left="0" w:right="0"/>
        <w:jc w:val="both"/>
      </w:pPr>
      <w:bookmarkStart w:id="885" w:name="bookmark885"/>
      <w:bookmarkEnd w:id="885"/>
      <w:r>
        <w:rPr>
          <w:color w:val="000000"/>
          <w:spacing w:val="0"/>
          <w:w w:val="100"/>
          <w:position w:val="0"/>
        </w:rPr>
        <w:t>供应链业务收入的确认</w:t>
      </w:r>
    </w:p>
    <w:p>
      <w:pPr>
        <w:pStyle w:val="Style37"/>
        <w:keepNext w:val="0"/>
        <w:keepLines w:val="0"/>
        <w:widowControl w:val="0"/>
        <w:shd w:val="clear" w:color="auto" w:fill="auto"/>
        <w:bidi w:val="0"/>
        <w:spacing w:before="0" w:after="0"/>
        <w:ind w:left="0" w:right="0"/>
        <w:jc w:val="both"/>
      </w:pPr>
      <w:r>
        <w:rPr>
          <w:color w:val="000000"/>
          <w:spacing w:val="0"/>
          <w:w w:val="100"/>
          <w:position w:val="0"/>
        </w:rPr>
        <w:t>公司已根据合同约定将产品交付给购货方，已获取客户的签收或者验收回单，作为控制权转移时点，确认 收入。本公司给予客户的信用期，根据客户的信用风险特征确定，不存在重大融资成分。</w:t>
      </w:r>
    </w:p>
    <w:p>
      <w:pPr>
        <w:pStyle w:val="Style37"/>
        <w:keepNext w:val="0"/>
        <w:keepLines w:val="0"/>
        <w:widowControl w:val="0"/>
        <w:numPr>
          <w:ilvl w:val="0"/>
          <w:numId w:val="31"/>
        </w:numPr>
        <w:shd w:val="clear" w:color="auto" w:fill="auto"/>
        <w:tabs>
          <w:tab w:pos="904" w:val="left"/>
        </w:tabs>
        <w:bidi w:val="0"/>
        <w:spacing w:before="0" w:after="0"/>
        <w:ind w:left="0" w:right="0"/>
        <w:jc w:val="both"/>
      </w:pPr>
      <w:bookmarkStart w:id="886" w:name="bookmark886"/>
      <w:bookmarkEnd w:id="886"/>
      <w:r>
        <w:rPr>
          <w:color w:val="000000"/>
          <w:spacing w:val="0"/>
          <w:w w:val="100"/>
          <w:position w:val="0"/>
        </w:rPr>
        <w:t>第三方支付、信用卡推广、助贷等服务收入的确认</w:t>
      </w:r>
    </w:p>
    <w:p>
      <w:pPr>
        <w:pStyle w:val="Style37"/>
        <w:keepNext w:val="0"/>
        <w:keepLines w:val="0"/>
        <w:widowControl w:val="0"/>
        <w:shd w:val="clear" w:color="auto" w:fill="auto"/>
        <w:bidi w:val="0"/>
        <w:spacing w:before="0" w:after="0"/>
        <w:ind w:left="0" w:right="0"/>
        <w:jc w:val="both"/>
      </w:pPr>
      <w:r>
        <w:rPr>
          <w:color w:val="000000"/>
          <w:spacing w:val="0"/>
          <w:w w:val="100"/>
          <w:position w:val="0"/>
        </w:rPr>
        <w:t>公司在已根据合同约定提供了相应服务，取得明确的收款证据，相关成本能够可靠地计量时，确认收入。</w:t>
      </w:r>
    </w:p>
    <w:p>
      <w:pPr>
        <w:pStyle w:val="Style37"/>
        <w:keepNext w:val="0"/>
        <w:keepLines w:val="0"/>
        <w:widowControl w:val="0"/>
        <w:numPr>
          <w:ilvl w:val="0"/>
          <w:numId w:val="31"/>
        </w:numPr>
        <w:shd w:val="clear" w:color="auto" w:fill="auto"/>
        <w:tabs>
          <w:tab w:pos="904" w:val="left"/>
        </w:tabs>
        <w:bidi w:val="0"/>
        <w:spacing w:before="0" w:after="0"/>
        <w:ind w:left="0" w:right="0"/>
        <w:jc w:val="both"/>
      </w:pPr>
      <w:bookmarkStart w:id="887" w:name="bookmark887"/>
      <w:bookmarkEnd w:id="887"/>
      <w:r>
        <w:rPr>
          <w:color w:val="000000"/>
          <w:spacing w:val="0"/>
          <w:w w:val="100"/>
          <w:position w:val="0"/>
        </w:rPr>
        <w:t>保理业务、小额贷款业务等收入的确认</w:t>
      </w:r>
    </w:p>
    <w:p>
      <w:pPr>
        <w:pStyle w:val="Style37"/>
        <w:keepNext w:val="0"/>
        <w:keepLines w:val="0"/>
        <w:widowControl w:val="0"/>
        <w:shd w:val="clear" w:color="auto" w:fill="auto"/>
        <w:bidi w:val="0"/>
        <w:spacing w:before="0" w:after="120"/>
        <w:ind w:left="0" w:right="0" w:firstLine="0"/>
        <w:jc w:val="left"/>
      </w:pPr>
      <w:r>
        <w:rPr>
          <w:color w:val="000000"/>
          <w:spacing w:val="0"/>
          <w:w w:val="100"/>
          <w:position w:val="0"/>
        </w:rPr>
        <w:t>公司按照他人使用本公司货币资金的本金、时间和双方约定的实际利率计算确定；通过在一定期间内提供保理、 贷款收取的服务费、利息在相应的服务期间内平均确认收入。</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同类业务采用不同经营模式导致收入确认会计政策存在差异的情况</w:t>
      </w:r>
    </w:p>
    <w:p>
      <w:pPr>
        <w:pStyle w:val="Style33"/>
        <w:keepNext/>
        <w:keepLines/>
        <w:widowControl w:val="0"/>
        <w:shd w:val="clear" w:color="auto" w:fill="auto"/>
        <w:tabs>
          <w:tab w:pos="483" w:val="left"/>
        </w:tabs>
        <w:bidi w:val="0"/>
        <w:spacing w:before="0" w:after="300" w:line="312"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4</w:t>
      </w:r>
      <w:bookmarkEnd w:id="89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888"/>
      <w:bookmarkEnd w:id="889"/>
      <w:bookmarkEnd w:id="891"/>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政府补助是指本公司从政府无偿取得货币性资产或非货币性资产，不包括政府以投资者身份并享有相应所 有者权益而投入的资本。政府补助为货币性资产的，按照收到或应收的金额计量。政府补助为非货币性资产的， 应当按照公允价值计量；公允价值不能可靠取得的，按照名义金额计量。按照名义金额计量的政府补助，直接 计入当期损益。</w:t>
      </w:r>
    </w:p>
    <w:p>
      <w:pPr>
        <w:pStyle w:val="Style37"/>
        <w:keepNext w:val="0"/>
        <w:keepLines w:val="0"/>
        <w:widowControl w:val="0"/>
        <w:shd w:val="clear" w:color="auto" w:fill="auto"/>
        <w:bidi w:val="0"/>
        <w:spacing w:before="0" w:after="300" w:line="314" w:lineRule="exact"/>
        <w:ind w:left="0" w:right="0"/>
        <w:jc w:val="both"/>
      </w:pPr>
      <w:r>
        <w:rPr>
          <w:color w:val="000000"/>
          <w:spacing w:val="0"/>
          <w:w w:val="100"/>
          <w:position w:val="0"/>
        </w:rPr>
        <w:t>当本公司能够满足政府补助所附条件，且能够收到政府补助时，才能确认政府补助。</w:t>
      </w:r>
    </w:p>
    <w:p>
      <w:pPr>
        <w:pStyle w:val="Style37"/>
        <w:keepNext w:val="0"/>
        <w:keepLines w:val="0"/>
        <w:widowControl w:val="0"/>
        <w:shd w:val="clear" w:color="auto" w:fill="auto"/>
        <w:bidi w:val="0"/>
        <w:spacing w:before="0" w:after="0"/>
        <w:ind w:left="0" w:right="0"/>
        <w:jc w:val="both"/>
      </w:pPr>
      <w:r>
        <w:rPr>
          <w:color w:val="000000"/>
          <w:spacing w:val="0"/>
          <w:w w:val="100"/>
          <w:position w:val="0"/>
        </w:rPr>
        <w:t>政府补助分为与资产相关的政府补助和与收益相关的政府补助。与资产相关的政府补助，是指公司取得的、 用于购建或以其他方式形成长期资产的政府补助。与收益相关的政府补助，是指除与资产相关的政府补助之外 的政府补助。</w:t>
      </w:r>
    </w:p>
    <w:p>
      <w:pPr>
        <w:pStyle w:val="Style37"/>
        <w:keepNext w:val="0"/>
        <w:keepLines w:val="0"/>
        <w:widowControl w:val="0"/>
        <w:shd w:val="clear" w:color="auto" w:fill="auto"/>
        <w:bidi w:val="0"/>
        <w:spacing w:before="0" w:after="0" w:line="269" w:lineRule="exact"/>
        <w:ind w:left="0" w:right="0"/>
        <w:jc w:val="both"/>
      </w:pPr>
      <w:r>
        <w:rPr>
          <w:color w:val="000000"/>
          <w:spacing w:val="0"/>
          <w:w w:val="100"/>
          <w:position w:val="0"/>
        </w:rPr>
        <w:t xml:space="preserve">与资产相关的政府补助，采用总额法，确认为递延收益，在相关资产使用寿命内按照合理、系统的方法分 期计入损益，相关资产在使用寿命结束前被出售、转让、报废或发生毁损的，将尚未分配的相关递延收益余额 转入资产处置当期的损益，已确认的政府补助需要退回的，冲减相关递延收益账面余额，超出部分计入当期损 </w:t>
      </w:r>
      <w:r>
        <w:rPr>
          <w:color w:val="000000"/>
          <w:spacing w:val="0"/>
          <w:w w:val="100"/>
          <w:position w:val="0"/>
          <w:u w:val="single"/>
        </w:rPr>
        <w:t>、，.</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u w:val="single"/>
        </w:rPr>
        <w:t>益</w:t>
      </w:r>
      <w:r>
        <w:rPr>
          <w:color w:val="000000"/>
          <w:spacing w:val="0"/>
          <w:w w:val="100"/>
          <w:position w:val="0"/>
        </w:rPr>
        <w:t>。</w:t>
      </w:r>
    </w:p>
    <w:p>
      <w:pPr>
        <w:pStyle w:val="Style37"/>
        <w:keepNext w:val="0"/>
        <w:keepLines w:val="0"/>
        <w:widowControl w:val="0"/>
        <w:shd w:val="clear" w:color="auto" w:fill="auto"/>
        <w:bidi w:val="0"/>
        <w:spacing w:before="0" w:after="0" w:line="317" w:lineRule="exact"/>
        <w:ind w:left="0" w:right="0"/>
        <w:jc w:val="left"/>
      </w:pPr>
      <w:r>
        <w:rPr>
          <w:color w:val="000000"/>
          <w:spacing w:val="0"/>
          <w:w w:val="100"/>
          <w:position w:val="0"/>
        </w:rPr>
        <w:t>与收益相关的政府补助，采用总额法，用于补偿公司已发生的相关成本费用或损失时，直接计入当期损益; 用于补偿以后期间的相关成本费用或损失时，确认为递延收益，并在确认相关成本费用或损失的期间，计入当 期损益。</w:t>
      </w:r>
    </w:p>
    <w:p>
      <w:pPr>
        <w:pStyle w:val="Style37"/>
        <w:keepNext w:val="0"/>
        <w:keepLines w:val="0"/>
        <w:widowControl w:val="0"/>
        <w:shd w:val="clear" w:color="auto" w:fill="auto"/>
        <w:bidi w:val="0"/>
        <w:spacing w:before="0" w:after="0" w:line="317" w:lineRule="exact"/>
        <w:ind w:left="0" w:right="0"/>
        <w:jc w:val="left"/>
      </w:pPr>
      <w:r>
        <w:rPr>
          <w:color w:val="000000"/>
          <w:spacing w:val="0"/>
          <w:w w:val="100"/>
          <w:position w:val="0"/>
        </w:rPr>
        <w:t>对于同时包含与资产相关部分和与收益相关部分的政府补助，应当区分不同部分分别进行会计处理；难以 区分的应当整体归类为与收益相关的政府补助。</w:t>
      </w:r>
    </w:p>
    <w:p>
      <w:pPr>
        <w:pStyle w:val="Style37"/>
        <w:keepNext w:val="0"/>
        <w:keepLines w:val="0"/>
        <w:widowControl w:val="0"/>
        <w:shd w:val="clear" w:color="auto" w:fill="auto"/>
        <w:bidi w:val="0"/>
        <w:spacing w:before="0" w:after="380" w:line="322" w:lineRule="exact"/>
        <w:ind w:left="0" w:right="0"/>
        <w:jc w:val="left"/>
      </w:pPr>
      <w:r>
        <w:rPr>
          <w:color w:val="000000"/>
          <w:spacing w:val="0"/>
          <w:w w:val="100"/>
          <w:position w:val="0"/>
        </w:rPr>
        <w:t>与企业日常活动相关的政府补助，应当按照经济业务实质，计入其他收益或冲减相关成本费用。与企业日 常活动无关的政府补助，计入营业外收支。</w:t>
      </w:r>
    </w:p>
    <w:p>
      <w:pPr>
        <w:pStyle w:val="Style33"/>
        <w:keepNext/>
        <w:keepLines/>
        <w:widowControl w:val="0"/>
        <w:shd w:val="clear" w:color="auto" w:fill="auto"/>
        <w:tabs>
          <w:tab w:pos="426" w:val="left"/>
        </w:tabs>
        <w:bidi w:val="0"/>
        <w:spacing w:before="0" w:after="200" w:line="326"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4</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2"/>
      <w:bookmarkEnd w:id="893"/>
      <w:bookmarkEnd w:id="895"/>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某些资产、负债项目的账面价值与其计税基础之间的差额，以及未作为资产和负债确认但按照税法规定可 以确定其计税基础的项目的账面价值与计税基础之间的差额产生的暂时性差异，采用资产负债表债务法确认递 延所得税资产及递延所得税负债。</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与商誉的初始确认有关，以及与既不是企业合并、发生时也不影响会计利润和应纳税所得额（或可抵扣亏 损）的交易中产生的资产或负债的初始确认有关的应纳税暂时性差异，不予确认有关的递延所得税负债。此外, 对与子公司、联营企业及合营企业投资相关的应纳税暂时性差异，如果本公司能够控制暂时性差异转回的时间， 而且该暂时性差异在可预见的未来很可能不会转回，也不予确认有关的递延所得税负债。除上述例外情况，本 公司确认其他所有应纳税暂时性差异产生的递延所得税负债。</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与既不是企业合并、发生时也不影响会计利润和应纳税所得额（或可抵扣亏损）的交易中产生的资产或负 债的初始确认有关的可抵扣暂时性差异，不予确认有关的递延所得税资产。此外，对与子公司、联营企业及合 营企业投资相关的可抵扣暂时性差异，如果暂时性差异在可预见的未来不是很可能转回，或者未来不是很可能 获得用来抵扣可抵扣暂时性差异的应纳税所得额，不予确认有关的递延所得税资产。除上述例外情况，本公司 以很可能取得用来抵扣可抵扣暂时性差异的应纳税所得额为限，确认其他可抵扣暂时性差异产生的递延所得税 资产。</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对于能够结转以后年度的可抵扣亏损和税款抵减，以很可能获得用来抵扣可抵扣亏损和税款抵减的未来应 纳税所得额为限，确认相应的递延所得税资产。</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资产负债表日，对于递延所得税资产和递延所得税负债，根据税法规定，按照预期收回相关资产或清偿相 关负债期间的适用税率计量。</w:t>
      </w:r>
    </w:p>
    <w:p>
      <w:pPr>
        <w:pStyle w:val="Style3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于资产负债表日，对递延所得税资产的账面价值进行复核，如果未来很可能无法获得足够的应纳税所得额用以 抵扣递延所得税资产的利益，则减记递延所得税资产的账面价值。在很可能获得足够的应纳税所得额时，减记 的金额予以转回。</w:t>
      </w:r>
    </w:p>
    <w:p>
      <w:pPr>
        <w:pStyle w:val="Style33"/>
        <w:keepNext/>
        <w:keepLines/>
        <w:widowControl w:val="0"/>
        <w:shd w:val="clear" w:color="auto" w:fill="auto"/>
        <w:tabs>
          <w:tab w:pos="426" w:val="left"/>
        </w:tabs>
        <w:bidi w:val="0"/>
        <w:spacing w:before="0" w:after="200" w:line="326"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4</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896"/>
      <w:bookmarkEnd w:id="897"/>
      <w:bookmarkEnd w:id="899"/>
    </w:p>
    <w:p>
      <w:pPr>
        <w:pStyle w:val="Style33"/>
        <w:keepNext/>
        <w:keepLines/>
        <w:widowControl w:val="0"/>
        <w:shd w:val="clear" w:color="auto" w:fill="auto"/>
        <w:bidi w:val="0"/>
        <w:spacing w:before="0" w:after="300" w:line="313" w:lineRule="exact"/>
        <w:ind w:left="0" w:right="0" w:firstLine="0"/>
        <w:jc w:val="both"/>
      </w:pPr>
      <w:bookmarkStart w:id="896" w:name="bookmark896"/>
      <w:bookmarkStart w:id="897" w:name="bookmark897"/>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6"/>
      <w:bookmarkEnd w:id="897"/>
      <w:bookmarkEnd w:id="901"/>
    </w:p>
    <w:p>
      <w:pPr>
        <w:pStyle w:val="Style37"/>
        <w:keepNext w:val="0"/>
        <w:keepLines w:val="0"/>
        <w:widowControl w:val="0"/>
        <w:shd w:val="clear" w:color="auto" w:fill="auto"/>
        <w:bidi w:val="0"/>
        <w:spacing w:before="0" w:after="0"/>
        <w:ind w:left="0" w:right="0"/>
        <w:jc w:val="both"/>
      </w:pPr>
      <w:r>
        <w:rPr>
          <w:color w:val="000000"/>
          <w:spacing w:val="0"/>
          <w:w w:val="100"/>
          <w:position w:val="0"/>
        </w:rPr>
        <w:t xml:space="preserve">公司租入资产所支付的租赁费，在不扣除免租期的整个租赁期内，按直线法进行分摊，计入当期费用。公 司支付的与租赁交易相关的初始直接费用，计入当期费用。资产出租方承担了应由公司承担的与租赁相关的费 </w:t>
      </w:r>
      <w:r>
        <w:rPr>
          <w:color w:val="000000"/>
          <w:spacing w:val="0"/>
          <w:w w:val="100"/>
          <w:position w:val="0"/>
        </w:rPr>
        <w:t>用时，公司将该部分费用从租金总额中扣除，按扣除后的租金费用在租赁期内分摊，计入当期费用。</w:t>
      </w:r>
    </w:p>
    <w:p>
      <w:pPr>
        <w:pStyle w:val="Style37"/>
        <w:keepNext w:val="0"/>
        <w:keepLines w:val="0"/>
        <w:widowControl w:val="0"/>
        <w:shd w:val="clear" w:color="auto" w:fill="auto"/>
        <w:bidi w:val="0"/>
        <w:spacing w:before="0" w:after="300"/>
        <w:ind w:left="0" w:right="0" w:firstLine="0"/>
        <w:jc w:val="left"/>
      </w:pPr>
      <w:r>
        <w:rPr>
          <w:color w:val="000000"/>
          <w:spacing w:val="0"/>
          <w:w w:val="100"/>
          <w:position w:val="0"/>
        </w:rPr>
        <w:t>公司出租资产所收取的租赁费，在不扣除免租期的整个租赁期内，按直线法进行分摊，确认为租赁相关收入。 公司支付的与租赁交易相关的初始直接费用，计入当期费用；如金额较大的，则予以资本化，在整个租赁期间 内按照与租赁相关收入确认相同的基础分期计入当期收益。公司承担了应由承租方承担的与租赁相关的费用时， 公司将该部分费用从租金收入总额中扣除，按扣除后的租金费用在租赁期内分配。</w:t>
      </w:r>
    </w:p>
    <w:p>
      <w:pPr>
        <w:pStyle w:val="Style33"/>
        <w:keepNext/>
        <w:keepLines/>
        <w:widowControl w:val="0"/>
        <w:shd w:val="clear" w:color="auto" w:fill="auto"/>
        <w:bidi w:val="0"/>
        <w:spacing w:before="0" w:after="300" w:line="312" w:lineRule="exact"/>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02"/>
      <w:bookmarkEnd w:id="903"/>
      <w:bookmarkEnd w:id="905"/>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融资租入资产：公司在承租开始日，将租赁资产公允价值与最低租赁付款额现值两者中较低者作为租入资 产的入账价值，将最低租赁付款额作为长期应付款的入账价值，其差额作为未确认的融资费用。公司采用实际 利率法对未确认的融资费用，在资产租赁期间内摊销，计入财务费用。公司发生的初始直接费用，计入租入资 产价值。</w:t>
      </w:r>
    </w:p>
    <w:p>
      <w:pPr>
        <w:pStyle w:val="Style37"/>
        <w:keepNext w:val="0"/>
        <w:keepLines w:val="0"/>
        <w:widowControl w:val="0"/>
        <w:shd w:val="clear" w:color="auto" w:fill="auto"/>
        <w:bidi w:val="0"/>
        <w:spacing w:before="0" w:after="360" w:line="314" w:lineRule="exact"/>
        <w:ind w:left="0" w:right="0"/>
        <w:jc w:val="both"/>
      </w:pPr>
      <w:r>
        <w:rPr>
          <w:color w:val="000000"/>
          <w:spacing w:val="0"/>
          <w:w w:val="100"/>
          <w:position w:val="0"/>
        </w:rPr>
        <w:t>融资租出资产：公司在租赁开始日，将应收融资租赁款，未担保余值之和与其现值的差额确认为未实现融 资收益，在将来收到租金的各期间内确认为租赁收入。公司发生的与出租交易相关的初始直接费用，计入应收 融资租赁款的初始计量中，并减少租赁期内确认的收益金额。</w:t>
      </w:r>
    </w:p>
    <w:p>
      <w:pPr>
        <w:pStyle w:val="Style33"/>
        <w:keepNext/>
        <w:keepLines/>
        <w:widowControl w:val="0"/>
        <w:shd w:val="clear" w:color="auto" w:fill="auto"/>
        <w:tabs>
          <w:tab w:pos="483" w:val="left"/>
        </w:tabs>
        <w:bidi w:val="0"/>
        <w:spacing w:before="0" w:after="180" w:line="326"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4</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06"/>
      <w:bookmarkEnd w:id="907"/>
      <w:bookmarkEnd w:id="909"/>
    </w:p>
    <w:p>
      <w:pPr>
        <w:pStyle w:val="Style37"/>
        <w:keepNext w:val="0"/>
        <w:keepLines w:val="0"/>
        <w:widowControl w:val="0"/>
        <w:shd w:val="clear" w:color="auto" w:fill="auto"/>
        <w:bidi w:val="0"/>
        <w:spacing w:before="0" w:after="0" w:line="310" w:lineRule="exact"/>
        <w:ind w:left="0" w:right="0"/>
        <w:jc w:val="both"/>
      </w:pPr>
      <w:bookmarkStart w:id="910" w:name="bookmark910"/>
      <w:r>
        <w:rPr>
          <w:color w:val="000000"/>
          <w:spacing w:val="0"/>
          <w:w w:val="100"/>
          <w:position w:val="0"/>
        </w:rPr>
        <w:t>（</w:t>
      </w:r>
      <w:bookmarkEnd w:id="910"/>
      <w:r>
        <w:rPr>
          <w:b/>
          <w:bCs/>
          <w:color w:val="000000"/>
          <w:spacing w:val="0"/>
          <w:w w:val="100"/>
          <w:position w:val="0"/>
        </w:rPr>
        <w:t>1</w:t>
      </w:r>
      <w:r>
        <w:rPr>
          <w:color w:val="000000"/>
          <w:spacing w:val="0"/>
          <w:w w:val="100"/>
          <w:position w:val="0"/>
        </w:rPr>
        <w:t>）终止经营</w:t>
      </w:r>
    </w:p>
    <w:p>
      <w:pPr>
        <w:pStyle w:val="Style37"/>
        <w:keepNext w:val="0"/>
        <w:keepLines w:val="0"/>
        <w:widowControl w:val="0"/>
        <w:shd w:val="clear" w:color="auto" w:fill="auto"/>
        <w:bidi w:val="0"/>
        <w:spacing w:before="0" w:after="0" w:line="310" w:lineRule="exact"/>
        <w:ind w:left="0" w:right="0"/>
        <w:jc w:val="both"/>
      </w:pPr>
      <w:r>
        <w:rPr>
          <w:color w:val="000000"/>
          <w:spacing w:val="0"/>
          <w:w w:val="100"/>
          <w:position w:val="0"/>
        </w:rPr>
        <w:t>终止经营，是指企业满足下列条件之一的、能够单独区分的组成部分，且该组成部分已经处置或划分为持 有待售类别：</w:t>
      </w:r>
    </w:p>
    <w:p>
      <w:pPr>
        <w:pStyle w:val="Style37"/>
        <w:keepNext w:val="0"/>
        <w:keepLines w:val="0"/>
        <w:widowControl w:val="0"/>
        <w:numPr>
          <w:ilvl w:val="0"/>
          <w:numId w:val="33"/>
        </w:numPr>
        <w:shd w:val="clear" w:color="auto" w:fill="auto"/>
        <w:tabs>
          <w:tab w:pos="827" w:val="left"/>
        </w:tabs>
        <w:bidi w:val="0"/>
        <w:spacing w:before="0" w:after="0" w:line="310" w:lineRule="exact"/>
        <w:ind w:left="0" w:right="0"/>
        <w:jc w:val="both"/>
      </w:pPr>
      <w:bookmarkStart w:id="911" w:name="bookmark911"/>
      <w:bookmarkEnd w:id="911"/>
      <w:r>
        <w:rPr>
          <w:color w:val="000000"/>
          <w:spacing w:val="0"/>
          <w:w w:val="100"/>
          <w:position w:val="0"/>
        </w:rPr>
        <w:t>该组成部分代表一项独立的主要业务或一个单独的主要经营地区；</w:t>
      </w:r>
    </w:p>
    <w:p>
      <w:pPr>
        <w:pStyle w:val="Style37"/>
        <w:keepNext w:val="0"/>
        <w:keepLines w:val="0"/>
        <w:widowControl w:val="0"/>
        <w:numPr>
          <w:ilvl w:val="0"/>
          <w:numId w:val="33"/>
        </w:numPr>
        <w:shd w:val="clear" w:color="auto" w:fill="auto"/>
        <w:tabs>
          <w:tab w:pos="805" w:val="left"/>
        </w:tabs>
        <w:bidi w:val="0"/>
        <w:spacing w:before="0" w:after="0" w:line="310" w:lineRule="exact"/>
        <w:ind w:left="0" w:right="0"/>
        <w:jc w:val="both"/>
      </w:pPr>
      <w:bookmarkStart w:id="912" w:name="bookmark912"/>
      <w:bookmarkEnd w:id="912"/>
      <w:r>
        <w:rPr>
          <w:color w:val="000000"/>
          <w:spacing w:val="0"/>
          <w:w w:val="100"/>
          <w:position w:val="0"/>
        </w:rPr>
        <w:t>该组成部分是拟对一项独立的主要业务或一个单独的主要经营地区进行处置的一项相关联计划的一部 分；</w:t>
      </w:r>
    </w:p>
    <w:p>
      <w:pPr>
        <w:pStyle w:val="Style37"/>
        <w:keepNext w:val="0"/>
        <w:keepLines w:val="0"/>
        <w:widowControl w:val="0"/>
        <w:numPr>
          <w:ilvl w:val="0"/>
          <w:numId w:val="33"/>
        </w:numPr>
        <w:shd w:val="clear" w:color="auto" w:fill="auto"/>
        <w:tabs>
          <w:tab w:pos="827" w:val="left"/>
        </w:tabs>
        <w:bidi w:val="0"/>
        <w:spacing w:before="0" w:after="360" w:line="310" w:lineRule="exact"/>
        <w:ind w:left="0" w:right="0"/>
        <w:jc w:val="both"/>
      </w:pPr>
      <w:bookmarkStart w:id="913" w:name="bookmark913"/>
      <w:bookmarkEnd w:id="913"/>
      <w:r>
        <w:rPr>
          <w:color w:val="000000"/>
          <w:spacing w:val="0"/>
          <w:w w:val="100"/>
          <w:position w:val="0"/>
        </w:rPr>
        <w:t>该组成部分是专为转售而取得的子公司。</w:t>
      </w:r>
    </w:p>
    <w:p>
      <w:pPr>
        <w:pStyle w:val="Style37"/>
        <w:keepNext w:val="0"/>
        <w:keepLines w:val="0"/>
        <w:widowControl w:val="0"/>
        <w:shd w:val="clear" w:color="auto" w:fill="auto"/>
        <w:tabs>
          <w:tab w:pos="483" w:val="left"/>
        </w:tabs>
        <w:bidi w:val="0"/>
        <w:spacing w:before="0" w:after="180" w:line="326" w:lineRule="auto"/>
        <w:ind w:left="0" w:right="0" w:firstLine="0"/>
        <w:jc w:val="left"/>
      </w:pPr>
      <w:bookmarkStart w:id="914" w:name="bookmark914"/>
      <w:r>
        <w:rPr>
          <w:rFonts w:ascii="Times New Roman" w:eastAsia="Times New Roman" w:hAnsi="Times New Roman" w:cs="Times New Roman"/>
          <w:b/>
          <w:bCs/>
          <w:color w:val="000000"/>
          <w:spacing w:val="0"/>
          <w:w w:val="100"/>
          <w:position w:val="0"/>
        </w:rPr>
        <w:t>4</w:t>
      </w:r>
      <w:bookmarkEnd w:id="91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重要会计政策和会计估计变更</w:t>
      </w:r>
    </w:p>
    <w:p>
      <w:pPr>
        <w:pStyle w:val="Style37"/>
        <w:keepNext w:val="0"/>
        <w:keepLines w:val="0"/>
        <w:widowControl w:val="0"/>
        <w:shd w:val="clear" w:color="auto" w:fill="auto"/>
        <w:bidi w:val="0"/>
        <w:spacing w:before="0" w:after="360"/>
        <w:ind w:left="0" w:right="0" w:firstLine="0"/>
        <w:jc w:val="left"/>
      </w:pPr>
      <w:bookmarkStart w:id="915" w:name="bookmark915"/>
      <w:r>
        <w:rPr>
          <w:b/>
          <w:bCs/>
          <w:color w:val="000000"/>
          <w:spacing w:val="0"/>
          <w:w w:val="100"/>
          <w:position w:val="0"/>
        </w:rPr>
        <w:t>（</w:t>
      </w:r>
      <w:bookmarkEnd w:id="915"/>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 计准则</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收入》，本公司</w:t>
            </w:r>
            <w:r>
              <w:rPr>
                <w:rFonts w:ascii="Times New Roman" w:eastAsia="Times New Roman" w:hAnsi="Times New Roman" w:cs="Times New Roman"/>
                <w:color w:val="000000"/>
                <w:spacing w:val="0"/>
                <w:w w:val="100"/>
                <w:position w:val="0"/>
              </w:rPr>
              <w:t>2020</w:t>
            </w:r>
            <w:r>
              <w:rPr>
                <w:color w:val="000000"/>
                <w:spacing w:val="0"/>
                <w:w w:val="100"/>
                <w:position w:val="0"/>
              </w:rPr>
              <w:t>年度 财务报表按照新收入准则编制。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根据财政部《企业会计准则</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 相关规定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详见以下说明</w:t>
            </w:r>
          </w:p>
        </w:tc>
      </w:tr>
    </w:tbl>
    <w:p>
      <w:pPr>
        <w:widowControl w:val="0"/>
        <w:spacing w:after="29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16"/>
      <w:bookmarkEnd w:id="917"/>
      <w:bookmarkEnd w:id="91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20"/>
      <w:bookmarkEnd w:id="921"/>
      <w:bookmarkEnd w:id="923"/>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是否需要调整年初资产负债表科目</w:t>
      </w:r>
      <w:r>
        <w:br w:type="page"/>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1,430,315,992.53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1,430,315,992.53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399,513,632.32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399,513,632.32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23,841,507.01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23,841,507.01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15,286,464.24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15,286,464.24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130,891,664.03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130,891,664.03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23,850,840.34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23,850,840.34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2,023,768,635.15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2,023,768,635.15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48,277,280.22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48,277,280.22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3,567,349.53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3,567,349.53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462,085,000.00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462,085,000.00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4,718,403.41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4,718,403.41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31,576,151.81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31,576,151.81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998,642,311.55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998,642,311.55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3,761,814.08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3,761,814.08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1,859,548.42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1,859,548.42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1,555,393,191.10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1,555,393,191.10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3,579,161,826.25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3,579,161,826.25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440,765,723.60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440,765,723.60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76,389,232.71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76,389,232.71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-264,229.14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15,225,509.68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15,225,509.68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14,815,231.29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14,815,231.29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182,431,015.69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182,431,015.69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180,397,719.29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180,397,719.29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1,223,955,031.96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1,223,976,443.08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2,134,243,693.36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2,134,243,693.36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415,887,638.89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415,887,638.89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4,086,851.66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4,086,851.66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419,974,490.55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419,974,490.55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2,554,218,183.91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2,554,218,183.91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559,936,650.00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559,936,650.00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191,142,018.58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191,142,018.58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3,573,773.16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3,573,773.16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189,550,879.17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189,550,879.17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987,742,300.83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987,742,300.83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37,201,341.51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37,201,341.51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1,024,943,642.34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1,024,943,642.34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3,579,161,826.25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3,579,161,826.25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7"/>
        <w:keepNext w:val="0"/>
        <w:keepLines w:val="0"/>
        <w:widowControl w:val="0"/>
        <w:shd w:val="clear" w:color="auto" w:fill="auto"/>
        <w:bidi w:val="0"/>
        <w:spacing w:before="0" w:after="140" w:line="319" w:lineRule="exact"/>
        <w:ind w:left="0" w:right="0"/>
        <w:jc w:val="both"/>
      </w:pPr>
      <w:r>
        <w:rPr>
          <w:color w:val="000000"/>
          <w:spacing w:val="0"/>
          <w:w w:val="100"/>
          <w:position w:val="0"/>
        </w:rPr>
        <w:t>财政部</w:t>
      </w:r>
      <w:r>
        <w:rPr>
          <w:b/>
          <w:bCs/>
          <w:color w:val="000000"/>
          <w:spacing w:val="0"/>
          <w:w w:val="100"/>
          <w:position w:val="0"/>
        </w:rPr>
        <w:t>2017</w:t>
      </w:r>
      <w:r>
        <w:rPr>
          <w:color w:val="000000"/>
          <w:spacing w:val="0"/>
          <w:w w:val="100"/>
          <w:position w:val="0"/>
        </w:rPr>
        <w:t>年颁布了修订后的《企业会计准则</w:t>
      </w:r>
      <w:r>
        <w:rPr>
          <w:b/>
          <w:bCs/>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收入》（以下简称</w:t>
      </w:r>
      <w:r>
        <w:rPr>
          <w:b/>
          <w:bCs/>
          <w:color w:val="000000"/>
          <w:spacing w:val="0"/>
          <w:w w:val="100"/>
          <w:position w:val="0"/>
        </w:rPr>
        <w:t>“</w:t>
      </w:r>
      <w:r>
        <w:rPr>
          <w:color w:val="000000"/>
          <w:spacing w:val="0"/>
          <w:w w:val="100"/>
          <w:position w:val="0"/>
        </w:rPr>
        <w:t>新收入准则），本公司</w:t>
      </w:r>
      <w:r>
        <w:rPr>
          <w:b/>
          <w:bCs/>
          <w:color w:val="000000"/>
          <w:spacing w:val="0"/>
          <w:w w:val="100"/>
          <w:position w:val="0"/>
        </w:rPr>
        <w:t>2020</w:t>
      </w:r>
      <w:r>
        <w:rPr>
          <w:color w:val="000000"/>
          <w:spacing w:val="0"/>
          <w:w w:val="100"/>
          <w:position w:val="0"/>
        </w:rPr>
        <w:t>年度财 务报表按照新收入准则编制。根据新收入准则的相关规定，本公司对于首次执行该准则的累积影响数调整</w:t>
      </w:r>
      <w:r>
        <w:rPr>
          <w:b/>
          <w:bCs/>
          <w:color w:val="000000"/>
          <w:spacing w:val="0"/>
          <w:w w:val="100"/>
          <w:position w:val="0"/>
        </w:rPr>
        <w:t xml:space="preserve">2020 </w:t>
      </w:r>
      <w:r>
        <w:rPr>
          <w:color w:val="000000"/>
          <w:spacing w:val="0"/>
          <w:w w:val="100"/>
          <w:position w:val="0"/>
        </w:rPr>
        <w:t>年年初留存收益以及财务报表其他相关项目金额，不对比较财务报表数据进行调整。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2,981,291.82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2,981,291.82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1,305,815.39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1,305,815.39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426,983,912.64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426,983,912.64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1,201,893.31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1,201,893.31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432,472,913.16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432,472,913.16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5,051,677,591.00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5,051,677,591.00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323,514.02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323,514.02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2,726,190.73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2,726,190.73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5,204,966,646.37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5,204,966,646.37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5,637,439,559.53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5,637,439,559.53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440,765,723.60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440,765,723.60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24,450.00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2,028,402.42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2,028,402.42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75,761.96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75,761.96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3,897,478,016.56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3,897,478,016.56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24,166.67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4,340,372,354.54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4,340,372,354.54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415,887,638.89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415,887,638.89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415,887,638.89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415,887,638.89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4,756,259,993.43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4,756,259,993.43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559,936,650.00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559,936,650.00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309,684,562.96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309,684,562.96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-31,986,461.52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-31,986,461.52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881,179,566.10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881,179,566.10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5,637,439,559.53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5,637,439,559.53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7"/>
        <w:keepNext w:val="0"/>
        <w:keepLines w:val="0"/>
        <w:widowControl w:val="0"/>
        <w:shd w:val="clear" w:color="auto" w:fill="auto"/>
        <w:bidi w:val="0"/>
        <w:spacing w:before="0" w:after="280" w:line="319" w:lineRule="exact"/>
        <w:ind w:left="0" w:right="0"/>
        <w:jc w:val="both"/>
      </w:pPr>
      <w:r>
        <w:rPr>
          <w:color w:val="000000"/>
          <w:spacing w:val="0"/>
          <w:w w:val="100"/>
          <w:position w:val="0"/>
        </w:rPr>
        <w:t>财政部</w:t>
      </w:r>
      <w:r>
        <w:rPr>
          <w:b/>
          <w:bCs/>
          <w:color w:val="000000"/>
          <w:spacing w:val="0"/>
          <w:w w:val="100"/>
          <w:position w:val="0"/>
        </w:rPr>
        <w:t>2017</w:t>
      </w:r>
      <w:r>
        <w:rPr>
          <w:color w:val="000000"/>
          <w:spacing w:val="0"/>
          <w:w w:val="100"/>
          <w:position w:val="0"/>
        </w:rPr>
        <w:t>年颁布了修订后的《企业会计准则</w:t>
      </w:r>
      <w:r>
        <w:rPr>
          <w:b/>
          <w:bCs/>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收入》（以下简称</w:t>
      </w:r>
      <w:r>
        <w:rPr>
          <w:b/>
          <w:bCs/>
          <w:color w:val="000000"/>
          <w:spacing w:val="0"/>
          <w:w w:val="100"/>
          <w:position w:val="0"/>
        </w:rPr>
        <w:t>“</w:t>
      </w:r>
      <w:r>
        <w:rPr>
          <w:color w:val="000000"/>
          <w:spacing w:val="0"/>
          <w:w w:val="100"/>
          <w:position w:val="0"/>
        </w:rPr>
        <w:t>新收入准则），本公司</w:t>
      </w:r>
      <w:r>
        <w:rPr>
          <w:b/>
          <w:bCs/>
          <w:color w:val="000000"/>
          <w:spacing w:val="0"/>
          <w:w w:val="100"/>
          <w:position w:val="0"/>
        </w:rPr>
        <w:t>2020</w:t>
      </w:r>
      <w:r>
        <w:rPr>
          <w:color w:val="000000"/>
          <w:spacing w:val="0"/>
          <w:w w:val="100"/>
          <w:position w:val="0"/>
        </w:rPr>
        <w:t>年度财 务报表按照新收入准则编制。根据新收入准则的相关规定，本公司对于首次执行该准则的累积影响数调整</w:t>
      </w:r>
      <w:r>
        <w:rPr>
          <w:b/>
          <w:bCs/>
          <w:color w:val="000000"/>
          <w:spacing w:val="0"/>
          <w:w w:val="100"/>
          <w:position w:val="0"/>
        </w:rPr>
        <w:t xml:space="preserve">2020 </w:t>
      </w:r>
      <w:r>
        <w:rPr>
          <w:color w:val="000000"/>
          <w:spacing w:val="0"/>
          <w:w w:val="100"/>
          <w:position w:val="0"/>
        </w:rPr>
        <w:t>年年初留存收益以及财务报表其他相关项目金额，不对比较财务报表数据进行调整。</w:t>
      </w:r>
    </w:p>
    <w:p>
      <w:pPr>
        <w:pStyle w:val="Style33"/>
        <w:keepNext/>
        <w:keepLines/>
        <w:widowControl w:val="0"/>
        <w:shd w:val="clear" w:color="auto" w:fill="auto"/>
        <w:bidi w:val="0"/>
        <w:spacing w:before="0" w:line="319" w:lineRule="exact"/>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24"/>
      <w:bookmarkEnd w:id="925"/>
      <w:bookmarkEnd w:id="927"/>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val="0"/>
        <w:keepLines w:val="0"/>
        <w:widowControl w:val="0"/>
        <w:shd w:val="clear" w:color="auto" w:fill="auto"/>
        <w:bidi w:val="0"/>
        <w:spacing w:before="0" w:after="360" w:line="240" w:lineRule="auto"/>
        <w:ind w:left="0" w:right="0" w:firstLine="0"/>
        <w:jc w:val="both"/>
      </w:pPr>
      <w:bookmarkStart w:id="928" w:name="bookmark928"/>
      <w:r>
        <w:rPr>
          <w:rFonts w:ascii="Times New Roman" w:eastAsia="Times New Roman" w:hAnsi="Times New Roman" w:cs="Times New Roman"/>
          <w:b/>
          <w:bCs/>
          <w:color w:val="000000"/>
          <w:spacing w:val="0"/>
          <w:w w:val="100"/>
          <w:position w:val="0"/>
        </w:rPr>
        <w:t>4</w:t>
      </w:r>
      <w:bookmarkEnd w:id="928"/>
      <w:r>
        <w:rPr>
          <w:rFonts w:ascii="Times New Roman" w:eastAsia="Times New Roman" w:hAnsi="Times New Roman" w:cs="Times New Roman"/>
          <w:b/>
          <w:bCs/>
          <w:color w:val="000000"/>
          <w:spacing w:val="0"/>
          <w:w w:val="100"/>
          <w:position w:val="0"/>
        </w:rPr>
        <w:t>5</w:t>
      </w:r>
      <w:r>
        <w:rPr>
          <w:b/>
          <w:bCs/>
          <w:color w:val="000000"/>
          <w:spacing w:val="0"/>
          <w:w w:val="100"/>
          <w:position w:val="0"/>
        </w:rPr>
        <w:t>、其他</w:t>
      </w:r>
    </w:p>
    <w:p>
      <w:pPr>
        <w:pStyle w:val="Style24"/>
        <w:keepNext/>
        <w:keepLines/>
        <w:widowControl w:val="0"/>
        <w:shd w:val="clear" w:color="auto" w:fill="auto"/>
        <w:bidi w:val="0"/>
        <w:spacing w:before="0" w:line="240" w:lineRule="auto"/>
        <w:ind w:left="0" w:right="0" w:firstLine="0"/>
        <w:jc w:val="both"/>
      </w:pPr>
      <w:bookmarkStart w:id="929" w:name="bookmark929"/>
      <w:bookmarkStart w:id="930" w:name="bookmark930"/>
      <w:bookmarkStart w:id="931" w:name="bookmark931"/>
      <w:bookmarkStart w:id="932" w:name="bookmark932"/>
      <w:r>
        <w:rPr>
          <w:color w:val="000000"/>
          <w:spacing w:val="0"/>
          <w:w w:val="100"/>
          <w:position w:val="0"/>
          <w:sz w:val="24"/>
          <w:szCs w:val="24"/>
        </w:rPr>
        <w:t>六</w:t>
      </w:r>
      <w:bookmarkEnd w:id="931"/>
      <w:r>
        <w:rPr>
          <w:color w:val="000000"/>
          <w:spacing w:val="0"/>
          <w:w w:val="100"/>
          <w:position w:val="0"/>
          <w:sz w:val="24"/>
          <w:szCs w:val="24"/>
        </w:rPr>
        <w:t>、税项</w:t>
      </w:r>
      <w:bookmarkEnd w:id="929"/>
      <w:bookmarkEnd w:id="930"/>
      <w:bookmarkEnd w:id="932"/>
    </w:p>
    <w:p>
      <w:pPr>
        <w:pStyle w:val="Style33"/>
        <w:keepNext/>
        <w:keepLines/>
        <w:widowControl w:val="0"/>
        <w:shd w:val="clear" w:color="auto" w:fill="auto"/>
        <w:bidi w:val="0"/>
        <w:spacing w:before="0" w:after="30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color w:val="000000"/>
          <w:spacing w:val="0"/>
          <w:w w:val="100"/>
          <w:position w:val="0"/>
        </w:rPr>
        <w:t>、主要税种及税率</w:t>
      </w:r>
      <w:bookmarkEnd w:id="933"/>
      <w:bookmarkEnd w:id="934"/>
      <w:bookmarkEnd w:id="93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59" w:line="1" w:lineRule="exact"/>
      </w:pPr>
    </w:p>
    <w:p>
      <w:pPr>
        <w:pStyle w:val="Style33"/>
        <w:keepNext/>
        <w:keepLines/>
        <w:widowControl w:val="0"/>
        <w:shd w:val="clear" w:color="auto" w:fill="auto"/>
        <w:bidi w:val="0"/>
        <w:spacing w:before="0" w:after="260" w:line="314"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color w:val="000000"/>
          <w:spacing w:val="0"/>
          <w:w w:val="100"/>
          <w:position w:val="0"/>
        </w:rPr>
        <w:t>、税收优惠</w:t>
      </w:r>
      <w:bookmarkEnd w:id="937"/>
      <w:bookmarkEnd w:id="938"/>
      <w:bookmarkEnd w:id="940"/>
    </w:p>
    <w:p>
      <w:pPr>
        <w:pStyle w:val="Style37"/>
        <w:keepNext w:val="0"/>
        <w:keepLines w:val="0"/>
        <w:widowControl w:val="0"/>
        <w:shd w:val="clear" w:color="auto" w:fill="auto"/>
        <w:tabs>
          <w:tab w:pos="997" w:val="left"/>
        </w:tabs>
        <w:bidi w:val="0"/>
        <w:spacing w:before="0" w:after="0" w:line="314" w:lineRule="exact"/>
        <w:ind w:left="0" w:right="0"/>
        <w:jc w:val="both"/>
      </w:pPr>
      <w:bookmarkStart w:id="941" w:name="bookmark941"/>
      <w:r>
        <w:rPr>
          <w:color w:val="000000"/>
          <w:spacing w:val="0"/>
          <w:w w:val="100"/>
          <w:position w:val="0"/>
        </w:rPr>
        <w:t>（</w:t>
      </w:r>
      <w:bookmarkEnd w:id="941"/>
      <w:r>
        <w:rPr>
          <w:b/>
          <w:bCs/>
          <w:color w:val="000000"/>
          <w:spacing w:val="0"/>
          <w:w w:val="100"/>
          <w:position w:val="0"/>
        </w:rPr>
        <w:t>1</w:t>
      </w:r>
      <w:r>
        <w:rPr>
          <w:color w:val="000000"/>
          <w:spacing w:val="0"/>
          <w:w w:val="100"/>
          <w:position w:val="0"/>
        </w:rPr>
        <w:t>）</w:t>
        <w:tab/>
        <w:t>本公司之子公司广州合利宝支付科技有限公司被认定为高新技术企业（已经公示</w:t>
      </w:r>
      <w:r>
        <w:rPr>
          <w:b/>
          <w:bCs/>
          <w:color w:val="000000"/>
          <w:spacing w:val="0"/>
          <w:w w:val="100"/>
          <w:position w:val="0"/>
        </w:rPr>
        <w:t>）</w:t>
      </w:r>
      <w:r>
        <w:rPr>
          <w:color w:val="000000"/>
          <w:spacing w:val="0"/>
          <w:w w:val="100"/>
          <w:position w:val="0"/>
        </w:rPr>
        <w:t>，从</w:t>
      </w:r>
      <w:r>
        <w:rPr>
          <w:b/>
          <w:bCs/>
          <w:color w:val="000000"/>
          <w:spacing w:val="0"/>
          <w:w w:val="100"/>
          <w:position w:val="0"/>
        </w:rPr>
        <w:t>2020</w:t>
      </w:r>
      <w:r>
        <w:rPr>
          <w:color w:val="000000"/>
          <w:spacing w:val="0"/>
          <w:w w:val="100"/>
          <w:position w:val="0"/>
        </w:rPr>
        <w:t>年开始， 享受国家高新技术企业</w:t>
      </w:r>
      <w:r>
        <w:rPr>
          <w:b/>
          <w:bCs/>
          <w:color w:val="000000"/>
          <w:spacing w:val="0"/>
          <w:w w:val="100"/>
          <w:position w:val="0"/>
        </w:rPr>
        <w:t>15%</w:t>
      </w:r>
      <w:r>
        <w:rPr>
          <w:color w:val="000000"/>
          <w:spacing w:val="0"/>
          <w:w w:val="100"/>
          <w:position w:val="0"/>
        </w:rPr>
        <w:t>的企业所得税税率，期间三年。</w:t>
      </w:r>
    </w:p>
    <w:p>
      <w:pPr>
        <w:pStyle w:val="Style37"/>
        <w:keepNext w:val="0"/>
        <w:keepLines w:val="0"/>
        <w:widowControl w:val="0"/>
        <w:shd w:val="clear" w:color="auto" w:fill="auto"/>
        <w:tabs>
          <w:tab w:pos="884" w:val="left"/>
          <w:tab w:pos="8958" w:val="left"/>
        </w:tabs>
        <w:bidi w:val="0"/>
        <w:spacing w:before="0" w:after="0" w:line="314" w:lineRule="exact"/>
        <w:ind w:left="0" w:right="0" w:firstLine="420"/>
        <w:jc w:val="left"/>
      </w:pPr>
      <w:bookmarkStart w:id="942" w:name="bookmark942"/>
      <w:r>
        <w:rPr>
          <w:color w:val="000000"/>
          <w:spacing w:val="0"/>
          <w:w w:val="100"/>
          <w:position w:val="0"/>
        </w:rPr>
        <w:t>（</w:t>
      </w:r>
      <w:bookmarkEnd w:id="942"/>
      <w:r>
        <w:rPr>
          <w:b/>
          <w:bCs/>
          <w:color w:val="000000"/>
          <w:spacing w:val="0"/>
          <w:w w:val="100"/>
          <w:position w:val="0"/>
        </w:rPr>
        <w:t>2</w:t>
      </w:r>
      <w:r>
        <w:rPr>
          <w:color w:val="000000"/>
          <w:spacing w:val="0"/>
          <w:w w:val="100"/>
          <w:position w:val="0"/>
        </w:rPr>
        <w:t>）</w:t>
        <w:tab/>
        <w:t>根据财政部、国家税务总局《关于实施小微企业普惠性税收减免政策的通知》</w:t>
      </w:r>
      <w:r>
        <w:rPr>
          <w:b/>
          <w:bCs/>
          <w:color w:val="000000"/>
          <w:spacing w:val="0"/>
          <w:w w:val="100"/>
          <w:position w:val="0"/>
        </w:rPr>
        <w:t>“</w:t>
      </w:r>
      <w:r>
        <w:rPr>
          <w:color w:val="000000"/>
          <w:spacing w:val="0"/>
          <w:w w:val="100"/>
          <w:position w:val="0"/>
        </w:rPr>
        <w:t>财税〔</w:t>
      </w:r>
      <w:r>
        <w:rPr>
          <w:b/>
          <w:bCs/>
          <w:color w:val="000000"/>
          <w:spacing w:val="0"/>
          <w:w w:val="100"/>
          <w:position w:val="0"/>
        </w:rPr>
        <w:t>2019</w:t>
      </w:r>
      <w:r>
        <w:rPr>
          <w:color w:val="000000"/>
          <w:spacing w:val="0"/>
          <w:w w:val="100"/>
          <w:position w:val="0"/>
        </w:rPr>
        <w:t>）</w:t>
        <w:tab/>
      </w:r>
      <w:r>
        <w:rPr>
          <w:b/>
          <w:bCs/>
          <w:color w:val="000000"/>
          <w:spacing w:val="0"/>
          <w:w w:val="100"/>
          <w:position w:val="0"/>
        </w:rPr>
        <w:t>13</w:t>
      </w:r>
      <w:r>
        <w:rPr>
          <w:color w:val="000000"/>
          <w:spacing w:val="0"/>
          <w:w w:val="100"/>
          <w:position w:val="0"/>
        </w:rPr>
        <w:t>号</w:t>
      </w:r>
      <w:r>
        <w:rPr>
          <w:b/>
          <w:bCs/>
          <w:color w:val="000000"/>
          <w:spacing w:val="0"/>
          <w:w w:val="100"/>
          <w:position w:val="0"/>
        </w:rPr>
        <w:t>”</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的有关规定，下列子公司本年应纳税所得额不超过</w:t>
      </w:r>
      <w:r>
        <w:rPr>
          <w:b/>
          <w:bCs/>
          <w:color w:val="000000"/>
          <w:spacing w:val="0"/>
          <w:w w:val="100"/>
          <w:position w:val="0"/>
        </w:rPr>
        <w:t>100</w:t>
      </w:r>
      <w:r>
        <w:rPr>
          <w:color w:val="000000"/>
          <w:spacing w:val="0"/>
          <w:w w:val="100"/>
          <w:position w:val="0"/>
        </w:rPr>
        <w:t>万元的部分，减按</w:t>
      </w:r>
      <w:r>
        <w:rPr>
          <w:b/>
          <w:bCs/>
          <w:color w:val="000000"/>
          <w:spacing w:val="0"/>
          <w:w w:val="100"/>
          <w:position w:val="0"/>
        </w:rPr>
        <w:t>25%</w:t>
      </w:r>
      <w:r>
        <w:rPr>
          <w:color w:val="000000"/>
          <w:spacing w:val="0"/>
          <w:w w:val="100"/>
          <w:position w:val="0"/>
        </w:rPr>
        <w:t>计入应纳税所得额，按</w:t>
      </w:r>
      <w:r>
        <w:rPr>
          <w:b/>
          <w:bCs/>
          <w:color w:val="000000"/>
          <w:spacing w:val="0"/>
          <w:w w:val="100"/>
          <w:position w:val="0"/>
        </w:rPr>
        <w:t>20%</w:t>
      </w:r>
      <w:r>
        <w:rPr>
          <w:color w:val="000000"/>
          <w:spacing w:val="0"/>
          <w:w w:val="100"/>
          <w:position w:val="0"/>
        </w:rPr>
        <w:t>的税率 缴纳企业所得税；对年应纳税所得额超过</w:t>
      </w:r>
      <w:r>
        <w:rPr>
          <w:b/>
          <w:bCs/>
          <w:color w:val="000000"/>
          <w:spacing w:val="0"/>
          <w:w w:val="100"/>
          <w:position w:val="0"/>
        </w:rPr>
        <w:t>100</w:t>
      </w:r>
      <w:r>
        <w:rPr>
          <w:color w:val="000000"/>
          <w:spacing w:val="0"/>
          <w:w w:val="100"/>
          <w:position w:val="0"/>
        </w:rPr>
        <w:t>万元但不超过</w:t>
      </w:r>
      <w:r>
        <w:rPr>
          <w:b/>
          <w:bCs/>
          <w:color w:val="000000"/>
          <w:spacing w:val="0"/>
          <w:w w:val="100"/>
          <w:position w:val="0"/>
        </w:rPr>
        <w:t>300</w:t>
      </w:r>
      <w:r>
        <w:rPr>
          <w:color w:val="000000"/>
          <w:spacing w:val="0"/>
          <w:w w:val="100"/>
          <w:position w:val="0"/>
        </w:rPr>
        <w:t>万元的部分，减按</w:t>
      </w:r>
      <w:r>
        <w:rPr>
          <w:b/>
          <w:bCs/>
          <w:color w:val="000000"/>
          <w:spacing w:val="0"/>
          <w:w w:val="100"/>
          <w:position w:val="0"/>
        </w:rPr>
        <w:t>50%</w:t>
      </w:r>
      <w:r>
        <w:rPr>
          <w:color w:val="000000"/>
          <w:spacing w:val="0"/>
          <w:w w:val="100"/>
          <w:position w:val="0"/>
        </w:rPr>
        <w:t>计入应纳税所得额，按</w:t>
      </w:r>
      <w:r>
        <w:rPr>
          <w:b/>
          <w:bCs/>
          <w:color w:val="000000"/>
          <w:spacing w:val="0"/>
          <w:w w:val="100"/>
          <w:position w:val="0"/>
        </w:rPr>
        <w:t xml:space="preserve">20% </w:t>
      </w:r>
      <w:r>
        <w:rPr>
          <w:color w:val="000000"/>
          <w:spacing w:val="0"/>
          <w:w w:val="100"/>
          <w:position w:val="0"/>
        </w:rPr>
        <w:t>的税率缴纳企业所得税。</w:t>
      </w:r>
    </w:p>
    <w:tbl>
      <w:tblPr>
        <w:tblOverlap w:val="never"/>
        <w:jc w:val="center"/>
        <w:tblLayout w:type="fixed"/>
      </w:tblPr>
      <w:tblGrid>
        <w:gridCol w:w="8818"/>
      </w:tblGrid>
      <w:tr>
        <w:trPr>
          <w:trHeight w:val="32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r>
      <w:tr>
        <w:trPr>
          <w:trHeight w:val="32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浙江仁东新材料科技有限公司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民盛租赁有限公司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仁东（深圳）大数据技术有限公司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共青城仁东投资管理有限公司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广东合利金融科技服务有限公司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天津仁东信息技术有限公司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天津民盛国际融资租赁有限公司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北京仁东科技有限公司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北京仁东无双信息科技有限公司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广州合利征信服务有限公司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深圳前海合利商业保理有限公司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深圳前海民盛天宫供应链管理有限公司</w:t>
            </w:r>
          </w:p>
        </w:tc>
      </w:tr>
      <w:tr>
        <w:trPr>
          <w:trHeight w:val="32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广州仁东互联网小额贷款有限公司</w:t>
            </w:r>
          </w:p>
        </w:tc>
      </w:tr>
      <w:tr>
        <w:trPr>
          <w:trHeight w:val="322"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天津亿东科技有限公司</w:t>
            </w:r>
          </w:p>
        </w:tc>
      </w:tr>
      <w:tr>
        <w:trPr>
          <w:trHeight w:val="331" w:hRule="exact"/>
        </w:trPr>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民盛友租（北京）科技有限公司</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color w:val="000000"/>
          <w:spacing w:val="0"/>
          <w:w w:val="100"/>
          <w:position w:val="0"/>
        </w:rPr>
        <w:t>、其他</w:t>
      </w:r>
      <w:bookmarkEnd w:id="943"/>
      <w:bookmarkEnd w:id="944"/>
      <w:bookmarkEnd w:id="946"/>
    </w:p>
    <w:p>
      <w:pPr>
        <w:pStyle w:val="Style24"/>
        <w:keepNext/>
        <w:keepLines/>
        <w:widowControl w:val="0"/>
        <w:shd w:val="clear" w:color="auto" w:fill="auto"/>
        <w:bidi w:val="0"/>
        <w:spacing w:before="0" w:line="240" w:lineRule="auto"/>
        <w:ind w:left="0" w:right="0" w:firstLine="0"/>
        <w:jc w:val="both"/>
      </w:pPr>
      <w:bookmarkStart w:id="947" w:name="bookmark947"/>
      <w:bookmarkStart w:id="948" w:name="bookmark948"/>
      <w:bookmarkStart w:id="949" w:name="bookmark949"/>
      <w:bookmarkStart w:id="950" w:name="bookmark950"/>
      <w:r>
        <w:rPr>
          <w:color w:val="000000"/>
          <w:spacing w:val="0"/>
          <w:w w:val="100"/>
          <w:position w:val="0"/>
          <w:sz w:val="24"/>
          <w:szCs w:val="24"/>
        </w:rPr>
        <w:t>七</w:t>
      </w:r>
      <w:bookmarkEnd w:id="949"/>
      <w:r>
        <w:rPr>
          <w:color w:val="000000"/>
          <w:spacing w:val="0"/>
          <w:w w:val="100"/>
          <w:position w:val="0"/>
          <w:sz w:val="24"/>
          <w:szCs w:val="24"/>
        </w:rPr>
        <w:t>、合并财务报表项目注释</w:t>
      </w:r>
      <w:bookmarkEnd w:id="947"/>
      <w:bookmarkEnd w:id="948"/>
      <w:bookmarkEnd w:id="950"/>
    </w:p>
    <w:p>
      <w:pPr>
        <w:pStyle w:val="Style33"/>
        <w:keepNext/>
        <w:keepLines/>
        <w:widowControl w:val="0"/>
        <w:shd w:val="clear" w:color="auto" w:fill="auto"/>
        <w:bidi w:val="0"/>
        <w:spacing w:before="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color w:val="000000"/>
          <w:spacing w:val="0"/>
          <w:w w:val="100"/>
          <w:position w:val="0"/>
        </w:rPr>
        <w:t>、货币资金</w:t>
      </w:r>
      <w:bookmarkEnd w:id="951"/>
      <w:bookmarkEnd w:id="952"/>
      <w:bookmarkEnd w:id="9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62,866,977.35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89,105,876.87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1,772,780,071.29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1,341,209,846.92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1,835,647,301.12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1,430,315,992.53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214,140.79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501,757.05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280" w:line="326"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日，受限资金为</w:t>
      </w:r>
      <w:r>
        <w:rPr>
          <w:rFonts w:ascii="Times New Roman" w:eastAsia="Times New Roman" w:hAnsi="Times New Roman" w:cs="Times New Roman"/>
          <w:color w:val="000000"/>
          <w:spacing w:val="0"/>
          <w:w w:val="100"/>
          <w:position w:val="0"/>
        </w:rPr>
        <w:t>1,783,280,071.29</w:t>
      </w:r>
      <w:r>
        <w:rPr>
          <w:color w:val="000000"/>
          <w:spacing w:val="0"/>
          <w:w w:val="100"/>
          <w:position w:val="0"/>
        </w:rPr>
        <w:t>元，主要是客户备付金、保证金、质押的定期存单 及风险准备金。</w:t>
      </w:r>
    </w:p>
    <w:p>
      <w:pPr>
        <w:pStyle w:val="Style33"/>
        <w:keepNext/>
        <w:keepLines/>
        <w:widowControl w:val="0"/>
        <w:shd w:val="clear" w:color="auto" w:fill="auto"/>
        <w:bidi w:val="0"/>
        <w:spacing w:before="0" w:line="326" w:lineRule="exact"/>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color w:val="000000"/>
          <w:spacing w:val="0"/>
          <w:w w:val="100"/>
          <w:position w:val="0"/>
        </w:rPr>
        <w:t>、交易性金融资产</w:t>
      </w:r>
      <w:bookmarkEnd w:id="955"/>
      <w:bookmarkEnd w:id="956"/>
      <w:bookmarkEnd w:id="9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color w:val="000000"/>
          <w:spacing w:val="0"/>
          <w:w w:val="100"/>
          <w:position w:val="0"/>
        </w:rPr>
        <w:t>、衍生金融资产</w:t>
      </w:r>
      <w:bookmarkEnd w:id="959"/>
      <w:bookmarkEnd w:id="960"/>
      <w:bookmarkEnd w:id="9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w:t>
      </w:r>
      <w:bookmarkEnd w:id="965"/>
      <w:r>
        <w:rPr>
          <w:color w:val="000000"/>
          <w:spacing w:val="0"/>
          <w:w w:val="100"/>
          <w:position w:val="0"/>
        </w:rPr>
        <w:t>、应收票据</w:t>
      </w:r>
      <w:bookmarkEnd w:id="963"/>
      <w:bookmarkEnd w:id="964"/>
      <w:bookmarkEnd w:id="966"/>
    </w:p>
    <w:p>
      <w:pPr>
        <w:pStyle w:val="Style33"/>
        <w:keepNext/>
        <w:keepLines/>
        <w:widowControl w:val="0"/>
        <w:shd w:val="clear" w:color="auto" w:fill="auto"/>
        <w:bidi w:val="0"/>
        <w:spacing w:before="0" w:line="240" w:lineRule="auto"/>
        <w:ind w:left="0" w:right="0" w:firstLine="0"/>
        <w:jc w:val="left"/>
      </w:pPr>
      <w:bookmarkStart w:id="963" w:name="bookmark963"/>
      <w:bookmarkStart w:id="964" w:name="bookmark964"/>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63"/>
      <w:bookmarkEnd w:id="964"/>
      <w:bookmarkEnd w:id="9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55"/>
        <w:gridCol w:w="2285"/>
        <w:gridCol w:w="907"/>
        <w:gridCol w:w="3254"/>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35"/>
        </w:numPr>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本期计提、收回或转回的坏账准备情况</w:t>
      </w:r>
      <w:bookmarkEnd w:id="969"/>
      <w:bookmarkEnd w:id="970"/>
      <w:bookmarkEnd w:id="97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35"/>
        </w:numPr>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期末公司已质押的应收票据</w:t>
      </w:r>
      <w:bookmarkEnd w:id="973"/>
      <w:bookmarkEnd w:id="974"/>
      <w:bookmarkEnd w:id="97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3"/>
        <w:keepNext/>
        <w:keepLines/>
        <w:widowControl w:val="0"/>
        <w:numPr>
          <w:ilvl w:val="0"/>
          <w:numId w:val="35"/>
        </w:numPr>
        <w:shd w:val="clear" w:color="auto" w:fill="auto"/>
        <w:bidi w:val="0"/>
        <w:spacing w:before="0" w:after="380" w:line="240" w:lineRule="auto"/>
        <w:ind w:left="0" w:right="0" w:firstLine="14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期末公司已背书或贴现且在资产负债表日尚未到期的应收票据</w:t>
      </w:r>
      <w:bookmarkEnd w:id="977"/>
      <w:bookmarkEnd w:id="978"/>
      <w:bookmarkEnd w:id="98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3"/>
        <w:keepNext/>
        <w:keepLines/>
        <w:widowControl w:val="0"/>
        <w:numPr>
          <w:ilvl w:val="0"/>
          <w:numId w:val="35"/>
        </w:numPr>
        <w:shd w:val="clear" w:color="auto" w:fill="auto"/>
        <w:bidi w:val="0"/>
        <w:spacing w:before="0" w:after="380" w:line="240" w:lineRule="auto"/>
        <w:ind w:left="0" w:right="0" w:firstLine="140"/>
        <w:jc w:val="left"/>
      </w:pPr>
      <w:bookmarkStart w:id="981" w:name="bookmark981"/>
      <w:bookmarkStart w:id="982" w:name="bookmark982"/>
      <w:bookmarkStart w:id="983" w:name="bookmark983"/>
      <w:bookmarkStart w:id="984" w:name="bookmark984"/>
      <w:bookmarkEnd w:id="983"/>
      <w:r>
        <w:rPr>
          <w:color w:val="000000"/>
          <w:spacing w:val="0"/>
          <w:w w:val="100"/>
          <w:position w:val="0"/>
        </w:rPr>
        <w:t>期末公司因出票人未履约而将其转应收账款的票据</w:t>
      </w:r>
      <w:bookmarkEnd w:id="981"/>
      <w:bookmarkEnd w:id="982"/>
      <w:bookmarkEnd w:id="98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numPr>
          <w:ilvl w:val="0"/>
          <w:numId w:val="35"/>
        </w:numPr>
        <w:shd w:val="clear" w:color="auto" w:fill="auto"/>
        <w:bidi w:val="0"/>
        <w:spacing w:before="0" w:after="380" w:line="240" w:lineRule="auto"/>
        <w:ind w:left="0" w:right="0" w:firstLine="0"/>
        <w:jc w:val="both"/>
      </w:pPr>
      <w:bookmarkStart w:id="985" w:name="bookmark985"/>
      <w:bookmarkStart w:id="986" w:name="bookmark986"/>
      <w:bookmarkStart w:id="987" w:name="bookmark987"/>
      <w:bookmarkStart w:id="988" w:name="bookmark988"/>
      <w:bookmarkEnd w:id="987"/>
      <w:r>
        <w:rPr>
          <w:color w:val="000000"/>
          <w:spacing w:val="0"/>
          <w:w w:val="100"/>
          <w:position w:val="0"/>
        </w:rPr>
        <w:t>本期实际核销的应收票据情况</w:t>
      </w:r>
      <w:bookmarkEnd w:id="985"/>
      <w:bookmarkEnd w:id="986"/>
      <w:bookmarkEnd w:id="9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3"/>
        <w:keepNext/>
        <w:keepLines/>
        <w:widowControl w:val="0"/>
        <w:shd w:val="clear" w:color="auto" w:fill="auto"/>
        <w:bidi w:val="0"/>
        <w:spacing w:before="0" w:after="38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5</w:t>
      </w:r>
      <w:bookmarkEnd w:id="991"/>
      <w:r>
        <w:rPr>
          <w:color w:val="000000"/>
          <w:spacing w:val="0"/>
          <w:w w:val="100"/>
          <w:position w:val="0"/>
        </w:rPr>
        <w:t>、应收账款</w:t>
      </w:r>
      <w:bookmarkEnd w:id="989"/>
      <w:bookmarkEnd w:id="990"/>
      <w:bookmarkEnd w:id="992"/>
    </w:p>
    <w:p>
      <w:pPr>
        <w:pStyle w:val="Style33"/>
        <w:keepNext/>
        <w:keepLines/>
        <w:widowControl w:val="0"/>
        <w:numPr>
          <w:ilvl w:val="0"/>
          <w:numId w:val="37"/>
        </w:numPr>
        <w:shd w:val="clear" w:color="auto" w:fill="auto"/>
        <w:bidi w:val="0"/>
        <w:spacing w:before="0" w:after="380" w:line="240"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应收账款分类披露</w:t>
      </w:r>
      <w:bookmarkEnd w:id="989"/>
      <w:bookmarkEnd w:id="990"/>
      <w:bookmarkEnd w:id="9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单项重大</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359,500,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76.72%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65.84%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106,904,7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407,390,6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7,876,986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399,513,63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33,923,3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1,655,51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32,267,85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50,390,61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49,293,632.</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保理业务组合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1,488,234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350,220,00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7,478.56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1.90%</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73,645,5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496,976.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0.67%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229,704,7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407,390,6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7,876,986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399,513,63</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672.55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969.67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华讯方舟科技有限公司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上海缘信电子科技有限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深圳市华讯方舟卫星通 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华讯方舟科技</w:t>
            </w:r>
            <w:r>
              <w:rPr>
                <w:rFonts w:ascii="Times New Roman" w:eastAsia="Times New Roman" w:hAnsi="Times New Roman" w:cs="Times New Roman"/>
                <w:color w:val="000000"/>
                <w:spacing w:val="0"/>
                <w:w w:val="100"/>
                <w:position w:val="0"/>
              </w:rPr>
              <w:t>（</w:t>
            </w:r>
            <w:r>
              <w:rPr>
                <w:color w:val="000000"/>
                <w:spacing w:val="0"/>
                <w:w w:val="100"/>
                <w:position w:val="0"/>
              </w:rPr>
              <w:t>湖北</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云南广重贸易有限公司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153,500,000.00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有一定回收风险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359,500,000.00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236,700,000.00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30,147,263.12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452,208.95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3,661,275.00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1,098,382.50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103,847.33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103,847.33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33,923,371.39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1,655,514.43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按组合计提坏账准备：保理业务组合</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1,495,712.90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1,495,712.90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7,478.56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按组合计提坏账准备：融资租赁项目</w:t>
      </w:r>
      <w:r>
        <w:br w:type="page"/>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67,811,017.10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321,939.55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5,834,571.16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175,037.13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73,645,588.26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496,976.68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464,788,892.08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3,661,275.00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103,847.33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468,564,672.55</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380" w:line="240" w:lineRule="auto"/>
        <w:ind w:left="0" w:right="0" w:firstLine="140"/>
        <w:jc w:val="left"/>
      </w:pPr>
      <w:bookmarkStart w:id="995" w:name="bookmark995"/>
      <w:bookmarkStart w:id="996" w:name="bookmark996"/>
      <w:bookmarkStart w:id="997" w:name="bookmark997"/>
      <w:bookmarkStart w:id="998" w:name="bookmark998"/>
      <w:bookmarkEnd w:id="997"/>
      <w:r>
        <w:rPr>
          <w:color w:val="000000"/>
          <w:spacing w:val="0"/>
          <w:w w:val="100"/>
          <w:position w:val="0"/>
        </w:rPr>
        <w:t>本期计提、收回或转回的坏账准备情况</w:t>
      </w:r>
      <w:bookmarkEnd w:id="995"/>
      <w:bookmarkEnd w:id="996"/>
      <w:bookmarkEnd w:id="99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7,876,986.02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231,206,565.08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223,581.43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238,859,969.67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7,876,986.02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231,206,565.08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223,581.43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238,859,969.67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3"/>
        <w:keepNext/>
        <w:keepLines/>
        <w:widowControl w:val="0"/>
        <w:numPr>
          <w:ilvl w:val="0"/>
          <w:numId w:val="37"/>
        </w:numPr>
        <w:shd w:val="clear" w:color="auto" w:fill="auto"/>
        <w:bidi w:val="0"/>
        <w:spacing w:before="0" w:line="240" w:lineRule="auto"/>
        <w:ind w:left="0" w:right="0" w:firstLine="140"/>
        <w:jc w:val="left"/>
      </w:pPr>
      <w:bookmarkStart w:id="1000" w:name="bookmark1000"/>
      <w:bookmarkStart w:id="1001" w:name="bookmark1001"/>
      <w:bookmarkStart w:id="1002" w:name="bookmark1002"/>
      <w:bookmarkStart w:id="999" w:name="bookmark999"/>
      <w:bookmarkEnd w:id="1001"/>
      <w:r>
        <w:rPr>
          <w:color w:val="000000"/>
          <w:spacing w:val="0"/>
          <w:w w:val="100"/>
          <w:position w:val="0"/>
        </w:rPr>
        <w:t>本期实际核销的应收账款情况</w:t>
      </w:r>
      <w:bookmarkEnd w:id="1000"/>
      <w:bookmarkEnd w:id="1002"/>
      <w:bookmarkEnd w:id="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3"/>
        <w:keepNext/>
        <w:keepLines/>
        <w:widowControl w:val="0"/>
        <w:numPr>
          <w:ilvl w:val="0"/>
          <w:numId w:val="37"/>
        </w:numPr>
        <w:shd w:val="clear" w:color="auto" w:fill="auto"/>
        <w:bidi w:val="0"/>
        <w:spacing w:before="0" w:line="240" w:lineRule="auto"/>
        <w:ind w:left="0" w:right="0" w:firstLine="14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按欠款方归集的期末余额前五名的应收账款情况</w:t>
      </w:r>
      <w:bookmarkEnd w:id="1003"/>
      <w:bookmarkEnd w:id="1004"/>
      <w:bookmarkEnd w:id="10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云南广重贸易有限公司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153,500,000.00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30,700,000.00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上海缘信电子科技有限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华讯方舟科技</w:t>
            </w:r>
            <w:r>
              <w:rPr>
                <w:rFonts w:ascii="Times New Roman" w:eastAsia="Times New Roman" w:hAnsi="Times New Roman" w:cs="Times New Roman"/>
                <w:color w:val="000000"/>
                <w:spacing w:val="0"/>
                <w:w w:val="100"/>
                <w:position w:val="0"/>
              </w:rPr>
              <w:t>(</w:t>
            </w:r>
            <w:r>
              <w:rPr>
                <w:color w:val="000000"/>
                <w:spacing w:val="0"/>
                <w:w w:val="100"/>
                <w:position w:val="0"/>
              </w:rPr>
              <w:t>湖北</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华讯方舟科技有限公司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35,000,000.00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山西省平遥县龙海实业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21,563,497.04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323,452.46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366,063,497.04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78.12%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37"/>
        </w:numPr>
        <w:shd w:val="clear" w:color="auto" w:fill="auto"/>
        <w:bidi w:val="0"/>
        <w:spacing w:before="0" w:line="240" w:lineRule="auto"/>
        <w:ind w:left="0" w:right="0" w:firstLine="14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因金融资产转移而终止确认的应收账款</w:t>
      </w:r>
      <w:bookmarkEnd w:id="1007"/>
      <w:bookmarkEnd w:id="1008"/>
      <w:bookmarkEnd w:id="1010"/>
    </w:p>
    <w:p>
      <w:pPr>
        <w:pStyle w:val="Style33"/>
        <w:keepNext/>
        <w:keepLines/>
        <w:widowControl w:val="0"/>
        <w:numPr>
          <w:ilvl w:val="0"/>
          <w:numId w:val="37"/>
        </w:numPr>
        <w:shd w:val="clear" w:color="auto" w:fill="auto"/>
        <w:bidi w:val="0"/>
        <w:spacing w:before="0" w:line="240" w:lineRule="auto"/>
        <w:ind w:left="0" w:right="0" w:firstLine="140"/>
        <w:jc w:val="left"/>
      </w:pPr>
      <w:bookmarkStart w:id="1007" w:name="bookmark1007"/>
      <w:bookmarkStart w:id="1008" w:name="bookmark1008"/>
      <w:bookmarkStart w:id="1011" w:name="bookmark1011"/>
      <w:bookmarkStart w:id="1012" w:name="bookmark1012"/>
      <w:bookmarkEnd w:id="1011"/>
      <w:r>
        <w:rPr>
          <w:color w:val="000000"/>
          <w:spacing w:val="0"/>
          <w:w w:val="100"/>
          <w:position w:val="0"/>
        </w:rPr>
        <w:t>转移应收账款且继续涉入形成的资产、负债金额</w:t>
      </w:r>
      <w:bookmarkEnd w:id="1007"/>
      <w:bookmarkEnd w:id="1008"/>
      <w:bookmarkEnd w:id="101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6</w:t>
      </w:r>
      <w:bookmarkEnd w:id="1015"/>
      <w:r>
        <w:rPr>
          <w:color w:val="000000"/>
          <w:spacing w:val="0"/>
          <w:w w:val="100"/>
          <w:position w:val="0"/>
        </w:rPr>
        <w:t>、应收款项融资</w:t>
      </w:r>
      <w:bookmarkEnd w:id="1013"/>
      <w:bookmarkEnd w:id="1014"/>
      <w:bookmarkEnd w:id="10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r>
        <w:br w:type="page"/>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7</w:t>
      </w:r>
      <w:bookmarkEnd w:id="1019"/>
      <w:r>
        <w:rPr>
          <w:color w:val="000000"/>
          <w:spacing w:val="0"/>
          <w:w w:val="100"/>
          <w:position w:val="0"/>
        </w:rPr>
        <w:t>、预付款项</w:t>
      </w:r>
      <w:bookmarkEnd w:id="1017"/>
      <w:bookmarkEnd w:id="1018"/>
      <w:bookmarkEnd w:id="1020"/>
    </w:p>
    <w:p>
      <w:pPr>
        <w:pStyle w:val="Style33"/>
        <w:keepNext/>
        <w:keepLines/>
        <w:widowControl w:val="0"/>
        <w:shd w:val="clear" w:color="auto" w:fill="auto"/>
        <w:bidi w:val="0"/>
        <w:spacing w:before="0" w:line="240" w:lineRule="auto"/>
        <w:ind w:left="0" w:right="0" w:firstLine="140"/>
        <w:jc w:val="left"/>
      </w:pPr>
      <w:bookmarkStart w:id="1017" w:name="bookmark1017"/>
      <w:bookmarkStart w:id="1018" w:name="bookmark1018"/>
      <w:bookmarkStart w:id="1021" w:name="bookmark1021"/>
      <w:bookmarkStart w:id="1022" w:name="bookmark1022"/>
      <w:r>
        <w:rPr>
          <w:rFonts w:ascii="Times New Roman" w:eastAsia="Times New Roman" w:hAnsi="Times New Roman" w:cs="Times New Roman"/>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7"/>
      <w:bookmarkEnd w:id="1018"/>
      <w:bookmarkEnd w:id="10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4,386,388.86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23,000,367.57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586,381.50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832,489.14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184,211.78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5,160,646.84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23,841,507.01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3"/>
      <w:bookmarkEnd w:id="1024"/>
      <w:bookmarkEnd w:id="1026"/>
    </w:p>
    <w:tbl>
      <w:tblPr>
        <w:tblOverlap w:val="never"/>
        <w:jc w:val="center"/>
        <w:tblLayout w:type="fixed"/>
      </w:tblPr>
      <w:tblGrid>
        <w:gridCol w:w="3264"/>
        <w:gridCol w:w="811"/>
        <w:gridCol w:w="1454"/>
        <w:gridCol w:w="1066"/>
        <w:gridCol w:w="1066"/>
        <w:gridCol w:w="1810"/>
      </w:tblGrid>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20"/>
                <w:szCs w:val="20"/>
              </w:rPr>
            </w:pPr>
            <w:r>
              <w:rPr>
                <w:b/>
                <w:bCs/>
                <w:color w:val="000000"/>
                <w:spacing w:val="0"/>
                <w:w w:val="100"/>
                <w:position w:val="0"/>
                <w:sz w:val="20"/>
                <w:szCs w:val="20"/>
              </w:rPr>
              <w:t>与本 公司 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占预付账 款总额的 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未结算原因</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紫光数码（苏州）集团有限公司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非关 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1,608,226.00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中国光大银行股份有限公司广东 自贸试验区南沙分行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非关 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1,424,476.25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蚂蚁区块链科技（上海）有限公司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非关 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514,504.89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云账户（天津）共享经济信息咨询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非关 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407,344.28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金证信通信息安全网络技术有限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非关 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237,556.34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未达到结算条件</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4,222,107.76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81.80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8</w:t>
      </w:r>
      <w:bookmarkEnd w:id="1029"/>
      <w:r>
        <w:rPr>
          <w:color w:val="000000"/>
          <w:spacing w:val="0"/>
          <w:w w:val="100"/>
          <w:position w:val="0"/>
        </w:rPr>
        <w:t>、其他应收款</w:t>
      </w:r>
      <w:bookmarkEnd w:id="1027"/>
      <w:bookmarkEnd w:id="1028"/>
      <w:bookmarkEnd w:id="10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20,568,146.65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15,286,464.24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30,814,646.65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15,286,464.24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31"/>
      <w:bookmarkEnd w:id="1032"/>
      <w:bookmarkEnd w:id="1034"/>
    </w:p>
    <w:p>
      <w:pPr>
        <w:pStyle w:val="Style33"/>
        <w:keepNext/>
        <w:keepLines/>
        <w:widowControl w:val="0"/>
        <w:shd w:val="clear" w:color="auto" w:fill="auto"/>
        <w:bidi w:val="0"/>
        <w:spacing w:before="0" w:line="240" w:lineRule="auto"/>
        <w:ind w:left="0" w:right="0" w:firstLine="0"/>
        <w:jc w:val="both"/>
      </w:pPr>
      <w:bookmarkStart w:id="1031" w:name="bookmark1031"/>
      <w:bookmarkStart w:id="1032" w:name="bookmark1032"/>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color w:val="000000"/>
          <w:spacing w:val="0"/>
          <w:w w:val="100"/>
          <w:position w:val="0"/>
        </w:rPr>
        <w:t>）应收利息分类</w:t>
      </w:r>
      <w:bookmarkEnd w:id="1031"/>
      <w:bookmarkEnd w:id="1032"/>
      <w:bookmarkEnd w:id="10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color w:val="000000"/>
          <w:spacing w:val="0"/>
          <w:w w:val="100"/>
          <w:position w:val="0"/>
        </w:rPr>
        <w:t>）重要逾期利息</w:t>
      </w:r>
      <w:bookmarkEnd w:id="1037"/>
      <w:bookmarkEnd w:id="1038"/>
      <w:bookmarkEnd w:id="10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color w:val="000000"/>
          <w:spacing w:val="0"/>
          <w:w w:val="100"/>
          <w:position w:val="0"/>
        </w:rPr>
        <w:t>）坏账准备计提情况</w:t>
      </w:r>
      <w:bookmarkEnd w:id="1041"/>
      <w:bookmarkEnd w:id="1042"/>
      <w:bookmarkEnd w:id="104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45"/>
      <w:bookmarkEnd w:id="1046"/>
      <w:bookmarkEnd w:id="1048"/>
    </w:p>
    <w:p>
      <w:pPr>
        <w:pStyle w:val="Style33"/>
        <w:keepNext/>
        <w:keepLines/>
        <w:widowControl w:val="0"/>
        <w:shd w:val="clear" w:color="auto" w:fill="auto"/>
        <w:bidi w:val="0"/>
        <w:spacing w:before="0" w:line="240" w:lineRule="auto"/>
        <w:ind w:left="0" w:right="0" w:firstLine="0"/>
        <w:jc w:val="both"/>
      </w:pPr>
      <w:bookmarkStart w:id="1045" w:name="bookmark1045"/>
      <w:bookmarkStart w:id="1046" w:name="bookmark1046"/>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color w:val="000000"/>
          <w:spacing w:val="0"/>
          <w:w w:val="100"/>
          <w:position w:val="0"/>
        </w:rPr>
        <w:t>）应收股利分类</w:t>
      </w:r>
      <w:bookmarkEnd w:id="1045"/>
      <w:bookmarkEnd w:id="1046"/>
      <w:bookmarkEnd w:id="10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长治银行股份有限公司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10,246,500.00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10,246,500.00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1"/>
      <w:bookmarkEnd w:id="1052"/>
      <w:bookmarkEnd w:id="1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color w:val="000000"/>
          <w:spacing w:val="0"/>
          <w:w w:val="100"/>
          <w:position w:val="0"/>
        </w:rPr>
        <w:t>）坏账准备计提情况</w:t>
      </w:r>
      <w:bookmarkEnd w:id="1055"/>
      <w:bookmarkEnd w:id="1056"/>
      <w:bookmarkEnd w:id="105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59"/>
      <w:bookmarkEnd w:id="1060"/>
      <w:bookmarkEnd w:id="1062"/>
    </w:p>
    <w:p>
      <w:pPr>
        <w:pStyle w:val="Style33"/>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color w:val="000000"/>
          <w:spacing w:val="0"/>
          <w:w w:val="100"/>
          <w:position w:val="0"/>
        </w:rPr>
        <w:t>）其他应收款按款项性质分类情况</w:t>
      </w:r>
      <w:bookmarkEnd w:id="1059"/>
      <w:bookmarkEnd w:id="1060"/>
      <w:bookmarkEnd w:id="1064"/>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13,284,791.96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14,611,279.13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应收资产处置款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623,154.22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622,190.81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227,487.98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64,318.76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28,635,434.16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22,797,788.70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color w:val="000000"/>
          <w:spacing w:val="0"/>
          <w:w w:val="100"/>
          <w:position w:val="0"/>
        </w:rPr>
        <w:t>）坏账准备计提情况</w:t>
      </w:r>
      <w:bookmarkEnd w:id="1065"/>
      <w:bookmarkEnd w:id="1066"/>
      <w:bookmarkEnd w:id="106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11,324.46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7,511,324.46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652,671.14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17,287.51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8,067,287.51</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31,348,852.63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33,081.53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38,881,934.16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color w:val="000000"/>
          <w:spacing w:val="0"/>
          <w:w w:val="100"/>
          <w:position w:val="0"/>
        </w:rPr>
        <w:t>）本期计提、收回或转回的坏账准备情况</w:t>
      </w:r>
      <w:bookmarkEnd w:id="1069"/>
      <w:bookmarkEnd w:id="1070"/>
      <w:bookmarkEnd w:id="107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7,511,324.46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652,671.14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95,846.40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8,067,287.51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7,511,324.46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652,671.14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95,846.40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8,067,287.51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color w:val="000000"/>
          <w:spacing w:val="0"/>
          <w:w w:val="100"/>
          <w:position w:val="0"/>
        </w:rPr>
        <w:t>）本期实际核销的其他应收款情况</w:t>
      </w:r>
      <w:bookmarkEnd w:id="1073"/>
      <w:bookmarkEnd w:id="1074"/>
      <w:bookmarkEnd w:id="10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95,846.40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深圳市前海丰硕科 技控股有限公司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95,846.40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95,846.40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5</w:t>
      </w:r>
      <w:bookmarkEnd w:id="1079"/>
      <w:r>
        <w:rPr>
          <w:color w:val="000000"/>
          <w:spacing w:val="0"/>
          <w:w w:val="100"/>
          <w:position w:val="0"/>
        </w:rPr>
        <w:t>）按欠款方归集的期末余额前五名的其他应收款情况</w:t>
      </w:r>
      <w:bookmarkEnd w:id="1077"/>
      <w:bookmarkEnd w:id="1078"/>
      <w:bookmarkEnd w:id="10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浙江泰晟新材料科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应收资产处置款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7,500,000.00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温志华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浙江众马科技有限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正大侨商房地产开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正大侨商房地产开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1,968,575.16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中国银联股份有限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21,298,189.00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8,050,000.00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6</w:t>
      </w:r>
      <w:bookmarkEnd w:id="1083"/>
      <w:r>
        <w:rPr>
          <w:color w:val="000000"/>
          <w:spacing w:val="0"/>
          <w:w w:val="100"/>
          <w:position w:val="0"/>
        </w:rPr>
        <w:t>）涉及政府补助的应收款项</w:t>
      </w:r>
      <w:bookmarkEnd w:id="1081"/>
      <w:bookmarkEnd w:id="1082"/>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3"/>
        <w:keepNext/>
        <w:keepLines/>
        <w:widowControl w:val="0"/>
        <w:shd w:val="clear" w:color="auto" w:fill="auto"/>
        <w:tabs>
          <w:tab w:pos="392" w:val="left"/>
        </w:tabs>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7</w:t>
      </w:r>
      <w:bookmarkEnd w:id="1087"/>
      <w:r>
        <w:rPr>
          <w:color w:val="000000"/>
          <w:spacing w:val="0"/>
          <w:w w:val="100"/>
          <w:position w:val="0"/>
        </w:rPr>
        <w:t>）</w:t>
        <w:tab/>
        <w:t>因金融资产转移而终止确认的其他应收款</w:t>
      </w:r>
      <w:bookmarkEnd w:id="1085"/>
      <w:bookmarkEnd w:id="1086"/>
      <w:bookmarkEnd w:id="1088"/>
    </w:p>
    <w:p>
      <w:pPr>
        <w:pStyle w:val="Style33"/>
        <w:keepNext/>
        <w:keepLines/>
        <w:widowControl w:val="0"/>
        <w:shd w:val="clear" w:color="auto" w:fill="auto"/>
        <w:tabs>
          <w:tab w:pos="397" w:val="left"/>
        </w:tabs>
        <w:bidi w:val="0"/>
        <w:spacing w:before="0" w:line="240" w:lineRule="auto"/>
        <w:ind w:left="0" w:right="0" w:firstLine="0"/>
        <w:jc w:val="left"/>
      </w:pPr>
      <w:bookmarkStart w:id="1085" w:name="bookmark1085"/>
      <w:bookmarkStart w:id="1086" w:name="bookmark1086"/>
      <w:bookmarkStart w:id="1089" w:name="bookmark1089"/>
      <w:bookmarkStart w:id="1090" w:name="bookmark1090"/>
      <w:r>
        <w:rPr>
          <w:rFonts w:ascii="Times New Roman" w:eastAsia="Times New Roman" w:hAnsi="Times New Roman" w:cs="Times New Roman"/>
          <w:color w:val="000000"/>
          <w:spacing w:val="0"/>
          <w:w w:val="100"/>
          <w:position w:val="0"/>
        </w:rPr>
        <w:t>8</w:t>
      </w:r>
      <w:bookmarkEnd w:id="1089"/>
      <w:r>
        <w:rPr>
          <w:color w:val="000000"/>
          <w:spacing w:val="0"/>
          <w:w w:val="100"/>
          <w:position w:val="0"/>
        </w:rPr>
        <w:t>）</w:t>
        <w:tab/>
        <w:t>转移其他应收款且继续涉入形成的资产、负债金额</w:t>
      </w:r>
      <w:bookmarkEnd w:id="1085"/>
      <w:bookmarkEnd w:id="1086"/>
      <w:bookmarkEnd w:id="10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9</w:t>
      </w:r>
      <w:bookmarkEnd w:id="1093"/>
      <w:r>
        <w:rPr>
          <w:color w:val="000000"/>
          <w:spacing w:val="0"/>
          <w:w w:val="100"/>
          <w:position w:val="0"/>
        </w:rPr>
        <w:t>、存货</w:t>
      </w:r>
      <w:bookmarkEnd w:id="1091"/>
      <w:bookmarkEnd w:id="1092"/>
      <w:bookmarkEnd w:id="10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5"/>
      <w:bookmarkEnd w:id="1096"/>
      <w:bookmarkEnd w:id="10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120,195.37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120,195.37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68,534.68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68,534.68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120,195.37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120,195.37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68,534.68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68,534.68</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99"/>
      <w:bookmarkEnd w:id="1100"/>
      <w:bookmarkEnd w:id="110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3"/>
        <w:keepNext/>
        <w:keepLines/>
        <w:widowControl w:val="0"/>
        <w:numPr>
          <w:ilvl w:val="0"/>
          <w:numId w:val="39"/>
        </w:numPr>
        <w:shd w:val="clear" w:color="auto" w:fill="auto"/>
        <w:tabs>
          <w:tab w:pos="493" w:val="left"/>
        </w:tabs>
        <w:bidi w:val="0"/>
        <w:spacing w:before="0" w:line="240" w:lineRule="auto"/>
        <w:ind w:left="0" w:right="0" w:firstLine="0"/>
        <w:jc w:val="both"/>
      </w:pPr>
      <w:bookmarkStart w:id="1103" w:name="bookmark1103"/>
      <w:bookmarkStart w:id="1104" w:name="bookmark1104"/>
      <w:bookmarkStart w:id="1105" w:name="bookmark1105"/>
      <w:bookmarkStart w:id="1106" w:name="bookmark1106"/>
      <w:bookmarkEnd w:id="1105"/>
      <w:r>
        <w:rPr>
          <w:color w:val="000000"/>
          <w:spacing w:val="0"/>
          <w:w w:val="100"/>
          <w:position w:val="0"/>
        </w:rPr>
        <w:t>存货期末余额含有借款费用资本化金额的说明</w:t>
      </w:r>
      <w:bookmarkEnd w:id="1103"/>
      <w:bookmarkEnd w:id="1104"/>
      <w:bookmarkEnd w:id="1106"/>
    </w:p>
    <w:p>
      <w:pPr>
        <w:pStyle w:val="Style33"/>
        <w:keepNext/>
        <w:keepLines/>
        <w:widowControl w:val="0"/>
        <w:numPr>
          <w:ilvl w:val="0"/>
          <w:numId w:val="39"/>
        </w:numPr>
        <w:shd w:val="clear" w:color="auto" w:fill="auto"/>
        <w:tabs>
          <w:tab w:pos="493" w:val="left"/>
        </w:tabs>
        <w:bidi w:val="0"/>
        <w:spacing w:before="0" w:line="240" w:lineRule="auto"/>
        <w:ind w:left="0" w:right="0" w:firstLine="0"/>
        <w:jc w:val="both"/>
      </w:pPr>
      <w:bookmarkStart w:id="1103" w:name="bookmark1103"/>
      <w:bookmarkStart w:id="1104" w:name="bookmark1104"/>
      <w:bookmarkStart w:id="1107" w:name="bookmark1107"/>
      <w:bookmarkStart w:id="1108" w:name="bookmark1108"/>
      <w:bookmarkEnd w:id="1107"/>
      <w:r>
        <w:rPr>
          <w:color w:val="000000"/>
          <w:spacing w:val="0"/>
          <w:w w:val="100"/>
          <w:position w:val="0"/>
        </w:rPr>
        <w:t>合同履约成本本期摊销金额的说明</w:t>
      </w:r>
      <w:bookmarkEnd w:id="1103"/>
      <w:bookmarkEnd w:id="1104"/>
      <w:bookmarkEnd w:id="1108"/>
    </w:p>
    <w:p>
      <w:pPr>
        <w:pStyle w:val="Style33"/>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03"/>
      <w:bookmarkEnd w:id="1104"/>
      <w:bookmarkEnd w:id="111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11"/>
      <w:bookmarkEnd w:id="1112"/>
      <w:bookmarkEnd w:id="1114"/>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15"/>
      <w:bookmarkEnd w:id="1116"/>
      <w:bookmarkEnd w:id="111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43,616,083.67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130,891,664.03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43,616,083.67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130,891,664.03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9"/>
      <w:bookmarkEnd w:id="1120"/>
      <w:bookmarkEnd w:id="11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预缴或留抵的税费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46,114,623.82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23,337,910.11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第三方支付业务待清算款项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2,221,416.03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512,902.67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48,348,880.76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23,850,840.34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、发放贷款及垫款</w:t>
      </w:r>
      <w:bookmarkEnd w:id="1123"/>
      <w:bookmarkEnd w:id="1124"/>
      <w:bookmarkEnd w:id="1126"/>
    </w:p>
    <w:p>
      <w:pPr>
        <w:pStyle w:val="Style27"/>
        <w:keepNext w:val="0"/>
        <w:keepLines w:val="0"/>
        <w:widowControl w:val="0"/>
        <w:shd w:val="clear" w:color="auto" w:fill="auto"/>
        <w:bidi w:val="0"/>
        <w:spacing w:before="0" w:after="0" w:line="240" w:lineRule="auto"/>
        <w:ind w:left="634"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821"/>
        <w:gridCol w:w="1560"/>
        <w:gridCol w:w="1560"/>
        <w:gridCol w:w="1277"/>
        <w:gridCol w:w="1416"/>
        <w:gridCol w:w="1517"/>
        <w:gridCol w:w="1330"/>
      </w:tblGrid>
      <w:tr>
        <w:trPr>
          <w:trHeight w:val="32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贷款 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61,923,247.01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4,495,211.25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57,428,035.</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50,990,472.7</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3,025,741.61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47,964,731.1</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贷款 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713,216.85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561,133.95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152,082.90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424,759.50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112,210.44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312,549.06</w:t>
            </w:r>
          </w:p>
        </w:tc>
      </w:tr>
      <w:tr>
        <w:trPr>
          <w:trHeight w:val="64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62,636,463.86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5,056,345.20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57,580,118.</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51,415,232.2</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3,137,952.05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48,277,280.2</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p>
        </w:tc>
      </w:tr>
    </w:tbl>
    <w:p>
      <w:pPr>
        <w:pStyle w:val="Style27"/>
        <w:keepNext w:val="0"/>
        <w:keepLines w:val="0"/>
        <w:widowControl w:val="0"/>
        <w:shd w:val="clear" w:color="auto" w:fill="auto"/>
        <w:bidi w:val="0"/>
        <w:spacing w:before="0" w:after="0" w:line="240" w:lineRule="auto"/>
        <w:ind w:left="634"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)风险分类情况</w:t>
      </w:r>
    </w:p>
    <w:p>
      <w:pPr>
        <w:widowControl w:val="0"/>
        <w:spacing w:line="1" w:lineRule="exact"/>
      </w:pPr>
    </w:p>
    <w:p>
      <w:pPr>
        <w:pStyle w:val="Style27"/>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①贷款本金</w:t>
      </w:r>
    </w:p>
    <w:tbl>
      <w:tblPr>
        <w:tblOverlap w:val="never"/>
        <w:jc w:val="center"/>
        <w:tblLayout w:type="fixed"/>
      </w:tblPr>
      <w:tblGrid>
        <w:gridCol w:w="3197"/>
        <w:gridCol w:w="2818"/>
        <w:gridCol w:w="312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57,032,537.05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46,356,164.86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955,286.39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171,565.66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351,322.96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1,535,062.62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196,082.26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2,657,365.62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3,388,018.35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270,314.01</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61,923,247.01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50,990,472.77</w:t>
            </w:r>
          </w:p>
        </w:tc>
      </w:tr>
    </w:tbl>
    <w:p>
      <w:pPr>
        <w:pStyle w:val="Style27"/>
        <w:keepNext w:val="0"/>
        <w:keepLines w:val="0"/>
        <w:widowControl w:val="0"/>
        <w:shd w:val="clear" w:color="auto" w:fill="auto"/>
        <w:bidi w:val="0"/>
        <w:spacing w:before="0" w:after="0" w:line="240" w:lineRule="auto"/>
        <w:ind w:left="514" w:right="0" w:firstLine="0"/>
        <w:jc w:val="left"/>
        <w:rPr>
          <w:sz w:val="20"/>
          <w:szCs w:val="20"/>
        </w:rPr>
      </w:pPr>
      <w:r>
        <w:rPr>
          <w:color w:val="000000"/>
          <w:spacing w:val="0"/>
          <w:w w:val="100"/>
          <w:position w:val="0"/>
          <w:sz w:val="20"/>
          <w:szCs w:val="20"/>
        </w:rPr>
        <w:t>②贷款利息</w:t>
      </w:r>
    </w:p>
    <w:p>
      <w:pPr>
        <w:widowControl w:val="0"/>
        <w:spacing w:line="1" w:lineRule="exact"/>
      </w:pPr>
    </w:p>
    <w:tbl>
      <w:tblPr>
        <w:tblOverlap w:val="never"/>
        <w:jc w:val="center"/>
        <w:tblLayout w:type="fixed"/>
      </w:tblPr>
      <w:tblGrid>
        <w:gridCol w:w="3197"/>
        <w:gridCol w:w="2818"/>
        <w:gridCol w:w="312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118,092.26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234,998.53</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17,334.49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4,119.03</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17,918.90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36,215.44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16,010.82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129,323.11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543,860.38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20,103.39</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713,216.85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424,759.50</w:t>
            </w:r>
          </w:p>
        </w:tc>
      </w:tr>
    </w:tbl>
    <w:p>
      <w:pPr>
        <w:pStyle w:val="Style27"/>
        <w:keepNext w:val="0"/>
        <w:keepLines w:val="0"/>
        <w:widowControl w:val="0"/>
        <w:shd w:val="clear" w:color="auto" w:fill="auto"/>
        <w:bidi w:val="0"/>
        <w:spacing w:before="0" w:after="0" w:line="240" w:lineRule="auto"/>
        <w:ind w:left="634"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)贷款损失准备情况</w:t>
      </w:r>
    </w:p>
    <w:p>
      <w:pPr>
        <w:widowControl w:val="0"/>
        <w:spacing w:line="1" w:lineRule="exact"/>
      </w:pPr>
    </w:p>
    <w:p>
      <w:pPr>
        <w:pStyle w:val="Style27"/>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①贷款本金</w:t>
      </w:r>
    </w:p>
    <w:tbl>
      <w:tblPr>
        <w:tblOverlap w:val="never"/>
        <w:jc w:val="left"/>
        <w:tblLayout w:type="fixed"/>
      </w:tblPr>
      <w:tblGrid>
        <w:gridCol w:w="1814"/>
        <w:gridCol w:w="7238"/>
      </w:tblGrid>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bl>
    <w:p>
      <w:pPr>
        <w:widowControl w:val="0"/>
        <w:spacing w:line="1" w:lineRule="exact"/>
      </w:pPr>
      <w:r>
        <w:br w:type="page"/>
      </w:r>
    </w:p>
    <w:tbl>
      <w:tblPr>
        <w:tblOverlap w:val="never"/>
        <w:jc w:val="left"/>
        <w:tblLayout w:type="fixed"/>
      </w:tblPr>
      <w:tblGrid>
        <w:gridCol w:w="1814"/>
        <w:gridCol w:w="2136"/>
        <w:gridCol w:w="1315"/>
        <w:gridCol w:w="1862"/>
        <w:gridCol w:w="192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整个存续期预期信 用损失率</w:t>
            </w:r>
            <w:r>
              <w:rPr>
                <w:b/>
                <w:bCs/>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57,032,537.05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855,488.06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955,286.39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28,658.59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351,322.96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105,396.89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196,082.26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117,649.36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3,388,018.35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3,388,018.35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61,923,247.01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4,495,211.25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14" w:right="0" w:firstLine="0"/>
        <w:jc w:val="left"/>
        <w:rPr>
          <w:sz w:val="20"/>
          <w:szCs w:val="20"/>
        </w:rPr>
      </w:pPr>
      <w:r>
        <w:rPr>
          <w:color w:val="000000"/>
          <w:spacing w:val="0"/>
          <w:w w:val="100"/>
          <w:position w:val="0"/>
          <w:sz w:val="20"/>
          <w:szCs w:val="20"/>
        </w:rPr>
        <w:t>②贷款利息</w:t>
      </w:r>
    </w:p>
    <w:p>
      <w:pPr>
        <w:widowControl w:val="0"/>
        <w:spacing w:line="1" w:lineRule="exact"/>
      </w:pPr>
    </w:p>
    <w:tbl>
      <w:tblPr>
        <w:tblOverlap w:val="never"/>
        <w:jc w:val="left"/>
        <w:tblLayout w:type="fixed"/>
      </w:tblPr>
      <w:tblGrid>
        <w:gridCol w:w="1814"/>
        <w:gridCol w:w="2131"/>
        <w:gridCol w:w="1320"/>
        <w:gridCol w:w="1862"/>
        <w:gridCol w:w="1925"/>
      </w:tblGrid>
      <w:tr>
        <w:trPr>
          <w:trHeight w:val="331"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整个存续期预期信 用损失率</w:t>
            </w:r>
            <w:r>
              <w:rPr>
                <w:b/>
                <w:bCs/>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118,092.26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17,334.49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17,918.90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5,375.67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16,010.82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9,606.49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543,860.38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543,860.38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713,216.85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561,133.95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7"/>
        <w:keepNext w:val="0"/>
        <w:keepLines w:val="0"/>
        <w:widowControl w:val="0"/>
        <w:shd w:val="clear" w:color="auto" w:fill="auto"/>
        <w:bidi w:val="0"/>
        <w:spacing w:before="0" w:after="60" w:line="240" w:lineRule="auto"/>
        <w:ind w:left="518" w:right="0" w:firstLine="0"/>
        <w:jc w:val="left"/>
        <w:rPr>
          <w:sz w:val="20"/>
          <w:szCs w:val="20"/>
        </w:rPr>
      </w:pPr>
      <w:r>
        <w:rPr>
          <w:color w:val="000000"/>
          <w:spacing w:val="0"/>
          <w:w w:val="100"/>
          <w:position w:val="0"/>
          <w:sz w:val="20"/>
          <w:szCs w:val="20"/>
        </w:rPr>
        <w:t>续前表：</w:t>
      </w:r>
    </w:p>
    <w:p>
      <w:pPr>
        <w:pStyle w:val="Style27"/>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①贷款本金</w:t>
      </w:r>
    </w:p>
    <w:tbl>
      <w:tblPr>
        <w:tblOverlap w:val="never"/>
        <w:jc w:val="left"/>
        <w:tblLayout w:type="fixed"/>
      </w:tblPr>
      <w:tblGrid>
        <w:gridCol w:w="1814"/>
        <w:gridCol w:w="2136"/>
        <w:gridCol w:w="1325"/>
        <w:gridCol w:w="1853"/>
        <w:gridCol w:w="1925"/>
      </w:tblGrid>
      <w:tr>
        <w:trPr>
          <w:trHeight w:val="32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团余额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计提比例</w:t>
            </w:r>
            <w:r>
              <w:rPr>
                <w:b/>
                <w:bCs/>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46,356,164.86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695,342.47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171,565.66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5,146.97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1,535,062.62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460,518.79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2,657,365.62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1,594,419.37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270,314.01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270,314.01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50,990,472.77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3,025,741.61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7"/>
        <w:keepNext w:val="0"/>
        <w:keepLines w:val="0"/>
        <w:widowControl w:val="0"/>
        <w:shd w:val="clear" w:color="auto" w:fill="auto"/>
        <w:bidi w:val="0"/>
        <w:spacing w:before="0" w:after="0" w:line="240" w:lineRule="auto"/>
        <w:ind w:left="514" w:right="0" w:firstLine="0"/>
        <w:jc w:val="left"/>
        <w:rPr>
          <w:sz w:val="20"/>
          <w:szCs w:val="20"/>
        </w:rPr>
      </w:pPr>
      <w:r>
        <w:rPr>
          <w:color w:val="000000"/>
          <w:spacing w:val="0"/>
          <w:w w:val="100"/>
          <w:position w:val="0"/>
          <w:sz w:val="20"/>
          <w:szCs w:val="20"/>
        </w:rPr>
        <w:t>②贷款利息</w:t>
      </w:r>
    </w:p>
    <w:tbl>
      <w:tblPr>
        <w:tblOverlap w:val="never"/>
        <w:jc w:val="left"/>
        <w:tblLayout w:type="fixed"/>
      </w:tblPr>
      <w:tblGrid>
        <w:gridCol w:w="1814"/>
        <w:gridCol w:w="2136"/>
        <w:gridCol w:w="1325"/>
        <w:gridCol w:w="1853"/>
        <w:gridCol w:w="1925"/>
      </w:tblGrid>
      <w:tr>
        <w:trPr>
          <w:trHeight w:val="32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团余额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计提比例</w:t>
            </w:r>
            <w:r>
              <w:rPr>
                <w:b/>
                <w:bCs/>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234,998.53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3,524.98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4,119.03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36,215.44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10,864.63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129,323.11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77,593.87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424,759.50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112,210.44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tabs>
          <w:tab w:pos="474" w:val="left"/>
        </w:tabs>
        <w:bidi w:val="0"/>
        <w:spacing w:before="0" w:after="360" w:line="240" w:lineRule="auto"/>
        <w:ind w:left="0" w:right="0" w:firstLine="0"/>
        <w:jc w:val="both"/>
      </w:pPr>
      <w:bookmarkStart w:id="1127" w:name="bookmark1127"/>
      <w:r>
        <w:rPr>
          <w:rFonts w:ascii="Times New Roman" w:eastAsia="Times New Roman" w:hAnsi="Times New Roman" w:cs="Times New Roman"/>
          <w:b/>
          <w:bCs/>
          <w:color w:val="000000"/>
          <w:spacing w:val="0"/>
          <w:w w:val="100"/>
          <w:position w:val="0"/>
        </w:rPr>
        <w:t>1</w:t>
      </w:r>
      <w:bookmarkEnd w:id="112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债权投资</w:t>
      </w:r>
    </w:p>
    <w:p>
      <w:pPr>
        <w:pStyle w:val="Style37"/>
        <w:keepNext w:val="0"/>
        <w:keepLines w:val="0"/>
        <w:widowControl w:val="0"/>
        <w:shd w:val="clear" w:color="auto" w:fill="auto"/>
        <w:tabs>
          <w:tab w:pos="474" w:val="left"/>
        </w:tabs>
        <w:bidi w:val="0"/>
        <w:spacing w:before="0" w:after="360" w:line="240" w:lineRule="auto"/>
        <w:ind w:left="0" w:right="0" w:firstLine="0"/>
        <w:jc w:val="both"/>
      </w:pPr>
      <w:bookmarkStart w:id="1128" w:name="bookmark1128"/>
      <w:r>
        <w:rPr>
          <w:rFonts w:ascii="Times New Roman" w:eastAsia="Times New Roman" w:hAnsi="Times New Roman" w:cs="Times New Roman"/>
          <w:b/>
          <w:bCs/>
          <w:color w:val="000000"/>
          <w:spacing w:val="0"/>
          <w:w w:val="100"/>
          <w:position w:val="0"/>
        </w:rPr>
        <w:t>1</w:t>
      </w:r>
      <w:bookmarkEnd w:id="112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其他债权投资</w:t>
      </w:r>
    </w:p>
    <w:p>
      <w:pPr>
        <w:pStyle w:val="Style37"/>
        <w:keepNext w:val="0"/>
        <w:keepLines w:val="0"/>
        <w:widowControl w:val="0"/>
        <w:shd w:val="clear" w:color="auto" w:fill="auto"/>
        <w:tabs>
          <w:tab w:pos="474" w:val="left"/>
        </w:tabs>
        <w:bidi w:val="0"/>
        <w:spacing w:before="0" w:after="360" w:line="240" w:lineRule="auto"/>
        <w:ind w:left="0" w:right="0" w:firstLine="0"/>
        <w:jc w:val="both"/>
      </w:pPr>
      <w:bookmarkStart w:id="1129" w:name="bookmark1129"/>
      <w:r>
        <w:rPr>
          <w:rFonts w:ascii="Times New Roman" w:eastAsia="Times New Roman" w:hAnsi="Times New Roman" w:cs="Times New Roman"/>
          <w:b/>
          <w:bCs/>
          <w:color w:val="000000"/>
          <w:spacing w:val="0"/>
          <w:w w:val="100"/>
          <w:position w:val="0"/>
        </w:rPr>
        <w:t>1</w:t>
      </w:r>
      <w:bookmarkEnd w:id="112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长期应收款</w:t>
      </w:r>
    </w:p>
    <w:p>
      <w:pPr>
        <w:pStyle w:val="Style37"/>
        <w:keepNext w:val="0"/>
        <w:keepLines w:val="0"/>
        <w:widowControl w:val="0"/>
        <w:shd w:val="clear" w:color="auto" w:fill="auto"/>
        <w:bidi w:val="0"/>
        <w:spacing w:before="0" w:after="360" w:line="240" w:lineRule="auto"/>
        <w:ind w:left="0" w:right="0" w:firstLine="0"/>
        <w:jc w:val="both"/>
      </w:pPr>
      <w:bookmarkStart w:id="1130" w:name="bookmark1130"/>
      <w:r>
        <w:rPr>
          <w:b/>
          <w:bCs/>
          <w:color w:val="000000"/>
          <w:spacing w:val="0"/>
          <w:w w:val="100"/>
          <w:position w:val="0"/>
        </w:rPr>
        <w:t>（</w:t>
      </w:r>
      <w:bookmarkEnd w:id="1130"/>
      <w:r>
        <w:rPr>
          <w:rFonts w:ascii="Times New Roman" w:eastAsia="Times New Roman" w:hAnsi="Times New Roman" w:cs="Times New Roman"/>
          <w:b/>
          <w:bCs/>
          <w:color w:val="000000"/>
          <w:spacing w:val="0"/>
          <w:w w:val="100"/>
          <w:position w:val="0"/>
        </w:rPr>
        <w:t>1</w:t>
      </w:r>
      <w:r>
        <w:rPr>
          <w:b/>
          <w:bCs/>
          <w:color w:val="000000"/>
          <w:spacing w:val="0"/>
          <w:w w:val="100"/>
          <w:position w:val="0"/>
        </w:rPr>
        <w:t>）长期应收款情况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73,049,373.32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337,893.76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72,711,479.56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134,459,013.5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134,459,013.5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其中：未实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24,208,451.86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24,208,451.86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9,484,408.82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9,484,408.82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重分类至一年内 到期的非流动资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-43,616,083.67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-43,616,083.67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-130,891,664.0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-130,891,664.0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29,433,289.65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337,893.76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29,095,395.89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3,567,349.53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3,567,349.53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1131" w:name="bookmark1131"/>
      <w:r>
        <w:rPr>
          <w:b/>
          <w:bCs/>
          <w:color w:val="000000"/>
          <w:spacing w:val="0"/>
          <w:w w:val="100"/>
          <w:position w:val="0"/>
        </w:rPr>
        <w:t>（</w:t>
      </w:r>
      <w:bookmarkEnd w:id="113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因金融资产转移而终止确认的长期应收款</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1132" w:name="bookmark1132"/>
      <w:r>
        <w:rPr>
          <w:b/>
          <w:bCs/>
          <w:color w:val="000000"/>
          <w:spacing w:val="0"/>
          <w:w w:val="100"/>
          <w:position w:val="0"/>
        </w:rPr>
        <w:t>（</w:t>
      </w:r>
      <w:bookmarkEnd w:id="113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转移长期应收款且继续涉入形成的资产、负债金额</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60" w:line="240" w:lineRule="auto"/>
        <w:ind w:left="0" w:right="0" w:firstLine="0"/>
        <w:jc w:val="left"/>
      </w:pPr>
      <w:bookmarkStart w:id="1133" w:name="bookmark1133"/>
      <w:r>
        <w:rPr>
          <w:rFonts w:ascii="Times New Roman" w:eastAsia="Times New Roman" w:hAnsi="Times New Roman" w:cs="Times New Roman"/>
          <w:b/>
          <w:bCs/>
          <w:color w:val="000000"/>
          <w:spacing w:val="0"/>
          <w:w w:val="100"/>
          <w:position w:val="0"/>
        </w:rPr>
        <w:t>1</w:t>
      </w:r>
      <w:bookmarkEnd w:id="1133"/>
      <w:r>
        <w:rPr>
          <w:rFonts w:ascii="Times New Roman" w:eastAsia="Times New Roman" w:hAnsi="Times New Roman" w:cs="Times New Roman"/>
          <w:b/>
          <w:bCs/>
          <w:color w:val="000000"/>
          <w:spacing w:val="0"/>
          <w:w w:val="100"/>
          <w:position w:val="0"/>
        </w:rPr>
        <w:t>8</w:t>
      </w:r>
      <w:r>
        <w:rPr>
          <w:b/>
          <w:bCs/>
          <w:color w:val="000000"/>
          <w:spacing w:val="0"/>
          <w:w w:val="100"/>
          <w:position w:val="0"/>
        </w:rPr>
        <w:t>、长期股权投资</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68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权益法下 确认的投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现金股利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88"/>
        <w:gridCol w:w="797"/>
        <w:gridCol w:w="797"/>
        <w:gridCol w:w="797"/>
        <w:gridCol w:w="797"/>
        <w:gridCol w:w="802"/>
        <w:gridCol w:w="797"/>
        <w:gridCol w:w="797"/>
        <w:gridCol w:w="797"/>
        <w:gridCol w:w="898"/>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30" w:val="left"/>
        </w:tabs>
        <w:bidi w:val="0"/>
        <w:spacing w:before="0" w:after="61" w:line="240" w:lineRule="auto"/>
        <w:ind w:left="0" w:right="0" w:firstLine="0"/>
        <w:jc w:val="left"/>
      </w:pPr>
      <w:bookmarkStart w:id="1134" w:name="bookmark1134"/>
      <w:r>
        <w:rPr>
          <w:color w:val="000000"/>
          <w:spacing w:val="0"/>
          <w:w w:val="100"/>
          <w:position w:val="0"/>
        </w:rPr>
        <w:t>一</w:t>
      </w:r>
      <w:bookmarkEnd w:id="1134"/>
      <w:r>
        <w:rPr>
          <w:color w:val="000000"/>
          <w:spacing w:val="0"/>
          <w:w w:val="100"/>
          <w:position w:val="0"/>
        </w:rPr>
        <w:t>、</w:t>
        <w:tab/>
        <w:t>合营企业</w:t>
      </w:r>
    </w:p>
    <w:p>
      <w:pPr>
        <w:pStyle w:val="Style29"/>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430" w:val="left"/>
        </w:tabs>
        <w:bidi w:val="0"/>
        <w:spacing w:before="0" w:after="61" w:line="240" w:lineRule="auto"/>
        <w:ind w:left="0" w:right="0" w:firstLine="0"/>
        <w:jc w:val="left"/>
      </w:pPr>
      <w:bookmarkStart w:id="1135" w:name="bookmark1135"/>
      <w:r>
        <w:rPr>
          <w:color w:val="000000"/>
          <w:spacing w:val="0"/>
          <w:w w:val="100"/>
          <w:position w:val="0"/>
        </w:rPr>
        <w:t>二</w:t>
      </w:r>
      <w:bookmarkEnd w:id="1135"/>
      <w:r>
        <w:rPr>
          <w:color w:val="000000"/>
          <w:spacing w:val="0"/>
          <w:w w:val="100"/>
          <w:position w:val="0"/>
        </w:rPr>
        <w:t>、</w:t>
        <w:tab/>
        <w:t>联营企业</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9</w:t>
      </w:r>
      <w:r>
        <w:rPr>
          <w:color w:val="000000"/>
          <w:spacing w:val="0"/>
          <w:w w:val="100"/>
          <w:position w:val="0"/>
        </w:rPr>
        <w:t>、其他权益工具投资</w:t>
      </w:r>
      <w:bookmarkEnd w:id="1136"/>
      <w:bookmarkEnd w:id="1137"/>
      <w:bookmarkEnd w:id="113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北京海淀科技金融资本控股集团股份有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长治银行股份有限公司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108,157,500.00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239,085,000.00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上海蔚洁信息科技服务有限公司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北京荷月科技有限公司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341,157,500.00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462,085,000.00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北京海淀科技金 融资本控股集团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以长期持有为投 资目标的权益投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长治银行股份有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以长期持有为投 资目标的权益投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上海蔚洁信息科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以长期持有为投 资目标的权益投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北京荷月科技有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以长期持有为投 资目标的权益投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公司经第四届董事会第十五次会议审议通过了子公司北京仁东科技有限公司认购北京荷月科技有限公司</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（原名为北京众签科技有限公司）的新增注册资本，对其持股比例为</w:t>
      </w:r>
      <w:r>
        <w:rPr>
          <w:b/>
          <w:bCs/>
          <w:color w:val="000000"/>
          <w:spacing w:val="0"/>
          <w:w w:val="100"/>
          <w:position w:val="0"/>
        </w:rPr>
        <w:t>5.56%</w:t>
      </w:r>
      <w:r>
        <w:rPr>
          <w:color w:val="000000"/>
          <w:spacing w:val="0"/>
          <w:w w:val="100"/>
          <w:position w:val="0"/>
        </w:rPr>
        <w:t>，公司以长期持有该股权为目的。</w:t>
      </w:r>
    </w:p>
    <w:p>
      <w:pPr>
        <w:pStyle w:val="Style33"/>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140"/>
      <w:bookmarkEnd w:id="1141"/>
      <w:bookmarkEnd w:id="1143"/>
    </w:p>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44"/>
      <w:bookmarkEnd w:id="1145"/>
      <w:bookmarkEnd w:id="1147"/>
    </w:p>
    <w:p>
      <w:pPr>
        <w:pStyle w:val="Style33"/>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采用成本计量模式的投资性房地产</w:t>
      </w:r>
      <w:bookmarkEnd w:id="1144"/>
      <w:bookmarkEnd w:id="1145"/>
      <w:bookmarkEnd w:id="114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采用公允价值计量模式的投资性房地产</w:t>
      </w:r>
      <w:bookmarkEnd w:id="1150"/>
      <w:bookmarkEnd w:id="1151"/>
      <w:bookmarkEnd w:id="115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未办妥产权证书的投资性房地产情况</w:t>
      </w:r>
      <w:bookmarkEnd w:id="1154"/>
      <w:bookmarkEnd w:id="1155"/>
      <w:bookmarkEnd w:id="11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58"/>
      <w:bookmarkEnd w:id="1159"/>
      <w:bookmarkEnd w:id="11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147,338,618.92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4,718,403.41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147,338,618.92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4,718,403.41</w:t>
            </w:r>
          </w:p>
        </w:tc>
      </w:tr>
    </w:tbl>
    <w:p>
      <w:pPr>
        <w:widowControl w:val="0"/>
        <w:spacing w:after="319" w:line="1" w:lineRule="exact"/>
      </w:pPr>
    </w:p>
    <w:p>
      <w:pPr>
        <w:pStyle w:val="Style33"/>
        <w:keepNext/>
        <w:keepLines/>
        <w:widowControl w:val="0"/>
        <w:numPr>
          <w:ilvl w:val="0"/>
          <w:numId w:val="43"/>
        </w:numPr>
        <w:shd w:val="clear" w:color="auto" w:fill="auto"/>
        <w:bidi w:val="0"/>
        <w:spacing w:before="0" w:after="380" w:line="240" w:lineRule="auto"/>
        <w:ind w:left="0" w:right="0" w:firstLine="24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固定资产情况</w:t>
      </w:r>
      <w:bookmarkEnd w:id="1162"/>
      <w:bookmarkEnd w:id="1163"/>
      <w:bookmarkEnd w:id="1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5,298,225.91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10,975,853.69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16,274,079.60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165,568,003.83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165,571,906.47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165,568,003.83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165,571,906.47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1,013,775.33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1,013,775.33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1,013,775.33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1,013,775.33</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5,298,225.91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175,530,082.19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180,832,210.74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2,749,867.56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8,805,808.63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11,555,676.19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870,815.28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21,830,952.25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22,702,447.22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870,815.28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21,830,952.25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22,702,447.22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3,620,682.84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29,872,229.29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33,493,591.82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1,677,543.07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145,657,852.90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147,338,618.92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2,548,358.35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2,170,045.06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4,718,403.41</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暂时闲置的固定资产情况</w:t>
      </w:r>
      <w:bookmarkEnd w:id="1166"/>
      <w:bookmarkEnd w:id="1167"/>
      <w:bookmarkEnd w:id="116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通过融资租赁租入的固定资产情况</w:t>
      </w:r>
      <w:bookmarkEnd w:id="1170"/>
      <w:bookmarkEnd w:id="1171"/>
      <w:bookmarkEnd w:id="117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通过经营租赁租出的固定资产</w:t>
      </w:r>
      <w:bookmarkEnd w:id="1174"/>
      <w:bookmarkEnd w:id="1175"/>
      <w:bookmarkEnd w:id="1177"/>
    </w:p>
    <w:p>
      <w:pPr>
        <w:pStyle w:val="Style29"/>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3"/>
        <w:keepNext/>
        <w:keepLines/>
        <w:widowControl w:val="0"/>
        <w:numPr>
          <w:ilvl w:val="0"/>
          <w:numId w:val="45"/>
        </w:numPr>
        <w:shd w:val="clear" w:color="auto" w:fill="auto"/>
        <w:bidi w:val="0"/>
        <w:spacing w:before="0" w:line="240" w:lineRule="auto"/>
        <w:ind w:left="0" w:right="0" w:firstLine="0"/>
        <w:jc w:val="both"/>
      </w:pPr>
      <w:bookmarkStart w:id="1178" w:name="bookmark1178"/>
      <w:bookmarkStart w:id="1179" w:name="bookmark1179"/>
      <w:bookmarkStart w:id="1180" w:name="bookmark1180"/>
      <w:bookmarkStart w:id="1181" w:name="bookmark1181"/>
      <w:bookmarkEnd w:id="1180"/>
      <w:r>
        <w:rPr>
          <w:color w:val="000000"/>
          <w:spacing w:val="0"/>
          <w:w w:val="100"/>
          <w:position w:val="0"/>
        </w:rPr>
        <w:t>未办妥产权证书的固定资产情况</w:t>
      </w:r>
      <w:bookmarkEnd w:id="1178"/>
      <w:bookmarkEnd w:id="1179"/>
      <w:bookmarkEnd w:id="118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numPr>
          <w:ilvl w:val="0"/>
          <w:numId w:val="45"/>
        </w:numPr>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bookmarkEnd w:id="1184"/>
      <w:r>
        <w:rPr>
          <w:color w:val="000000"/>
          <w:spacing w:val="0"/>
          <w:w w:val="100"/>
          <w:position w:val="0"/>
        </w:rPr>
        <w:t>固定资产清理</w:t>
      </w:r>
      <w:bookmarkEnd w:id="1182"/>
      <w:bookmarkEnd w:id="1183"/>
      <w:bookmarkEnd w:id="118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86"/>
      <w:bookmarkEnd w:id="1187"/>
      <w:bookmarkEnd w:id="118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numPr>
          <w:ilvl w:val="0"/>
          <w:numId w:val="47"/>
        </w:numPr>
        <w:shd w:val="clear" w:color="auto" w:fill="auto"/>
        <w:bidi w:val="0"/>
        <w:spacing w:before="0" w:line="240" w:lineRule="auto"/>
        <w:ind w:left="0" w:right="0" w:firstLine="0"/>
        <w:jc w:val="both"/>
      </w:pPr>
      <w:bookmarkStart w:id="1190" w:name="bookmark1190"/>
      <w:bookmarkStart w:id="1191" w:name="bookmark1191"/>
      <w:bookmarkStart w:id="1192" w:name="bookmark1192"/>
      <w:bookmarkStart w:id="1193" w:name="bookmark1193"/>
      <w:bookmarkEnd w:id="1192"/>
      <w:r>
        <w:rPr>
          <w:color w:val="000000"/>
          <w:spacing w:val="0"/>
          <w:w w:val="100"/>
          <w:position w:val="0"/>
        </w:rPr>
        <w:t>在建工程情况</w:t>
      </w:r>
      <w:bookmarkEnd w:id="1190"/>
      <w:bookmarkEnd w:id="1191"/>
      <w:bookmarkEnd w:id="11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3"/>
        <w:keepNext/>
        <w:keepLines/>
        <w:widowControl w:val="0"/>
        <w:numPr>
          <w:ilvl w:val="0"/>
          <w:numId w:val="47"/>
        </w:numPr>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bookmarkEnd w:id="1196"/>
      <w:r>
        <w:rPr>
          <w:color w:val="000000"/>
          <w:spacing w:val="0"/>
          <w:w w:val="100"/>
          <w:position w:val="0"/>
        </w:rPr>
        <w:t>重要在建工程项目本期变动情况</w:t>
      </w:r>
      <w:bookmarkEnd w:id="1194"/>
      <w:bookmarkEnd w:id="1195"/>
      <w:bookmarkEnd w:id="119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3"/>
        <w:keepNext/>
        <w:keepLines/>
        <w:widowControl w:val="0"/>
        <w:numPr>
          <w:ilvl w:val="0"/>
          <w:numId w:val="47"/>
        </w:numPr>
        <w:shd w:val="clear" w:color="auto" w:fill="auto"/>
        <w:bidi w:val="0"/>
        <w:spacing w:before="0" w:line="240" w:lineRule="auto"/>
        <w:ind w:left="0" w:right="0" w:firstLine="0"/>
        <w:jc w:val="both"/>
      </w:pPr>
      <w:bookmarkStart w:id="1198" w:name="bookmark1198"/>
      <w:bookmarkStart w:id="1199" w:name="bookmark1199"/>
      <w:bookmarkStart w:id="1200" w:name="bookmark1200"/>
      <w:bookmarkStart w:id="1201" w:name="bookmark1201"/>
      <w:bookmarkEnd w:id="1200"/>
      <w:r>
        <w:rPr>
          <w:color w:val="000000"/>
          <w:spacing w:val="0"/>
          <w:w w:val="100"/>
          <w:position w:val="0"/>
        </w:rPr>
        <w:t>本期计提在建工程减值准备情况</w:t>
      </w:r>
      <w:bookmarkEnd w:id="1198"/>
      <w:bookmarkEnd w:id="1199"/>
      <w:bookmarkEnd w:id="120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14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02"/>
      <w:bookmarkEnd w:id="1203"/>
      <w:bookmarkEnd w:id="12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w:t>
        <w:tab/>
        <w:t>生产性生物资产</w:t>
      </w:r>
      <w:bookmarkEnd w:id="1206"/>
      <w:bookmarkEnd w:id="1207"/>
      <w:bookmarkEnd w:id="1209"/>
    </w:p>
    <w:p>
      <w:pPr>
        <w:pStyle w:val="Style33"/>
        <w:keepNext/>
        <w:keepLines/>
        <w:widowControl w:val="0"/>
        <w:shd w:val="clear" w:color="auto" w:fill="auto"/>
        <w:tabs>
          <w:tab w:pos="493" w:val="left"/>
        </w:tabs>
        <w:bidi w:val="0"/>
        <w:spacing w:before="0" w:after="380" w:line="240" w:lineRule="auto"/>
        <w:ind w:left="0" w:right="0" w:firstLine="0"/>
        <w:jc w:val="left"/>
      </w:pPr>
      <w:bookmarkStart w:id="1206" w:name="bookmark1206"/>
      <w:bookmarkStart w:id="1207" w:name="bookmark1207"/>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06"/>
      <w:bookmarkEnd w:id="1207"/>
      <w:bookmarkEnd w:id="121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12"/>
      <w:bookmarkEnd w:id="1213"/>
      <w:bookmarkEnd w:id="121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w:t>
        <w:tab/>
        <w:t>油气资产</w:t>
      </w:r>
      <w:bookmarkEnd w:id="1216"/>
      <w:bookmarkEnd w:id="1217"/>
      <w:bookmarkEnd w:id="121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1220"/>
      <w:bookmarkEnd w:id="1221"/>
      <w:bookmarkEnd w:id="12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24"/>
      <w:bookmarkEnd w:id="1225"/>
      <w:bookmarkEnd w:id="1227"/>
    </w:p>
    <w:p>
      <w:pPr>
        <w:pStyle w:val="Style33"/>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4"/>
      <w:bookmarkEnd w:id="1225"/>
      <w:bookmarkEnd w:id="12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商标使用权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93,396.21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57,234,406.59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57,356,202.80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47,524.76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1,913,148.59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1,960,673.35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47,524.76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1,913,148.59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1,960,673.35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59,147,555.18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59,316,876.15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24,585,355.53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24,631,911.79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7,759,509.80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7,804,724.26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7,759,509.80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7,804,724.26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32,344,865.33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32,436,636.05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1,148,139.20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1,148,139.20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1,148,139.20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1,148,139.20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25,654,550.65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25,732,100.90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31,500,911.86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31,576,151.81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r>
        <w:br w:type="page"/>
      </w:r>
    </w:p>
    <w:p>
      <w:pPr>
        <w:pStyle w:val="Style33"/>
        <w:keepNext/>
        <w:keepLines/>
        <w:widowControl w:val="0"/>
        <w:numPr>
          <w:ilvl w:val="0"/>
          <w:numId w:val="49"/>
        </w:numPr>
        <w:shd w:val="clear" w:color="auto" w:fill="auto"/>
        <w:bidi w:val="0"/>
        <w:spacing w:before="0" w:line="240" w:lineRule="auto"/>
        <w:ind w:left="0" w:right="0" w:firstLine="14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未办妥产权证书的土地使用权情况</w:t>
      </w:r>
      <w:bookmarkEnd w:id="1230"/>
      <w:bookmarkEnd w:id="1231"/>
      <w:bookmarkEnd w:id="12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234"/>
      <w:bookmarkEnd w:id="1235"/>
      <w:bookmarkEnd w:id="123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内部开发支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1238"/>
      <w:bookmarkEnd w:id="1239"/>
      <w:bookmarkEnd w:id="1241"/>
    </w:p>
    <w:p>
      <w:pPr>
        <w:pStyle w:val="Style33"/>
        <w:keepNext/>
        <w:keepLines/>
        <w:widowControl w:val="0"/>
        <w:numPr>
          <w:ilvl w:val="0"/>
          <w:numId w:val="51"/>
        </w:numPr>
        <w:shd w:val="clear" w:color="auto" w:fill="auto"/>
        <w:bidi w:val="0"/>
        <w:spacing w:before="0" w:line="240" w:lineRule="auto"/>
        <w:ind w:left="0" w:right="0" w:firstLine="140"/>
        <w:jc w:val="left"/>
      </w:pPr>
      <w:bookmarkStart w:id="1238" w:name="bookmark1238"/>
      <w:bookmarkStart w:id="1239" w:name="bookmark1239"/>
      <w:bookmarkStart w:id="1242" w:name="bookmark1242"/>
      <w:bookmarkStart w:id="1243" w:name="bookmark1243"/>
      <w:bookmarkEnd w:id="1242"/>
      <w:r>
        <w:rPr>
          <w:color w:val="000000"/>
          <w:spacing w:val="0"/>
          <w:w w:val="100"/>
          <w:position w:val="0"/>
        </w:rPr>
        <w:t>商誉账面原值</w:t>
      </w:r>
      <w:bookmarkEnd w:id="1238"/>
      <w:bookmarkEnd w:id="1239"/>
      <w:bookmarkEnd w:id="124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广东合利金融科 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1,193,892,400.51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1,193,892,400.51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民盛友联金融有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602,997.90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602,997.90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1,194,495,398.41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1,194,495,398.41</w:t>
            </w:r>
          </w:p>
        </w:tc>
      </w:tr>
    </w:tbl>
    <w:p>
      <w:pPr>
        <w:widowControl w:val="0"/>
        <w:spacing w:after="359" w:line="1" w:lineRule="exact"/>
      </w:pPr>
    </w:p>
    <w:p>
      <w:pPr>
        <w:pStyle w:val="Style33"/>
        <w:keepNext/>
        <w:keepLines/>
        <w:widowControl w:val="0"/>
        <w:numPr>
          <w:ilvl w:val="0"/>
          <w:numId w:val="51"/>
        </w:numPr>
        <w:shd w:val="clear" w:color="auto" w:fill="auto"/>
        <w:bidi w:val="0"/>
        <w:spacing w:before="0" w:line="240" w:lineRule="auto"/>
        <w:ind w:left="0" w:right="0" w:firstLine="14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商誉减值准备</w:t>
      </w:r>
      <w:bookmarkEnd w:id="1244"/>
      <w:bookmarkEnd w:id="1245"/>
      <w:bookmarkEnd w:id="12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广东合利金融科 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195,250,088.96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104,285,503.00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299,535,591.96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民盛友联金融有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602,997.90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602,997.90</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195,853,086.86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104,285,503.00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300,138,589.86</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0" w:line="307" w:lineRule="exact"/>
        <w:ind w:left="0" w:right="0" w:firstLine="440"/>
        <w:jc w:val="left"/>
      </w:pPr>
      <w:r>
        <w:rPr>
          <w:color w:val="000000"/>
          <w:spacing w:val="0"/>
          <w:w w:val="100"/>
          <w:position w:val="0"/>
        </w:rPr>
        <w:t>与商誉减值测试相关的资产组或资产组组合，是能够从企业合并的协同效应中受益的资产组或者资产组组合。资产负 债表日的测试范围为与商誉相关的最小资产组所涉及的资产及负债，具体包括营运资金和长期资产。</w:t>
      </w:r>
    </w:p>
    <w:p>
      <w:pPr>
        <w:pStyle w:val="Style29"/>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本期资产组本期没有变动。</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资产组和资产组组合的可收回金额是基于管理层批准的三年至五年期预算，之后进入稳定期为基础进行估计，采用现 金流量预测方法计算。</w:t>
      </w:r>
    </w:p>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商誉减值测试的影响</w:t>
      </w:r>
    </w:p>
    <w:p>
      <w:pPr>
        <w:pStyle w:val="Style29"/>
        <w:keepNext w:val="0"/>
        <w:keepLines w:val="0"/>
        <w:widowControl w:val="0"/>
        <w:shd w:val="clear" w:color="auto" w:fill="auto"/>
        <w:bidi w:val="0"/>
        <w:spacing w:before="0" w:after="0" w:line="343" w:lineRule="exact"/>
        <w:ind w:left="0" w:right="0" w:firstLine="440"/>
        <w:jc w:val="left"/>
      </w:pPr>
      <w:r>
        <w:rPr>
          <w:color w:val="000000"/>
          <w:spacing w:val="0"/>
          <w:w w:val="100"/>
          <w:position w:val="0"/>
        </w:rPr>
        <w:t>深圳中联资产评估有限公司对资产组在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日的未来现金流量的现值进行了评估确认，并出具了评估报告。 合利金融资产组，经中联报字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65</w:t>
      </w:r>
      <w:r>
        <w:rPr>
          <w:color w:val="000000"/>
          <w:spacing w:val="0"/>
          <w:w w:val="100"/>
          <w:position w:val="0"/>
        </w:rPr>
        <w:t>号评估报告确认，商誉存在减值，本报告期减值金额为</w:t>
      </w:r>
      <w:r>
        <w:rPr>
          <w:rFonts w:ascii="Times New Roman" w:eastAsia="Times New Roman" w:hAnsi="Times New Roman" w:cs="Times New Roman"/>
          <w:color w:val="000000"/>
          <w:spacing w:val="0"/>
          <w:w w:val="100"/>
          <w:position w:val="0"/>
        </w:rPr>
        <w:t>104,285,503.00</w:t>
      </w:r>
      <w:r>
        <w:rPr>
          <w:color w:val="000000"/>
          <w:spacing w:val="0"/>
          <w:w w:val="100"/>
          <w:position w:val="0"/>
        </w:rPr>
        <w:t>元。 其他说明</w:t>
      </w:r>
    </w:p>
    <w:p>
      <w:pPr>
        <w:pStyle w:val="Style29"/>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因民盛友联金融有限公司本期经营情况不佳，未来盈利能力不确定性，公司基于财务报表谨慎性考虑，对收购民盛友联 金融有限公司形成的商誉</w:t>
      </w:r>
      <w:r>
        <w:rPr>
          <w:rFonts w:ascii="Times New Roman" w:eastAsia="Times New Roman" w:hAnsi="Times New Roman" w:cs="Times New Roman"/>
          <w:color w:val="000000"/>
          <w:spacing w:val="0"/>
          <w:w w:val="100"/>
          <w:position w:val="0"/>
        </w:rPr>
        <w:t>602,997.9</w:t>
      </w:r>
      <w:r>
        <w:rPr>
          <w:rFonts w:ascii="Times New Roman" w:eastAsia="Times New Roman" w:hAnsi="Times New Roman" w:cs="Times New Roman"/>
          <w:color w:val="000000"/>
          <w:spacing w:val="0"/>
          <w:w w:val="100"/>
          <w:position w:val="0"/>
        </w:rPr>
        <w:t>0</w:t>
      </w:r>
      <w:r>
        <w:rPr>
          <w:color w:val="000000"/>
          <w:spacing w:val="0"/>
          <w:w w:val="100"/>
          <w:position w:val="0"/>
        </w:rPr>
        <w:t>元，在</w:t>
      </w:r>
      <w:r>
        <w:rPr>
          <w:rFonts w:ascii="Times New Roman" w:eastAsia="Times New Roman" w:hAnsi="Times New Roman" w:cs="Times New Roman"/>
          <w:color w:val="000000"/>
          <w:spacing w:val="0"/>
          <w:w w:val="100"/>
          <w:position w:val="0"/>
        </w:rPr>
        <w:t>2017</w:t>
      </w:r>
      <w:r>
        <w:rPr>
          <w:color w:val="000000"/>
          <w:spacing w:val="0"/>
          <w:w w:val="100"/>
          <w:position w:val="0"/>
        </w:rPr>
        <w:t>年度全额计提商誉减值准备。</w:t>
      </w:r>
    </w:p>
    <w:p>
      <w:pPr>
        <w:pStyle w:val="Style33"/>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248"/>
      <w:bookmarkEnd w:id="1249"/>
      <w:bookmarkEnd w:id="12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3,761,814.08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6,581,541.05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2,920,048.12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7,423,307.01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3,761,814.08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6,581,541.05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2,920,048.12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7,423,307.01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2"/>
      <w:bookmarkEnd w:id="1253"/>
      <w:bookmarkEnd w:id="1255"/>
    </w:p>
    <w:p>
      <w:pPr>
        <w:pStyle w:val="Style33"/>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2"/>
      <w:bookmarkEnd w:id="1253"/>
      <w:bookmarkEnd w:id="12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462,750.35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1,938,297.99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1,859,548.42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7,507,858.05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32,731,875.00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130,927,500.00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33,194,625.35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132,865,797.99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1,859,548.42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7,507,858.05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58"/>
      <w:bookmarkEnd w:id="1259"/>
      <w:bookmarkEnd w:id="12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3,140,000.04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20,933,333.50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4,086,851.66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27,232,740.00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3,140,000.04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20,933,333.50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4,086,851.66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27,232,740.00</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以抵销后净额列示的递延所得税资产或负债</w:t>
      </w:r>
      <w:bookmarkEnd w:id="1262"/>
      <w:bookmarkEnd w:id="1263"/>
      <w:bookmarkEnd w:id="12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33,194,625.35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1,859,548.42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4,086,851.66</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未确认递延所得税资产明细</w:t>
      </w:r>
      <w:bookmarkEnd w:id="1266"/>
      <w:bookmarkEnd w:id="1267"/>
      <w:bookmarkEnd w:id="126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249,763,965.68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10,511,202.90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447,099,803.82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311,385,337.03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696,863,769.50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321,896,539.93</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未确认递延所得税资产的可抵扣亏损将于以下年度到期</w:t>
      </w:r>
      <w:bookmarkEnd w:id="1270"/>
      <w:bookmarkEnd w:id="1271"/>
      <w:bookmarkEnd w:id="127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659,361.03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3,778,285.59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3,782,828.70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106,641,802.61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106,648,771.60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94,987,658.43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95,354,014.15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104,940,361.55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104,940,361.55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136,751,695.64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447,099,803.82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311,385,337.03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274"/>
      <w:bookmarkEnd w:id="1275"/>
      <w:bookmarkEnd w:id="1277"/>
    </w:p>
    <w:p>
      <w:pPr>
        <w:pStyle w:val="Style29"/>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905,332.08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905,332.08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278"/>
      <w:bookmarkEnd w:id="1279"/>
      <w:bookmarkEnd w:id="1281"/>
    </w:p>
    <w:p>
      <w:pPr>
        <w:pStyle w:val="Style33"/>
        <w:keepNext/>
        <w:keepLines/>
        <w:widowControl w:val="0"/>
        <w:numPr>
          <w:ilvl w:val="0"/>
          <w:numId w:val="53"/>
        </w:numPr>
        <w:shd w:val="clear" w:color="auto" w:fill="auto"/>
        <w:bidi w:val="0"/>
        <w:spacing w:before="0" w:after="380" w:line="240" w:lineRule="auto"/>
        <w:ind w:left="0" w:right="0" w:firstLine="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短期借款分类</w:t>
      </w:r>
      <w:bookmarkEnd w:id="1278"/>
      <w:bookmarkEnd w:id="1279"/>
      <w:bookmarkEnd w:id="128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279,974,541.63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98,999,778.32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865,723.60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378,999,681.10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440,765,723.60</w:t>
            </w:r>
          </w:p>
        </w:tc>
      </w:tr>
    </w:tbl>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7"/>
        <w:keepNext w:val="0"/>
        <w:keepLines w:val="0"/>
        <w:widowControl w:val="0"/>
        <w:shd w:val="clear" w:color="auto" w:fill="auto"/>
        <w:bidi w:val="0"/>
        <w:spacing w:before="0" w:after="0" w:line="318" w:lineRule="exact"/>
        <w:ind w:left="0" w:right="0" w:firstLine="420"/>
        <w:jc w:val="left"/>
      </w:pPr>
      <w:r>
        <w:rPr>
          <w:color w:val="000000"/>
          <w:spacing w:val="0"/>
          <w:w w:val="100"/>
          <w:position w:val="0"/>
        </w:rPr>
        <w:t>期末借款</w:t>
      </w:r>
      <w:r>
        <w:rPr>
          <w:b/>
          <w:bCs/>
          <w:color w:val="000000"/>
          <w:spacing w:val="0"/>
          <w:w w:val="100"/>
          <w:position w:val="0"/>
        </w:rPr>
        <w:t>378,974,319.95</w:t>
      </w:r>
      <w:r>
        <w:rPr>
          <w:color w:val="000000"/>
          <w:spacing w:val="0"/>
          <w:w w:val="100"/>
          <w:position w:val="0"/>
        </w:rPr>
        <w:t>元，</w:t>
      </w:r>
    </w:p>
    <w:p>
      <w:pPr>
        <w:pStyle w:val="Style37"/>
        <w:keepNext w:val="0"/>
        <w:keepLines w:val="0"/>
        <w:widowControl w:val="0"/>
        <w:shd w:val="clear" w:color="auto" w:fill="auto"/>
        <w:bidi w:val="0"/>
        <w:spacing w:before="0" w:after="0" w:line="318" w:lineRule="exact"/>
        <w:ind w:left="0" w:right="0" w:firstLine="420"/>
        <w:jc w:val="left"/>
      </w:pPr>
      <w:r>
        <w:rPr>
          <w:color w:val="000000"/>
          <w:spacing w:val="0"/>
          <w:w w:val="100"/>
          <w:position w:val="0"/>
        </w:rPr>
        <w:t>其中保证借款：</w:t>
      </w:r>
    </w:p>
    <w:p>
      <w:pPr>
        <w:pStyle w:val="Style37"/>
        <w:keepNext w:val="0"/>
        <w:keepLines w:val="0"/>
        <w:widowControl w:val="0"/>
        <w:numPr>
          <w:ilvl w:val="0"/>
          <w:numId w:val="55"/>
        </w:numPr>
        <w:shd w:val="clear" w:color="auto" w:fill="auto"/>
        <w:bidi w:val="0"/>
        <w:spacing w:before="0" w:after="0" w:line="318" w:lineRule="exact"/>
        <w:ind w:left="0" w:right="0" w:firstLine="420"/>
        <w:jc w:val="left"/>
      </w:pPr>
      <w:bookmarkStart w:id="1284" w:name="bookmark1284"/>
      <w:bookmarkEnd w:id="1284"/>
      <w:r>
        <w:rPr>
          <w:color w:val="000000"/>
          <w:spacing w:val="0"/>
          <w:w w:val="100"/>
          <w:position w:val="0"/>
        </w:rPr>
        <w:t xml:space="preserve"> 公司保证借款</w:t>
      </w:r>
      <w:r>
        <w:rPr>
          <w:b/>
          <w:bCs/>
          <w:color w:val="000000"/>
          <w:spacing w:val="0"/>
          <w:w w:val="100"/>
          <w:position w:val="0"/>
        </w:rPr>
        <w:t>88,999,778.32</w:t>
      </w:r>
      <w:r>
        <w:rPr>
          <w:color w:val="000000"/>
          <w:spacing w:val="0"/>
          <w:w w:val="100"/>
          <w:position w:val="0"/>
        </w:rPr>
        <w:t>元，由北京仁东信息技术有限公司提供担保。</w:t>
      </w:r>
    </w:p>
    <w:p>
      <w:pPr>
        <w:pStyle w:val="Style37"/>
        <w:keepNext w:val="0"/>
        <w:keepLines w:val="0"/>
        <w:widowControl w:val="0"/>
        <w:numPr>
          <w:ilvl w:val="0"/>
          <w:numId w:val="55"/>
        </w:numPr>
        <w:shd w:val="clear" w:color="auto" w:fill="auto"/>
        <w:tabs>
          <w:tab w:pos="994" w:val="left"/>
        </w:tabs>
        <w:bidi w:val="0"/>
        <w:spacing w:before="0" w:after="0" w:line="318" w:lineRule="exact"/>
        <w:ind w:left="420" w:right="0" w:firstLine="0"/>
        <w:jc w:val="left"/>
      </w:pPr>
      <w:bookmarkStart w:id="1285" w:name="bookmark1285"/>
      <w:bookmarkEnd w:id="1285"/>
      <w:r>
        <w:rPr>
          <w:color w:val="000000"/>
          <w:spacing w:val="0"/>
          <w:w w:val="100"/>
          <w:position w:val="0"/>
        </w:rPr>
        <w:t>民盛租赁有限公司保证借款</w:t>
      </w:r>
      <w:r>
        <w:rPr>
          <w:b/>
          <w:bCs/>
          <w:color w:val="000000"/>
          <w:spacing w:val="0"/>
          <w:w w:val="100"/>
          <w:position w:val="0"/>
        </w:rPr>
        <w:t>10,000,000.00</w:t>
      </w:r>
      <w:r>
        <w:rPr>
          <w:color w:val="000000"/>
          <w:spacing w:val="0"/>
          <w:w w:val="100"/>
          <w:position w:val="0"/>
        </w:rPr>
        <w:t>元，由仁东控股股份有限公司提供担保。 质押借款：</w:t>
      </w:r>
    </w:p>
    <w:p>
      <w:pPr>
        <w:pStyle w:val="Style37"/>
        <w:keepNext w:val="0"/>
        <w:keepLines w:val="0"/>
        <w:widowControl w:val="0"/>
        <w:numPr>
          <w:ilvl w:val="0"/>
          <w:numId w:val="57"/>
        </w:numPr>
        <w:shd w:val="clear" w:color="auto" w:fill="auto"/>
        <w:bidi w:val="0"/>
        <w:spacing w:before="0" w:after="0" w:line="318" w:lineRule="exact"/>
        <w:ind w:left="0" w:right="0" w:firstLine="420"/>
        <w:jc w:val="both"/>
      </w:pPr>
      <w:bookmarkStart w:id="1286" w:name="bookmark1286"/>
      <w:bookmarkEnd w:id="1286"/>
      <w:r>
        <w:rPr>
          <w:color w:val="000000"/>
          <w:spacing w:val="0"/>
          <w:w w:val="100"/>
          <w:position w:val="0"/>
        </w:rPr>
        <w:t xml:space="preserve"> 公司质押借款</w:t>
      </w:r>
      <w:r>
        <w:rPr>
          <w:b/>
          <w:bCs/>
          <w:color w:val="000000"/>
          <w:spacing w:val="0"/>
          <w:w w:val="100"/>
          <w:position w:val="0"/>
        </w:rPr>
        <w:t>269,974,541.63</w:t>
      </w:r>
      <w:r>
        <w:rPr>
          <w:color w:val="000000"/>
          <w:spacing w:val="0"/>
          <w:w w:val="100"/>
          <w:position w:val="0"/>
        </w:rPr>
        <w:t>元，由广东合利金融科技服务有限公司、霍东提供担保，由北京仁东信 息技术有限公司提供质押担保</w:t>
      </w:r>
      <w:r>
        <w:rPr>
          <w:b/>
          <w:bCs/>
          <w:color w:val="000000"/>
          <w:spacing w:val="0"/>
          <w:w w:val="100"/>
          <w:position w:val="0"/>
        </w:rPr>
        <w:t>，</w:t>
      </w:r>
      <w:r>
        <w:rPr>
          <w:color w:val="000000"/>
          <w:spacing w:val="0"/>
          <w:w w:val="100"/>
          <w:position w:val="0"/>
        </w:rPr>
        <w:t>质押物为北京仁东信息技术有限公司持有的本公司</w:t>
      </w:r>
      <w:r>
        <w:rPr>
          <w:b/>
          <w:bCs/>
          <w:color w:val="000000"/>
          <w:spacing w:val="0"/>
          <w:w w:val="100"/>
          <w:position w:val="0"/>
        </w:rPr>
        <w:t>916.833</w:t>
      </w:r>
      <w:r>
        <w:rPr>
          <w:color w:val="000000"/>
          <w:spacing w:val="0"/>
          <w:w w:val="100"/>
          <w:position w:val="0"/>
        </w:rPr>
        <w:t>万股股票。</w:t>
      </w:r>
    </w:p>
    <w:p>
      <w:pPr>
        <w:pStyle w:val="Style37"/>
        <w:keepNext w:val="0"/>
        <w:keepLines w:val="0"/>
        <w:widowControl w:val="0"/>
        <w:numPr>
          <w:ilvl w:val="0"/>
          <w:numId w:val="57"/>
        </w:numPr>
        <w:shd w:val="clear" w:color="auto" w:fill="auto"/>
        <w:tabs>
          <w:tab w:pos="968" w:val="left"/>
        </w:tabs>
        <w:bidi w:val="0"/>
        <w:spacing w:before="0" w:after="280" w:line="318" w:lineRule="exact"/>
        <w:ind w:left="0" w:right="0" w:firstLine="420"/>
        <w:jc w:val="both"/>
      </w:pPr>
      <w:bookmarkStart w:id="1287" w:name="bookmark1287"/>
      <w:bookmarkEnd w:id="1287"/>
      <w:r>
        <w:rPr>
          <w:color w:val="000000"/>
          <w:spacing w:val="0"/>
          <w:w w:val="100"/>
          <w:position w:val="0"/>
        </w:rPr>
        <w:t>天津民盛国际融资租赁有限公司质押借款</w:t>
      </w:r>
      <w:r>
        <w:rPr>
          <w:b/>
          <w:bCs/>
          <w:color w:val="000000"/>
          <w:spacing w:val="0"/>
          <w:w w:val="100"/>
          <w:position w:val="0"/>
        </w:rPr>
        <w:t>10,000,000.00</w:t>
      </w:r>
      <w:r>
        <w:rPr>
          <w:color w:val="000000"/>
          <w:spacing w:val="0"/>
          <w:w w:val="100"/>
          <w:position w:val="0"/>
        </w:rPr>
        <w:t xml:space="preserve">元，由天津民盛国际融资租赁有限公司提供 </w:t>
      </w:r>
      <w:r>
        <w:rPr>
          <w:b/>
          <w:bCs/>
          <w:color w:val="000000"/>
          <w:spacing w:val="0"/>
          <w:w w:val="100"/>
          <w:position w:val="0"/>
        </w:rPr>
        <w:t>10,500,000.00</w:t>
      </w:r>
      <w:r>
        <w:rPr>
          <w:color w:val="000000"/>
          <w:spacing w:val="0"/>
          <w:w w:val="100"/>
          <w:position w:val="0"/>
        </w:rPr>
        <w:t>元的定期存单质押。</w:t>
      </w:r>
    </w:p>
    <w:p>
      <w:pPr>
        <w:pStyle w:val="Style33"/>
        <w:keepNext/>
        <w:keepLines/>
        <w:widowControl w:val="0"/>
        <w:shd w:val="clear" w:color="auto" w:fill="auto"/>
        <w:bidi w:val="0"/>
        <w:spacing w:before="0" w:after="380" w:line="318" w:lineRule="exact"/>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88"/>
      <w:bookmarkEnd w:id="1289"/>
      <w:bookmarkEnd w:id="129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358,974,319.95</w:t>
      </w:r>
      <w:r>
        <w:rPr>
          <w:color w:val="000000"/>
          <w:spacing w:val="0"/>
          <w:w w:val="100"/>
          <w:position w:val="0"/>
        </w:rPr>
        <w:t>元，其中重要的已逾期未偿还的短期借款情况如下：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兴业银行股份有限公司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北京月坛支行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19,377,716.63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兴业银行股份有限公司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北京月坛支行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99,253,250.00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兴业银行股份有限公司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北京月坛支行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49,229,250.00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兴业银行股份有限公司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北京月坛支行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96,950,000.00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兴业银行股份有限公司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北京月坛支行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5,164,325.00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阳泉商行大连路支行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88,999,778.32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358,974,319.95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、交易性金融负债</w:t>
      </w:r>
      <w:bookmarkEnd w:id="1291"/>
      <w:bookmarkEnd w:id="1292"/>
      <w:bookmarkEnd w:id="129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、衍生金融负债</w:t>
      </w:r>
      <w:bookmarkEnd w:id="1295"/>
      <w:bookmarkEnd w:id="1296"/>
      <w:bookmarkEnd w:id="129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299"/>
      <w:bookmarkEnd w:id="1300"/>
      <w:bookmarkEnd w:id="130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303"/>
      <w:bookmarkEnd w:id="1304"/>
      <w:bookmarkEnd w:id="1306"/>
    </w:p>
    <w:p>
      <w:pPr>
        <w:pStyle w:val="Style33"/>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3"/>
      <w:bookmarkEnd w:id="1304"/>
      <w:bookmarkEnd w:id="13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应付库存商品款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5,251,292.46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211,105.99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78,290,315.70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应付中介服务机构款项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1,551,053.51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56,086,355.50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23,973,265.74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36,641,204.97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49,408,527.80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908,670.72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935,379.67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937,755.17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178,360,094.52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76,389,232.71</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8"/>
      <w:bookmarkEnd w:id="1309"/>
      <w:bookmarkEnd w:id="131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311"/>
      <w:bookmarkEnd w:id="1312"/>
      <w:bookmarkEnd w:id="1314"/>
    </w:p>
    <w:p>
      <w:pPr>
        <w:pStyle w:val="Style33"/>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11"/>
      <w:bookmarkEnd w:id="1312"/>
      <w:bookmarkEnd w:id="131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16"/>
      <w:bookmarkEnd w:id="1317"/>
      <w:bookmarkEnd w:id="131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319"/>
      <w:bookmarkEnd w:id="1320"/>
      <w:bookmarkEnd w:id="132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93,592.50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97,743.36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140,485.34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161,503.30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242,818.02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323"/>
      <w:bookmarkEnd w:id="1324"/>
      <w:bookmarkEnd w:id="1326"/>
    </w:p>
    <w:p>
      <w:pPr>
        <w:pStyle w:val="Style33"/>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3"/>
      <w:bookmarkEnd w:id="1324"/>
      <w:bookmarkEnd w:id="13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14,923,318.96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132,731,769.08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114,565,123.59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33,089,964.45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302,190.72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667,131.88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766,174.60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203,148.00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699,402.23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699,402.23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15,225,509.68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134,098,303.19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116,030,700.42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33,293,112.45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8"/>
      <w:bookmarkEnd w:id="1329"/>
      <w:bookmarkEnd w:id="13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14,698,706.83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124,009,966.44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105,921,726.86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32,786,946.41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1,751,298.12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1,751,298.12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185,242.13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2,259,071.72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2,180,665.81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263,648.04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167,439.60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2,108,533.28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2,024,878.28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251,094.60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13,264.36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13,406.39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139,591.34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142,523.17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39,370.00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4,619,794.96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4,619,794.96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91,637.84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91,637.84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14,923,318.96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132,731,769.08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114,565,123.59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33,089,964.45</w:t>
            </w:r>
          </w:p>
        </w:tc>
      </w:tr>
    </w:tbl>
    <w:p>
      <w:pPr>
        <w:widowControl w:val="0"/>
        <w:spacing w:after="319" w:line="1" w:lineRule="exact"/>
      </w:pPr>
    </w:p>
    <w:p>
      <w:pPr>
        <w:pStyle w:val="Style33"/>
        <w:keepNext/>
        <w:keepLines/>
        <w:widowControl w:val="0"/>
        <w:numPr>
          <w:ilvl w:val="0"/>
          <w:numId w:val="57"/>
        </w:numPr>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设定提存计划列示</w:t>
      </w:r>
      <w:bookmarkEnd w:id="1331"/>
      <w:bookmarkEnd w:id="1332"/>
      <w:bookmarkEnd w:id="13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289,272.80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639,493.25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12,917.92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32,348.55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8,208.00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302,190.72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667,131.88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766,174.60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203,148.00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335"/>
      <w:bookmarkEnd w:id="1336"/>
      <w:bookmarkEnd w:id="133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9,964,937.71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6,031,868.85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3,881,957.04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7,782,088.91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4,227,849.75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749,698.22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94,355.14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133,676.07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95,482.90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22,416.34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18,248,063.64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14,815,231.29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9"/>
      <w:bookmarkEnd w:id="1340"/>
      <w:bookmarkEnd w:id="134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1,051,360.78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263,687,529.84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182,406,849.02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264,738,890.62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182,431,015.69</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43"/>
      <w:bookmarkEnd w:id="1344"/>
      <w:bookmarkEnd w:id="134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1,027,194.11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应付股东利息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1,051,360.78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46"/>
      <w:bookmarkEnd w:id="1347"/>
      <w:bookmarkEnd w:id="134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numPr>
          <w:ilvl w:val="0"/>
          <w:numId w:val="55"/>
        </w:numPr>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其他应付款</w:t>
      </w:r>
      <w:bookmarkEnd w:id="1349"/>
      <w:bookmarkEnd w:id="1350"/>
      <w:bookmarkEnd w:id="1352"/>
    </w:p>
    <w:p>
      <w:pPr>
        <w:pStyle w:val="Style33"/>
        <w:keepNext/>
        <w:keepLines/>
        <w:widowControl w:val="0"/>
        <w:numPr>
          <w:ilvl w:val="0"/>
          <w:numId w:val="59"/>
        </w:numPr>
        <w:shd w:val="clear" w:color="auto" w:fill="auto"/>
        <w:bidi w:val="0"/>
        <w:spacing w:before="0" w:line="240" w:lineRule="auto"/>
        <w:ind w:left="0" w:right="0" w:firstLine="0"/>
        <w:jc w:val="left"/>
      </w:pPr>
      <w:bookmarkStart w:id="1349" w:name="bookmark1349"/>
      <w:bookmarkStart w:id="1350" w:name="bookmark1350"/>
      <w:bookmarkStart w:id="1353" w:name="bookmark1353"/>
      <w:bookmarkStart w:id="1354" w:name="bookmark1354"/>
      <w:bookmarkEnd w:id="1353"/>
      <w:r>
        <w:rPr>
          <w:color w:val="000000"/>
          <w:spacing w:val="0"/>
          <w:w w:val="100"/>
          <w:position w:val="0"/>
        </w:rPr>
        <w:t>按款项性质列示其他应付款</w:t>
      </w:r>
      <w:bookmarkEnd w:id="1349"/>
      <w:bookmarkEnd w:id="1350"/>
      <w:bookmarkEnd w:id="135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股权对价款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121,413,266.24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156,413,266.24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59,017,604.58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21,000,346.25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2,019,871.45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938,483.24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361,058.12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80,544,958.34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691,829.23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3,693,695.17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263,687,529.84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182,406,849.02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55"/>
      <w:bookmarkEnd w:id="1356"/>
      <w:bookmarkEnd w:id="13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96,413,266.24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未付股权对价款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田超斌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2,016,208.20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水电费、差旅费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98,429,474.44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、持有待售负债</w:t>
      </w:r>
      <w:bookmarkEnd w:id="1359"/>
      <w:bookmarkEnd w:id="1360"/>
      <w:bookmarkEnd w:id="13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363"/>
      <w:bookmarkEnd w:id="1364"/>
      <w:bookmarkEnd w:id="136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1,541,700.88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397,719.29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506,541,700.88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180,397,719.29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67"/>
      <w:bookmarkEnd w:id="1368"/>
      <w:bookmarkEnd w:id="137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第三方支付业务代垫款项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3,525,307,781.34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1,003,961,310.50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第三方支付业务结存客户备付金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-1,930,271,370.85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219,993,721.46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21,411.12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1,595,047,400.31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1,223,976,443.08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71"/>
      <w:bookmarkEnd w:id="1372"/>
      <w:bookmarkEnd w:id="1374"/>
    </w:p>
    <w:p>
      <w:pPr>
        <w:pStyle w:val="Style33"/>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1"/>
      <w:bookmarkEnd w:id="1372"/>
      <w:bookmarkEnd w:id="137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1,541,700.88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1,285,358.18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-1,541,700.88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-397,719.29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415,887,638.89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：保证借款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.45</w:t>
      </w:r>
      <w:r>
        <w:rPr>
          <w:color w:val="000000"/>
          <w:spacing w:val="0"/>
          <w:w w:val="100"/>
          <w:position w:val="0"/>
        </w:rPr>
        <w:t>亿借款由北京仁东信息技术有限公司、仁东（天津）科技有限公司、广东合利金融科技服务有限公 司、广州合利宝支付科技有限公司为公司提供担保</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：①质押借款中</w:t>
      </w:r>
      <w:r>
        <w:rPr>
          <w:rFonts w:ascii="Times New Roman" w:eastAsia="Times New Roman" w:hAnsi="Times New Roman" w:cs="Times New Roman"/>
          <w:color w:val="000000"/>
          <w:spacing w:val="0"/>
          <w:w w:val="100"/>
          <w:position w:val="0"/>
        </w:rPr>
        <w:t>1.8</w:t>
      </w:r>
      <w:r>
        <w:rPr>
          <w:color w:val="000000"/>
          <w:spacing w:val="0"/>
          <w:w w:val="100"/>
          <w:position w:val="0"/>
        </w:rPr>
        <w:t>亿借款既为质押借款也为保证借款，质押物为广东合利金融科技服务有限公司持有的</w:t>
      </w:r>
      <w:r>
        <w:rPr>
          <w:rFonts w:ascii="Times New Roman" w:eastAsia="Times New Roman" w:hAnsi="Times New Roman" w:cs="Times New Roman"/>
          <w:color w:val="000000"/>
          <w:spacing w:val="0"/>
          <w:w w:val="100"/>
          <w:position w:val="0"/>
        </w:rPr>
        <w:t>100%</w:t>
      </w:r>
      <w:r>
        <w:rPr>
          <w:color w:val="000000"/>
          <w:spacing w:val="0"/>
          <w:w w:val="100"/>
          <w:position w:val="0"/>
        </w:rPr>
        <w:t>深圳 前海合利商业保理有限公司股权以及天津民盛金科信息技术有限公司持有的长治银行股份有限公司</w:t>
      </w:r>
      <w:r>
        <w:rPr>
          <w:rFonts w:ascii="Times New Roman" w:eastAsia="Times New Roman" w:hAnsi="Times New Roman" w:cs="Times New Roman"/>
          <w:color w:val="000000"/>
          <w:spacing w:val="0"/>
          <w:w w:val="100"/>
          <w:position w:val="0"/>
        </w:rPr>
        <w:t>11,385</w:t>
      </w:r>
      <w:r>
        <w:rPr>
          <w:color w:val="000000"/>
          <w:spacing w:val="0"/>
          <w:w w:val="100"/>
          <w:position w:val="0"/>
        </w:rPr>
        <w:t>万股股份。北京仁 东信息技术有限公司、仁东控股股份有限公司、霍东提供连带责任保证。②</w:t>
      </w:r>
      <w:r>
        <w:rPr>
          <w:rFonts w:ascii="Times New Roman" w:eastAsia="Times New Roman" w:hAnsi="Times New Roman" w:cs="Times New Roman"/>
          <w:color w:val="000000"/>
          <w:spacing w:val="0"/>
          <w:w w:val="100"/>
          <w:position w:val="0"/>
        </w:rPr>
        <w:t>3.75</w:t>
      </w:r>
      <w:r>
        <w:rPr>
          <w:color w:val="000000"/>
          <w:spacing w:val="0"/>
          <w:w w:val="100"/>
          <w:position w:val="0"/>
        </w:rPr>
        <w:t>亿元借款，由天津和柚技术有限公司、郝江 波及配偶田文军、张永东及其配偶黎碧、霍东、北京仁东信息技术有限公司提供担保，广东合利金融科技服务有限公司（质 押其拥有的广州合利宝支付科技有限公司</w:t>
      </w:r>
      <w:r>
        <w:rPr>
          <w:rFonts w:ascii="Times New Roman" w:eastAsia="Times New Roman" w:hAnsi="Times New Roman" w:cs="Times New Roman"/>
          <w:color w:val="000000"/>
          <w:spacing w:val="0"/>
          <w:w w:val="100"/>
          <w:position w:val="0"/>
        </w:rPr>
        <w:t>95%</w:t>
      </w:r>
      <w:r>
        <w:rPr>
          <w:color w:val="000000"/>
          <w:spacing w:val="0"/>
          <w:w w:val="100"/>
          <w:position w:val="0"/>
        </w:rPr>
        <w:t>股权）、仁东控股股份有限公司（质押广东合利金融科技服务有限公司</w:t>
      </w:r>
      <w:r>
        <w:rPr>
          <w:rFonts w:ascii="Times New Roman" w:eastAsia="Times New Roman" w:hAnsi="Times New Roman" w:cs="Times New Roman"/>
          <w:color w:val="000000"/>
          <w:spacing w:val="0"/>
          <w:w w:val="100"/>
          <w:position w:val="0"/>
        </w:rPr>
        <w:t>90%</w:t>
      </w:r>
      <w:r>
        <w:rPr>
          <w:color w:val="000000"/>
          <w:spacing w:val="0"/>
          <w:w w:val="100"/>
          <w:position w:val="0"/>
        </w:rPr>
        <w:t>股 权）、郝江波提供（拥有的天津和柚技术有限公司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股权）质押担保。</w:t>
      </w:r>
    </w:p>
    <w:p>
      <w:pPr>
        <w:pStyle w:val="Style29"/>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：已逾期未偿还的长期借款情况</w:t>
      </w:r>
    </w:p>
    <w:p>
      <w:pPr>
        <w:pStyle w:val="Style27"/>
        <w:keepNext w:val="0"/>
        <w:keepLines w:val="0"/>
        <w:widowControl w:val="0"/>
        <w:shd w:val="clear" w:color="auto" w:fill="auto"/>
        <w:bidi w:val="0"/>
        <w:spacing w:before="0" w:after="0" w:line="240" w:lineRule="auto"/>
        <w:ind w:left="509" w:right="0" w:firstLine="0"/>
        <w:jc w:val="left"/>
      </w:pPr>
      <w:r>
        <w:rPr>
          <w:color w:val="000000"/>
          <w:spacing w:val="0"/>
          <w:w w:val="100"/>
          <w:position w:val="0"/>
        </w:rPr>
        <w:t>本年末已逾期未偿还的长期借款总额</w:t>
      </w:r>
      <w:r>
        <w:rPr>
          <w:rFonts w:ascii="Times New Roman" w:eastAsia="Times New Roman" w:hAnsi="Times New Roman" w:cs="Times New Roman"/>
          <w:color w:val="000000"/>
          <w:spacing w:val="0"/>
          <w:w w:val="100"/>
          <w:position w:val="0"/>
        </w:rPr>
        <w:t>220,000,000.00</w:t>
      </w:r>
      <w:r>
        <w:rPr>
          <w:color w:val="000000"/>
          <w:spacing w:val="0"/>
          <w:w w:val="100"/>
          <w:position w:val="0"/>
        </w:rPr>
        <w:t>元，已逾期未偿还的长期借款情况如下:</w:t>
      </w:r>
    </w:p>
    <w:tbl>
      <w:tblPr>
        <w:tblOverlap w:val="never"/>
        <w:jc w:val="left"/>
        <w:tblLayout w:type="fixed"/>
      </w:tblPr>
      <w:tblGrid>
        <w:gridCol w:w="3120"/>
        <w:gridCol w:w="1584"/>
        <w:gridCol w:w="1190"/>
        <w:gridCol w:w="1445"/>
        <w:gridCol w:w="1459"/>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借款期末金额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逾期时间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逾期利率</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中信银行深圳西乡支行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华融前海财务管理股份有限公司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376"/>
      <w:bookmarkEnd w:id="1377"/>
      <w:bookmarkEnd w:id="1379"/>
    </w:p>
    <w:p>
      <w:pPr>
        <w:pStyle w:val="Style33"/>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76"/>
      <w:bookmarkEnd w:id="1377"/>
      <w:bookmarkEnd w:id="138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81"/>
      <w:bookmarkEnd w:id="1382"/>
      <w:bookmarkEnd w:id="13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49"/>
        </w:numPr>
        <w:shd w:val="clear" w:color="auto" w:fill="auto"/>
        <w:bidi w:val="0"/>
        <w:spacing w:before="0" w:line="240" w:lineRule="auto"/>
        <w:ind w:left="0" w:right="0" w:firstLine="14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可转换公司债券的转股条件、转股时间说明</w:t>
      </w:r>
      <w:bookmarkEnd w:id="1384"/>
      <w:bookmarkEnd w:id="1385"/>
      <w:bookmarkEnd w:id="1387"/>
    </w:p>
    <w:p>
      <w:pPr>
        <w:pStyle w:val="Style33"/>
        <w:keepNext/>
        <w:keepLines/>
        <w:widowControl w:val="0"/>
        <w:numPr>
          <w:ilvl w:val="0"/>
          <w:numId w:val="49"/>
        </w:numPr>
        <w:shd w:val="clear" w:color="auto" w:fill="auto"/>
        <w:bidi w:val="0"/>
        <w:spacing w:before="0" w:line="240" w:lineRule="auto"/>
        <w:ind w:left="0" w:right="0" w:firstLine="140"/>
        <w:jc w:val="left"/>
      </w:pPr>
      <w:bookmarkStart w:id="1384" w:name="bookmark1384"/>
      <w:bookmarkStart w:id="1385" w:name="bookmark1385"/>
      <w:bookmarkStart w:id="1388" w:name="bookmark1388"/>
      <w:bookmarkStart w:id="1389" w:name="bookmark1389"/>
      <w:bookmarkEnd w:id="1388"/>
      <w:r>
        <w:rPr>
          <w:color w:val="000000"/>
          <w:spacing w:val="0"/>
          <w:w w:val="100"/>
          <w:position w:val="0"/>
        </w:rPr>
        <w:t>划分为金融负债的其他金融工具说明</w:t>
      </w:r>
      <w:bookmarkEnd w:id="1384"/>
      <w:bookmarkEnd w:id="1385"/>
      <w:bookmarkEnd w:id="13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390"/>
      <w:bookmarkEnd w:id="1391"/>
      <w:bookmarkEnd w:id="139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394"/>
      <w:bookmarkEnd w:id="1395"/>
      <w:bookmarkEnd w:id="139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98"/>
      <w:bookmarkEnd w:id="1399"/>
      <w:bookmarkEnd w:id="1400"/>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01"/>
      <w:bookmarkEnd w:id="1402"/>
      <w:bookmarkEnd w:id="140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5</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404"/>
      <w:bookmarkEnd w:id="1405"/>
      <w:bookmarkEnd w:id="1407"/>
    </w:p>
    <w:p>
      <w:pPr>
        <w:pStyle w:val="Style33"/>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04"/>
      <w:bookmarkEnd w:id="1405"/>
      <w:bookmarkEnd w:id="140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09"/>
      <w:bookmarkEnd w:id="1410"/>
      <w:bookmarkEnd w:id="14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412"/>
      <w:bookmarkEnd w:id="1413"/>
      <w:bookmarkEnd w:id="141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5</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16"/>
      <w:bookmarkEnd w:id="1417"/>
      <w:bookmarkEnd w:id="1419"/>
    </w:p>
    <w:p>
      <w:pPr>
        <w:pStyle w:val="Style29"/>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本期计入营 业外收入金</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420"/>
      <w:bookmarkEnd w:id="1421"/>
      <w:bookmarkEnd w:id="142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1424"/>
      <w:bookmarkEnd w:id="1425"/>
      <w:bookmarkEnd w:id="142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559,936,650.00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559,936,650.00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428"/>
      <w:bookmarkEnd w:id="1429"/>
      <w:bookmarkEnd w:id="1431"/>
    </w:p>
    <w:p>
      <w:pPr>
        <w:pStyle w:val="Style33"/>
        <w:keepNext/>
        <w:keepLines/>
        <w:widowControl w:val="0"/>
        <w:shd w:val="clear" w:color="auto" w:fill="auto"/>
        <w:tabs>
          <w:tab w:pos="493" w:val="left"/>
        </w:tabs>
        <w:bidi w:val="0"/>
        <w:spacing w:before="0" w:after="380" w:line="240" w:lineRule="auto"/>
        <w:ind w:left="0" w:right="0" w:firstLine="0"/>
        <w:jc w:val="left"/>
      </w:pPr>
      <w:bookmarkStart w:id="1428" w:name="bookmark1428"/>
      <w:bookmarkStart w:id="1429" w:name="bookmark1429"/>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28"/>
      <w:bookmarkEnd w:id="1429"/>
      <w:bookmarkEnd w:id="1433"/>
    </w:p>
    <w:p>
      <w:pPr>
        <w:pStyle w:val="Style33"/>
        <w:keepNext/>
        <w:keepLines/>
        <w:widowControl w:val="0"/>
        <w:shd w:val="clear" w:color="auto" w:fill="auto"/>
        <w:tabs>
          <w:tab w:pos="493" w:val="left"/>
        </w:tabs>
        <w:bidi w:val="0"/>
        <w:spacing w:before="0" w:after="380" w:line="240" w:lineRule="auto"/>
        <w:ind w:left="0" w:right="0" w:firstLine="0"/>
        <w:jc w:val="left"/>
      </w:pPr>
      <w:bookmarkStart w:id="1428" w:name="bookmark1428"/>
      <w:bookmarkStart w:id="1429" w:name="bookmark1429"/>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28"/>
      <w:bookmarkEnd w:id="1429"/>
      <w:bookmarkEnd w:id="14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3"/>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436"/>
      <w:bookmarkEnd w:id="1437"/>
      <w:bookmarkEnd w:id="1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40,760,485.01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40,760,485.01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150,381,533.57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150,381,533.57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191,142,018.58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191,142,018.58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440"/>
      <w:bookmarkEnd w:id="1441"/>
      <w:bookmarkEnd w:id="144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444"/>
      <w:bookmarkEnd w:id="1445"/>
      <w:bookmarkEnd w:id="14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-130,927,5</w:t>
            </w:r>
          </w:p>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-32,731,87</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-98,195,62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-98,195,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-130,927,5</w:t>
            </w:r>
          </w:p>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-32,731,87</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-98,195,62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-98,195,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-5,834.74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-30,674.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-5,834.74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-30,674.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-5,834.74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-130,952,3</w:t>
            </w:r>
          </w:p>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-32,731,87</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-98,220,46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-98,226,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448"/>
      <w:bookmarkEnd w:id="1449"/>
      <w:bookmarkEnd w:id="14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6</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52"/>
      <w:bookmarkEnd w:id="1453"/>
      <w:bookmarkEnd w:id="145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43,544,814.66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43,544,814.66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43,544,814.66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2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6</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、一般风险准备金</w:t>
      </w:r>
      <w:bookmarkEnd w:id="1456"/>
      <w:bookmarkEnd w:id="1457"/>
      <w:bookmarkEnd w:id="1459"/>
    </w:p>
    <w:tbl>
      <w:tblPr>
        <w:tblOverlap w:val="never"/>
        <w:jc w:val="center"/>
        <w:tblLayout w:type="fixed"/>
      </w:tblPr>
      <w:tblGrid>
        <w:gridCol w:w="1834"/>
        <w:gridCol w:w="1829"/>
        <w:gridCol w:w="1824"/>
        <w:gridCol w:w="1829"/>
        <w:gridCol w:w="1834"/>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3,573,773.16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-2,342,000.00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1,231,773.16</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3,573,773.16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-2,342,000.00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1,231,773.16</w:t>
            </w:r>
          </w:p>
        </w:tc>
      </w:tr>
    </w:tbl>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注：公司按保理业务年末余额</w:t>
      </w:r>
      <w:r>
        <w:rPr>
          <w:b/>
          <w:bCs/>
          <w:color w:val="000000"/>
          <w:spacing w:val="0"/>
          <w:w w:val="100"/>
          <w:position w:val="0"/>
          <w:sz w:val="20"/>
          <w:szCs w:val="20"/>
        </w:rPr>
        <w:t>1%</w:t>
      </w:r>
      <w:r>
        <w:rPr>
          <w:color w:val="000000"/>
          <w:spacing w:val="0"/>
          <w:w w:val="100"/>
          <w:position w:val="0"/>
          <w:sz w:val="20"/>
          <w:szCs w:val="20"/>
        </w:rPr>
        <w:t>计提保理业务风险准备。</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6</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460"/>
      <w:bookmarkEnd w:id="1461"/>
      <w:bookmarkEnd w:id="146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189,550,879.17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174,119,931.13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189,550,879.17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174,119,931.13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-373,584,843.10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29,899,681.04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11,198,733.00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-181,691,963.93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189,550,879.17</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00" w:line="240" w:lineRule="auto"/>
        <w:ind w:left="0" w:right="0" w:firstLine="0"/>
        <w:jc w:val="left"/>
      </w:pPr>
      <w:bookmarkStart w:id="1464" w:name="bookmark1464"/>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465" w:name="bookmark1465"/>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6</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469"/>
      <w:bookmarkEnd w:id="1470"/>
      <w:bookmarkEnd w:id="14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2,112,180,671.51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1,884,317,529.57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1,823,357,216.40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1,539,121,621.37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18,104,916.15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1,854,439.79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7,461,091.28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227,223.22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2,130,285,587.66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1,886,171,969.36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1,830,818,307.68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1,539,348,844.59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br w:type="page"/>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2,130,285,587.66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1,830,818,307.68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支付、保理、融资租赁、供 应链等业务收入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18,104,916.15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7,461,091.28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与主营业务无关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18,104,916.15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7,461,091.28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无不具备商业实质的收入</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2,112,180,671.51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1,823,357,216.40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与履约义务相关的信息：</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本公司根据合同的约定，作为主要责任人按照客户需求的品类、标准及时履行供货义务。</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6</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473"/>
      <w:bookmarkEnd w:id="1474"/>
      <w:bookmarkEnd w:id="147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855,371.25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1,157,539.71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610,933.22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826,776.95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307,863.88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463,731.78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1,780,388.35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2,451,068.44</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477"/>
      <w:bookmarkEnd w:id="1478"/>
      <w:bookmarkEnd w:id="14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25,747,472.99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29,095,338.88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1,213,919.05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1,678,219.16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1,792,166.19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2,026,523.74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15,294.33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75,875.97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116,653.60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493,213.99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1,527,002.33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1,217,981.42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36,716.74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2,419,755.67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3,014,329.15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14,256,741.35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24,869.00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112,970.91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47,073,296.88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37,806,671.44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6</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481"/>
      <w:bookmarkEnd w:id="1482"/>
      <w:bookmarkEnd w:id="14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76,457,823.03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50,793,839.72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1,092,900.56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1,467,372.17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3,656,374.17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3,432,221.48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406,682.80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582,591.68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5,671,893.41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5,965,367.37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13,859,362.19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10,043,380.05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8,716,385.69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8,648,651.97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107,726.67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155,447.00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20,181,630.97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16,365,528.80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263,348.35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2,473,727.90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装修与维修费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2,998,304.33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1,493,620.53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271,049.18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1,320,328.30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577,710.80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网络和专业服务费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560,596.83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976,422.17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1,004,513.57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135,297,283.06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104,324,301.34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485"/>
      <w:bookmarkEnd w:id="1486"/>
      <w:bookmarkEnd w:id="14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30,336,417.28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18,980,422.48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1,780,367.92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1,780,759.02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366,681.91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2,519,977.32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2,298,047.03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8,057,115.77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20,337,240.37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712,326.53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3,622,088.74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43,411,988.99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47,385,239.55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89"/>
      <w:bookmarkEnd w:id="1490"/>
      <w:bookmarkEnd w:id="149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91,563,039.19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54,637,319.11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6,147,574.34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3,473,661.33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146,568.68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238,346.00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85,562,033.53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51,402,003.78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93"/>
      <w:bookmarkEnd w:id="1494"/>
      <w:bookmarkEnd w:id="149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广州市市场监督管理局专利补助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广州市科技创新委员会高新财政补贴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广州市财政局国库高新技术企业认定通 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广州市科技创新委员会补贴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90,400.00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南沙区财政局高企认定补贴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3,000,815.00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天津东疆管委会促进产业发展资金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738,510.99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576,006.80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园区企业房租补助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147,854.00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《广州市科技计划项目管理办法》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《广州市人民政府办公厅关于促进科 技、金融与产业融合发展的实施意见》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813,197.00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疫情信贷风险补偿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人才住房支持金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133,371.82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32,557.29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企业所得税先征后返、即征即退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24,224.11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225,971.62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27,000.93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5,410,907.27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3,290,316.17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11,596,197.81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4,456,635.19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7</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97"/>
      <w:bookmarkEnd w:id="1498"/>
      <w:bookmarkEnd w:id="150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10,246,500.00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11,385,000.00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结构性存款产生的收益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26,454.79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10,272,954.79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11,385,000.00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7</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、净敞口套期收益</w:t>
      </w:r>
      <w:bookmarkEnd w:id="1501"/>
      <w:bookmarkEnd w:id="1502"/>
      <w:bookmarkEnd w:id="150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7</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505"/>
      <w:bookmarkEnd w:id="1506"/>
      <w:bookmarkEnd w:id="150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7</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509"/>
      <w:bookmarkEnd w:id="1510"/>
      <w:bookmarkEnd w:id="151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-651,809.45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-5,256,427.71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-230,982,983.65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-7,233,214.05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-1,469,469.64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-2,790,331.59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-448,923.51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-109,281.29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-337,893.76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-233,891,080.01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-15,389,254.64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7</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513"/>
      <w:bookmarkEnd w:id="1514"/>
      <w:bookmarkEnd w:id="151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-104,285,503.00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-104,285,503.00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7</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517"/>
      <w:bookmarkEnd w:id="1518"/>
      <w:bookmarkEnd w:id="152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-21,225.61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-21,225.61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7</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21"/>
      <w:bookmarkEnd w:id="1522"/>
      <w:bookmarkEnd w:id="152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19,460,900.00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19,460,900.00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11,342,800.00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5,401,800.00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11,342,800.00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1,143,153.85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1,143,153.85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239,803.19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239,803.19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32,186,657.04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6,901,800.36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32,186,657.04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收广州南沙 经济技术开 发区财政局 扶持奖励金 中经营贡献 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广州南沙经 济技术开发 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19,460,900.0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广州南沙开 发区财政局 高新技术企 业新认定奖 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广州南沙开 发区财政局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25"/>
      <w:bookmarkEnd w:id="1526"/>
      <w:bookmarkEnd w:id="152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803,587.69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1,096,099.83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803,587.69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221,215.28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221,215.28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566,210.61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566,210.61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1,638,982.13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1,143,674.62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1,638,982.13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7</w:t>
      </w:r>
      <w:bookmarkEnd w:id="1531"/>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29"/>
      <w:bookmarkEnd w:id="1530"/>
      <w:bookmarkEnd w:id="1532"/>
    </w:p>
    <w:p>
      <w:pPr>
        <w:pStyle w:val="Style33"/>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3" w:name="bookmark1533"/>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9"/>
      <w:bookmarkEnd w:id="1530"/>
      <w:bookmarkEnd w:id="1533"/>
    </w:p>
    <w:p>
      <w:pPr>
        <w:pStyle w:val="Style29"/>
        <w:keepNext w:val="0"/>
        <w:keepLines w:val="0"/>
        <w:widowControl w:val="0"/>
        <w:shd w:val="clear" w:color="auto" w:fill="auto"/>
        <w:bidi w:val="0"/>
        <w:spacing w:before="0" w:after="2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14,814,717.02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24,291,957.95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449,946.45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-2,648,067.34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15,264,663.47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21,643,890.61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4"/>
      <w:bookmarkEnd w:id="1535"/>
      <w:bookmarkEnd w:id="15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-354,792,696.30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-88,698,174.08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-9,412,690.88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-2,561,625.00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27,191,228.33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-389,002.44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94,029,122.33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-4,895,561.35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15,264,663.47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7</w:t>
      </w:r>
      <w:bookmarkEnd w:id="1539"/>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537"/>
      <w:bookmarkEnd w:id="1538"/>
      <w:bookmarkEnd w:id="154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8</w:t>
      </w:r>
      <w:bookmarkEnd w:id="1543"/>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541"/>
      <w:bookmarkEnd w:id="1542"/>
      <w:bookmarkEnd w:id="1544"/>
    </w:p>
    <w:p>
      <w:pPr>
        <w:pStyle w:val="Style33"/>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1"/>
      <w:bookmarkEnd w:id="1542"/>
      <w:bookmarkEnd w:id="15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收回的保理本金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272,614,236.43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111,352,147.23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140,762,405.31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94,661,951.11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6,147,574.34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3,473,661.33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25,168,018.92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1,439,318.09</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平台提现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209,267,122.49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175,833,767.10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3,086,283.40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收回的融资租赁本金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154,700,878.57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95,596,268.65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收回的预付</w:t>
            </w:r>
            <w:r>
              <w:rPr>
                <w:rFonts w:ascii="Times New Roman" w:eastAsia="Times New Roman" w:hAnsi="Times New Roman" w:cs="Times New Roman"/>
                <w:color w:val="000000"/>
                <w:spacing w:val="0"/>
                <w:w w:val="100"/>
                <w:position w:val="0"/>
              </w:rPr>
              <w:t>T+1</w:t>
            </w: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59,774,440.30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365,341.04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理赔款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39,337.18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合同补偿金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1,143,153.85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99,267,185.72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912,388,473.31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543,763,232.96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6"/>
      <w:bookmarkEnd w:id="1547"/>
      <w:bookmarkEnd w:id="15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146,568.68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238,346.00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87,299,176.55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82,414,899.06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支付的保理本金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273,100,304.57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166,179,300.00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支付保证金、押金、备用金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25,791,926.77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61,845,996.24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支付的预付</w:t>
            </w:r>
            <w:r>
              <w:rPr>
                <w:rFonts w:ascii="Times New Roman" w:eastAsia="Times New Roman" w:hAnsi="Times New Roman" w:cs="Times New Roman"/>
                <w:color w:val="000000"/>
                <w:spacing w:val="0"/>
                <w:w w:val="100"/>
                <w:position w:val="0"/>
              </w:rPr>
              <w:t>T+1</w:t>
            </w:r>
            <w:r>
              <w:rPr>
                <w:color w:val="000000"/>
                <w:spacing w:val="0"/>
                <w:w w:val="100"/>
                <w:position w:val="0"/>
              </w:rPr>
              <w:t>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79,210,150.00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平台充值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209,063,954.97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197,964,425.50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171,235,477.54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125,222,666.40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1,242,709.75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1,765,571.82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捐赠及罚款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851,556.24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1,143,122.61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24,733.97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97,796,110.61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945,737,935.68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706,799,061.60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numPr>
          <w:ilvl w:val="0"/>
          <w:numId w:val="61"/>
        </w:numPr>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收到的其他与投资活动有关的现金</w:t>
      </w:r>
      <w:bookmarkEnd w:id="1549"/>
      <w:bookmarkEnd w:id="1550"/>
      <w:bookmarkEnd w:id="15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4,342,800.00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4,342,800.00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5,401,800.00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3"/>
        <w:keepNext/>
        <w:keepLines/>
        <w:widowControl w:val="0"/>
        <w:numPr>
          <w:ilvl w:val="0"/>
          <w:numId w:val="61"/>
        </w:numPr>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支付的其他与投资活动有关的现金</w:t>
      </w:r>
      <w:bookmarkEnd w:id="1553"/>
      <w:bookmarkEnd w:id="1554"/>
      <w:bookmarkEnd w:id="155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numPr>
          <w:ilvl w:val="0"/>
          <w:numId w:val="61"/>
        </w:numPr>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收到的其他与筹资活动有关的现金</w:t>
      </w:r>
      <w:bookmarkEnd w:id="1557"/>
      <w:bookmarkEnd w:id="1558"/>
      <w:bookmarkEnd w:id="156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收到股东借款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345,000,000.00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345,200,000.00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numPr>
          <w:ilvl w:val="0"/>
          <w:numId w:val="61"/>
        </w:numPr>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支付的其他与筹资活动有关的现金</w:t>
      </w:r>
      <w:bookmarkEnd w:id="1561"/>
      <w:bookmarkEnd w:id="1562"/>
      <w:bookmarkEnd w:id="156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归还股东的借款及利息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745,000,000.00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745,000,000.00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8</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5"/>
      <w:bookmarkEnd w:id="1566"/>
      <w:bookmarkEnd w:id="1568"/>
    </w:p>
    <w:p>
      <w:pPr>
        <w:pStyle w:val="Style33"/>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5"/>
      <w:bookmarkEnd w:id="1566"/>
      <w:bookmarkEnd w:id="156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-370,057,359.77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32,645,568.61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338,176,583.01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15,389,254.64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22,702,447.22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3,060,606.85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7,804,724.26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7,368,804.14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2,920,048.12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1,435,351.62</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221,215.28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91,563,039.19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54,637,319.11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-11,385,000.00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1,396,798.07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-1,705,357.34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-946,851.62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-942,710.00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-52,349.53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-39,085,121.22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-307,410,746.63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39,458,580.57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145,531,808.87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94,124,010.71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-66,807,472.04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52,367,229.83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89,106,145.61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89,106,145.61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493,430,500.43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-36,738,915.78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-404,324,354.82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70"/>
      <w:bookmarkEnd w:id="1571"/>
      <w:bookmarkEnd w:id="15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63"/>
        </w:numPr>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本期收到的处置子公司的现金净额</w:t>
      </w:r>
      <w:bookmarkEnd w:id="1573"/>
      <w:bookmarkEnd w:id="1574"/>
      <w:bookmarkEnd w:id="15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63"/>
        </w:numPr>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现金和现金等价物的构成</w:t>
      </w:r>
      <w:bookmarkEnd w:id="1577"/>
      <w:bookmarkEnd w:id="1578"/>
      <w:bookmarkEnd w:id="15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52,367,229.83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89,106,145.61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52,366,977.35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89,105,876.87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52,367,229.83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89,106,145.61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8</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581"/>
      <w:bookmarkEnd w:id="1582"/>
      <w:bookmarkEnd w:id="158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8</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585"/>
      <w:bookmarkEnd w:id="1586"/>
      <w:bookmarkEnd w:id="15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1,783,280,071.29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客户备付金、保证金、定期存单及风险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108,157,500.00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作为质押物取得借款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1,891,437,571.29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8</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589"/>
      <w:bookmarkEnd w:id="1590"/>
      <w:bookmarkEnd w:id="1592"/>
    </w:p>
    <w:p>
      <w:pPr>
        <w:pStyle w:val="Style33"/>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9"/>
      <w:bookmarkEnd w:id="1590"/>
      <w:bookmarkEnd w:id="15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254,444.85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214,140.79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17,505.28</w:t>
            </w: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331" w:lineRule="exact"/>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4"/>
      <w:bookmarkEnd w:id="1595"/>
      <w:bookmarkEnd w:id="1596"/>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31" w:lineRule="exact"/>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8</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w:t>
        <w:tab/>
        <w:t>套期</w:t>
      </w:r>
      <w:bookmarkEnd w:id="1597"/>
      <w:bookmarkEnd w:id="1598"/>
      <w:bookmarkEnd w:id="1600"/>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83" w:val="left"/>
        </w:tabs>
        <w:bidi w:val="0"/>
        <w:spacing w:before="0" w:after="280" w:line="331" w:lineRule="exact"/>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8</w:t>
      </w:r>
      <w:bookmarkEnd w:id="1603"/>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601"/>
      <w:bookmarkEnd w:id="1602"/>
      <w:bookmarkEnd w:id="1604"/>
    </w:p>
    <w:p>
      <w:pPr>
        <w:pStyle w:val="Style33"/>
        <w:keepNext/>
        <w:keepLines/>
        <w:widowControl w:val="0"/>
        <w:shd w:val="clear" w:color="auto" w:fill="auto"/>
        <w:bidi w:val="0"/>
        <w:spacing w:before="0" w:after="380" w:line="331" w:lineRule="exact"/>
        <w:ind w:left="0" w:right="0" w:firstLine="0"/>
        <w:jc w:val="left"/>
      </w:pPr>
      <w:bookmarkStart w:id="1601" w:name="bookmark1601"/>
      <w:bookmarkStart w:id="1602" w:name="bookmark1602"/>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1"/>
      <w:bookmarkEnd w:id="1602"/>
      <w:bookmarkEnd w:id="16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南沙区财政局高企认定补贴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3,000,815.00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3,000,815.00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天津东疆管委会促进产业发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738,510.99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738,510.99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《广州市科技计划项目管理 办法》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《广州市人民政府办公厅关 于促进科技、金融与产业融合 发展的实施意见》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813,197.00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813,197.00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疫情信贷风险补偿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人才住房支持金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133,371.82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133,371.82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企业所得税先征后返、即征即 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252,200.00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24,224.11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24,224.11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收广州南沙经济技术开发区 财政局扶持奖励金中经营贡 献奖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19,460,900.00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25,420,218.92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25,420,218.92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06"/>
      <w:bookmarkEnd w:id="1607"/>
      <w:bookmarkEnd w:id="160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8</w:t>
      </w:r>
      <w:bookmarkEnd w:id="1611"/>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609"/>
      <w:bookmarkEnd w:id="1610"/>
      <w:bookmarkEnd w:id="1612"/>
    </w:p>
    <w:p>
      <w:pPr>
        <w:pStyle w:val="Style24"/>
        <w:keepNext/>
        <w:keepLines/>
        <w:widowControl w:val="0"/>
        <w:shd w:val="clear" w:color="auto" w:fill="auto"/>
        <w:bidi w:val="0"/>
        <w:spacing w:before="0" w:after="32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sz w:val="24"/>
          <w:szCs w:val="24"/>
        </w:rPr>
        <w:t>八</w:t>
      </w:r>
      <w:bookmarkEnd w:id="1615"/>
      <w:r>
        <w:rPr>
          <w:color w:val="000000"/>
          <w:spacing w:val="0"/>
          <w:w w:val="100"/>
          <w:position w:val="0"/>
          <w:sz w:val="24"/>
          <w:szCs w:val="24"/>
        </w:rPr>
        <w:t>、合并范围的变更</w:t>
      </w:r>
      <w:bookmarkEnd w:id="1613"/>
      <w:bookmarkEnd w:id="1614"/>
      <w:bookmarkEnd w:id="1616"/>
    </w:p>
    <w:p>
      <w:pPr>
        <w:pStyle w:val="Style33"/>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bookmarkEnd w:id="1619"/>
      <w:r>
        <w:rPr>
          <w:color w:val="000000"/>
          <w:spacing w:val="0"/>
          <w:w w:val="100"/>
          <w:position w:val="0"/>
        </w:rPr>
        <w:t>、非同一控制下企业合并</w:t>
      </w:r>
      <w:bookmarkEnd w:id="1617"/>
      <w:bookmarkEnd w:id="1618"/>
      <w:bookmarkEnd w:id="1620"/>
    </w:p>
    <w:p>
      <w:pPr>
        <w:pStyle w:val="Style33"/>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17"/>
      <w:bookmarkEnd w:id="1618"/>
      <w:bookmarkEnd w:id="16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)合并成本及商誉</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7"/>
        <w:keepNext w:val="0"/>
        <w:keepLines w:val="0"/>
        <w:widowControl w:val="0"/>
        <w:numPr>
          <w:ilvl w:val="0"/>
          <w:numId w:val="65"/>
        </w:numPr>
        <w:shd w:val="clear" w:color="auto" w:fill="auto"/>
        <w:bidi w:val="0"/>
        <w:spacing w:before="0" w:after="380" w:line="240" w:lineRule="auto"/>
        <w:ind w:left="0" w:right="0" w:firstLine="0"/>
        <w:jc w:val="left"/>
      </w:pPr>
      <w:bookmarkStart w:id="1622" w:name="bookmark1622"/>
      <w:bookmarkEnd w:id="1622"/>
      <w:r>
        <w:rPr>
          <w:b/>
          <w:bCs/>
          <w:color w:val="000000"/>
          <w:spacing w:val="0"/>
          <w:w w:val="100"/>
          <w:position w:val="0"/>
        </w:rPr>
        <w:t>被购买方于购买日可辨认资产、负债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7"/>
        <w:keepNext w:val="0"/>
        <w:keepLines w:val="0"/>
        <w:widowControl w:val="0"/>
        <w:numPr>
          <w:ilvl w:val="0"/>
          <w:numId w:val="65"/>
        </w:numPr>
        <w:shd w:val="clear" w:color="auto" w:fill="auto"/>
        <w:tabs>
          <w:tab w:pos="493" w:val="left"/>
        </w:tabs>
        <w:bidi w:val="0"/>
        <w:spacing w:before="0" w:after="380" w:line="240" w:lineRule="auto"/>
        <w:ind w:left="0" w:right="0" w:firstLine="0"/>
        <w:jc w:val="left"/>
      </w:pPr>
      <w:bookmarkStart w:id="1623" w:name="bookmark1623"/>
      <w:bookmarkEnd w:id="1623"/>
      <w:r>
        <w:rPr>
          <w:b/>
          <w:bCs/>
          <w:color w:val="000000"/>
          <w:spacing w:val="0"/>
          <w:w w:val="100"/>
          <w:position w:val="0"/>
        </w:rPr>
        <w:t>购买日之前持有的股权按照公允价值重新计量产生的利得或损失</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numPr>
          <w:ilvl w:val="0"/>
          <w:numId w:val="65"/>
        </w:numPr>
        <w:shd w:val="clear" w:color="auto" w:fill="auto"/>
        <w:bidi w:val="0"/>
        <w:spacing w:before="0" w:after="380" w:line="240" w:lineRule="auto"/>
        <w:ind w:left="0" w:right="0" w:firstLine="0"/>
        <w:jc w:val="left"/>
      </w:pPr>
      <w:bookmarkStart w:id="1624" w:name="bookmark1624"/>
      <w:bookmarkEnd w:id="1624"/>
      <w:r>
        <w:rPr>
          <w:b/>
          <w:bCs/>
          <w:color w:val="000000"/>
          <w:spacing w:val="0"/>
          <w:w w:val="100"/>
          <w:position w:val="0"/>
        </w:rPr>
        <w:t xml:space="preserve"> 购买日或合并当期期末无法合理确定合并对价或被购买方可辨认资产、负债公允价值的相关说明</w:t>
      </w:r>
    </w:p>
    <w:p>
      <w:pPr>
        <w:pStyle w:val="Style37"/>
        <w:keepNext w:val="0"/>
        <w:keepLines w:val="0"/>
        <w:widowControl w:val="0"/>
        <w:numPr>
          <w:ilvl w:val="0"/>
          <w:numId w:val="65"/>
        </w:numPr>
        <w:shd w:val="clear" w:color="auto" w:fill="auto"/>
        <w:tabs>
          <w:tab w:pos="493" w:val="left"/>
        </w:tabs>
        <w:bidi w:val="0"/>
        <w:spacing w:before="0" w:after="380" w:line="240" w:lineRule="auto"/>
        <w:ind w:left="0" w:right="0" w:firstLine="0"/>
        <w:jc w:val="left"/>
      </w:pPr>
      <w:bookmarkStart w:id="1625" w:name="bookmark1625"/>
      <w:bookmarkEnd w:id="1625"/>
      <w:r>
        <w:rPr>
          <w:b/>
          <w:bCs/>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bookmarkStart w:id="1626" w:name="bookmark1626"/>
      <w:r>
        <w:rPr>
          <w:rFonts w:ascii="Times New Roman" w:eastAsia="Times New Roman" w:hAnsi="Times New Roman" w:cs="Times New Roman"/>
          <w:b/>
          <w:bCs/>
          <w:color w:val="000000"/>
          <w:spacing w:val="0"/>
          <w:w w:val="100"/>
          <w:position w:val="0"/>
        </w:rPr>
        <w:t>2</w:t>
      </w:r>
      <w:bookmarkEnd w:id="1626"/>
      <w:r>
        <w:rPr>
          <w:b/>
          <w:bCs/>
          <w:color w:val="000000"/>
          <w:spacing w:val="0"/>
          <w:w w:val="100"/>
          <w:position w:val="0"/>
        </w:rPr>
        <w:t>、同一控制下企业合并</w:t>
      </w:r>
    </w:p>
    <w:p>
      <w:pPr>
        <w:pStyle w:val="Style3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27"/>
      <w:bookmarkEnd w:id="1628"/>
      <w:bookmarkEnd w:id="16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3</w:t>
      </w:r>
      <w:bookmarkEnd w:id="1633"/>
      <w:r>
        <w:rPr>
          <w:color w:val="000000"/>
          <w:spacing w:val="0"/>
          <w:w w:val="100"/>
          <w:position w:val="0"/>
        </w:rPr>
        <w:t>、</w:t>
        <w:tab/>
        <w:t>反向购买</w:t>
      </w:r>
      <w:bookmarkEnd w:id="1631"/>
      <w:bookmarkEnd w:id="1632"/>
      <w:bookmarkEnd w:id="163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color w:val="000000"/>
          <w:spacing w:val="0"/>
          <w:w w:val="100"/>
          <w:position w:val="0"/>
        </w:rPr>
        <w:t>、</w:t>
        <w:tab/>
        <w:t>处置子公司</w:t>
      </w:r>
      <w:bookmarkEnd w:id="1635"/>
      <w:bookmarkEnd w:id="1636"/>
      <w:bookmarkEnd w:id="163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5</w:t>
      </w:r>
      <w:bookmarkEnd w:id="1641"/>
      <w:r>
        <w:rPr>
          <w:color w:val="000000"/>
          <w:spacing w:val="0"/>
          <w:w w:val="100"/>
          <w:position w:val="0"/>
        </w:rPr>
        <w:t>、</w:t>
        <w:tab/>
        <w:t>其他原因的合并范围变动</w:t>
      </w:r>
      <w:bookmarkEnd w:id="1639"/>
      <w:bookmarkEnd w:id="1640"/>
      <w:bookmarkEnd w:id="164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本公司本年度合并范围新增</w:t>
      </w:r>
      <w:r>
        <w:rPr>
          <w:rFonts w:ascii="Times New Roman" w:eastAsia="Times New Roman" w:hAnsi="Times New Roman" w:cs="Times New Roman"/>
          <w:color w:val="000000"/>
          <w:spacing w:val="0"/>
          <w:w w:val="100"/>
          <w:position w:val="0"/>
        </w:rPr>
        <w:t>2</w:t>
      </w:r>
      <w:r>
        <w:rPr>
          <w:color w:val="000000"/>
          <w:spacing w:val="0"/>
          <w:w w:val="100"/>
          <w:position w:val="0"/>
        </w:rPr>
        <w:t>家子公司仁东资产管理（青岛）有限公司、民盛友租（北京）科技有限公司。</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color w:val="000000"/>
          <w:spacing w:val="0"/>
          <w:w w:val="100"/>
          <w:position w:val="0"/>
        </w:rPr>
        <w:t>、</w:t>
        <w:tab/>
        <w:t>其他</w:t>
      </w:r>
      <w:bookmarkEnd w:id="1643"/>
      <w:bookmarkEnd w:id="1644"/>
      <w:bookmarkEnd w:id="1646"/>
    </w:p>
    <w:p>
      <w:pPr>
        <w:pStyle w:val="Style24"/>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sz w:val="24"/>
          <w:szCs w:val="24"/>
        </w:rPr>
        <w:t>九</w:t>
      </w:r>
      <w:bookmarkEnd w:id="1649"/>
      <w:r>
        <w:rPr>
          <w:color w:val="000000"/>
          <w:spacing w:val="0"/>
          <w:w w:val="100"/>
          <w:position w:val="0"/>
          <w:sz w:val="24"/>
          <w:szCs w:val="24"/>
        </w:rPr>
        <w:t>、在其他主体中的权益</w:t>
      </w:r>
      <w:bookmarkEnd w:id="1647"/>
      <w:bookmarkEnd w:id="1648"/>
      <w:bookmarkEnd w:id="1650"/>
    </w:p>
    <w:p>
      <w:pPr>
        <w:pStyle w:val="Style33"/>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bookmarkEnd w:id="1653"/>
      <w:r>
        <w:rPr>
          <w:color w:val="000000"/>
          <w:spacing w:val="0"/>
          <w:w w:val="100"/>
          <w:position w:val="0"/>
        </w:rPr>
        <w:t>、在子公司中的权益</w:t>
      </w:r>
      <w:bookmarkEnd w:id="1651"/>
      <w:bookmarkEnd w:id="1652"/>
      <w:bookmarkEnd w:id="1654"/>
    </w:p>
    <w:p>
      <w:pPr>
        <w:pStyle w:val="Style33"/>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1"/>
      <w:bookmarkEnd w:id="1652"/>
      <w:bookmarkEnd w:id="165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浙江仁东新材料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民盛租赁有限公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仁东（深圳）大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共青城仁东投资 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广东合利金融科 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天津仁东信息技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天津民盛国际融 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北京仁东科技有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科技推广和应用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北京仁东无双信 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科技推广和应用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广州合利征信服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广州合利宝支付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深圳前海合利商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深圳前海民盛天 宫供应链管理有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民盛金科</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广州仁东互联网 小额贷款有限公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民盛友联金融有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民盛支付</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天津亿东科技有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仁东资产管理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民盛友租(北京) 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科技推广和应用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6"/>
      <w:bookmarkEnd w:id="1657"/>
      <w:bookmarkEnd w:id="16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广州合利宝支付科技有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4,213,519.26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25,340,853.23</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67"/>
        </w:numPr>
        <w:shd w:val="clear" w:color="auto" w:fill="auto"/>
        <w:bidi w:val="0"/>
        <w:spacing w:before="0" w:after="380" w:line="240" w:lineRule="auto"/>
        <w:ind w:left="0" w:right="0" w:firstLine="14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重要非全资子公司的主要财务信息</w:t>
      </w:r>
      <w:bookmarkEnd w:id="1659"/>
      <w:bookmarkEnd w:id="1660"/>
      <w:bookmarkEnd w:id="166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广州合 利宝支 付科技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2,193,90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163,427,</w:t>
            </w:r>
          </w:p>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2,357,32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1,847,37</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3,140,00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1,850,51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1,704,87</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5,760,29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1,710,63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1,311,21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7,268.62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1,311,21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7,268.62</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广州合利宝 支付科技有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1,205,804,41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84,270,385.2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84,270,385.2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127,908,460.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1,115,501,55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120,494,069.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120,494,069.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95,547,919.7</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63"/>
      <w:bookmarkEnd w:id="1664"/>
      <w:bookmarkEnd w:id="1666"/>
    </w:p>
    <w:p>
      <w:pPr>
        <w:pStyle w:val="Style33"/>
        <w:keepNext/>
        <w:keepLines/>
        <w:widowControl w:val="0"/>
        <w:shd w:val="clear" w:color="auto" w:fill="auto"/>
        <w:tabs>
          <w:tab w:pos="493" w:val="left"/>
        </w:tabs>
        <w:bidi w:val="0"/>
        <w:spacing w:before="0" w:line="240" w:lineRule="auto"/>
        <w:ind w:left="0" w:right="0" w:firstLine="0"/>
        <w:jc w:val="left"/>
      </w:pPr>
      <w:bookmarkStart w:id="1663" w:name="bookmark1663"/>
      <w:bookmarkStart w:id="1664" w:name="bookmark1664"/>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63"/>
      <w:bookmarkEnd w:id="1664"/>
      <w:bookmarkEnd w:id="166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w:t>
      </w:r>
      <w:bookmarkEnd w:id="1671"/>
      <w:r>
        <w:rPr>
          <w:color w:val="000000"/>
          <w:spacing w:val="0"/>
          <w:w w:val="100"/>
          <w:position w:val="0"/>
        </w:rPr>
        <w:t>、在子公司的所有者权益份额发生变化且仍控制子公司的交易</w:t>
      </w:r>
      <w:bookmarkEnd w:id="1669"/>
      <w:bookmarkEnd w:id="1670"/>
      <w:bookmarkEnd w:id="1672"/>
    </w:p>
    <w:p>
      <w:pPr>
        <w:pStyle w:val="Style33"/>
        <w:keepNext/>
        <w:keepLines/>
        <w:widowControl w:val="0"/>
        <w:shd w:val="clear" w:color="auto" w:fill="auto"/>
        <w:tabs>
          <w:tab w:pos="493" w:val="left"/>
        </w:tabs>
        <w:bidi w:val="0"/>
        <w:spacing w:before="0" w:line="240" w:lineRule="auto"/>
        <w:ind w:left="0" w:right="0" w:firstLine="0"/>
        <w:jc w:val="left"/>
      </w:pPr>
      <w:bookmarkStart w:id="1669" w:name="bookmark1669"/>
      <w:bookmarkStart w:id="1670" w:name="bookmark1670"/>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9"/>
      <w:bookmarkEnd w:id="1670"/>
      <w:bookmarkEnd w:id="1674"/>
    </w:p>
    <w:p>
      <w:pPr>
        <w:pStyle w:val="Style33"/>
        <w:keepNext/>
        <w:keepLines/>
        <w:widowControl w:val="0"/>
        <w:shd w:val="clear" w:color="auto" w:fill="auto"/>
        <w:tabs>
          <w:tab w:pos="493" w:val="left"/>
        </w:tabs>
        <w:bidi w:val="0"/>
        <w:spacing w:before="0" w:line="240" w:lineRule="auto"/>
        <w:ind w:left="0" w:right="0" w:firstLine="0"/>
        <w:jc w:val="left"/>
      </w:pPr>
      <w:bookmarkStart w:id="1669" w:name="bookmark1669"/>
      <w:bookmarkStart w:id="1670" w:name="bookmark1670"/>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9"/>
      <w:bookmarkEnd w:id="1670"/>
      <w:bookmarkEnd w:id="16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color w:val="000000"/>
          <w:spacing w:val="0"/>
          <w:w w:val="100"/>
          <w:position w:val="0"/>
        </w:rPr>
        <w:t>、在合营安排或联营企业中的权益</w:t>
      </w:r>
      <w:bookmarkEnd w:id="1677"/>
      <w:bookmarkEnd w:id="1678"/>
      <w:bookmarkEnd w:id="1680"/>
    </w:p>
    <w:p>
      <w:pPr>
        <w:pStyle w:val="Style33"/>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7"/>
      <w:bookmarkEnd w:id="1678"/>
      <w:bookmarkEnd w:id="1681"/>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82"/>
      <w:bookmarkEnd w:id="1683"/>
      <w:bookmarkEnd w:id="16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685"/>
      <w:bookmarkEnd w:id="1686"/>
      <w:bookmarkEnd w:id="16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14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w:t>
      </w:r>
      <w:bookmarkEnd w:id="169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689"/>
      <w:bookmarkEnd w:id="1690"/>
      <w:bookmarkEnd w:id="169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93"/>
      <w:bookmarkEnd w:id="1694"/>
      <w:bookmarkEnd w:id="1696"/>
    </w:p>
    <w:p>
      <w:pPr>
        <w:pStyle w:val="Style33"/>
        <w:keepNext/>
        <w:keepLines/>
        <w:widowControl w:val="0"/>
        <w:shd w:val="clear" w:color="auto" w:fill="auto"/>
        <w:tabs>
          <w:tab w:pos="493" w:val="left"/>
        </w:tabs>
        <w:bidi w:val="0"/>
        <w:spacing w:before="0" w:after="380" w:line="240" w:lineRule="auto"/>
        <w:ind w:left="0" w:right="0" w:firstLine="0"/>
        <w:jc w:val="left"/>
      </w:pPr>
      <w:bookmarkStart w:id="1693" w:name="bookmark1693"/>
      <w:bookmarkStart w:id="1694" w:name="bookmark1694"/>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93"/>
      <w:bookmarkEnd w:id="1694"/>
      <w:bookmarkEnd w:id="169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99"/>
      <w:bookmarkEnd w:id="1700"/>
      <w:bookmarkEnd w:id="1702"/>
    </w:p>
    <w:p>
      <w:pPr>
        <w:pStyle w:val="Style33"/>
        <w:keepNext/>
        <w:keepLines/>
        <w:widowControl w:val="0"/>
        <w:shd w:val="clear" w:color="auto" w:fill="auto"/>
        <w:tabs>
          <w:tab w:pos="493" w:val="left"/>
        </w:tabs>
        <w:bidi w:val="0"/>
        <w:spacing w:before="0" w:after="380" w:line="240" w:lineRule="auto"/>
        <w:ind w:left="0" w:right="0" w:firstLine="0"/>
        <w:jc w:val="left"/>
      </w:pPr>
      <w:bookmarkStart w:id="1699" w:name="bookmark1699"/>
      <w:bookmarkStart w:id="1700" w:name="bookmark1700"/>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99"/>
      <w:bookmarkEnd w:id="1700"/>
      <w:bookmarkEnd w:id="1704"/>
    </w:p>
    <w:p>
      <w:pPr>
        <w:pStyle w:val="Style33"/>
        <w:keepNext/>
        <w:keepLines/>
        <w:widowControl w:val="0"/>
        <w:shd w:val="clear" w:color="auto" w:fill="auto"/>
        <w:bidi w:val="0"/>
        <w:spacing w:before="0" w:after="300" w:line="240" w:lineRule="auto"/>
        <w:ind w:left="0" w:right="0" w:firstLine="0"/>
        <w:jc w:val="left"/>
      </w:pPr>
      <w:bookmarkStart w:id="1699" w:name="bookmark1699"/>
      <w:bookmarkStart w:id="1700" w:name="bookmark1700"/>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color w:val="000000"/>
          <w:spacing w:val="0"/>
          <w:w w:val="100"/>
          <w:position w:val="0"/>
        </w:rPr>
        <w:t>、重要的共同经营</w:t>
      </w:r>
      <w:bookmarkEnd w:id="1699"/>
      <w:bookmarkEnd w:id="1700"/>
      <w:bookmarkEnd w:id="1706"/>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80" w:val="left"/>
        </w:tabs>
        <w:bidi w:val="0"/>
        <w:spacing w:before="0" w:after="300" w:line="336"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color w:val="000000"/>
          <w:spacing w:val="0"/>
          <w:w w:val="100"/>
          <w:position w:val="0"/>
        </w:rPr>
        <w:t>、</w:t>
        <w:tab/>
        <w:t>在未纳入合并财务报表范围的结构化主体中的权益</w:t>
      </w:r>
      <w:bookmarkEnd w:id="1707"/>
      <w:bookmarkEnd w:id="1708"/>
      <w:bookmarkEnd w:id="171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80" w:val="left"/>
        </w:tabs>
        <w:bidi w:val="0"/>
        <w:spacing w:before="0" w:after="260" w:line="336"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color w:val="000000"/>
          <w:spacing w:val="0"/>
          <w:w w:val="100"/>
          <w:position w:val="0"/>
        </w:rPr>
        <w:t>、</w:t>
        <w:tab/>
        <w:t>其他</w:t>
      </w:r>
      <w:bookmarkEnd w:id="1711"/>
      <w:bookmarkEnd w:id="1712"/>
      <w:bookmarkEnd w:id="1714"/>
    </w:p>
    <w:p>
      <w:pPr>
        <w:pStyle w:val="Style24"/>
        <w:keepNext/>
        <w:keepLines/>
        <w:widowControl w:val="0"/>
        <w:shd w:val="clear" w:color="auto" w:fill="auto"/>
        <w:bidi w:val="0"/>
        <w:spacing w:before="0" w:after="260" w:line="240" w:lineRule="auto"/>
        <w:ind w:left="0" w:right="0" w:firstLine="0"/>
        <w:jc w:val="left"/>
      </w:pPr>
      <w:bookmarkStart w:id="1715" w:name="bookmark1715"/>
      <w:bookmarkStart w:id="1716" w:name="bookmark1716"/>
      <w:bookmarkStart w:id="1717" w:name="bookmark1717"/>
      <w:r>
        <w:rPr>
          <w:color w:val="000000"/>
          <w:spacing w:val="0"/>
          <w:w w:val="100"/>
          <w:position w:val="0"/>
          <w:sz w:val="24"/>
          <w:szCs w:val="24"/>
        </w:rPr>
        <w:t>十、与金融工具相关的风险</w:t>
      </w:r>
      <w:bookmarkEnd w:id="1715"/>
      <w:bookmarkEnd w:id="1716"/>
      <w:bookmarkEnd w:id="1717"/>
    </w:p>
    <w:p>
      <w:pPr>
        <w:pStyle w:val="Style37"/>
        <w:keepNext w:val="0"/>
        <w:keepLines w:val="0"/>
        <w:widowControl w:val="0"/>
        <w:shd w:val="clear" w:color="auto" w:fill="auto"/>
        <w:bidi w:val="0"/>
        <w:spacing w:before="0" w:after="300" w:line="322" w:lineRule="exact"/>
        <w:ind w:left="0" w:right="0"/>
        <w:jc w:val="both"/>
      </w:pPr>
      <w:r>
        <w:rPr>
          <w:b/>
          <w:bCs/>
          <w:color w:val="000000"/>
          <w:spacing w:val="0"/>
          <w:w w:val="100"/>
          <w:position w:val="0"/>
        </w:rPr>
        <w:t>1</w:t>
      </w:r>
      <w:r>
        <w:rPr>
          <w:color w:val="000000"/>
          <w:spacing w:val="0"/>
          <w:w w:val="100"/>
          <w:position w:val="0"/>
        </w:rPr>
        <w:t>、本公司的经营活动会面临各种金融风险：市场风险、信用风险和流动性风险。本公司已制定风险管理政 策，力求减少各种风险对财务业绩的潜在不利影响。</w:t>
      </w:r>
    </w:p>
    <w:p>
      <w:pPr>
        <w:pStyle w:val="Style37"/>
        <w:keepNext w:val="0"/>
        <w:keepLines w:val="0"/>
        <w:widowControl w:val="0"/>
        <w:shd w:val="clear" w:color="auto" w:fill="auto"/>
        <w:tabs>
          <w:tab w:pos="808" w:val="left"/>
        </w:tabs>
        <w:bidi w:val="0"/>
        <w:spacing w:before="0" w:after="0" w:line="314" w:lineRule="exact"/>
        <w:ind w:left="0" w:right="0"/>
        <w:jc w:val="both"/>
      </w:pPr>
      <w:bookmarkStart w:id="1718" w:name="bookmark1718"/>
      <w:r>
        <w:rPr>
          <w:b/>
          <w:bCs/>
          <w:color w:val="000000"/>
          <w:spacing w:val="0"/>
          <w:w w:val="100"/>
          <w:position w:val="0"/>
        </w:rPr>
        <w:t>2</w:t>
      </w:r>
      <w:bookmarkEnd w:id="1718"/>
      <w:r>
        <w:rPr>
          <w:color w:val="000000"/>
          <w:spacing w:val="0"/>
          <w:w w:val="100"/>
          <w:position w:val="0"/>
        </w:rPr>
        <w:t>、</w:t>
        <w:tab/>
        <w:t>市场风险</w:t>
      </w:r>
    </w:p>
    <w:p>
      <w:pPr>
        <w:pStyle w:val="Style37"/>
        <w:keepNext w:val="0"/>
        <w:keepLines w:val="0"/>
        <w:widowControl w:val="0"/>
        <w:shd w:val="clear" w:color="auto" w:fill="auto"/>
        <w:tabs>
          <w:tab w:pos="904" w:val="left"/>
        </w:tabs>
        <w:bidi w:val="0"/>
        <w:spacing w:before="0" w:after="0" w:line="314" w:lineRule="exact"/>
        <w:ind w:left="0" w:right="0"/>
        <w:jc w:val="both"/>
      </w:pPr>
      <w:bookmarkStart w:id="1719" w:name="bookmark1719"/>
      <w:r>
        <w:rPr>
          <w:color w:val="000000"/>
          <w:spacing w:val="0"/>
          <w:w w:val="100"/>
          <w:position w:val="0"/>
        </w:rPr>
        <w:t>（</w:t>
      </w:r>
      <w:bookmarkEnd w:id="1719"/>
      <w:r>
        <w:rPr>
          <w:b/>
          <w:bCs/>
          <w:color w:val="000000"/>
          <w:spacing w:val="0"/>
          <w:w w:val="100"/>
          <w:position w:val="0"/>
        </w:rPr>
        <w:t>1</w:t>
      </w:r>
      <w:r>
        <w:rPr>
          <w:color w:val="000000"/>
          <w:spacing w:val="0"/>
          <w:w w:val="100"/>
          <w:position w:val="0"/>
        </w:rPr>
        <w:t>）</w:t>
        <w:tab/>
        <w:t>利率风险</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本公司的利率风险主要产生于银行借款，固定利率的金融负债使本公司面临公允价值利率风险。</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管理层会依据最新市场状况及时作出调整，未来利率变化不会对本公司的经营业绩造成重大不利影响。</w:t>
      </w:r>
    </w:p>
    <w:p>
      <w:pPr>
        <w:pStyle w:val="Style37"/>
        <w:keepNext w:val="0"/>
        <w:keepLines w:val="0"/>
        <w:widowControl w:val="0"/>
        <w:shd w:val="clear" w:color="auto" w:fill="auto"/>
        <w:tabs>
          <w:tab w:pos="904" w:val="left"/>
        </w:tabs>
        <w:bidi w:val="0"/>
        <w:spacing w:before="0" w:after="0" w:line="314" w:lineRule="exact"/>
        <w:ind w:left="0" w:right="0"/>
        <w:jc w:val="both"/>
      </w:pPr>
      <w:bookmarkStart w:id="1720" w:name="bookmark1720"/>
      <w:r>
        <w:rPr>
          <w:color w:val="000000"/>
          <w:spacing w:val="0"/>
          <w:w w:val="100"/>
          <w:position w:val="0"/>
        </w:rPr>
        <w:t>（</w:t>
      </w:r>
      <w:bookmarkEnd w:id="1720"/>
      <w:r>
        <w:rPr>
          <w:b/>
          <w:bCs/>
          <w:color w:val="000000"/>
          <w:spacing w:val="0"/>
          <w:w w:val="100"/>
          <w:position w:val="0"/>
        </w:rPr>
        <w:t>2</w:t>
      </w:r>
      <w:r>
        <w:rPr>
          <w:color w:val="000000"/>
          <w:spacing w:val="0"/>
          <w:w w:val="100"/>
          <w:position w:val="0"/>
        </w:rPr>
        <w:t>）</w:t>
        <w:tab/>
        <w:t>其他价格风险</w:t>
      </w:r>
    </w:p>
    <w:p>
      <w:pPr>
        <w:pStyle w:val="Style37"/>
        <w:keepNext w:val="0"/>
        <w:keepLines w:val="0"/>
        <w:widowControl w:val="0"/>
        <w:shd w:val="clear" w:color="auto" w:fill="auto"/>
        <w:bidi w:val="0"/>
        <w:spacing w:before="0" w:after="0" w:line="314" w:lineRule="exact"/>
        <w:ind w:left="0" w:right="0" w:firstLine="920"/>
        <w:jc w:val="left"/>
      </w:pPr>
      <w:r>
        <w:rPr>
          <w:color w:val="000000"/>
          <w:spacing w:val="0"/>
          <w:w w:val="100"/>
          <w:position w:val="0"/>
        </w:rPr>
        <w:t>无</w:t>
      </w:r>
    </w:p>
    <w:p>
      <w:pPr>
        <w:pStyle w:val="Style37"/>
        <w:keepNext w:val="0"/>
        <w:keepLines w:val="0"/>
        <w:widowControl w:val="0"/>
        <w:shd w:val="clear" w:color="auto" w:fill="auto"/>
        <w:tabs>
          <w:tab w:pos="808" w:val="left"/>
        </w:tabs>
        <w:bidi w:val="0"/>
        <w:spacing w:before="0" w:after="0" w:line="314" w:lineRule="exact"/>
        <w:ind w:left="0" w:right="0"/>
        <w:jc w:val="both"/>
      </w:pPr>
      <w:bookmarkStart w:id="1721" w:name="bookmark1721"/>
      <w:r>
        <w:rPr>
          <w:b/>
          <w:bCs/>
          <w:color w:val="000000"/>
          <w:spacing w:val="0"/>
          <w:w w:val="100"/>
          <w:position w:val="0"/>
        </w:rPr>
        <w:t>3</w:t>
      </w:r>
      <w:bookmarkEnd w:id="1721"/>
      <w:r>
        <w:rPr>
          <w:color w:val="000000"/>
          <w:spacing w:val="0"/>
          <w:w w:val="100"/>
          <w:position w:val="0"/>
        </w:rPr>
        <w:t>、</w:t>
        <w:tab/>
        <w:t>信用风险</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本公司对信用风险按组合分类进行管理。信用风险主要产生于银行存款、应收账款、其他应收款、应收票 据、应收融资租赁款、贷款、以及债券、基金、理财产品等其他金融资产。</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本公司银行存款主要存放于国有银行和其它大中型上市银行，本公司认为其不存在重大的信用风险，不会 产生因对方单位违约而导致的任何重大损失。</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对于应收账款、其他应收款和应收票据，本公司设定相关政策以控制信用风险敞口。本公司基于对客户的 财务状况、从第三方获取担保的可能性、信用记录及目前市场状况等其它因素评估客户的信用资质并设置相应 信用期。</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对于租赁公司提供的租赁业务，本公司仅与经认可的、信誉良好的第三方进行交易。按照本公司的政策， 对所有采用信用方式进行交易的客户均需进行信用审核。本公司对于长期应收租赁款余额进行持续监控，以确 保不导致本公司面临重大坏账风险。</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本公司其他金融资产包括理财产品等金融工具。本公司对合作的银行、信托公司、证券公司和基金公司实 行评级准入制度，对信托收益权回购方、同业理财产品发行方、定向资产管理计划最终融资方设定授信额度， 并定期进行后续风险管理；对单个金融机构的信用风险进行定期的审阅和管理；对于与本公司有资金往来的单 个银行或非银行金融机构均设定有信用额度。本公司通过控制投资规模、设定发行主体准入名单、评级准入、 投后管理等机制管理上述金融资产的信用风险敞口。</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本公司定期对客户信用记录进行监控，对于信用记录不良的客户，本公司采用书面催款、缩短信用期或取 消信用期等方式，以确保本公司整体信用风险可控。</w:t>
      </w:r>
    </w:p>
    <w:p>
      <w:pPr>
        <w:pStyle w:val="Style37"/>
        <w:keepNext w:val="0"/>
        <w:keepLines w:val="0"/>
        <w:widowControl w:val="0"/>
        <w:shd w:val="clear" w:color="auto" w:fill="auto"/>
        <w:tabs>
          <w:tab w:pos="808" w:val="left"/>
        </w:tabs>
        <w:bidi w:val="0"/>
        <w:spacing w:before="0" w:after="0" w:line="314" w:lineRule="exact"/>
        <w:ind w:left="0" w:right="0"/>
        <w:jc w:val="both"/>
      </w:pPr>
      <w:bookmarkStart w:id="1722" w:name="bookmark1722"/>
      <w:r>
        <w:rPr>
          <w:b/>
          <w:bCs/>
          <w:color w:val="000000"/>
          <w:spacing w:val="0"/>
          <w:w w:val="100"/>
          <w:position w:val="0"/>
        </w:rPr>
        <w:t>4</w:t>
      </w:r>
      <w:bookmarkEnd w:id="1722"/>
      <w:r>
        <w:rPr>
          <w:color w:val="000000"/>
          <w:spacing w:val="0"/>
          <w:w w:val="100"/>
          <w:position w:val="0"/>
        </w:rPr>
        <w:t>、</w:t>
        <w:tab/>
        <w:t>流动性风险</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流动性风险，是指本公司在履行以交付现金或其他金融资产的方式结算的义务时发生资金短缺的风险。</w:t>
      </w:r>
    </w:p>
    <w:p>
      <w:pPr>
        <w:pStyle w:val="Style37"/>
        <w:keepNext w:val="0"/>
        <w:keepLines w:val="0"/>
        <w:widowControl w:val="0"/>
        <w:shd w:val="clear" w:color="auto" w:fill="auto"/>
        <w:bidi w:val="0"/>
        <w:spacing w:before="0" w:after="360" w:line="314" w:lineRule="exact"/>
        <w:ind w:left="0" w:right="0"/>
        <w:jc w:val="both"/>
      </w:pPr>
      <w:r>
        <w:rPr>
          <w:color w:val="000000"/>
          <w:spacing w:val="0"/>
          <w:w w:val="100"/>
          <w:position w:val="0"/>
        </w:rPr>
        <w:t>管理流动风险时，本公司保持管理层认为充分的现金及现金等价物并对其进行监控，以满足本公司的经营 需要，并降低现金流量波动的影响。本公司管理层对银行借款的使用情况进行监控并确保遵守借款协议。同时 从主要金融机构获得提供足够备用资金的承诺，以满足短期和长期的资金需求。</w:t>
      </w:r>
    </w:p>
    <w:p>
      <w:pPr>
        <w:pStyle w:val="Style24"/>
        <w:keepNext/>
        <w:keepLines/>
        <w:widowControl w:val="0"/>
        <w:shd w:val="clear" w:color="auto" w:fill="auto"/>
        <w:bidi w:val="0"/>
        <w:spacing w:before="0" w:after="280" w:line="240" w:lineRule="auto"/>
        <w:ind w:left="0" w:right="0" w:firstLine="0"/>
        <w:jc w:val="left"/>
      </w:pPr>
      <w:bookmarkStart w:id="1723" w:name="bookmark1723"/>
      <w:bookmarkStart w:id="1724" w:name="bookmark1724"/>
      <w:bookmarkStart w:id="1725" w:name="bookmark1725"/>
      <w:r>
        <w:rPr>
          <w:color w:val="000000"/>
          <w:spacing w:val="0"/>
          <w:w w:val="100"/>
          <w:position w:val="0"/>
          <w:sz w:val="24"/>
          <w:szCs w:val="24"/>
        </w:rPr>
        <w:t>十^一、公允价值的披露</w:t>
      </w:r>
      <w:bookmarkEnd w:id="1723"/>
      <w:bookmarkEnd w:id="1724"/>
      <w:bookmarkEnd w:id="1725"/>
    </w:p>
    <w:p>
      <w:pPr>
        <w:pStyle w:val="Style33"/>
        <w:keepNext/>
        <w:keepLines/>
        <w:widowControl w:val="0"/>
        <w:shd w:val="clear" w:color="auto" w:fill="auto"/>
        <w:bidi w:val="0"/>
        <w:spacing w:before="0" w:line="314" w:lineRule="exact"/>
        <w:ind w:left="0" w:right="0" w:firstLine="0"/>
        <w:jc w:val="left"/>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26"/>
      <w:bookmarkEnd w:id="1727"/>
      <w:bookmarkEnd w:id="17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341,157,500.00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341,157,500.00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341,157,500.00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341,157,500.00</w:t>
            </w:r>
          </w:p>
        </w:tc>
      </w:tr>
    </w:tbl>
    <w:p>
      <w:pPr>
        <w:widowControl w:val="0"/>
        <w:spacing w:line="1" w:lineRule="exact"/>
      </w:pPr>
    </w:p>
    <w:tbl>
      <w:tblPr>
        <w:tblOverlap w:val="never"/>
        <w:jc w:val="center"/>
        <w:tblLayout w:type="fixed"/>
      </w:tblPr>
      <w:tblGrid>
        <w:gridCol w:w="2002"/>
        <w:gridCol w:w="1838"/>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29" w:name="bookmark1729"/>
      <w:r>
        <w:rPr>
          <w:rFonts w:ascii="Times New Roman" w:eastAsia="Times New Roman" w:hAnsi="Times New Roman" w:cs="Times New Roman"/>
          <w:b/>
          <w:bCs/>
          <w:color w:val="000000"/>
          <w:spacing w:val="0"/>
          <w:w w:val="100"/>
          <w:position w:val="0"/>
        </w:rPr>
        <w:t>2</w:t>
      </w:r>
      <w:bookmarkEnd w:id="1729"/>
      <w:r>
        <w:rPr>
          <w:b/>
          <w:bCs/>
          <w:color w:val="000000"/>
          <w:spacing w:val="0"/>
          <w:w w:val="100"/>
          <w:position w:val="0"/>
        </w:rPr>
        <w:t>、</w:t>
        <w:tab/>
        <w:t>持续和非持续第一层次公允价值计量项目市价的确定依据</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0" w:name="bookmark1730"/>
      <w:r>
        <w:rPr>
          <w:rFonts w:ascii="Times New Roman" w:eastAsia="Times New Roman" w:hAnsi="Times New Roman" w:cs="Times New Roman"/>
          <w:b/>
          <w:bCs/>
          <w:color w:val="000000"/>
          <w:spacing w:val="0"/>
          <w:w w:val="100"/>
          <w:position w:val="0"/>
        </w:rPr>
        <w:t>3</w:t>
      </w:r>
      <w:bookmarkEnd w:id="1730"/>
      <w:r>
        <w:rPr>
          <w:b/>
          <w:bCs/>
          <w:color w:val="000000"/>
          <w:spacing w:val="0"/>
          <w:w w:val="100"/>
          <w:position w:val="0"/>
        </w:rPr>
        <w:t>、</w:t>
        <w:tab/>
        <w:t>持续和非持续第二层次公允价值计量项目，采用的估值技术和重要参数的定性及定量信息</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1" w:name="bookmark1731"/>
      <w:r>
        <w:rPr>
          <w:rFonts w:ascii="Times New Roman" w:eastAsia="Times New Roman" w:hAnsi="Times New Roman" w:cs="Times New Roman"/>
          <w:b/>
          <w:bCs/>
          <w:color w:val="000000"/>
          <w:spacing w:val="0"/>
          <w:w w:val="100"/>
          <w:position w:val="0"/>
        </w:rPr>
        <w:t>4</w:t>
      </w:r>
      <w:bookmarkEnd w:id="1731"/>
      <w:r>
        <w:rPr>
          <w:b/>
          <w:bCs/>
          <w:color w:val="000000"/>
          <w:spacing w:val="0"/>
          <w:w w:val="100"/>
          <w:position w:val="0"/>
        </w:rPr>
        <w:t>、</w:t>
        <w:tab/>
        <w:t>持续和非持续第三层次公允价值计量项目，采用的估值技术和重要参数的定性及定量信息</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2" w:name="bookmark1732"/>
      <w:r>
        <w:rPr>
          <w:rFonts w:ascii="Times New Roman" w:eastAsia="Times New Roman" w:hAnsi="Times New Roman" w:cs="Times New Roman"/>
          <w:b/>
          <w:bCs/>
          <w:color w:val="000000"/>
          <w:spacing w:val="0"/>
          <w:w w:val="100"/>
          <w:position w:val="0"/>
        </w:rPr>
        <w:t>5</w:t>
      </w:r>
      <w:bookmarkEnd w:id="1732"/>
      <w:r>
        <w:rPr>
          <w:b/>
          <w:bCs/>
          <w:color w:val="000000"/>
          <w:spacing w:val="0"/>
          <w:w w:val="100"/>
          <w:position w:val="0"/>
        </w:rPr>
        <w:t>、</w:t>
        <w:tab/>
        <w:t>持续的第三层次公允价值计量项目，期初与期末账面价值间的调节信息及不可观察参数敏感性分析</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3" w:name="bookmark1733"/>
      <w:r>
        <w:rPr>
          <w:rFonts w:ascii="Times New Roman" w:eastAsia="Times New Roman" w:hAnsi="Times New Roman" w:cs="Times New Roman"/>
          <w:b/>
          <w:bCs/>
          <w:color w:val="000000"/>
          <w:spacing w:val="0"/>
          <w:w w:val="100"/>
          <w:position w:val="0"/>
        </w:rPr>
        <w:t>6</w:t>
      </w:r>
      <w:bookmarkEnd w:id="1733"/>
      <w:r>
        <w:rPr>
          <w:b/>
          <w:bCs/>
          <w:color w:val="000000"/>
          <w:spacing w:val="0"/>
          <w:w w:val="100"/>
          <w:position w:val="0"/>
        </w:rPr>
        <w:t>、</w:t>
        <w:tab/>
        <w:t>持续的公允价值计量项目，本期内发生各层级之间转换的，转换的原因及确定转换时点的政策</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4" w:name="bookmark1734"/>
      <w:r>
        <w:rPr>
          <w:rFonts w:ascii="Times New Roman" w:eastAsia="Times New Roman" w:hAnsi="Times New Roman" w:cs="Times New Roman"/>
          <w:b/>
          <w:bCs/>
          <w:color w:val="000000"/>
          <w:spacing w:val="0"/>
          <w:w w:val="100"/>
          <w:position w:val="0"/>
        </w:rPr>
        <w:t>7</w:t>
      </w:r>
      <w:bookmarkEnd w:id="1734"/>
      <w:r>
        <w:rPr>
          <w:b/>
          <w:bCs/>
          <w:color w:val="000000"/>
          <w:spacing w:val="0"/>
          <w:w w:val="100"/>
          <w:position w:val="0"/>
        </w:rPr>
        <w:t>、</w:t>
        <w:tab/>
        <w:t>本期内发生的估值技术变更及变更原因</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5" w:name="bookmark1735"/>
      <w:r>
        <w:rPr>
          <w:rFonts w:ascii="Times New Roman" w:eastAsia="Times New Roman" w:hAnsi="Times New Roman" w:cs="Times New Roman"/>
          <w:b/>
          <w:bCs/>
          <w:color w:val="000000"/>
          <w:spacing w:val="0"/>
          <w:w w:val="100"/>
          <w:position w:val="0"/>
        </w:rPr>
        <w:t>8</w:t>
      </w:r>
      <w:bookmarkEnd w:id="1735"/>
      <w:r>
        <w:rPr>
          <w:b/>
          <w:bCs/>
          <w:color w:val="000000"/>
          <w:spacing w:val="0"/>
          <w:w w:val="100"/>
          <w:position w:val="0"/>
        </w:rPr>
        <w:t>、</w:t>
        <w:tab/>
        <w:t>不以公允价值计量的金融资产和金融负债的公允价值情况</w:t>
      </w:r>
    </w:p>
    <w:p>
      <w:pPr>
        <w:pStyle w:val="Style37"/>
        <w:keepNext w:val="0"/>
        <w:keepLines w:val="0"/>
        <w:widowControl w:val="0"/>
        <w:shd w:val="clear" w:color="auto" w:fill="auto"/>
        <w:tabs>
          <w:tab w:pos="378" w:val="left"/>
        </w:tabs>
        <w:bidi w:val="0"/>
        <w:spacing w:before="0" w:after="280" w:line="313" w:lineRule="exact"/>
        <w:ind w:left="0" w:right="0" w:firstLine="0"/>
        <w:jc w:val="both"/>
      </w:pPr>
      <w:bookmarkStart w:id="1736" w:name="bookmark1736"/>
      <w:r>
        <w:rPr>
          <w:rFonts w:ascii="Times New Roman" w:eastAsia="Times New Roman" w:hAnsi="Times New Roman" w:cs="Times New Roman"/>
          <w:b/>
          <w:bCs/>
          <w:color w:val="000000"/>
          <w:spacing w:val="0"/>
          <w:w w:val="100"/>
          <w:position w:val="0"/>
        </w:rPr>
        <w:t>9</w:t>
      </w:r>
      <w:bookmarkEnd w:id="1736"/>
      <w:r>
        <w:rPr>
          <w:b/>
          <w:bCs/>
          <w:color w:val="000000"/>
          <w:spacing w:val="0"/>
          <w:w w:val="100"/>
          <w:position w:val="0"/>
        </w:rPr>
        <w:t>、</w:t>
        <w:tab/>
        <w:t>其他</w:t>
      </w:r>
    </w:p>
    <w:p>
      <w:pPr>
        <w:pStyle w:val="Style37"/>
        <w:keepNext w:val="0"/>
        <w:keepLines w:val="0"/>
        <w:widowControl w:val="0"/>
        <w:shd w:val="clear" w:color="auto" w:fill="auto"/>
        <w:bidi w:val="0"/>
        <w:spacing w:before="0" w:after="360" w:line="313" w:lineRule="exact"/>
        <w:ind w:left="0" w:right="0" w:firstLine="420"/>
        <w:jc w:val="both"/>
      </w:pPr>
      <w:r>
        <w:rPr>
          <w:color w:val="000000"/>
          <w:spacing w:val="0"/>
          <w:w w:val="100"/>
          <w:position w:val="0"/>
        </w:rPr>
        <w:t>本公司第三层次公允价值计量项目是其他权益工具投资，其他权益工具投资系公司持有无控制、共同控制 和重大影响的</w:t>
      </w:r>
      <w:r>
        <w:rPr>
          <w:b/>
          <w:bCs/>
          <w:color w:val="000000"/>
          <w:spacing w:val="0"/>
          <w:w w:val="100"/>
          <w:position w:val="0"/>
        </w:rPr>
        <w:t>“</w:t>
      </w:r>
      <w:r>
        <w:rPr>
          <w:color w:val="000000"/>
          <w:spacing w:val="0"/>
          <w:w w:val="100"/>
          <w:position w:val="0"/>
        </w:rPr>
        <w:t>三无</w:t>
      </w:r>
      <w:r>
        <w:rPr>
          <w:b/>
          <w:bCs/>
          <w:color w:val="000000"/>
          <w:spacing w:val="0"/>
          <w:w w:val="100"/>
          <w:position w:val="0"/>
        </w:rPr>
        <w:t>”</w:t>
      </w:r>
      <w:r>
        <w:rPr>
          <w:color w:val="000000"/>
          <w:spacing w:val="0"/>
          <w:w w:val="100"/>
          <w:position w:val="0"/>
        </w:rPr>
        <w:t>股权投资，由于被投资单位经营环境和经营情况、财务状况等未发生重大变化，所以公司 除长治银行股份有限公司外，其余按投资成本作为公允价值的合理估计进行计量。对长治银行股份有限公司期 末公允价值的确定基于长治银行股份有限公司</w:t>
      </w:r>
      <w:r>
        <w:rPr>
          <w:b/>
          <w:bCs/>
          <w:color w:val="000000"/>
          <w:spacing w:val="0"/>
          <w:w w:val="100"/>
          <w:position w:val="0"/>
        </w:rPr>
        <w:t>2020</w:t>
      </w:r>
      <w:r>
        <w:rPr>
          <w:color w:val="000000"/>
          <w:spacing w:val="0"/>
          <w:w w:val="100"/>
          <w:position w:val="0"/>
        </w:rPr>
        <w:t>年第二次临时股东大会中议案三净资产确认书议案以及议案 四关于提请审议实施长治银行股份有限公司合并组建新银行折股方案的议案。</w:t>
      </w:r>
    </w:p>
    <w:p>
      <w:pPr>
        <w:pStyle w:val="Style24"/>
        <w:keepNext/>
        <w:keepLines/>
        <w:widowControl w:val="0"/>
        <w:shd w:val="clear" w:color="auto" w:fill="auto"/>
        <w:bidi w:val="0"/>
        <w:spacing w:before="0" w:line="240" w:lineRule="auto"/>
        <w:ind w:left="0" w:right="0" w:firstLine="0"/>
        <w:jc w:val="both"/>
      </w:pPr>
      <w:bookmarkStart w:id="1737" w:name="bookmark1737"/>
      <w:bookmarkStart w:id="1738" w:name="bookmark1738"/>
      <w:bookmarkStart w:id="1739" w:name="bookmark1739"/>
      <w:r>
        <w:rPr>
          <w:color w:val="000000"/>
          <w:spacing w:val="0"/>
          <w:w w:val="100"/>
          <w:position w:val="0"/>
          <w:sz w:val="24"/>
          <w:szCs w:val="24"/>
        </w:rPr>
        <w:t>十二、关联方及关联交易</w:t>
      </w:r>
      <w:bookmarkEnd w:id="1737"/>
      <w:bookmarkEnd w:id="1738"/>
      <w:bookmarkEnd w:id="1739"/>
    </w:p>
    <w:p>
      <w:pPr>
        <w:pStyle w:val="Style33"/>
        <w:keepNext/>
        <w:keepLines/>
        <w:widowControl w:val="0"/>
        <w:shd w:val="clear" w:color="auto" w:fill="auto"/>
        <w:bidi w:val="0"/>
        <w:spacing w:before="0" w:after="280" w:line="240" w:lineRule="auto"/>
        <w:ind w:left="0" w:right="0" w:firstLine="0"/>
        <w:jc w:val="both"/>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0"/>
      <w:bookmarkEnd w:id="1741"/>
      <w:bookmarkEnd w:id="1742"/>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北京仁东信息技术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投资与资产管理、企 业管理、经济信息咨 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w:t>
            </w:r>
          </w:p>
        </w:tc>
      </w:tr>
    </w:tbl>
    <w:p>
      <w:pPr>
        <w:pStyle w:val="Style27"/>
        <w:keepNext w:val="0"/>
        <w:keepLines w:val="0"/>
        <w:widowControl w:val="0"/>
        <w:shd w:val="clear" w:color="auto" w:fill="auto"/>
        <w:bidi w:val="0"/>
        <w:spacing w:before="0" w:after="0" w:line="358" w:lineRule="exact"/>
        <w:ind w:left="0" w:right="0" w:firstLine="0"/>
        <w:jc w:val="left"/>
      </w:pPr>
      <w:r>
        <w:rPr>
          <w:color w:val="000000"/>
          <w:spacing w:val="0"/>
          <w:w w:val="100"/>
          <w:position w:val="0"/>
        </w:rPr>
        <w:t>本企业的母公司情况的说明 本企业最终控制方是霍东。 其他说明：</w:t>
      </w:r>
    </w:p>
    <w:p>
      <w:pPr>
        <w:widowControl w:val="0"/>
        <w:spacing w:after="279" w:line="1" w:lineRule="exact"/>
      </w:pPr>
    </w:p>
    <w:p>
      <w:pPr>
        <w:pStyle w:val="Style33"/>
        <w:keepNext/>
        <w:keepLines/>
        <w:widowControl w:val="0"/>
        <w:shd w:val="clear" w:color="auto" w:fill="auto"/>
        <w:bidi w:val="0"/>
        <w:spacing w:before="0" w:line="240" w:lineRule="auto"/>
        <w:ind w:left="0" w:right="0" w:firstLine="0"/>
        <w:jc w:val="both"/>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743"/>
      <w:bookmarkEnd w:id="1744"/>
      <w:bookmarkEnd w:id="1745"/>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br w:type="page"/>
      </w:r>
    </w:p>
    <w:p>
      <w:pPr>
        <w:pStyle w:val="Style33"/>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3</w:t>
      </w:r>
      <w:bookmarkEnd w:id="1748"/>
      <w:r>
        <w:rPr>
          <w:color w:val="000000"/>
          <w:spacing w:val="0"/>
          <w:w w:val="100"/>
          <w:position w:val="0"/>
        </w:rPr>
        <w:t>、本企业合营和联营企业情况</w:t>
      </w:r>
      <w:bookmarkEnd w:id="1746"/>
      <w:bookmarkEnd w:id="1747"/>
      <w:bookmarkEnd w:id="174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4</w:t>
      </w:r>
      <w:bookmarkEnd w:id="1752"/>
      <w:r>
        <w:rPr>
          <w:color w:val="000000"/>
          <w:spacing w:val="0"/>
          <w:w w:val="100"/>
          <w:position w:val="0"/>
        </w:rPr>
        <w:t>、其他关联方情况</w:t>
      </w:r>
      <w:bookmarkEnd w:id="1750"/>
      <w:bookmarkEnd w:id="1751"/>
      <w:bookmarkEnd w:id="175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股东实际控制人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原本公司实际控制人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田文军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原本公司实际控制人郝江波之配偶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直接或间接持有本公司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张永东之配偶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直接或间接持有本公司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仁东（天津）科技发展集团有限公司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北京仁东实业有限公司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仁东区块链有限公司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北京仁东致远电子商务有限公司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北京仁东文化科技集团有限公司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北京仁东酒业有限公司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仁东资本控股（山东）有限公司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仁东厚德（青岛）资产管理有限公司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金通仁东（广东）股权投资合伙企业（有限合伙）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北京致远厚德投资管理中心（有限合伙）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color w:val="000000"/>
          <w:spacing w:val="0"/>
          <w:w w:val="100"/>
          <w:position w:val="0"/>
        </w:rPr>
        <w:t>、关联交易情况</w:t>
      </w:r>
      <w:bookmarkEnd w:id="1754"/>
      <w:bookmarkEnd w:id="1755"/>
      <w:bookmarkEnd w:id="1757"/>
    </w:p>
    <w:p>
      <w:pPr>
        <w:pStyle w:val="Style33"/>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54"/>
      <w:bookmarkEnd w:id="1755"/>
      <w:bookmarkEnd w:id="17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①支付利息</w:t>
      </w:r>
    </w:p>
    <w:tbl>
      <w:tblPr>
        <w:tblOverlap w:val="never"/>
        <w:jc w:val="left"/>
        <w:tblLayout w:type="fixed"/>
      </w:tblPr>
      <w:tblGrid>
        <w:gridCol w:w="3739"/>
        <w:gridCol w:w="1829"/>
        <w:gridCol w:w="1613"/>
        <w:gridCol w:w="156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北京仁东信息技术有限公司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544,958.34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862,025.01</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59"/>
      <w:bookmarkEnd w:id="1760"/>
      <w:bookmarkEnd w:id="176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62"/>
      <w:bookmarkEnd w:id="1763"/>
      <w:bookmarkEnd w:id="176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66"/>
      <w:bookmarkEnd w:id="1767"/>
      <w:bookmarkEnd w:id="176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北京仁东信息技术有限 公司、仁东（天津）科 技有限公司、广东合利 金融科技服务有限公 司、广州合利宝支付科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北京仁东信息技术有限 公司、仁东（天津）科 技有限公司、广东合利 金融科技服务有限公 司、广州合利宝支付科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天津和柚技术有限公 司、郝江波及配偶田文 军、张永东及其配偶黎 碧。质押物：广东合利 金融科技服务有限公司 拥有的广州合利宝支付 科技有限公司</w:t>
            </w:r>
            <w:r>
              <w:rPr>
                <w:rFonts w:ascii="Times New Roman" w:eastAsia="Times New Roman" w:hAnsi="Times New Roman" w:cs="Times New Roman"/>
                <w:color w:val="000000"/>
                <w:spacing w:val="0"/>
                <w:w w:val="100"/>
                <w:position w:val="0"/>
              </w:rPr>
              <w:t>95%</w:t>
            </w:r>
            <w:r>
              <w:rPr>
                <w:color w:val="000000"/>
                <w:spacing w:val="0"/>
                <w:w w:val="100"/>
                <w:position w:val="0"/>
              </w:rPr>
              <w:t xml:space="preserve">股 权、仁东控股股份有限 公司持有的广东合利金 融科技服务有限公司 </w:t>
            </w:r>
            <w:r>
              <w:rPr>
                <w:rFonts w:ascii="Times New Roman" w:eastAsia="Times New Roman" w:hAnsi="Times New Roman" w:cs="Times New Roman"/>
                <w:color w:val="000000"/>
                <w:spacing w:val="0"/>
                <w:w w:val="100"/>
                <w:position w:val="0"/>
              </w:rPr>
              <w:t>90%</w:t>
            </w:r>
            <w:r>
              <w:rPr>
                <w:color w:val="000000"/>
                <w:spacing w:val="0"/>
                <w:w w:val="100"/>
                <w:position w:val="0"/>
              </w:rPr>
              <w:t>股权、郝江波持有 的天津和柚技术有限公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北京仁东信息技术有限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88,999,778.32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广东合利金融科技服务 有限公司、霍东提供担 保。质押物：北京仁东 信息技术有限公司持有 的仁东控股股份有限公 司</w:t>
            </w:r>
            <w:r>
              <w:rPr>
                <w:rFonts w:ascii="Times New Roman" w:eastAsia="Times New Roman" w:hAnsi="Times New Roman" w:cs="Times New Roman"/>
                <w:color w:val="000000"/>
                <w:spacing w:val="0"/>
                <w:w w:val="100"/>
                <w:position w:val="0"/>
              </w:rPr>
              <w:t>916.833</w:t>
            </w:r>
            <w:r>
              <w:rPr>
                <w:color w:val="000000"/>
                <w:spacing w:val="0"/>
                <w:w w:val="100"/>
                <w:position w:val="0"/>
              </w:rPr>
              <w:t>万股股票。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99,253,250.00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广东合利金融科技服务 有限公司、霍东提供担 保。质押物：北京仁东 信息技术有限公司持有 的仁东控股股份有限公 司</w:t>
            </w:r>
            <w:r>
              <w:rPr>
                <w:rFonts w:ascii="Times New Roman" w:eastAsia="Times New Roman" w:hAnsi="Times New Roman" w:cs="Times New Roman"/>
                <w:color w:val="000000"/>
                <w:spacing w:val="0"/>
                <w:w w:val="100"/>
                <w:position w:val="0"/>
              </w:rPr>
              <w:t>916.833</w:t>
            </w:r>
            <w:r>
              <w:rPr>
                <w:color w:val="000000"/>
                <w:spacing w:val="0"/>
                <w:w w:val="100"/>
                <w:position w:val="0"/>
              </w:rPr>
              <w:t>万股股票。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19,377,716.63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pPr>
            <w:r>
              <w:rPr>
                <w:color w:val="000000"/>
                <w:spacing w:val="0"/>
                <w:w w:val="100"/>
                <w:position w:val="0"/>
              </w:rPr>
              <w:t>广东合利金融科技服务 有限公司、霍东提供担 保。质押物：北京仁东 信息技术有限公司持有 的仁东控股股份有限公 司</w:t>
            </w:r>
            <w:r>
              <w:rPr>
                <w:rFonts w:ascii="Times New Roman" w:eastAsia="Times New Roman" w:hAnsi="Times New Roman" w:cs="Times New Roman"/>
                <w:color w:val="000000"/>
                <w:spacing w:val="0"/>
                <w:w w:val="100"/>
                <w:position w:val="0"/>
              </w:rPr>
              <w:t>916.833</w:t>
            </w:r>
            <w:r>
              <w:rPr>
                <w:color w:val="000000"/>
                <w:spacing w:val="0"/>
                <w:w w:val="100"/>
                <w:position w:val="0"/>
              </w:rPr>
              <w:t>万股股票。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49,229,250.00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广东合利金融科技服务 有限公司、霍东提供担 保。质押物：北京仁东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96,950,000.00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信息技术有限公司持有 的仁东控股股份有限公 司</w:t>
            </w:r>
            <w:r>
              <w:rPr>
                <w:rFonts w:ascii="Times New Roman" w:eastAsia="Times New Roman" w:hAnsi="Times New Roman" w:cs="Times New Roman"/>
                <w:color w:val="000000"/>
                <w:spacing w:val="0"/>
                <w:w w:val="100"/>
                <w:position w:val="0"/>
              </w:rPr>
              <w:t>916.833</w:t>
            </w:r>
            <w:r>
              <w:rPr>
                <w:color w:val="000000"/>
                <w:spacing w:val="0"/>
                <w:w w:val="100"/>
                <w:position w:val="0"/>
              </w:rPr>
              <w:t>万股股票。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广东合利金融科技服务 有限公司、霍东提供担 保。质押物：北京仁东 信息技术有限公司持有 的仁东控股股份有限公 司</w:t>
            </w:r>
            <w:r>
              <w:rPr>
                <w:rFonts w:ascii="Times New Roman" w:eastAsia="Times New Roman" w:hAnsi="Times New Roman" w:cs="Times New Roman"/>
                <w:color w:val="000000"/>
                <w:spacing w:val="0"/>
                <w:w w:val="100"/>
                <w:position w:val="0"/>
              </w:rPr>
              <w:t>916.833</w:t>
            </w:r>
            <w:r>
              <w:rPr>
                <w:color w:val="000000"/>
                <w:spacing w:val="0"/>
                <w:w w:val="100"/>
                <w:position w:val="0"/>
              </w:rPr>
              <w:t>万股股票。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5,164,325.00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北京仁东信息技术有限 公司、仁东控股股份有 限公司、霍东。质押物： 广东合利金融科技服务 有限公司持有的深圳前 海合利商业保理有限公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股权以及天津 民盛金科信息技术有限 公司持有的长治银行股 份有限公司</w:t>
            </w:r>
            <w:r>
              <w:rPr>
                <w:rFonts w:ascii="Times New Roman" w:eastAsia="Times New Roman" w:hAnsi="Times New Roman" w:cs="Times New Roman"/>
                <w:color w:val="000000"/>
                <w:spacing w:val="0"/>
                <w:w w:val="100"/>
                <w:position w:val="0"/>
              </w:rPr>
              <w:t>11,385</w:t>
            </w:r>
            <w:r>
              <w:rPr>
                <w:color w:val="000000"/>
                <w:spacing w:val="0"/>
                <w:w w:val="100"/>
                <w:position w:val="0"/>
              </w:rPr>
              <w:t>万股 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仁东控股股份有限公司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3"/>
        <w:keepNext/>
        <w:keepLines/>
        <w:widowControl w:val="0"/>
        <w:numPr>
          <w:ilvl w:val="0"/>
          <w:numId w:val="63"/>
        </w:numPr>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关联方资金拆借</w:t>
      </w:r>
      <w:bookmarkEnd w:id="1770"/>
      <w:bookmarkEnd w:id="1771"/>
      <w:bookmarkEnd w:id="17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3"/>
        <w:keepNext/>
        <w:keepLines/>
        <w:widowControl w:val="0"/>
        <w:numPr>
          <w:ilvl w:val="0"/>
          <w:numId w:val="63"/>
        </w:numPr>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关联方资产转让、债务重组情况</w:t>
      </w:r>
      <w:bookmarkEnd w:id="1774"/>
      <w:bookmarkEnd w:id="1775"/>
      <w:bookmarkEnd w:id="177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3"/>
        <w:keepNext/>
        <w:keepLines/>
        <w:widowControl w:val="0"/>
        <w:numPr>
          <w:ilvl w:val="0"/>
          <w:numId w:val="63"/>
        </w:numPr>
        <w:shd w:val="clear" w:color="auto" w:fill="auto"/>
        <w:bidi w:val="0"/>
        <w:spacing w:before="0" w:line="240" w:lineRule="auto"/>
        <w:ind w:left="0" w:right="0" w:firstLine="14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关键管理人员报酬</w:t>
      </w:r>
      <w:bookmarkEnd w:id="1778"/>
      <w:bookmarkEnd w:id="1779"/>
      <w:bookmarkEnd w:id="17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11,124,917.50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5,493,423.00</w:t>
            </w:r>
          </w:p>
        </w:tc>
      </w:tr>
    </w:tbl>
    <w:p>
      <w:pPr>
        <w:widowControl w:val="0"/>
        <w:spacing w:after="359" w:line="1" w:lineRule="exact"/>
      </w:pPr>
    </w:p>
    <w:p>
      <w:pPr>
        <w:pStyle w:val="Style33"/>
        <w:keepNext/>
        <w:keepLines/>
        <w:widowControl w:val="0"/>
        <w:numPr>
          <w:ilvl w:val="0"/>
          <w:numId w:val="63"/>
        </w:numPr>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其他关联交易</w:t>
      </w:r>
      <w:bookmarkEnd w:id="1782"/>
      <w:bookmarkEnd w:id="1783"/>
      <w:bookmarkEnd w:id="1785"/>
    </w:p>
    <w:p>
      <w:pPr>
        <w:pStyle w:val="Style33"/>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6" w:name="bookmark1786"/>
      <w:bookmarkStart w:id="1787" w:name="bookmark1787"/>
      <w:r>
        <w:rPr>
          <w:rFonts w:ascii="Times New Roman" w:eastAsia="Times New Roman" w:hAnsi="Times New Roman" w:cs="Times New Roman"/>
          <w:color w:val="000000"/>
          <w:spacing w:val="0"/>
          <w:w w:val="100"/>
          <w:position w:val="0"/>
        </w:rPr>
        <w:t>6</w:t>
      </w:r>
      <w:bookmarkEnd w:id="1786"/>
      <w:r>
        <w:rPr>
          <w:color w:val="000000"/>
          <w:spacing w:val="0"/>
          <w:w w:val="100"/>
          <w:position w:val="0"/>
        </w:rPr>
        <w:t>、关联方应收应付款项</w:t>
      </w:r>
      <w:bookmarkEnd w:id="1782"/>
      <w:bookmarkEnd w:id="1783"/>
      <w:bookmarkEnd w:id="1787"/>
    </w:p>
    <w:p>
      <w:pPr>
        <w:pStyle w:val="Style33"/>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82"/>
      <w:bookmarkEnd w:id="1783"/>
      <w:bookmarkEnd w:id="17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89"/>
      <w:bookmarkEnd w:id="1790"/>
      <w:bookmarkEnd w:id="17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北京仁东信息技术有限公司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80,544,958.34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天津和柚技术有限公司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24,166.67</w:t>
            </w:r>
          </w:p>
        </w:tc>
      </w:tr>
    </w:tbl>
    <w:p>
      <w:pPr>
        <w:widowControl w:val="0"/>
        <w:spacing w:after="359" w:line="1" w:lineRule="exact"/>
      </w:pPr>
    </w:p>
    <w:p>
      <w:pPr>
        <w:pStyle w:val="Style33"/>
        <w:keepNext/>
        <w:keepLines/>
        <w:widowControl w:val="0"/>
        <w:shd w:val="clear" w:color="auto" w:fill="auto"/>
        <w:tabs>
          <w:tab w:pos="373"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7</w:t>
      </w:r>
      <w:bookmarkEnd w:id="1794"/>
      <w:r>
        <w:rPr>
          <w:color w:val="000000"/>
          <w:spacing w:val="0"/>
          <w:w w:val="100"/>
          <w:position w:val="0"/>
        </w:rPr>
        <w:t>、</w:t>
        <w:tab/>
        <w:t>关联方承诺</w:t>
      </w:r>
      <w:bookmarkEnd w:id="1792"/>
      <w:bookmarkEnd w:id="1793"/>
      <w:bookmarkEnd w:id="1795"/>
    </w:p>
    <w:p>
      <w:pPr>
        <w:pStyle w:val="Style33"/>
        <w:keepNext/>
        <w:keepLines/>
        <w:widowControl w:val="0"/>
        <w:shd w:val="clear" w:color="auto" w:fill="auto"/>
        <w:tabs>
          <w:tab w:pos="378" w:val="left"/>
        </w:tabs>
        <w:bidi w:val="0"/>
        <w:spacing w:before="0" w:line="240" w:lineRule="auto"/>
        <w:ind w:left="0" w:right="0" w:firstLine="0"/>
        <w:jc w:val="left"/>
      </w:pPr>
      <w:bookmarkStart w:id="1792" w:name="bookmark1792"/>
      <w:bookmarkStart w:id="1793" w:name="bookmark1793"/>
      <w:bookmarkStart w:id="1796" w:name="bookmark1796"/>
      <w:bookmarkStart w:id="1797" w:name="bookmark1797"/>
      <w:r>
        <w:rPr>
          <w:rFonts w:ascii="Times New Roman" w:eastAsia="Times New Roman" w:hAnsi="Times New Roman" w:cs="Times New Roman"/>
          <w:color w:val="000000"/>
          <w:spacing w:val="0"/>
          <w:w w:val="100"/>
          <w:position w:val="0"/>
        </w:rPr>
        <w:t>8</w:t>
      </w:r>
      <w:bookmarkEnd w:id="1796"/>
      <w:r>
        <w:rPr>
          <w:color w:val="000000"/>
          <w:spacing w:val="0"/>
          <w:w w:val="100"/>
          <w:position w:val="0"/>
        </w:rPr>
        <w:t>、</w:t>
        <w:tab/>
        <w:t>其他</w:t>
      </w:r>
      <w:bookmarkEnd w:id="1792"/>
      <w:bookmarkEnd w:id="1793"/>
      <w:bookmarkEnd w:id="1797"/>
    </w:p>
    <w:p>
      <w:pPr>
        <w:pStyle w:val="Style24"/>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color w:val="000000"/>
          <w:spacing w:val="0"/>
          <w:w w:val="100"/>
          <w:position w:val="0"/>
          <w:sz w:val="24"/>
          <w:szCs w:val="24"/>
        </w:rPr>
        <w:t>十三、股份支付</w:t>
      </w:r>
      <w:bookmarkEnd w:id="1798"/>
      <w:bookmarkEnd w:id="1799"/>
      <w:bookmarkEnd w:id="1800"/>
    </w:p>
    <w:p>
      <w:pPr>
        <w:pStyle w:val="Style33"/>
        <w:keepNext/>
        <w:keepLines/>
        <w:widowControl w:val="0"/>
        <w:shd w:val="clear" w:color="auto" w:fill="auto"/>
        <w:tabs>
          <w:tab w:pos="368"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bookmarkEnd w:id="1803"/>
      <w:r>
        <w:rPr>
          <w:color w:val="000000"/>
          <w:spacing w:val="0"/>
          <w:w w:val="100"/>
          <w:position w:val="0"/>
        </w:rPr>
        <w:t>、</w:t>
        <w:tab/>
        <w:t>股份支付总体情况</w:t>
      </w:r>
      <w:bookmarkEnd w:id="1801"/>
      <w:bookmarkEnd w:id="1802"/>
      <w:bookmarkEnd w:id="180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bookmarkEnd w:id="1807"/>
      <w:r>
        <w:rPr>
          <w:color w:val="000000"/>
          <w:spacing w:val="0"/>
          <w:w w:val="100"/>
          <w:position w:val="0"/>
        </w:rPr>
        <w:t>、</w:t>
        <w:tab/>
        <w:t>以权益结算的股份支付情况</w:t>
      </w:r>
      <w:bookmarkEnd w:id="1805"/>
      <w:bookmarkEnd w:id="1806"/>
      <w:bookmarkEnd w:id="180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w:t>
        <w:tab/>
        <w:t>以现金结算的股份支付情况</w:t>
      </w:r>
      <w:bookmarkEnd w:id="1809"/>
      <w:bookmarkEnd w:id="1810"/>
      <w:bookmarkEnd w:id="1812"/>
    </w:p>
    <w:p>
      <w:pPr>
        <w:pStyle w:val="Style29"/>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83" w:right="1033" w:bottom="1431" w:left="101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tabs>
          <w:tab w:pos="378" w:val="left"/>
        </w:tabs>
        <w:bidi w:val="0"/>
        <w:spacing w:before="400" w:after="300"/>
        <w:ind w:left="0" w:right="0" w:firstLine="0"/>
        <w:jc w:val="left"/>
      </w:pPr>
      <w:bookmarkStart w:id="1813" w:name="bookmark1813"/>
      <w:r>
        <w:rPr>
          <w:rFonts w:ascii="Times New Roman" w:eastAsia="Times New Roman" w:hAnsi="Times New Roman" w:cs="Times New Roman"/>
          <w:b/>
          <w:bCs/>
          <w:color w:val="000000"/>
          <w:spacing w:val="0"/>
          <w:w w:val="100"/>
          <w:position w:val="0"/>
        </w:rPr>
        <w:t>4</w:t>
      </w:r>
      <w:bookmarkEnd w:id="1813"/>
      <w:r>
        <w:rPr>
          <w:b/>
          <w:bCs/>
          <w:color w:val="000000"/>
          <w:spacing w:val="0"/>
          <w:w w:val="100"/>
          <w:position w:val="0"/>
        </w:rPr>
        <w:t>、</w:t>
        <w:tab/>
        <w:t>股份支付的修改、终止情况</w:t>
      </w:r>
    </w:p>
    <w:p>
      <w:pPr>
        <w:pStyle w:val="Style37"/>
        <w:keepNext w:val="0"/>
        <w:keepLines w:val="0"/>
        <w:widowControl w:val="0"/>
        <w:shd w:val="clear" w:color="auto" w:fill="auto"/>
        <w:tabs>
          <w:tab w:pos="378" w:val="left"/>
        </w:tabs>
        <w:bidi w:val="0"/>
        <w:spacing w:before="0" w:after="360"/>
        <w:ind w:left="0" w:right="0" w:firstLine="0"/>
        <w:jc w:val="left"/>
      </w:pPr>
      <w:bookmarkStart w:id="1814" w:name="bookmark1814"/>
      <w:r>
        <w:rPr>
          <w:rFonts w:ascii="Times New Roman" w:eastAsia="Times New Roman" w:hAnsi="Times New Roman" w:cs="Times New Roman"/>
          <w:b/>
          <w:bCs/>
          <w:color w:val="000000"/>
          <w:spacing w:val="0"/>
          <w:w w:val="100"/>
          <w:position w:val="0"/>
        </w:rPr>
        <w:t>5</w:t>
      </w:r>
      <w:bookmarkEnd w:id="1814"/>
      <w:r>
        <w:rPr>
          <w:b/>
          <w:bCs/>
          <w:color w:val="000000"/>
          <w:spacing w:val="0"/>
          <w:w w:val="100"/>
          <w:position w:val="0"/>
        </w:rPr>
        <w:t>、</w:t>
        <w:tab/>
        <w:t>其他</w:t>
      </w:r>
    </w:p>
    <w:p>
      <w:pPr>
        <w:pStyle w:val="Style24"/>
        <w:keepNext/>
        <w:keepLines/>
        <w:widowControl w:val="0"/>
        <w:shd w:val="clear" w:color="auto" w:fill="auto"/>
        <w:bidi w:val="0"/>
        <w:spacing w:before="0" w:after="300" w:line="240" w:lineRule="auto"/>
        <w:ind w:left="0" w:right="0" w:firstLine="0"/>
        <w:jc w:val="left"/>
      </w:pPr>
      <w:bookmarkStart w:id="1815" w:name="bookmark1815"/>
      <w:bookmarkStart w:id="1816" w:name="bookmark1816"/>
      <w:bookmarkStart w:id="1817" w:name="bookmark1817"/>
      <w:r>
        <w:rPr>
          <w:color w:val="000000"/>
          <w:spacing w:val="0"/>
          <w:w w:val="100"/>
          <w:position w:val="0"/>
          <w:sz w:val="24"/>
          <w:szCs w:val="24"/>
        </w:rPr>
        <w:t>十四、承诺及或有事项</w:t>
      </w:r>
      <w:bookmarkEnd w:id="1815"/>
      <w:bookmarkEnd w:id="1816"/>
      <w:bookmarkEnd w:id="1817"/>
    </w:p>
    <w:p>
      <w:pPr>
        <w:pStyle w:val="Style33"/>
        <w:keepNext/>
        <w:keepLines/>
        <w:widowControl w:val="0"/>
        <w:shd w:val="clear" w:color="auto" w:fill="auto"/>
        <w:tabs>
          <w:tab w:pos="368" w:val="left"/>
        </w:tabs>
        <w:bidi w:val="0"/>
        <w:spacing w:before="0" w:line="312" w:lineRule="exact"/>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bookmarkEnd w:id="1820"/>
      <w:r>
        <w:rPr>
          <w:color w:val="000000"/>
          <w:spacing w:val="0"/>
          <w:w w:val="100"/>
          <w:position w:val="0"/>
        </w:rPr>
        <w:t>、</w:t>
        <w:tab/>
        <w:t>重要承诺事项</w:t>
      </w:r>
      <w:bookmarkEnd w:id="1818"/>
      <w:bookmarkEnd w:id="1819"/>
      <w:bookmarkEnd w:id="1821"/>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33"/>
        <w:keepNext/>
        <w:keepLines/>
        <w:widowControl w:val="0"/>
        <w:shd w:val="clear" w:color="auto" w:fill="auto"/>
        <w:tabs>
          <w:tab w:pos="378" w:val="left"/>
        </w:tabs>
        <w:bidi w:val="0"/>
        <w:spacing w:before="0" w:after="300" w:line="312" w:lineRule="exact"/>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bookmarkEnd w:id="1824"/>
      <w:r>
        <w:rPr>
          <w:color w:val="000000"/>
          <w:spacing w:val="0"/>
          <w:w w:val="100"/>
          <w:position w:val="0"/>
        </w:rPr>
        <w:t>、</w:t>
        <w:tab/>
        <w:t>或有事项</w:t>
      </w:r>
      <w:bookmarkEnd w:id="1822"/>
      <w:bookmarkEnd w:id="1823"/>
      <w:bookmarkEnd w:id="1825"/>
    </w:p>
    <w:p>
      <w:pPr>
        <w:pStyle w:val="Style33"/>
        <w:keepNext/>
        <w:keepLines/>
        <w:widowControl w:val="0"/>
        <w:shd w:val="clear" w:color="auto" w:fill="auto"/>
        <w:tabs>
          <w:tab w:pos="493" w:val="left"/>
        </w:tabs>
        <w:bidi w:val="0"/>
        <w:spacing w:before="0" w:after="300" w:line="312" w:lineRule="exact"/>
        <w:ind w:left="0" w:right="0" w:firstLine="0"/>
        <w:jc w:val="left"/>
      </w:pPr>
      <w:bookmarkStart w:id="1822" w:name="bookmark1822"/>
      <w:bookmarkStart w:id="1823" w:name="bookmark1823"/>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22"/>
      <w:bookmarkEnd w:id="1823"/>
      <w:bookmarkEnd w:id="1827"/>
    </w:p>
    <w:p>
      <w:pPr>
        <w:pStyle w:val="Style37"/>
        <w:keepNext w:val="0"/>
        <w:keepLines w:val="0"/>
        <w:widowControl w:val="0"/>
        <w:shd w:val="clear" w:color="auto" w:fill="auto"/>
        <w:tabs>
          <w:tab w:pos="884" w:val="left"/>
        </w:tabs>
        <w:bidi w:val="0"/>
        <w:spacing w:before="0" w:after="0"/>
        <w:ind w:left="0" w:right="0" w:firstLine="420"/>
        <w:jc w:val="both"/>
      </w:pPr>
      <w:bookmarkStart w:id="1828" w:name="bookmark1828"/>
      <w:r>
        <w:rPr>
          <w:color w:val="000000"/>
          <w:spacing w:val="0"/>
          <w:w w:val="100"/>
          <w:position w:val="0"/>
        </w:rPr>
        <w:t>（</w:t>
      </w:r>
      <w:bookmarkEnd w:id="1828"/>
      <w:r>
        <w:rPr>
          <w:b/>
          <w:bCs/>
          <w:color w:val="000000"/>
          <w:spacing w:val="0"/>
          <w:w w:val="100"/>
          <w:position w:val="0"/>
        </w:rPr>
        <w:t>1</w:t>
      </w:r>
      <w:r>
        <w:rPr>
          <w:color w:val="000000"/>
          <w:spacing w:val="0"/>
          <w:w w:val="100"/>
          <w:position w:val="0"/>
        </w:rPr>
        <w:t>）</w:t>
        <w:tab/>
        <w:t>未决诉讼仲裁形成的或有负债及其财务影响</w:t>
      </w:r>
    </w:p>
    <w:p>
      <w:pPr>
        <w:pStyle w:val="Style37"/>
        <w:keepNext w:val="0"/>
        <w:keepLines w:val="0"/>
        <w:widowControl w:val="0"/>
        <w:shd w:val="clear" w:color="auto" w:fill="auto"/>
        <w:bidi w:val="0"/>
        <w:spacing w:before="0" w:after="0"/>
        <w:ind w:left="0" w:right="0" w:firstLine="420"/>
        <w:jc w:val="both"/>
      </w:pPr>
      <w:r>
        <w:rPr>
          <w:color w:val="000000"/>
          <w:spacing w:val="0"/>
          <w:w w:val="100"/>
          <w:position w:val="0"/>
        </w:rPr>
        <w:t>公司涉及山西潞城农村商业银行股份有限公司与晋中市榆；！粮油贸易有限公司之间的金融借款担保纠纷事 项。经公司自查确认，公司没有上述诉讼所提及的相关金融借款合同及担保等有关协议，没有接触、签署过上 述文件，也没有相关用印流程。上述连带责任担保事项未经过公司内部审核程序，未经公司董事会、股东大会 等法定流程审议通过，独立董事未发表同意的独立意见，公司从未进行公告，不符合《公司法》《证券法》《深 圳证券交易所股票上市规则》《深圳证券交易所上市公司规范运作指引》和《公司章程》等有关规定，上述诉 讼涉及的本公司连带保证责任不合法不合规，且公司对上述诉讼事项涉及的连带担保责任并不知情，公司对上 述诉讼请求中要求公司承担的连带保证责任不予承认。截至报告日，上述诉讼案件尚未审理完结，公司不存在 《深圳证券交易所股票上市规则》第</w:t>
      </w:r>
      <w:r>
        <w:rPr>
          <w:b/>
          <w:bCs/>
          <w:color w:val="000000"/>
          <w:spacing w:val="0"/>
          <w:w w:val="100"/>
          <w:position w:val="0"/>
        </w:rPr>
        <w:t>13.3.</w:t>
      </w:r>
      <w:r>
        <w:rPr>
          <w:b/>
          <w:bCs/>
          <w:color w:val="000000"/>
          <w:spacing w:val="0"/>
          <w:w w:val="100"/>
          <w:position w:val="0"/>
        </w:rPr>
        <w:t>1</w:t>
      </w:r>
      <w:r>
        <w:rPr>
          <w:color w:val="000000"/>
          <w:spacing w:val="0"/>
          <w:w w:val="100"/>
          <w:position w:val="0"/>
        </w:rPr>
        <w:t>条、第</w:t>
      </w:r>
      <w:r>
        <w:rPr>
          <w:b/>
          <w:bCs/>
          <w:color w:val="000000"/>
          <w:spacing w:val="0"/>
          <w:w w:val="100"/>
          <w:position w:val="0"/>
        </w:rPr>
        <w:t>13.3.</w:t>
      </w:r>
      <w:r>
        <w:rPr>
          <w:b/>
          <w:bCs/>
          <w:color w:val="000000"/>
          <w:spacing w:val="0"/>
          <w:w w:val="100"/>
          <w:position w:val="0"/>
        </w:rPr>
        <w:t>2</w:t>
      </w:r>
      <w:r>
        <w:rPr>
          <w:color w:val="000000"/>
          <w:spacing w:val="0"/>
          <w:w w:val="100"/>
          <w:position w:val="0"/>
        </w:rPr>
        <w:t>条规定的应实行</w:t>
      </w:r>
      <w:r>
        <w:rPr>
          <w:b/>
          <w:bCs/>
          <w:color w:val="000000"/>
          <w:spacing w:val="0"/>
          <w:w w:val="100"/>
          <w:position w:val="0"/>
        </w:rPr>
        <w:t>“</w:t>
      </w:r>
      <w:r>
        <w:rPr>
          <w:color w:val="000000"/>
          <w:spacing w:val="0"/>
          <w:w w:val="100"/>
          <w:position w:val="0"/>
        </w:rPr>
        <w:t>其他风险警示</w:t>
      </w:r>
      <w:r>
        <w:rPr>
          <w:b/>
          <w:bCs/>
          <w:color w:val="000000"/>
          <w:spacing w:val="0"/>
          <w:w w:val="100"/>
          <w:position w:val="0"/>
        </w:rPr>
        <w:t>”</w:t>
      </w:r>
      <w:r>
        <w:rPr>
          <w:color w:val="000000"/>
          <w:spacing w:val="0"/>
          <w:w w:val="100"/>
          <w:position w:val="0"/>
        </w:rPr>
        <w:t>的情形。预计不会对公 司产生财务影响。</w:t>
      </w:r>
    </w:p>
    <w:p>
      <w:pPr>
        <w:pStyle w:val="Style37"/>
        <w:keepNext w:val="0"/>
        <w:keepLines w:val="0"/>
        <w:widowControl w:val="0"/>
        <w:shd w:val="clear" w:color="auto" w:fill="auto"/>
        <w:tabs>
          <w:tab w:pos="884" w:val="left"/>
        </w:tabs>
        <w:bidi w:val="0"/>
        <w:spacing w:before="0" w:after="0"/>
        <w:ind w:left="0" w:right="0" w:firstLine="420"/>
        <w:jc w:val="both"/>
      </w:pPr>
      <w:bookmarkStart w:id="1829" w:name="bookmark1829"/>
      <w:r>
        <w:rPr>
          <w:color w:val="000000"/>
          <w:spacing w:val="0"/>
          <w:w w:val="100"/>
          <w:position w:val="0"/>
        </w:rPr>
        <w:t>（</w:t>
      </w:r>
      <w:bookmarkEnd w:id="1829"/>
      <w:r>
        <w:rPr>
          <w:b/>
          <w:bCs/>
          <w:color w:val="000000"/>
          <w:spacing w:val="0"/>
          <w:w w:val="100"/>
          <w:position w:val="0"/>
        </w:rPr>
        <w:t>2</w:t>
      </w:r>
      <w:r>
        <w:rPr>
          <w:color w:val="000000"/>
          <w:spacing w:val="0"/>
          <w:w w:val="100"/>
          <w:position w:val="0"/>
        </w:rPr>
        <w:t>）</w:t>
        <w:tab/>
        <w:t>为其他单位提供债务担保形成的或有负债及其财务影响</w:t>
      </w:r>
    </w:p>
    <w:p>
      <w:pPr>
        <w:pStyle w:val="Style37"/>
        <w:keepNext w:val="0"/>
        <w:keepLines w:val="0"/>
        <w:widowControl w:val="0"/>
        <w:shd w:val="clear" w:color="auto" w:fill="auto"/>
        <w:bidi w:val="0"/>
        <w:spacing w:before="0" w:after="300"/>
        <w:ind w:left="0" w:right="0" w:firstLine="420"/>
        <w:jc w:val="both"/>
      </w:pPr>
      <w:r>
        <w:rPr>
          <w:color w:val="000000"/>
          <w:spacing w:val="0"/>
          <w:w w:val="100"/>
          <w:position w:val="0"/>
        </w:rPr>
        <w:t>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日公司无为其他单位提供债务担保形成的或有负债。</w:t>
      </w:r>
    </w:p>
    <w:p>
      <w:pPr>
        <w:pStyle w:val="Style33"/>
        <w:keepNext/>
        <w:keepLines/>
        <w:widowControl w:val="0"/>
        <w:shd w:val="clear" w:color="auto" w:fill="auto"/>
        <w:tabs>
          <w:tab w:pos="493" w:val="left"/>
        </w:tabs>
        <w:bidi w:val="0"/>
        <w:spacing w:before="0" w:line="312" w:lineRule="exact"/>
        <w:ind w:left="0" w:right="0" w:firstLine="0"/>
        <w:jc w:val="both"/>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30"/>
      <w:bookmarkEnd w:id="1831"/>
      <w:bookmarkEnd w:id="1833"/>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公司不存在需要披露的重要或有事项。</w:t>
      </w:r>
    </w:p>
    <w:p>
      <w:pPr>
        <w:pStyle w:val="Style37"/>
        <w:keepNext w:val="0"/>
        <w:keepLines w:val="0"/>
        <w:widowControl w:val="0"/>
        <w:shd w:val="clear" w:color="auto" w:fill="auto"/>
        <w:tabs>
          <w:tab w:pos="378" w:val="left"/>
        </w:tabs>
        <w:bidi w:val="0"/>
        <w:spacing w:before="0" w:after="360"/>
        <w:ind w:left="0" w:right="0" w:firstLine="0"/>
        <w:jc w:val="both"/>
      </w:pPr>
      <w:bookmarkStart w:id="1834" w:name="bookmark1834"/>
      <w:r>
        <w:rPr>
          <w:rFonts w:ascii="Times New Roman" w:eastAsia="Times New Roman" w:hAnsi="Times New Roman" w:cs="Times New Roman"/>
          <w:b/>
          <w:bCs/>
          <w:color w:val="000000"/>
          <w:spacing w:val="0"/>
          <w:w w:val="100"/>
          <w:position w:val="0"/>
        </w:rPr>
        <w:t>3</w:t>
      </w:r>
      <w:bookmarkEnd w:id="1834"/>
      <w:r>
        <w:rPr>
          <w:b/>
          <w:bCs/>
          <w:color w:val="000000"/>
          <w:spacing w:val="0"/>
          <w:w w:val="100"/>
          <w:position w:val="0"/>
        </w:rPr>
        <w:t>、</w:t>
        <w:tab/>
        <w:t>其他</w:t>
      </w:r>
    </w:p>
    <w:p>
      <w:pPr>
        <w:pStyle w:val="Style24"/>
        <w:keepNext/>
        <w:keepLines/>
        <w:widowControl w:val="0"/>
        <w:shd w:val="clear" w:color="auto" w:fill="auto"/>
        <w:bidi w:val="0"/>
        <w:spacing w:before="0" w:after="300" w:line="240" w:lineRule="auto"/>
        <w:ind w:left="0" w:right="0" w:firstLine="0"/>
        <w:jc w:val="both"/>
      </w:pPr>
      <w:bookmarkStart w:id="1835" w:name="bookmark1835"/>
      <w:bookmarkStart w:id="1836" w:name="bookmark1836"/>
      <w:bookmarkStart w:id="1837" w:name="bookmark1837"/>
      <w:r>
        <w:rPr>
          <w:color w:val="000000"/>
          <w:spacing w:val="0"/>
          <w:w w:val="100"/>
          <w:position w:val="0"/>
          <w:sz w:val="24"/>
          <w:szCs w:val="24"/>
        </w:rPr>
        <w:t>十五、资产负债表日后事项</w:t>
      </w:r>
      <w:bookmarkEnd w:id="1835"/>
      <w:bookmarkEnd w:id="1836"/>
      <w:bookmarkEnd w:id="1837"/>
    </w:p>
    <w:p>
      <w:pPr>
        <w:pStyle w:val="Style33"/>
        <w:keepNext/>
        <w:keepLines/>
        <w:widowControl w:val="0"/>
        <w:shd w:val="clear" w:color="auto" w:fill="auto"/>
        <w:bidi w:val="0"/>
        <w:spacing w:before="0" w:line="312" w:lineRule="exact"/>
        <w:ind w:left="0" w:right="0" w:firstLine="0"/>
        <w:jc w:val="both"/>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38"/>
      <w:bookmarkEnd w:id="1839"/>
      <w:bookmarkEnd w:id="18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、利润分配情况</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3</w:t>
      </w:r>
      <w:bookmarkEnd w:id="1843"/>
      <w:r>
        <w:rPr>
          <w:color w:val="000000"/>
          <w:spacing w:val="0"/>
          <w:w w:val="100"/>
          <w:position w:val="0"/>
        </w:rPr>
        <w:t>、</w:t>
        <w:tab/>
        <w:t>销售退回</w:t>
      </w:r>
      <w:bookmarkEnd w:id="1841"/>
      <w:bookmarkEnd w:id="1842"/>
      <w:bookmarkEnd w:id="1844"/>
    </w:p>
    <w:p>
      <w:pPr>
        <w:pStyle w:val="Style33"/>
        <w:keepNext/>
        <w:keepLines/>
        <w:widowControl w:val="0"/>
        <w:shd w:val="clear" w:color="auto" w:fill="auto"/>
        <w:tabs>
          <w:tab w:pos="378" w:val="left"/>
        </w:tabs>
        <w:bidi w:val="0"/>
        <w:spacing w:before="0" w:after="280" w:line="317" w:lineRule="exact"/>
        <w:ind w:left="0" w:right="0" w:firstLine="0"/>
        <w:jc w:val="left"/>
      </w:pPr>
      <w:bookmarkStart w:id="1841" w:name="bookmark1841"/>
      <w:bookmarkStart w:id="1842" w:name="bookmark1842"/>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color w:val="000000"/>
          <w:spacing w:val="0"/>
          <w:w w:val="100"/>
          <w:position w:val="0"/>
        </w:rPr>
        <w:t>、</w:t>
        <w:tab/>
        <w:t>其他资产负债表日后事项说明</w:t>
      </w:r>
      <w:bookmarkEnd w:id="1841"/>
      <w:bookmarkEnd w:id="1842"/>
      <w:bookmarkEnd w:id="1846"/>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中国银保监会于</w:t>
      </w: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30</w:t>
      </w:r>
      <w:r>
        <w:rPr>
          <w:color w:val="000000"/>
          <w:spacing w:val="0"/>
          <w:w w:val="100"/>
          <w:position w:val="0"/>
        </w:rPr>
        <w:t>日批复同意大同银行、长治银行、晋城银行、晋中银行、阳泉市商业银行合并 重组设立山西银行股份有限公司。</w:t>
      </w:r>
    </w:p>
    <w:p>
      <w:pPr>
        <w:pStyle w:val="Style37"/>
        <w:keepNext w:val="0"/>
        <w:keepLines w:val="0"/>
        <w:widowControl w:val="0"/>
        <w:shd w:val="clear" w:color="auto" w:fill="auto"/>
        <w:bidi w:val="0"/>
        <w:spacing w:before="0" w:after="340" w:line="317" w:lineRule="exact"/>
        <w:ind w:left="0" w:right="0"/>
        <w:jc w:val="left"/>
      </w:pPr>
      <w:r>
        <w:rPr>
          <w:color w:val="000000"/>
          <w:spacing w:val="0"/>
          <w:w w:val="100"/>
          <w:position w:val="0"/>
        </w:rPr>
        <w:t>山西银行股份有限公司创立大会于</w:t>
      </w: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15</w:t>
      </w:r>
      <w:r>
        <w:rPr>
          <w:color w:val="000000"/>
          <w:spacing w:val="0"/>
          <w:w w:val="100"/>
          <w:position w:val="0"/>
        </w:rPr>
        <w:t>日在太原召开。</w:t>
      </w:r>
    </w:p>
    <w:p>
      <w:pPr>
        <w:pStyle w:val="Style24"/>
        <w:keepNext/>
        <w:keepLines/>
        <w:widowControl w:val="0"/>
        <w:shd w:val="clear" w:color="auto" w:fill="auto"/>
        <w:bidi w:val="0"/>
        <w:spacing w:before="0" w:after="280" w:line="240" w:lineRule="auto"/>
        <w:ind w:left="0" w:right="0" w:firstLine="0"/>
        <w:jc w:val="left"/>
      </w:pPr>
      <w:bookmarkStart w:id="1847" w:name="bookmark1847"/>
      <w:bookmarkStart w:id="1848" w:name="bookmark1848"/>
      <w:bookmarkStart w:id="1849" w:name="bookmark1849"/>
      <w:r>
        <w:rPr>
          <w:color w:val="000000"/>
          <w:spacing w:val="0"/>
          <w:w w:val="100"/>
          <w:position w:val="0"/>
          <w:sz w:val="24"/>
          <w:szCs w:val="24"/>
        </w:rPr>
        <w:t>十六、其他重要事项</w:t>
      </w:r>
      <w:bookmarkEnd w:id="1847"/>
      <w:bookmarkEnd w:id="1848"/>
      <w:bookmarkEnd w:id="1849"/>
    </w:p>
    <w:p>
      <w:pPr>
        <w:pStyle w:val="Style33"/>
        <w:keepNext/>
        <w:keepLines/>
        <w:widowControl w:val="0"/>
        <w:shd w:val="clear" w:color="auto" w:fill="auto"/>
        <w:bidi w:val="0"/>
        <w:spacing w:before="0" w:after="280" w:line="317" w:lineRule="exact"/>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50"/>
      <w:bookmarkEnd w:id="1851"/>
      <w:bookmarkEnd w:id="1852"/>
    </w:p>
    <w:p>
      <w:pPr>
        <w:pStyle w:val="Style33"/>
        <w:keepNext/>
        <w:keepLines/>
        <w:widowControl w:val="0"/>
        <w:shd w:val="clear" w:color="auto" w:fill="auto"/>
        <w:bidi w:val="0"/>
        <w:spacing w:before="0" w:after="400" w:line="317" w:lineRule="exact"/>
        <w:ind w:left="0" w:right="0" w:firstLine="0"/>
        <w:jc w:val="left"/>
      </w:pPr>
      <w:bookmarkStart w:id="1850" w:name="bookmark1850"/>
      <w:bookmarkStart w:id="1851" w:name="bookmark1851"/>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50"/>
      <w:bookmarkEnd w:id="1851"/>
      <w:bookmarkEnd w:id="18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7"/>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7"/>
        <w:keepNext w:val="0"/>
        <w:keepLines w:val="0"/>
        <w:widowControl w:val="0"/>
        <w:shd w:val="clear" w:color="auto" w:fill="auto"/>
        <w:tabs>
          <w:tab w:pos="378" w:val="left"/>
        </w:tabs>
        <w:bidi w:val="0"/>
        <w:spacing w:before="0" w:after="340" w:line="240" w:lineRule="auto"/>
        <w:ind w:left="0" w:right="0" w:firstLine="0"/>
        <w:jc w:val="both"/>
      </w:pPr>
      <w:bookmarkStart w:id="1854" w:name="bookmark1854"/>
      <w:r>
        <w:rPr>
          <w:rFonts w:ascii="Times New Roman" w:eastAsia="Times New Roman" w:hAnsi="Times New Roman" w:cs="Times New Roman"/>
          <w:b/>
          <w:bCs/>
          <w:color w:val="000000"/>
          <w:spacing w:val="0"/>
          <w:w w:val="100"/>
          <w:position w:val="0"/>
        </w:rPr>
        <w:t>2</w:t>
      </w:r>
      <w:bookmarkEnd w:id="1854"/>
      <w:r>
        <w:rPr>
          <w:b/>
          <w:bCs/>
          <w:color w:val="000000"/>
          <w:spacing w:val="0"/>
          <w:w w:val="100"/>
          <w:position w:val="0"/>
        </w:rPr>
        <w:t>、</w:t>
        <w:tab/>
        <w:t>债务重组</w:t>
      </w:r>
    </w:p>
    <w:p>
      <w:pPr>
        <w:pStyle w:val="Style37"/>
        <w:keepNext w:val="0"/>
        <w:keepLines w:val="0"/>
        <w:widowControl w:val="0"/>
        <w:shd w:val="clear" w:color="auto" w:fill="auto"/>
        <w:tabs>
          <w:tab w:pos="378" w:val="left"/>
        </w:tabs>
        <w:bidi w:val="0"/>
        <w:spacing w:before="0" w:after="340" w:line="240" w:lineRule="auto"/>
        <w:ind w:left="0" w:right="0" w:firstLine="0"/>
        <w:jc w:val="both"/>
      </w:pPr>
      <w:bookmarkStart w:id="1855" w:name="bookmark1855"/>
      <w:r>
        <w:rPr>
          <w:rFonts w:ascii="Times New Roman" w:eastAsia="Times New Roman" w:hAnsi="Times New Roman" w:cs="Times New Roman"/>
          <w:b/>
          <w:bCs/>
          <w:color w:val="000000"/>
          <w:spacing w:val="0"/>
          <w:w w:val="100"/>
          <w:position w:val="0"/>
        </w:rPr>
        <w:t>3</w:t>
      </w:r>
      <w:bookmarkEnd w:id="1855"/>
      <w:r>
        <w:rPr>
          <w:b/>
          <w:bCs/>
          <w:color w:val="000000"/>
          <w:spacing w:val="0"/>
          <w:w w:val="100"/>
          <w:position w:val="0"/>
        </w:rPr>
        <w:t>、</w:t>
        <w:tab/>
        <w:t>资产置换</w:t>
      </w:r>
    </w:p>
    <w:p>
      <w:pPr>
        <w:pStyle w:val="Style37"/>
        <w:keepNext w:val="0"/>
        <w:keepLines w:val="0"/>
        <w:widowControl w:val="0"/>
        <w:shd w:val="clear" w:color="auto" w:fill="auto"/>
        <w:tabs>
          <w:tab w:pos="493" w:val="left"/>
        </w:tabs>
        <w:bidi w:val="0"/>
        <w:spacing w:before="0" w:after="340" w:line="240" w:lineRule="auto"/>
        <w:ind w:left="0" w:right="0" w:firstLine="0"/>
        <w:jc w:val="both"/>
      </w:pPr>
      <w:bookmarkStart w:id="1856" w:name="bookmark1856"/>
      <w:r>
        <w:rPr>
          <w:b/>
          <w:bCs/>
          <w:color w:val="000000"/>
          <w:spacing w:val="0"/>
          <w:w w:val="100"/>
          <w:position w:val="0"/>
        </w:rPr>
        <w:t>（</w:t>
      </w:r>
      <w:bookmarkEnd w:id="185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7"/>
        <w:keepNext w:val="0"/>
        <w:keepLines w:val="0"/>
        <w:widowControl w:val="0"/>
        <w:shd w:val="clear" w:color="auto" w:fill="auto"/>
        <w:tabs>
          <w:tab w:pos="493" w:val="left"/>
        </w:tabs>
        <w:bidi w:val="0"/>
        <w:spacing w:before="0" w:after="340" w:line="240" w:lineRule="auto"/>
        <w:ind w:left="0" w:right="0" w:firstLine="0"/>
        <w:jc w:val="both"/>
      </w:pPr>
      <w:bookmarkStart w:id="1857" w:name="bookmark1857"/>
      <w:r>
        <w:rPr>
          <w:b/>
          <w:bCs/>
          <w:color w:val="000000"/>
          <w:spacing w:val="0"/>
          <w:w w:val="100"/>
          <w:position w:val="0"/>
        </w:rPr>
        <w:t>（</w:t>
      </w:r>
      <w:bookmarkEnd w:id="185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7"/>
        <w:keepNext w:val="0"/>
        <w:keepLines w:val="0"/>
        <w:widowControl w:val="0"/>
        <w:shd w:val="clear" w:color="auto" w:fill="auto"/>
        <w:tabs>
          <w:tab w:pos="378" w:val="left"/>
        </w:tabs>
        <w:bidi w:val="0"/>
        <w:spacing w:before="0" w:after="340" w:line="240" w:lineRule="auto"/>
        <w:ind w:left="0" w:right="0" w:firstLine="0"/>
        <w:jc w:val="both"/>
      </w:pPr>
      <w:bookmarkStart w:id="1858" w:name="bookmark1858"/>
      <w:r>
        <w:rPr>
          <w:rFonts w:ascii="Times New Roman" w:eastAsia="Times New Roman" w:hAnsi="Times New Roman" w:cs="Times New Roman"/>
          <w:b/>
          <w:bCs/>
          <w:color w:val="000000"/>
          <w:spacing w:val="0"/>
          <w:w w:val="100"/>
          <w:position w:val="0"/>
        </w:rPr>
        <w:t>4</w:t>
      </w:r>
      <w:bookmarkEnd w:id="1858"/>
      <w:r>
        <w:rPr>
          <w:b/>
          <w:bCs/>
          <w:color w:val="000000"/>
          <w:spacing w:val="0"/>
          <w:w w:val="100"/>
          <w:position w:val="0"/>
        </w:rPr>
        <w:t>、</w:t>
        <w:tab/>
        <w:t>年金计划</w:t>
      </w:r>
    </w:p>
    <w:p>
      <w:pPr>
        <w:pStyle w:val="Style37"/>
        <w:keepNext w:val="0"/>
        <w:keepLines w:val="0"/>
        <w:widowControl w:val="0"/>
        <w:shd w:val="clear" w:color="auto" w:fill="auto"/>
        <w:tabs>
          <w:tab w:pos="378" w:val="left"/>
        </w:tabs>
        <w:bidi w:val="0"/>
        <w:spacing w:before="0" w:after="400" w:line="240" w:lineRule="auto"/>
        <w:ind w:left="0" w:right="0" w:firstLine="0"/>
        <w:jc w:val="both"/>
      </w:pPr>
      <w:bookmarkStart w:id="1859" w:name="bookmark1859"/>
      <w:r>
        <w:rPr>
          <w:rFonts w:ascii="Times New Roman" w:eastAsia="Times New Roman" w:hAnsi="Times New Roman" w:cs="Times New Roman"/>
          <w:b/>
          <w:bCs/>
          <w:color w:val="000000"/>
          <w:spacing w:val="0"/>
          <w:w w:val="100"/>
          <w:position w:val="0"/>
        </w:rPr>
        <w:t>5</w:t>
      </w:r>
      <w:bookmarkEnd w:id="1859"/>
      <w:r>
        <w:rPr>
          <w:b/>
          <w:bCs/>
          <w:color w:val="000000"/>
          <w:spacing w:val="0"/>
          <w:w w:val="100"/>
          <w:position w:val="0"/>
        </w:rPr>
        <w:t>、</w:t>
        <w:tab/>
        <w:t>终止经营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400" w:line="240" w:lineRule="auto"/>
        <w:ind w:left="0" w:right="0" w:firstLine="0"/>
        <w:jc w:val="both"/>
      </w:pPr>
      <w:bookmarkStart w:id="1860" w:name="bookmark1860"/>
      <w:r>
        <w:rPr>
          <w:rFonts w:ascii="Times New Roman" w:eastAsia="Times New Roman" w:hAnsi="Times New Roman" w:cs="Times New Roman"/>
          <w:b/>
          <w:bCs/>
          <w:color w:val="000000"/>
          <w:spacing w:val="0"/>
          <w:w w:val="100"/>
          <w:position w:val="0"/>
        </w:rPr>
        <w:t>6</w:t>
      </w:r>
      <w:bookmarkEnd w:id="1860"/>
      <w:r>
        <w:rPr>
          <w:b/>
          <w:bCs/>
          <w:color w:val="000000"/>
          <w:spacing w:val="0"/>
          <w:w w:val="100"/>
          <w:position w:val="0"/>
        </w:rPr>
        <w:t>、分部信息</w:t>
      </w:r>
    </w:p>
    <w:p>
      <w:pPr>
        <w:pStyle w:val="Style37"/>
        <w:keepNext w:val="0"/>
        <w:keepLines w:val="0"/>
        <w:widowControl w:val="0"/>
        <w:shd w:val="clear" w:color="auto" w:fill="auto"/>
        <w:tabs>
          <w:tab w:pos="493" w:val="left"/>
        </w:tabs>
        <w:bidi w:val="0"/>
        <w:spacing w:before="0" w:after="360" w:line="240" w:lineRule="auto"/>
        <w:ind w:left="0" w:right="0" w:firstLine="0"/>
        <w:jc w:val="both"/>
      </w:pPr>
      <w:bookmarkStart w:id="1861" w:name="bookmark1861"/>
      <w:r>
        <w:rPr>
          <w:b/>
          <w:bCs/>
          <w:color w:val="000000"/>
          <w:spacing w:val="0"/>
          <w:w w:val="100"/>
          <w:position w:val="0"/>
        </w:rPr>
        <w:t>（</w:t>
      </w:r>
      <w:bookmarkEnd w:id="186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7"/>
        <w:keepNext w:val="0"/>
        <w:keepLines w:val="0"/>
        <w:widowControl w:val="0"/>
        <w:shd w:val="clear" w:color="auto" w:fill="auto"/>
        <w:tabs>
          <w:tab w:pos="493" w:val="left"/>
        </w:tabs>
        <w:bidi w:val="0"/>
        <w:spacing w:before="0" w:after="400" w:line="240" w:lineRule="auto"/>
        <w:ind w:left="0" w:right="0" w:firstLine="0"/>
        <w:jc w:val="both"/>
      </w:pPr>
      <w:bookmarkStart w:id="1862" w:name="bookmark1862"/>
      <w:r>
        <w:rPr>
          <w:b/>
          <w:bCs/>
          <w:color w:val="000000"/>
          <w:spacing w:val="0"/>
          <w:w w:val="100"/>
          <w:position w:val="0"/>
        </w:rPr>
        <w:t>（</w:t>
      </w:r>
      <w:bookmarkEnd w:id="186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7"/>
        <w:keepNext w:val="0"/>
        <w:keepLines w:val="0"/>
        <w:widowControl w:val="0"/>
        <w:shd w:val="clear" w:color="auto" w:fill="auto"/>
        <w:tabs>
          <w:tab w:pos="493" w:val="left"/>
        </w:tabs>
        <w:bidi w:val="0"/>
        <w:spacing w:before="0" w:after="300" w:line="308" w:lineRule="exact"/>
        <w:ind w:left="0" w:right="0" w:firstLine="0"/>
        <w:jc w:val="both"/>
      </w:pPr>
      <w:bookmarkStart w:id="1863" w:name="bookmark1863"/>
      <w:r>
        <w:rPr>
          <w:b/>
          <w:bCs/>
          <w:color w:val="000000"/>
          <w:spacing w:val="0"/>
          <w:w w:val="100"/>
          <w:position w:val="0"/>
        </w:rPr>
        <w:t>（</w:t>
      </w:r>
      <w:bookmarkEnd w:id="186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37"/>
        <w:keepNext w:val="0"/>
        <w:keepLines w:val="0"/>
        <w:widowControl w:val="0"/>
        <w:shd w:val="clear" w:color="auto" w:fill="auto"/>
        <w:tabs>
          <w:tab w:pos="493" w:val="left"/>
        </w:tabs>
        <w:bidi w:val="0"/>
        <w:spacing w:before="0" w:after="300" w:line="308" w:lineRule="exact"/>
        <w:ind w:left="0" w:right="0" w:firstLine="0"/>
        <w:jc w:val="both"/>
      </w:pPr>
      <w:bookmarkStart w:id="1864" w:name="bookmark1864"/>
      <w:r>
        <w:rPr>
          <w:b/>
          <w:bCs/>
          <w:color w:val="000000"/>
          <w:spacing w:val="0"/>
          <w:w w:val="100"/>
          <w:position w:val="0"/>
        </w:rPr>
        <w:t>（</w:t>
      </w:r>
      <w:bookmarkEnd w:id="186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37"/>
        <w:keepNext w:val="0"/>
        <w:keepLines w:val="0"/>
        <w:widowControl w:val="0"/>
        <w:shd w:val="clear" w:color="auto" w:fill="auto"/>
        <w:tabs>
          <w:tab w:pos="376" w:val="left"/>
        </w:tabs>
        <w:bidi w:val="0"/>
        <w:spacing w:before="0" w:after="300" w:line="308" w:lineRule="exact"/>
        <w:ind w:left="0" w:right="0" w:firstLine="0"/>
        <w:jc w:val="both"/>
      </w:pPr>
      <w:bookmarkStart w:id="1865" w:name="bookmark1865"/>
      <w:r>
        <w:rPr>
          <w:rFonts w:ascii="Times New Roman" w:eastAsia="Times New Roman" w:hAnsi="Times New Roman" w:cs="Times New Roman"/>
          <w:b/>
          <w:bCs/>
          <w:color w:val="000000"/>
          <w:spacing w:val="0"/>
          <w:w w:val="100"/>
          <w:position w:val="0"/>
        </w:rPr>
        <w:t>7</w:t>
      </w:r>
      <w:bookmarkEnd w:id="1865"/>
      <w:r>
        <w:rPr>
          <w:b/>
          <w:bCs/>
          <w:color w:val="000000"/>
          <w:spacing w:val="0"/>
          <w:w w:val="100"/>
          <w:position w:val="0"/>
        </w:rPr>
        <w:t>、</w:t>
        <w:tab/>
        <w:t>其他对投资者决策有影响的重要交易和事项</w:t>
      </w:r>
    </w:p>
    <w:p>
      <w:pPr>
        <w:pStyle w:val="Style37"/>
        <w:keepNext w:val="0"/>
        <w:keepLines w:val="0"/>
        <w:widowControl w:val="0"/>
        <w:shd w:val="clear" w:color="auto" w:fill="auto"/>
        <w:tabs>
          <w:tab w:pos="378" w:val="left"/>
        </w:tabs>
        <w:bidi w:val="0"/>
        <w:spacing w:before="0" w:after="300" w:line="308" w:lineRule="exact"/>
        <w:ind w:left="0" w:right="0" w:firstLine="0"/>
        <w:jc w:val="both"/>
      </w:pPr>
      <w:bookmarkStart w:id="1866" w:name="bookmark1866"/>
      <w:r>
        <w:rPr>
          <w:rFonts w:ascii="Times New Roman" w:eastAsia="Times New Roman" w:hAnsi="Times New Roman" w:cs="Times New Roman"/>
          <w:b/>
          <w:bCs/>
          <w:color w:val="000000"/>
          <w:spacing w:val="0"/>
          <w:w w:val="100"/>
          <w:position w:val="0"/>
        </w:rPr>
        <w:t>8</w:t>
      </w:r>
      <w:bookmarkEnd w:id="1866"/>
      <w:r>
        <w:rPr>
          <w:b/>
          <w:bCs/>
          <w:color w:val="000000"/>
          <w:spacing w:val="0"/>
          <w:w w:val="100"/>
          <w:position w:val="0"/>
        </w:rPr>
        <w:t>、</w:t>
        <w:tab/>
        <w:t>其他</w:t>
      </w:r>
    </w:p>
    <w:p>
      <w:pPr>
        <w:pStyle w:val="Style37"/>
        <w:keepNext w:val="0"/>
        <w:keepLines w:val="0"/>
        <w:widowControl w:val="0"/>
        <w:shd w:val="clear" w:color="auto" w:fill="auto"/>
        <w:bidi w:val="0"/>
        <w:spacing w:before="0" w:after="0" w:line="308" w:lineRule="exact"/>
        <w:ind w:left="0" w:right="0"/>
        <w:jc w:val="both"/>
      </w:pPr>
      <w:r>
        <w:rPr>
          <w:color w:val="000000"/>
          <w:spacing w:val="0"/>
          <w:w w:val="100"/>
          <w:position w:val="0"/>
        </w:rPr>
        <w:t>控股股东进行股权质押融资情况</w:t>
      </w:r>
    </w:p>
    <w:p>
      <w:pPr>
        <w:pStyle w:val="Style37"/>
        <w:keepNext w:val="0"/>
        <w:keepLines w:val="0"/>
        <w:widowControl w:val="0"/>
        <w:shd w:val="clear" w:color="auto" w:fill="auto"/>
        <w:bidi w:val="0"/>
        <w:spacing w:before="0" w:after="0" w:line="308" w:lineRule="exact"/>
        <w:ind w:left="0" w:right="0"/>
        <w:jc w:val="both"/>
      </w:pPr>
      <w:r>
        <w:rPr>
          <w:color w:val="000000"/>
          <w:spacing w:val="0"/>
          <w:w w:val="100"/>
          <w:position w:val="0"/>
        </w:rPr>
        <w:t>公司控股股东一致行动人北京仁东信息技术有限公司、仁东（天津）科技有限公司以股权质押方式分别从 阳泉市商业银行股份有限公司、兴业银行股份有限公司北京月坛支行、晋中银行股份有限公司取得贷款，其中 阳泉市商业银行股份有限公司、兴业银行股份有限公司北京月坛支行是为公司提供担保。</w:t>
      </w:r>
    </w:p>
    <w:p>
      <w:pPr>
        <w:pStyle w:val="Style37"/>
        <w:keepNext w:val="0"/>
        <w:keepLines w:val="0"/>
        <w:widowControl w:val="0"/>
        <w:shd w:val="clear" w:color="auto" w:fill="auto"/>
        <w:bidi w:val="0"/>
        <w:spacing w:before="0" w:after="360" w:line="308" w:lineRule="exact"/>
        <w:ind w:left="0" w:right="0"/>
        <w:jc w:val="both"/>
      </w:pPr>
      <w:r>
        <w:rPr>
          <w:color w:val="000000"/>
          <w:spacing w:val="0"/>
          <w:w w:val="100"/>
          <w:position w:val="0"/>
        </w:rPr>
        <w:t>截至报告日，公司控股股东一致行动人北京仁东信息技术有限公司、仁东（天津）科技有限公司共持有本 公司股份</w:t>
      </w:r>
      <w:r>
        <w:rPr>
          <w:b/>
          <w:bCs/>
          <w:color w:val="000000"/>
          <w:spacing w:val="0"/>
          <w:w w:val="100"/>
          <w:position w:val="0"/>
        </w:rPr>
        <w:t>113,707,775</w:t>
      </w:r>
      <w:r>
        <w:rPr>
          <w:color w:val="000000"/>
          <w:spacing w:val="0"/>
          <w:w w:val="100"/>
          <w:position w:val="0"/>
        </w:rPr>
        <w:t>股，占公司总股份的</w:t>
      </w:r>
      <w:r>
        <w:rPr>
          <w:b/>
          <w:bCs/>
          <w:color w:val="000000"/>
          <w:spacing w:val="0"/>
          <w:w w:val="100"/>
          <w:position w:val="0"/>
        </w:rPr>
        <w:t>20.31%</w:t>
      </w:r>
      <w:r>
        <w:rPr>
          <w:color w:val="000000"/>
          <w:spacing w:val="0"/>
          <w:w w:val="100"/>
          <w:position w:val="0"/>
        </w:rPr>
        <w:t>,其中累计质押股份</w:t>
      </w:r>
      <w:r>
        <w:rPr>
          <w:b/>
          <w:bCs/>
          <w:color w:val="000000"/>
          <w:spacing w:val="0"/>
          <w:w w:val="100"/>
          <w:position w:val="0"/>
        </w:rPr>
        <w:t>90,660,958</w:t>
      </w:r>
      <w:r>
        <w:rPr>
          <w:color w:val="000000"/>
          <w:spacing w:val="0"/>
          <w:w w:val="100"/>
          <w:position w:val="0"/>
        </w:rPr>
        <w:t xml:space="preserve">股，占其持有公司股份总数的 </w:t>
      </w:r>
      <w:r>
        <w:rPr>
          <w:b/>
          <w:bCs/>
          <w:color w:val="000000"/>
          <w:spacing w:val="0"/>
          <w:w w:val="100"/>
          <w:position w:val="0"/>
        </w:rPr>
        <w:t>79.73%</w:t>
      </w:r>
      <w:r>
        <w:rPr>
          <w:color w:val="000000"/>
          <w:spacing w:val="0"/>
          <w:w w:val="100"/>
          <w:position w:val="0"/>
        </w:rPr>
        <w:t>。</w:t>
      </w:r>
    </w:p>
    <w:p>
      <w:pPr>
        <w:pStyle w:val="Style24"/>
        <w:keepNext/>
        <w:keepLines/>
        <w:widowControl w:val="0"/>
        <w:shd w:val="clear" w:color="auto" w:fill="auto"/>
        <w:bidi w:val="0"/>
        <w:spacing w:before="0" w:after="300" w:line="240" w:lineRule="auto"/>
        <w:ind w:left="0" w:right="0" w:firstLine="0"/>
        <w:jc w:val="both"/>
      </w:pPr>
      <w:bookmarkStart w:id="1867" w:name="bookmark1867"/>
      <w:bookmarkStart w:id="1868" w:name="bookmark1868"/>
      <w:bookmarkStart w:id="1869" w:name="bookmark1869"/>
      <w:r>
        <w:rPr>
          <w:color w:val="000000"/>
          <w:spacing w:val="0"/>
          <w:w w:val="100"/>
          <w:position w:val="0"/>
          <w:sz w:val="24"/>
          <w:szCs w:val="24"/>
        </w:rPr>
        <w:t>十七、母公司财务报表主要项目注释</w:t>
      </w:r>
      <w:bookmarkEnd w:id="1867"/>
      <w:bookmarkEnd w:id="1868"/>
      <w:bookmarkEnd w:id="1869"/>
    </w:p>
    <w:p>
      <w:pPr>
        <w:pStyle w:val="Style33"/>
        <w:keepNext/>
        <w:keepLines/>
        <w:widowControl w:val="0"/>
        <w:shd w:val="clear" w:color="auto" w:fill="auto"/>
        <w:bidi w:val="0"/>
        <w:spacing w:before="0" w:after="300" w:line="308" w:lineRule="exact"/>
        <w:ind w:left="0" w:right="0" w:firstLine="0"/>
        <w:jc w:val="both"/>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0"/>
      <w:bookmarkEnd w:id="1871"/>
      <w:bookmarkEnd w:id="1872"/>
    </w:p>
    <w:p>
      <w:pPr>
        <w:pStyle w:val="Style33"/>
        <w:keepNext/>
        <w:keepLines/>
        <w:widowControl w:val="0"/>
        <w:shd w:val="clear" w:color="auto" w:fill="auto"/>
        <w:bidi w:val="0"/>
        <w:spacing w:before="0" w:line="308" w:lineRule="exact"/>
        <w:ind w:left="0" w:right="0" w:firstLine="0"/>
        <w:jc w:val="both"/>
      </w:pPr>
      <w:bookmarkStart w:id="1870" w:name="bookmark1870"/>
      <w:bookmarkStart w:id="1871" w:name="bookmark1871"/>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0"/>
      <w:bookmarkEnd w:id="1871"/>
      <w:bookmarkEnd w:id="18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4"/>
      <w:bookmarkEnd w:id="1875"/>
      <w:bookmarkEnd w:id="187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3"/>
        <w:keepNext/>
        <w:keepLines/>
        <w:widowControl w:val="0"/>
        <w:numPr>
          <w:ilvl w:val="0"/>
          <w:numId w:val="69"/>
        </w:numPr>
        <w:shd w:val="clear" w:color="auto" w:fill="auto"/>
        <w:bidi w:val="0"/>
        <w:spacing w:before="0" w:line="240" w:lineRule="auto"/>
        <w:ind w:left="0" w:right="0" w:firstLine="14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本期实际核销的应收账款情况</w:t>
      </w:r>
      <w:bookmarkEnd w:id="1877"/>
      <w:bookmarkEnd w:id="1878"/>
      <w:bookmarkEnd w:id="18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3"/>
        <w:keepNext/>
        <w:keepLines/>
        <w:widowControl w:val="0"/>
        <w:numPr>
          <w:ilvl w:val="0"/>
          <w:numId w:val="69"/>
        </w:numPr>
        <w:shd w:val="clear" w:color="auto" w:fill="auto"/>
        <w:bidi w:val="0"/>
        <w:spacing w:before="0" w:line="240" w:lineRule="auto"/>
        <w:ind w:left="0" w:right="0" w:firstLine="14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按欠款方归集的期末余额前五名的应收账款情况</w:t>
      </w:r>
      <w:bookmarkEnd w:id="1881"/>
      <w:bookmarkEnd w:id="1882"/>
      <w:bookmarkEnd w:id="18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59" w:line="1" w:lineRule="exact"/>
      </w:pPr>
    </w:p>
    <w:p>
      <w:pPr>
        <w:pStyle w:val="Style33"/>
        <w:keepNext/>
        <w:keepLines/>
        <w:widowControl w:val="0"/>
        <w:numPr>
          <w:ilvl w:val="0"/>
          <w:numId w:val="69"/>
        </w:numPr>
        <w:shd w:val="clear" w:color="auto" w:fill="auto"/>
        <w:bidi w:val="0"/>
        <w:spacing w:before="0" w:line="240" w:lineRule="auto"/>
        <w:ind w:left="0" w:right="0" w:firstLine="14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因金融资产转移而终止确认的应收账款</w:t>
      </w:r>
      <w:bookmarkEnd w:id="1885"/>
      <w:bookmarkEnd w:id="1886"/>
      <w:bookmarkEnd w:id="1888"/>
    </w:p>
    <w:p>
      <w:pPr>
        <w:pStyle w:val="Style33"/>
        <w:keepNext/>
        <w:keepLines/>
        <w:widowControl w:val="0"/>
        <w:numPr>
          <w:ilvl w:val="0"/>
          <w:numId w:val="69"/>
        </w:numPr>
        <w:shd w:val="clear" w:color="auto" w:fill="auto"/>
        <w:bidi w:val="0"/>
        <w:spacing w:before="0" w:line="240" w:lineRule="auto"/>
        <w:ind w:left="0" w:right="0" w:firstLine="140"/>
        <w:jc w:val="left"/>
      </w:pPr>
      <w:bookmarkStart w:id="1885" w:name="bookmark1885"/>
      <w:bookmarkStart w:id="1886" w:name="bookmark1886"/>
      <w:bookmarkStart w:id="1889" w:name="bookmark1889"/>
      <w:bookmarkStart w:id="1890" w:name="bookmark1890"/>
      <w:bookmarkEnd w:id="1889"/>
      <w:r>
        <w:rPr>
          <w:color w:val="000000"/>
          <w:spacing w:val="0"/>
          <w:w w:val="100"/>
          <w:position w:val="0"/>
        </w:rPr>
        <w:t>转移应收账款且继续涉入形成的资产、负债金额</w:t>
      </w:r>
      <w:bookmarkEnd w:id="1885"/>
      <w:bookmarkEnd w:id="1886"/>
      <w:bookmarkEnd w:id="18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1"/>
      <w:bookmarkEnd w:id="1892"/>
      <w:bookmarkEnd w:id="18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432,264,596.37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426,983,912.64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432,264,596.37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426,983,912.64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94"/>
      <w:bookmarkEnd w:id="1895"/>
      <w:bookmarkEnd w:id="1896"/>
    </w:p>
    <w:p>
      <w:pPr>
        <w:pStyle w:val="Style33"/>
        <w:keepNext/>
        <w:keepLines/>
        <w:widowControl w:val="0"/>
        <w:numPr>
          <w:ilvl w:val="0"/>
          <w:numId w:val="71"/>
        </w:numPr>
        <w:shd w:val="clear" w:color="auto" w:fill="auto"/>
        <w:bidi w:val="0"/>
        <w:spacing w:before="0" w:line="240" w:lineRule="auto"/>
        <w:ind w:left="0" w:right="0" w:firstLine="0"/>
        <w:jc w:val="both"/>
      </w:pPr>
      <w:bookmarkStart w:id="1894" w:name="bookmark1894"/>
      <w:bookmarkStart w:id="1895" w:name="bookmark1895"/>
      <w:bookmarkStart w:id="1897" w:name="bookmark1897"/>
      <w:bookmarkStart w:id="1898" w:name="bookmark1898"/>
      <w:bookmarkEnd w:id="1897"/>
      <w:r>
        <w:rPr>
          <w:color w:val="000000"/>
          <w:spacing w:val="0"/>
          <w:w w:val="100"/>
          <w:position w:val="0"/>
        </w:rPr>
        <w:t>应收利息分类</w:t>
      </w:r>
      <w:bookmarkEnd w:id="1894"/>
      <w:bookmarkEnd w:id="1895"/>
      <w:bookmarkEnd w:id="189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bookmarkEnd w:id="1901"/>
      <w:r>
        <w:rPr>
          <w:color w:val="000000"/>
          <w:spacing w:val="0"/>
          <w:w w:val="100"/>
          <w:position w:val="0"/>
        </w:rPr>
        <w:t>）重要逾期利息</w:t>
      </w:r>
      <w:bookmarkEnd w:id="1899"/>
      <w:bookmarkEnd w:id="1900"/>
      <w:bookmarkEnd w:id="1902"/>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3</w:t>
      </w:r>
      <w:bookmarkEnd w:id="1905"/>
      <w:r>
        <w:rPr>
          <w:color w:val="000000"/>
          <w:spacing w:val="0"/>
          <w:w w:val="100"/>
          <w:position w:val="0"/>
        </w:rPr>
        <w:t>）坏账准备计提情况</w:t>
      </w:r>
      <w:bookmarkEnd w:id="1903"/>
      <w:bookmarkEnd w:id="1904"/>
      <w:bookmarkEnd w:id="190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07"/>
      <w:bookmarkEnd w:id="1908"/>
      <w:bookmarkEnd w:id="1909"/>
    </w:p>
    <w:p>
      <w:pPr>
        <w:pStyle w:val="Style33"/>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10" w:name="bookmark191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07"/>
      <w:bookmarkEnd w:id="1908"/>
      <w:bookmarkEnd w:id="191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bookmarkEnd w:id="191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11"/>
      <w:bookmarkEnd w:id="1912"/>
      <w:bookmarkEnd w:id="191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3</w:t>
      </w:r>
      <w:bookmarkEnd w:id="1917"/>
      <w:r>
        <w:rPr>
          <w:color w:val="000000"/>
          <w:spacing w:val="0"/>
          <w:w w:val="100"/>
          <w:position w:val="0"/>
        </w:rPr>
        <w:t>）坏账准备计提情况</w:t>
      </w:r>
      <w:bookmarkEnd w:id="1915"/>
      <w:bookmarkEnd w:id="1916"/>
      <w:bookmarkEnd w:id="1918"/>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19"/>
      <w:bookmarkEnd w:id="1920"/>
      <w:bookmarkEnd w:id="1922"/>
    </w:p>
    <w:p>
      <w:pPr>
        <w:pStyle w:val="Style33"/>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19"/>
      <w:bookmarkEnd w:id="1920"/>
      <w:bookmarkEnd w:id="192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2,003,189.00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5,073,384.55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430,199,303.44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421,847,177.58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应收资产处置款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64,315.24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439,765,542.12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434,484,877.37</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24"/>
      <w:bookmarkEnd w:id="1925"/>
      <w:bookmarkEnd w:id="192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7,500,964.73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945.75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7,500,945.75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202,273,037.26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89,096,979.00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143,755,525.86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136,255,525.86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439,765,542.12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3</w:t>
      </w:r>
      <w:bookmarkEnd w:id="1929"/>
      <w:r>
        <w:rPr>
          <w:color w:val="000000"/>
          <w:spacing w:val="0"/>
          <w:w w:val="100"/>
          <w:position w:val="0"/>
        </w:rPr>
        <w:t>）本期计提、收回或转回的坏账准备情况</w:t>
      </w:r>
      <w:bookmarkEnd w:id="1927"/>
      <w:bookmarkEnd w:id="1928"/>
      <w:bookmarkEnd w:id="193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7,500,964.73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7,500,945.75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7,500,964.73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7,500,945.75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4</w:t>
      </w:r>
      <w:bookmarkEnd w:id="1933"/>
      <w:r>
        <w:rPr>
          <w:color w:val="000000"/>
          <w:spacing w:val="0"/>
          <w:w w:val="100"/>
          <w:position w:val="0"/>
        </w:rPr>
        <w:t>）本期实际核销的其他应收款情况</w:t>
      </w:r>
      <w:bookmarkEnd w:id="1931"/>
      <w:bookmarkEnd w:id="1932"/>
      <w:bookmarkEnd w:id="19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5</w:t>
      </w:r>
      <w:bookmarkEnd w:id="1937"/>
      <w:r>
        <w:rPr>
          <w:color w:val="000000"/>
          <w:spacing w:val="0"/>
          <w:w w:val="100"/>
          <w:position w:val="0"/>
        </w:rPr>
        <w:t>）按欠款方归集的期末余额前五名的其他应收款情况</w:t>
      </w:r>
      <w:bookmarkEnd w:id="1935"/>
      <w:bookmarkEnd w:id="1936"/>
      <w:bookmarkEnd w:id="19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广东合利金融科技服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181,886,678.58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1</w:t>
            </w:r>
            <w:r>
              <w:rPr>
                <w:color w:val="000000"/>
                <w:spacing w:val="0"/>
                <w:w w:val="100"/>
                <w:position w:val="0"/>
              </w:rPr>
              <w:t>年以 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天津仁东信息技术有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142,978,525.86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个月内</w:t>
            </w:r>
            <w:r>
              <w:rPr>
                <w:rFonts w:ascii="Times New Roman" w:eastAsia="Times New Roman" w:hAnsi="Times New Roman" w:cs="Times New Roman"/>
                <w:color w:val="000000"/>
                <w:spacing w:val="0"/>
                <w:w w:val="100"/>
                <w:position w:val="0"/>
              </w:rPr>
              <w:t xml:space="preserve">6,000.00 </w:t>
            </w:r>
            <w:r>
              <w:rPr>
                <w:color w:val="000000"/>
                <w:spacing w:val="0"/>
                <w:w w:val="100"/>
                <w:position w:val="0"/>
              </w:rPr>
              <w:t>元；</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2,077,000.00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4,640,000.00 </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年以上 </w:t>
            </w:r>
            <w:r>
              <w:rPr>
                <w:rFonts w:ascii="Times New Roman" w:eastAsia="Times New Roman" w:hAnsi="Times New Roman" w:cs="Times New Roman"/>
                <w:color w:val="000000"/>
                <w:spacing w:val="0"/>
                <w:w w:val="100"/>
                <w:position w:val="0"/>
              </w:rPr>
              <w:t xml:space="preserve">136,255,525.8 </w:t>
            </w:r>
            <w:r>
              <w:rPr>
                <w:rFonts w:ascii="Times New Roman" w:eastAsia="Times New Roman" w:hAnsi="Times New Roman" w:cs="Times New Roman"/>
                <w:color w:val="000000"/>
                <w:spacing w:val="0"/>
                <w:w w:val="100"/>
                <w:position w:val="0"/>
              </w:rPr>
              <w:t xml:space="preserve">6 </w:t>
            </w: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仁东</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大数据技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95,968,499.00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个月内 </w:t>
            </w:r>
            <w:r>
              <w:rPr>
                <w:rFonts w:ascii="Times New Roman" w:eastAsia="Times New Roman" w:hAnsi="Times New Roman" w:cs="Times New Roman"/>
                <w:color w:val="000000"/>
                <w:spacing w:val="0"/>
                <w:w w:val="100"/>
                <w:position w:val="0"/>
              </w:rPr>
              <w:t xml:space="preserve">37,020.00 </w:t>
            </w:r>
            <w:r>
              <w:rPr>
                <w:color w:val="000000"/>
                <w:spacing w:val="0"/>
                <w:w w:val="100"/>
                <w:position w:val="0"/>
              </w:rPr>
              <w:t>元；</w:t>
            </w:r>
            <w:r>
              <w:rPr>
                <w:rFonts w:ascii="Times New Roman" w:eastAsia="Times New Roman" w:hAnsi="Times New Roman" w:cs="Times New Roman"/>
                <w:color w:val="000000"/>
                <w:spacing w:val="0"/>
                <w:w w:val="100"/>
                <w:position w:val="0"/>
              </w:rPr>
              <w:t>6</w:t>
            </w:r>
            <w:r>
              <w:rPr>
                <w:color w:val="000000"/>
                <w:spacing w:val="0"/>
                <w:w w:val="100"/>
                <w:position w:val="0"/>
              </w:rPr>
              <w:t>个月以上</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年以下 </w:t>
            </w:r>
            <w:r>
              <w:rPr>
                <w:rFonts w:ascii="Times New Roman" w:eastAsia="Times New Roman" w:hAnsi="Times New Roman" w:cs="Times New Roman"/>
                <w:color w:val="000000"/>
                <w:spacing w:val="0"/>
                <w:w w:val="100"/>
                <w:position w:val="0"/>
              </w:rPr>
              <w:t xml:space="preserve">8,911,500.00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87,019,979.00 </w:t>
            </w: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北京仁东科技有限公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9,365,600.00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浙江泰晟新材料科技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变卖资产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437,699,303.44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7,500,000.00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6</w:t>
      </w:r>
      <w:bookmarkEnd w:id="1941"/>
      <w:r>
        <w:rPr>
          <w:color w:val="000000"/>
          <w:spacing w:val="0"/>
          <w:w w:val="100"/>
          <w:position w:val="0"/>
        </w:rPr>
        <w:t>）涉及政府补助的应收款项</w:t>
      </w:r>
      <w:bookmarkEnd w:id="1939"/>
      <w:bookmarkEnd w:id="1940"/>
      <w:bookmarkEnd w:id="19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33"/>
        <w:keepNext/>
        <w:keepLines/>
        <w:widowControl w:val="0"/>
        <w:shd w:val="clear" w:color="auto" w:fill="auto"/>
        <w:tabs>
          <w:tab w:pos="392" w:val="left"/>
        </w:tabs>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7</w:t>
      </w:r>
      <w:bookmarkEnd w:id="1945"/>
      <w:r>
        <w:rPr>
          <w:color w:val="000000"/>
          <w:spacing w:val="0"/>
          <w:w w:val="100"/>
          <w:position w:val="0"/>
        </w:rPr>
        <w:t>）</w:t>
        <w:tab/>
        <w:t>因金融资产转移而终止确认的其他应收款</w:t>
      </w:r>
      <w:bookmarkEnd w:id="1943"/>
      <w:bookmarkEnd w:id="1944"/>
      <w:bookmarkEnd w:id="1946"/>
    </w:p>
    <w:p>
      <w:pPr>
        <w:pStyle w:val="Style33"/>
        <w:keepNext/>
        <w:keepLines/>
        <w:widowControl w:val="0"/>
        <w:shd w:val="clear" w:color="auto" w:fill="auto"/>
        <w:tabs>
          <w:tab w:pos="397" w:val="left"/>
        </w:tabs>
        <w:bidi w:val="0"/>
        <w:spacing w:before="0" w:line="240" w:lineRule="auto"/>
        <w:ind w:left="0" w:right="0" w:firstLine="0"/>
        <w:jc w:val="left"/>
      </w:pPr>
      <w:bookmarkStart w:id="1943" w:name="bookmark1943"/>
      <w:bookmarkStart w:id="1944" w:name="bookmark1944"/>
      <w:bookmarkStart w:id="1947" w:name="bookmark1947"/>
      <w:bookmarkStart w:id="1948" w:name="bookmark1948"/>
      <w:r>
        <w:rPr>
          <w:rFonts w:ascii="Times New Roman" w:eastAsia="Times New Roman" w:hAnsi="Times New Roman" w:cs="Times New Roman"/>
          <w:color w:val="000000"/>
          <w:spacing w:val="0"/>
          <w:w w:val="100"/>
          <w:position w:val="0"/>
        </w:rPr>
        <w:t>8</w:t>
      </w:r>
      <w:bookmarkEnd w:id="1947"/>
      <w:r>
        <w:rPr>
          <w:color w:val="000000"/>
          <w:spacing w:val="0"/>
          <w:w w:val="100"/>
          <w:position w:val="0"/>
        </w:rPr>
        <w:t>）</w:t>
        <w:tab/>
        <w:t>转移其他应收款且继续涉入形成的资产、负债金额</w:t>
      </w:r>
      <w:bookmarkEnd w:id="1943"/>
      <w:bookmarkEnd w:id="1944"/>
      <w:bookmarkEnd w:id="194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3</w:t>
      </w:r>
      <w:bookmarkEnd w:id="1951"/>
      <w:r>
        <w:rPr>
          <w:color w:val="000000"/>
          <w:spacing w:val="0"/>
          <w:w w:val="100"/>
          <w:position w:val="0"/>
        </w:rPr>
        <w:t>、长期股权投资</w:t>
      </w:r>
      <w:bookmarkEnd w:id="1949"/>
      <w:bookmarkEnd w:id="1950"/>
      <w:bookmarkEnd w:id="19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5,176,859,883.74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125,182,292.74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5,051,677,591.00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5,176,859,883.74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125,182,292.74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5,051,677,591.00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5,176,859,883.74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125,182,292.74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5,051,677,591.00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5,176,859,883.74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125,182,292.74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5,051,677,591.00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53"/>
      <w:bookmarkEnd w:id="1954"/>
      <w:bookmarkEnd w:id="19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天津仁东信息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1,200,558,000.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1,200,558,000.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民盛租赁有限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共青城仁东投 资管理有限公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浙江仁东新材 料科技有限公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广州仁东互联 网小额贷款有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广东合利金融 科技服务有限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1,271,119,590.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1,271,119,590.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125,182,292.74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仁东（深圳）大 数据技术有限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北京仁东科技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5,051,677,591.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5,051,677,591.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125,182,292.74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56"/>
      <w:bookmarkEnd w:id="1957"/>
      <w:bookmarkEnd w:id="1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3"/>
        <w:keepNext/>
        <w:keepLines/>
        <w:widowControl w:val="0"/>
        <w:numPr>
          <w:ilvl w:val="0"/>
          <w:numId w:val="73"/>
        </w:numPr>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其他说明</w:t>
      </w:r>
      <w:bookmarkEnd w:id="1959"/>
      <w:bookmarkEnd w:id="1960"/>
      <w:bookmarkEnd w:id="1962"/>
    </w:p>
    <w:p>
      <w:pPr>
        <w:pStyle w:val="Style33"/>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3" w:name="bookmark1963"/>
      <w:bookmarkStart w:id="1964" w:name="bookmark1964"/>
      <w:r>
        <w:rPr>
          <w:rFonts w:ascii="Times New Roman" w:eastAsia="Times New Roman" w:hAnsi="Times New Roman" w:cs="Times New Roman"/>
          <w:color w:val="000000"/>
          <w:spacing w:val="0"/>
          <w:w w:val="100"/>
          <w:position w:val="0"/>
        </w:rPr>
        <w:t>4</w:t>
      </w:r>
      <w:bookmarkEnd w:id="1963"/>
      <w:r>
        <w:rPr>
          <w:color w:val="000000"/>
          <w:spacing w:val="0"/>
          <w:w w:val="100"/>
          <w:position w:val="0"/>
        </w:rPr>
        <w:t>、营业收入和营业成本</w:t>
      </w:r>
      <w:bookmarkEnd w:id="1959"/>
      <w:bookmarkEnd w:id="1960"/>
      <w:bookmarkEnd w:id="19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813,396,429.84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812,535,675.18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534,206,181.75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533,711,043.37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13,574,331.08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1,805,973.14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1,642,018.88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826,970,760.92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814,341,648.32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535,848,200.63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533,711,043.37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与履约义务相关的信息：</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本公司根据合同的约定，作为主要责任人按照客户需求的品类、标准及时履行供货义务。</w:t>
      </w:r>
    </w:p>
    <w:p>
      <w:pPr>
        <w:pStyle w:val="Style68"/>
        <w:keepNext w:val="0"/>
        <w:keepLines w:val="0"/>
        <w:widowControl w:val="0"/>
        <w:shd w:val="clear" w:color="auto" w:fill="auto"/>
        <w:bidi w:val="0"/>
        <w:spacing w:before="0" w:after="0"/>
        <w:ind w:left="0" w:right="0" w:firstLine="0"/>
        <w:jc w:val="left"/>
      </w:pPr>
      <w:r>
        <w:rPr>
          <w:color w:val="000000"/>
          <w:spacing w:val="0"/>
          <w:w w:val="100"/>
          <w:position w:val="0"/>
        </w:rPr>
        <w:t>与分摊至剩余履约义务的交易价格相关的信息：</w:t>
      </w:r>
    </w:p>
    <w:p>
      <w:pPr>
        <w:pStyle w:val="Style68"/>
        <w:keepNext w:val="0"/>
        <w:keepLines w:val="0"/>
        <w:widowControl w:val="0"/>
        <w:shd w:val="clear" w:color="auto" w:fill="auto"/>
        <w:bidi w:val="0"/>
        <w:spacing w:before="0"/>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元，其中，元预计将于年度确认收入，元预计将 于年度确认收入，元预计将于年度确认收入。</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5</w:t>
      </w:r>
      <w:bookmarkEnd w:id="1967"/>
      <w:r>
        <w:rPr>
          <w:color w:val="000000"/>
          <w:spacing w:val="0"/>
          <w:w w:val="100"/>
          <w:position w:val="0"/>
        </w:rPr>
        <w:t>、投资收益</w:t>
      </w:r>
      <w:bookmarkEnd w:id="1965"/>
      <w:bookmarkEnd w:id="1966"/>
      <w:bookmarkEnd w:id="196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-15,120.83</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6</w:t>
      </w:r>
      <w:bookmarkEnd w:id="1971"/>
      <w:r>
        <w:rPr>
          <w:color w:val="000000"/>
          <w:spacing w:val="0"/>
          <w:w w:val="100"/>
          <w:position w:val="0"/>
        </w:rPr>
        <w:t>、其他</w:t>
      </w:r>
      <w:bookmarkEnd w:id="1969"/>
      <w:bookmarkEnd w:id="1970"/>
      <w:bookmarkEnd w:id="1972"/>
    </w:p>
    <w:p>
      <w:pPr>
        <w:pStyle w:val="Style24"/>
        <w:keepNext/>
        <w:keepLines/>
        <w:widowControl w:val="0"/>
        <w:shd w:val="clear" w:color="auto" w:fill="auto"/>
        <w:bidi w:val="0"/>
        <w:spacing w:before="0" w:after="320" w:line="240" w:lineRule="auto"/>
        <w:ind w:left="0" w:right="0" w:firstLine="0"/>
        <w:jc w:val="left"/>
      </w:pPr>
      <w:bookmarkStart w:id="1973" w:name="bookmark1973"/>
      <w:bookmarkStart w:id="1974" w:name="bookmark1974"/>
      <w:bookmarkStart w:id="1975" w:name="bookmark1975"/>
      <w:r>
        <w:rPr>
          <w:color w:val="000000"/>
          <w:spacing w:val="0"/>
          <w:w w:val="100"/>
          <w:position w:val="0"/>
          <w:sz w:val="24"/>
          <w:szCs w:val="24"/>
        </w:rPr>
        <w:t>十八、补充资料</w:t>
      </w:r>
      <w:bookmarkEnd w:id="1973"/>
      <w:bookmarkEnd w:id="1974"/>
      <w:bookmarkEnd w:id="1975"/>
    </w:p>
    <w:p>
      <w:pPr>
        <w:pStyle w:val="Style33"/>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76"/>
      <w:bookmarkEnd w:id="1977"/>
      <w:bookmarkEnd w:id="1978"/>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-21,568.29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25,168,018.92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11,086,774.91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6,717,245.08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798,437.04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28,969,969.83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32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both"/>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79"/>
      <w:bookmarkEnd w:id="1980"/>
      <w:bookmarkEnd w:id="1981"/>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bl>
    <w:tbl>
      <w:tblPr>
        <w:tblOverlap w:val="never"/>
        <w:jc w:val="center"/>
        <w:tblLayout w:type="fixed"/>
      </w:tblPr>
      <w:tblGrid>
        <w:gridCol w:w="2669"/>
        <w:gridCol w:w="3082"/>
        <w:gridCol w:w="1915"/>
        <w:gridCol w:w="1920"/>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7"/>
        <w:keepNext w:val="0"/>
        <w:keepLines w:val="0"/>
        <w:widowControl w:val="0"/>
        <w:shd w:val="clear" w:color="auto" w:fill="auto"/>
        <w:tabs>
          <w:tab w:pos="378" w:val="left"/>
        </w:tabs>
        <w:bidi w:val="0"/>
        <w:spacing w:before="0" w:after="300" w:line="326" w:lineRule="exact"/>
        <w:ind w:left="0" w:right="0" w:firstLine="0"/>
        <w:jc w:val="left"/>
      </w:pPr>
      <w:bookmarkStart w:id="1982" w:name="bookmark1982"/>
      <w:r>
        <w:rPr>
          <w:rFonts w:ascii="Times New Roman" w:eastAsia="Times New Roman" w:hAnsi="Times New Roman" w:cs="Times New Roman"/>
          <w:b/>
          <w:bCs/>
          <w:color w:val="000000"/>
          <w:spacing w:val="0"/>
          <w:w w:val="100"/>
          <w:position w:val="0"/>
        </w:rPr>
        <w:t>3</w:t>
      </w:r>
      <w:bookmarkEnd w:id="1982"/>
      <w:r>
        <w:rPr>
          <w:b/>
          <w:bCs/>
          <w:color w:val="000000"/>
          <w:spacing w:val="0"/>
          <w:w w:val="100"/>
          <w:position w:val="0"/>
        </w:rPr>
        <w:t>、</w:t>
        <w:tab/>
        <w:t>境内外会计准则下会计数据差异</w:t>
      </w:r>
    </w:p>
    <w:p>
      <w:pPr>
        <w:pStyle w:val="Style37"/>
        <w:keepNext w:val="0"/>
        <w:keepLines w:val="0"/>
        <w:widowControl w:val="0"/>
        <w:numPr>
          <w:ilvl w:val="0"/>
          <w:numId w:val="75"/>
        </w:numPr>
        <w:shd w:val="clear" w:color="auto" w:fill="auto"/>
        <w:tabs>
          <w:tab w:pos="493" w:val="left"/>
        </w:tabs>
        <w:bidi w:val="0"/>
        <w:spacing w:before="0" w:after="360" w:line="326" w:lineRule="exact"/>
        <w:ind w:left="0" w:right="0" w:firstLine="0"/>
        <w:jc w:val="left"/>
      </w:pPr>
      <w:bookmarkStart w:id="1983" w:name="bookmark1983"/>
      <w:bookmarkEnd w:id="1983"/>
      <w:r>
        <w:rPr>
          <w:b/>
          <w:bCs/>
          <w:color w:val="000000"/>
          <w:spacing w:val="0"/>
          <w:w w:val="100"/>
          <w:position w:val="0"/>
        </w:rPr>
        <w:t>同时按照国际会计准则与按中国会计准则披露的财务报告中净利润和净资产差异情况</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numPr>
          <w:ilvl w:val="0"/>
          <w:numId w:val="75"/>
        </w:numPr>
        <w:shd w:val="clear" w:color="auto" w:fill="auto"/>
        <w:tabs>
          <w:tab w:pos="493" w:val="left"/>
        </w:tabs>
        <w:bidi w:val="0"/>
        <w:spacing w:before="0" w:after="360" w:line="326" w:lineRule="exact"/>
        <w:ind w:left="0" w:right="0" w:firstLine="0"/>
        <w:jc w:val="left"/>
      </w:pPr>
      <w:bookmarkStart w:id="1984" w:name="bookmark1984"/>
      <w:bookmarkEnd w:id="1984"/>
      <w:r>
        <w:rPr>
          <w:b/>
          <w:bCs/>
          <w:color w:val="000000"/>
          <w:spacing w:val="0"/>
          <w:w w:val="100"/>
          <w:position w:val="0"/>
        </w:rPr>
        <w:t>同时按照境外会计准则与按中国会计准则披露的财务报告中净利润和净资产差异情况</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numPr>
          <w:ilvl w:val="0"/>
          <w:numId w:val="75"/>
        </w:numPr>
        <w:shd w:val="clear" w:color="auto" w:fill="auto"/>
        <w:bidi w:val="0"/>
        <w:spacing w:before="0" w:after="300" w:line="326" w:lineRule="exact"/>
        <w:ind w:left="0" w:right="0" w:firstLine="0"/>
        <w:jc w:val="left"/>
      </w:pPr>
      <w:bookmarkStart w:id="1985" w:name="bookmark1985"/>
      <w:bookmarkEnd w:id="1985"/>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37"/>
        <w:keepNext w:val="0"/>
        <w:keepLines w:val="0"/>
        <w:widowControl w:val="0"/>
        <w:shd w:val="clear" w:color="auto" w:fill="auto"/>
        <w:tabs>
          <w:tab w:pos="378" w:val="left"/>
        </w:tabs>
        <w:bidi w:val="0"/>
        <w:spacing w:before="0" w:after="300" w:line="326" w:lineRule="exact"/>
        <w:ind w:left="0" w:right="0" w:firstLine="0"/>
        <w:jc w:val="both"/>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69" w:right="1113" w:bottom="1508" w:left="1101" w:header="0" w:footer="3" w:gutter="0"/>
          <w:cols w:space="720"/>
          <w:noEndnote/>
          <w:titlePg/>
          <w:rtlGutter w:val="0"/>
          <w:docGrid w:linePitch="360"/>
        </w:sectPr>
      </w:pPr>
      <w:bookmarkStart w:id="1986" w:name="bookmark1986"/>
      <w:r>
        <w:rPr>
          <w:rFonts w:ascii="Times New Roman" w:eastAsia="Times New Roman" w:hAnsi="Times New Roman" w:cs="Times New Roman"/>
          <w:b/>
          <w:bCs/>
          <w:color w:val="000000"/>
          <w:spacing w:val="0"/>
          <w:w w:val="100"/>
          <w:position w:val="0"/>
        </w:rPr>
        <w:t>4</w:t>
      </w:r>
      <w:bookmarkEnd w:id="1986"/>
      <w:r>
        <w:rPr>
          <w:b/>
          <w:bCs/>
          <w:color w:val="000000"/>
          <w:spacing w:val="0"/>
          <w:w w:val="100"/>
          <w:position w:val="0"/>
        </w:rPr>
        <w:t>、</w:t>
        <w:tab/>
        <w:t>其他</w:t>
      </w:r>
    </w:p>
    <w:p>
      <w:pPr>
        <w:pStyle w:val="Style11"/>
        <w:keepNext/>
        <w:keepLines/>
        <w:widowControl w:val="0"/>
        <w:shd w:val="clear" w:color="auto" w:fill="auto"/>
        <w:bidi w:val="0"/>
        <w:spacing w:before="0" w:after="460" w:line="240" w:lineRule="auto"/>
        <w:ind w:left="0" w:right="0" w:firstLine="0"/>
        <w:jc w:val="center"/>
      </w:pPr>
      <w:bookmarkStart w:id="1987" w:name="bookmark1987"/>
      <w:bookmarkStart w:id="1988" w:name="bookmark1988"/>
      <w:bookmarkStart w:id="1989" w:name="bookmark1989"/>
      <w:r>
        <w:rPr>
          <w:color w:val="000000"/>
          <w:spacing w:val="0"/>
          <w:w w:val="100"/>
          <w:position w:val="0"/>
        </w:rPr>
        <w:t>第十三节备查文件目录</w:t>
      </w:r>
      <w:bookmarkEnd w:id="1987"/>
      <w:bookmarkEnd w:id="1988"/>
      <w:bookmarkEnd w:id="1989"/>
    </w:p>
    <w:p>
      <w:pPr>
        <w:pStyle w:val="Style29"/>
        <w:keepNext w:val="0"/>
        <w:keepLines w:val="0"/>
        <w:widowControl w:val="0"/>
        <w:shd w:val="clear" w:color="auto" w:fill="auto"/>
        <w:tabs>
          <w:tab w:pos="430" w:val="left"/>
        </w:tabs>
        <w:bidi w:val="0"/>
        <w:spacing w:before="0" w:after="0" w:line="312" w:lineRule="exact"/>
        <w:ind w:left="0" w:right="0" w:firstLine="0"/>
        <w:jc w:val="left"/>
      </w:pPr>
      <w:bookmarkStart w:id="1990" w:name="bookmark1990"/>
      <w:bookmarkStart w:id="1991" w:name="bookmark1991"/>
      <w:r>
        <w:rPr>
          <w:color w:val="000000"/>
          <w:spacing w:val="0"/>
          <w:w w:val="100"/>
          <w:position w:val="0"/>
        </w:rPr>
        <w:t>一</w:t>
      </w:r>
      <w:bookmarkEnd w:id="1991"/>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年年度报告全文及摘要；</w:t>
      </w:r>
      <w:bookmarkEnd w:id="1990"/>
    </w:p>
    <w:p>
      <w:pPr>
        <w:pStyle w:val="Style29"/>
        <w:keepNext w:val="0"/>
        <w:keepLines w:val="0"/>
        <w:widowControl w:val="0"/>
        <w:shd w:val="clear" w:color="auto" w:fill="auto"/>
        <w:tabs>
          <w:tab w:pos="430" w:val="left"/>
        </w:tabs>
        <w:bidi w:val="0"/>
        <w:spacing w:before="0" w:after="0" w:line="312" w:lineRule="exact"/>
        <w:ind w:left="0" w:right="0" w:firstLine="0"/>
        <w:jc w:val="left"/>
      </w:pPr>
      <w:bookmarkStart w:id="1992" w:name="bookmark1992"/>
      <w:r>
        <w:rPr>
          <w:color w:val="000000"/>
          <w:spacing w:val="0"/>
          <w:w w:val="100"/>
          <w:position w:val="0"/>
        </w:rPr>
        <w:t>二</w:t>
      </w:r>
      <w:bookmarkEnd w:id="1992"/>
      <w:r>
        <w:rPr>
          <w:color w:val="000000"/>
          <w:spacing w:val="0"/>
          <w:w w:val="100"/>
          <w:position w:val="0"/>
        </w:rPr>
        <w:t>、</w:t>
        <w:tab/>
        <w:t>载有公司法定代表人、主管会计工作负责人、会计机构负责人签名并盖章的会计报表；</w:t>
      </w:r>
    </w:p>
    <w:p>
      <w:pPr>
        <w:pStyle w:val="Style29"/>
        <w:keepNext w:val="0"/>
        <w:keepLines w:val="0"/>
        <w:widowControl w:val="0"/>
        <w:shd w:val="clear" w:color="auto" w:fill="auto"/>
        <w:tabs>
          <w:tab w:pos="430" w:val="left"/>
        </w:tabs>
        <w:bidi w:val="0"/>
        <w:spacing w:before="0" w:after="0" w:line="312" w:lineRule="exact"/>
        <w:ind w:left="0" w:right="0" w:firstLine="0"/>
        <w:jc w:val="left"/>
      </w:pPr>
      <w:bookmarkStart w:id="1993" w:name="bookmark1993"/>
      <w:r>
        <w:rPr>
          <w:color w:val="000000"/>
          <w:spacing w:val="0"/>
          <w:w w:val="100"/>
          <w:position w:val="0"/>
        </w:rPr>
        <w:t>三</w:t>
      </w:r>
      <w:bookmarkEnd w:id="1993"/>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45" w:val="left"/>
        </w:tabs>
        <w:bidi w:val="0"/>
        <w:spacing w:before="0" w:after="240" w:line="312" w:lineRule="exact"/>
        <w:ind w:left="0" w:right="0" w:firstLine="0"/>
        <w:jc w:val="left"/>
      </w:pPr>
      <w:bookmarkStart w:id="1994" w:name="bookmark1994"/>
      <w:r>
        <w:rPr>
          <w:color w:val="000000"/>
          <w:spacing w:val="0"/>
          <w:w w:val="100"/>
          <w:position w:val="0"/>
        </w:rPr>
        <w:t>四</w:t>
      </w:r>
      <w:bookmarkEnd w:id="1994"/>
      <w:r>
        <w:rPr>
          <w:color w:val="000000"/>
          <w:spacing w:val="0"/>
          <w:w w:val="100"/>
          <w:position w:val="0"/>
        </w:rPr>
        <w:t>、</w:t>
        <w:tab/>
        <w:t>报告期内在《证券日报》《证券时报》《中国证券报》《上海证券报》及巨潮资讯网上公开披露过的所有公司文件的正 本及公告原稿。</w:t>
      </w:r>
    </w:p>
    <w:sectPr>
      <w:footnotePr>
        <w:pos w:val="pageBottom"/>
        <w:numFmt w:val="decimal"/>
        <w:numRestart w:val="continuous"/>
      </w:footnotePr>
      <w:pgSz w:w="11900" w:h="16840"/>
      <w:pgMar w:top="1662" w:right="1114"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10135235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8.0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6736715</wp:posOffset>
              </wp:positionH>
              <wp:positionV relativeFrom="page">
                <wp:posOffset>9958070</wp:posOffset>
              </wp:positionV>
              <wp:extent cx="97790" cy="82550"/>
              <wp:wrapNone/>
              <wp:docPr id="9" name="Shape 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45000000000005pt;margin-top:784.10000000000002pt;width:7.7000000000000002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6736715</wp:posOffset>
              </wp:positionH>
              <wp:positionV relativeFrom="page">
                <wp:posOffset>9958070</wp:posOffset>
              </wp:positionV>
              <wp:extent cx="97790" cy="82550"/>
              <wp:wrapNone/>
              <wp:docPr id="25" name="Shape 25"/>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0.45000000000005pt;margin-top:784.10000000000002pt;width:7.7000000000000002pt;height:6.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6383655</wp:posOffset>
              </wp:positionH>
              <wp:positionV relativeFrom="page">
                <wp:posOffset>9698990</wp:posOffset>
              </wp:positionV>
              <wp:extent cx="448310" cy="106680"/>
              <wp:wrapNone/>
              <wp:docPr id="30" name="Shape 30"/>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6" type="#_x0000_t202" style="position:absolute;margin-left:502.65000000000003pt;margin-top:763.70000000000005pt;width:35.30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6676390</wp:posOffset>
              </wp:positionH>
              <wp:positionV relativeFrom="page">
                <wp:posOffset>10196195</wp:posOffset>
              </wp:positionV>
              <wp:extent cx="158750" cy="79375"/>
              <wp:wrapNone/>
              <wp:docPr id="32" name="Shape 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8" type="#_x0000_t202" style="position:absolute;margin-left:525.70000000000005pt;margin-top:802.85000000000002pt;width:12.5pt;height:6.25pt;z-index:-1887440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4613275</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仁东控股股份有限公司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25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仁东控股股份有限公司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4615180</wp:posOffset>
              </wp:positionH>
              <wp:positionV relativeFrom="page">
                <wp:posOffset>542925</wp:posOffset>
              </wp:positionV>
              <wp:extent cx="2216150" cy="106680"/>
              <wp:wrapNone/>
              <wp:docPr id="6" name="Shape 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仁东控股股份有限公司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63.40000000000003pt;margin-top:42.75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仁东控股股份有限公司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4615180</wp:posOffset>
              </wp:positionH>
              <wp:positionV relativeFrom="page">
                <wp:posOffset>542925</wp:posOffset>
              </wp:positionV>
              <wp:extent cx="2216150" cy="106680"/>
              <wp:wrapNone/>
              <wp:docPr id="22" name="Shape 2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仁东控股股份有限公司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8" type="#_x0000_t202" style="position:absolute;margin-left:363.40000000000003pt;margin-top:42.75pt;width:174.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仁东控股股份有限公司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4612640</wp:posOffset>
              </wp:positionH>
              <wp:positionV relativeFrom="page">
                <wp:posOffset>798830</wp:posOffset>
              </wp:positionV>
              <wp:extent cx="2216150" cy="106680"/>
              <wp:wrapNone/>
              <wp:docPr id="27" name="Shape 27"/>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363.19999999999999pt;margin-top:62.899999999999999pt;width:174.5pt;height:8.4000000000000004pt;z-index:-18874405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仁东控股股份有限公司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940435</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4.0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5)_"/>
    <w:basedOn w:val="DefaultParagraphFont"/>
    <w:link w:val="Style6"/>
    <w:rPr>
      <w:rFonts w:ascii="Arial" w:eastAsia="Arial" w:hAnsi="Arial" w:cs="Arial"/>
      <w:b w:val="0"/>
      <w:bCs w:val="0"/>
      <w:i w:val="0"/>
      <w:iCs w:val="0"/>
      <w:smallCaps/>
      <w:strike w:val="0"/>
      <w:color w:val="BEAD86"/>
      <w:sz w:val="26"/>
      <w:szCs w:val="26"/>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 (2)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正文文本 (4)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character" w:customStyle="1" w:styleId="CharStyle69">
    <w:name w:val="正文文本 (9)_"/>
    <w:basedOn w:val="DefaultParagraphFont"/>
    <w:link w:val="Style68"/>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5)"/>
    <w:basedOn w:val="Normal"/>
    <w:link w:val="CharStyle7"/>
    <w:pPr>
      <w:widowControl w:val="0"/>
      <w:shd w:val="clear" w:color="auto" w:fill="auto"/>
    </w:pPr>
    <w:rPr>
      <w:rFonts w:ascii="Arial" w:eastAsia="Arial" w:hAnsi="Arial" w:cs="Arial"/>
      <w:b w:val="0"/>
      <w:bCs w:val="0"/>
      <w:i w:val="0"/>
      <w:iCs w:val="0"/>
      <w:smallCaps/>
      <w:strike w:val="0"/>
      <w:color w:val="BEAD86"/>
      <w:sz w:val="26"/>
      <w:szCs w:val="26"/>
      <w:u w:val="none"/>
      <w:shd w:val="clear" w:color="auto" w:fill="auto"/>
    </w:rPr>
  </w:style>
  <w:style w:type="paragraph" w:customStyle="1" w:styleId="Style9">
    <w:name w:val="标题 #1"/>
    <w:basedOn w:val="Normal"/>
    <w:link w:val="CharStyle10"/>
    <w:pPr>
      <w:widowControl w:val="0"/>
      <w:shd w:val="clear" w:color="auto" w:fill="auto"/>
      <w:spacing w:before="750" w:after="7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2"/>
    <w:basedOn w:val="Normal"/>
    <w:link w:val="CharStyle12"/>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6)"/>
    <w:basedOn w:val="Normal"/>
    <w:link w:val="CharStyle15"/>
    <w:pPr>
      <w:widowControl w:val="0"/>
      <w:shd w:val="clear" w:color="auto" w:fill="auto"/>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6">
    <w:name w:val="正文文本 (3)"/>
    <w:basedOn w:val="Normal"/>
    <w:link w:val="CharStyle17"/>
    <w:pPr>
      <w:widowControl w:val="0"/>
      <w:shd w:val="clear" w:color="auto" w:fill="auto"/>
      <w:spacing w:after="10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正文文本"/>
    <w:basedOn w:val="Normal"/>
    <w:link w:val="CharStyle30"/>
    <w:pPr>
      <w:widowControl w:val="0"/>
      <w:shd w:val="clear" w:color="auto" w:fill="auto"/>
      <w:spacing w:after="12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2)"/>
    <w:basedOn w:val="Normal"/>
    <w:link w:val="CharStyle38"/>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正文文本 (4)"/>
    <w:basedOn w:val="Normal"/>
    <w:link w:val="CharStyle45"/>
    <w:pPr>
      <w:widowControl w:val="0"/>
      <w:shd w:val="clear" w:color="auto" w:fill="auto"/>
      <w:spacing w:line="315"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8">
    <w:name w:val="正文文本 (9)"/>
    <w:basedOn w:val="Normal"/>
    <w:link w:val="CharStyle69"/>
    <w:pPr>
      <w:widowControl w:val="0"/>
      <w:shd w:val="clear" w:color="auto" w:fill="auto"/>
      <w:spacing w:after="220" w:line="322" w:lineRule="exact"/>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仁东控股股份有限公司2020年年度报告全文</dc:title>
  <dc:subject/>
  <dc:creator>仁东控股股份有限公司</dc:creator>
  <cp:keywords/>
</cp:coreProperties>
</file>