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3"/>
        <w:rPr>
          <w:rFonts w:ascii="Times New Roman" w:hAnsi="Times New Roman" w:cs="Times New Roman" w:eastAsia="Times New Roman" w:hint="default"/>
          <w:sz w:val="6"/>
          <w:szCs w:val="6"/>
        </w:rPr>
      </w:pPr>
    </w:p>
    <w:p>
      <w:pPr>
        <w:spacing w:line="10924" w:lineRule="exact"/>
        <w:ind w:left="1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7"/>
          <w:sz w:val="20"/>
          <w:szCs w:val="20"/>
        </w:rPr>
        <w:drawing>
          <wp:inline distT="0" distB="0" distL="0" distR="0">
            <wp:extent cx="6941944" cy="69372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941944" cy="6937248"/>
                    </a:xfrm>
                    <a:prstGeom prst="rect">
                      <a:avLst/>
                    </a:prstGeom>
                  </pic:spPr>
                </pic:pic>
              </a:graphicData>
            </a:graphic>
          </wp:inline>
        </w:drawing>
      </w:r>
      <w:r>
        <w:rPr>
          <w:rFonts w:ascii="Times New Roman" w:hAnsi="Times New Roman" w:cs="Times New Roman" w:eastAsia="Times New Roman" w:hint="default"/>
          <w:position w:val="-2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tabs>
          <w:tab w:pos="6305" w:val="left" w:leader="none"/>
        </w:tabs>
        <w:spacing w:line="657" w:lineRule="exact"/>
        <w:ind w:left="3911" w:right="0" w:firstLine="0"/>
        <w:rPr>
          <w:rFonts w:ascii="Times New Roman" w:hAnsi="Times New Roman" w:cs="Times New Roman" w:eastAsia="Times New Roman" w:hint="default"/>
          <w:sz w:val="20"/>
          <w:szCs w:val="20"/>
        </w:rPr>
      </w:pPr>
      <w:r>
        <w:rPr>
          <w:rFonts w:ascii="Times New Roman"/>
          <w:position w:val="-12"/>
          <w:sz w:val="20"/>
        </w:rPr>
        <w:drawing>
          <wp:inline distT="0" distB="0" distL="0" distR="0">
            <wp:extent cx="268169" cy="4175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68169" cy="417575"/>
                    </a:xfrm>
                    <a:prstGeom prst="rect">
                      <a:avLst/>
                    </a:prstGeom>
                  </pic:spPr>
                </pic:pic>
              </a:graphicData>
            </a:graphic>
          </wp:inline>
        </w:drawing>
      </w:r>
      <w:r>
        <w:rPr>
          <w:rFonts w:ascii="Times New Roman"/>
          <w:position w:val="-12"/>
          <w:sz w:val="20"/>
        </w:rPr>
      </w:r>
      <w:r>
        <w:rPr>
          <w:rFonts w:ascii="Times New Roman"/>
          <w:spacing w:val="26"/>
          <w:position w:val="-12"/>
          <w:sz w:val="20"/>
        </w:rPr>
        <w:t> </w:t>
      </w:r>
      <w:r>
        <w:rPr>
          <w:rFonts w:ascii="Times New Roman"/>
          <w:spacing w:val="26"/>
          <w:position w:val="-12"/>
          <w:sz w:val="20"/>
        </w:rPr>
        <w:drawing>
          <wp:inline distT="0" distB="0" distL="0" distR="0">
            <wp:extent cx="387018" cy="4175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87018" cy="417575"/>
                    </a:xfrm>
                    <a:prstGeom prst="rect">
                      <a:avLst/>
                    </a:prstGeom>
                  </pic:spPr>
                </pic:pic>
              </a:graphicData>
            </a:graphic>
          </wp:inline>
        </w:drawing>
      </w:r>
      <w:r>
        <w:rPr>
          <w:rFonts w:ascii="Times New Roman"/>
          <w:spacing w:val="26"/>
          <w:position w:val="-12"/>
          <w:sz w:val="20"/>
        </w:rPr>
      </w:r>
      <w:r>
        <w:rPr>
          <w:rFonts w:ascii="Times New Roman"/>
          <w:spacing w:val="50"/>
          <w:position w:val="-12"/>
          <w:sz w:val="20"/>
        </w:rPr>
        <w:t> </w:t>
      </w:r>
      <w:r>
        <w:rPr>
          <w:rFonts w:ascii="Times New Roman"/>
          <w:spacing w:val="50"/>
          <w:position w:val="-12"/>
          <w:sz w:val="20"/>
        </w:rPr>
        <w:drawing>
          <wp:inline distT="0" distB="0" distL="0" distR="0">
            <wp:extent cx="262075" cy="41148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62075" cy="411480"/>
                    </a:xfrm>
                    <a:prstGeom prst="rect">
                      <a:avLst/>
                    </a:prstGeom>
                  </pic:spPr>
                </pic:pic>
              </a:graphicData>
            </a:graphic>
          </wp:inline>
        </w:drawing>
      </w:r>
      <w:r>
        <w:rPr>
          <w:rFonts w:ascii="Times New Roman"/>
          <w:spacing w:val="50"/>
          <w:position w:val="-12"/>
          <w:sz w:val="20"/>
        </w:rPr>
      </w:r>
      <w:r>
        <w:rPr>
          <w:rFonts w:ascii="Times New Roman"/>
          <w:spacing w:val="50"/>
          <w:position w:val="-12"/>
          <w:sz w:val="20"/>
        </w:rPr>
        <w:tab/>
      </w:r>
      <w:r>
        <w:rPr>
          <w:rFonts w:ascii="Times New Roman"/>
          <w:spacing w:val="50"/>
          <w:position w:val="-12"/>
          <w:sz w:val="20"/>
        </w:rPr>
        <w:drawing>
          <wp:inline distT="0" distB="0" distL="0" distR="0">
            <wp:extent cx="249885" cy="41148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249885" cy="411480"/>
                    </a:xfrm>
                    <a:prstGeom prst="rect">
                      <a:avLst/>
                    </a:prstGeom>
                  </pic:spPr>
                </pic:pic>
              </a:graphicData>
            </a:graphic>
          </wp:inline>
        </w:drawing>
      </w:r>
      <w:r>
        <w:rPr>
          <w:rFonts w:ascii="Times New Roman"/>
          <w:spacing w:val="50"/>
          <w:position w:val="-12"/>
          <w:sz w:val="20"/>
        </w:rPr>
      </w:r>
      <w:r>
        <w:rPr>
          <w:rFonts w:ascii="Times New Roman"/>
          <w:spacing w:val="136"/>
          <w:position w:val="-12"/>
          <w:sz w:val="20"/>
        </w:rPr>
        <w:t> </w:t>
      </w:r>
      <w:r>
        <w:rPr>
          <w:rFonts w:ascii="Times New Roman"/>
          <w:spacing w:val="136"/>
          <w:position w:val="-12"/>
          <w:sz w:val="20"/>
        </w:rPr>
        <w:drawing>
          <wp:inline distT="0" distB="0" distL="0" distR="0">
            <wp:extent cx="255980" cy="414527"/>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255980" cy="414527"/>
                    </a:xfrm>
                    <a:prstGeom prst="rect">
                      <a:avLst/>
                    </a:prstGeom>
                  </pic:spPr>
                </pic:pic>
              </a:graphicData>
            </a:graphic>
          </wp:inline>
        </w:drawing>
      </w:r>
      <w:r>
        <w:rPr>
          <w:rFonts w:ascii="Times New Roman"/>
          <w:spacing w:val="136"/>
          <w:position w:val="-12"/>
          <w:sz w:val="20"/>
        </w:rPr>
      </w:r>
    </w:p>
    <w:p>
      <w:pPr>
        <w:spacing w:line="240" w:lineRule="auto" w:before="4"/>
        <w:rPr>
          <w:rFonts w:ascii="Times New Roman" w:hAnsi="Times New Roman" w:cs="Times New Roman" w:eastAsia="Times New Roman" w:hint="default"/>
          <w:sz w:val="11"/>
          <w:szCs w:val="11"/>
        </w:rPr>
      </w:pPr>
    </w:p>
    <w:p>
      <w:pPr>
        <w:tabs>
          <w:tab w:pos="5701" w:val="left" w:leader="none"/>
        </w:tabs>
        <w:spacing w:line="691" w:lineRule="exact"/>
        <w:ind w:left="3867" w:right="0" w:firstLine="0"/>
        <w:rPr>
          <w:rFonts w:ascii="Times New Roman" w:hAnsi="Times New Roman" w:cs="Times New Roman" w:eastAsia="Times New Roman" w:hint="default"/>
          <w:sz w:val="20"/>
          <w:szCs w:val="20"/>
        </w:rPr>
      </w:pPr>
      <w:r>
        <w:rPr>
          <w:rFonts w:ascii="Times New Roman"/>
          <w:position w:val="-13"/>
          <w:sz w:val="20"/>
        </w:rPr>
        <w:drawing>
          <wp:inline distT="0" distB="0" distL="0" distR="0">
            <wp:extent cx="326070" cy="43891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326070" cy="438912"/>
                    </a:xfrm>
                    <a:prstGeom prst="rect">
                      <a:avLst/>
                    </a:prstGeom>
                  </pic:spPr>
                </pic:pic>
              </a:graphicData>
            </a:graphic>
          </wp:inline>
        </w:drawing>
      </w:r>
      <w:r>
        <w:rPr>
          <w:rFonts w:ascii="Times New Roman"/>
          <w:position w:val="-13"/>
          <w:sz w:val="20"/>
        </w:rPr>
      </w:r>
      <w:r>
        <w:rPr>
          <w:rFonts w:ascii="Times New Roman"/>
          <w:spacing w:val="35"/>
          <w:position w:val="-13"/>
          <w:sz w:val="20"/>
        </w:rPr>
        <w:t> </w:t>
      </w:r>
      <w:r>
        <w:rPr>
          <w:rFonts w:ascii="Times New Roman"/>
          <w:spacing w:val="35"/>
          <w:position w:val="-12"/>
          <w:sz w:val="20"/>
        </w:rPr>
        <w:drawing>
          <wp:inline distT="0" distB="0" distL="0" distR="0">
            <wp:extent cx="323022" cy="41148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323022" cy="411480"/>
                    </a:xfrm>
                    <a:prstGeom prst="rect">
                      <a:avLst/>
                    </a:prstGeom>
                  </pic:spPr>
                </pic:pic>
              </a:graphicData>
            </a:graphic>
          </wp:inline>
        </w:drawing>
      </w:r>
      <w:r>
        <w:rPr>
          <w:rFonts w:ascii="Times New Roman"/>
          <w:spacing w:val="35"/>
          <w:position w:val="-12"/>
          <w:sz w:val="20"/>
        </w:rPr>
      </w:r>
      <w:r>
        <w:rPr>
          <w:rFonts w:ascii="Times New Roman"/>
          <w:spacing w:val="112"/>
          <w:position w:val="-12"/>
          <w:sz w:val="20"/>
        </w:rPr>
        <w:t> </w:t>
      </w:r>
      <w:r>
        <w:rPr>
          <w:rFonts w:ascii="Times New Roman"/>
          <w:spacing w:val="112"/>
          <w:position w:val="-13"/>
          <w:sz w:val="20"/>
        </w:rPr>
        <w:drawing>
          <wp:inline distT="0" distB="0" distL="0" distR="0">
            <wp:extent cx="222459" cy="414527"/>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222459" cy="414527"/>
                    </a:xfrm>
                    <a:prstGeom prst="rect">
                      <a:avLst/>
                    </a:prstGeom>
                  </pic:spPr>
                </pic:pic>
              </a:graphicData>
            </a:graphic>
          </wp:inline>
        </w:drawing>
      </w:r>
      <w:r>
        <w:rPr>
          <w:rFonts w:ascii="Times New Roman"/>
          <w:spacing w:val="112"/>
          <w:position w:val="-13"/>
          <w:sz w:val="20"/>
        </w:rPr>
      </w:r>
      <w:r>
        <w:rPr>
          <w:rFonts w:ascii="Times New Roman"/>
          <w:spacing w:val="112"/>
          <w:position w:val="-13"/>
          <w:sz w:val="20"/>
        </w:rPr>
        <w:tab/>
      </w:r>
      <w:r>
        <w:rPr>
          <w:rFonts w:ascii="Times New Roman"/>
          <w:spacing w:val="112"/>
          <w:position w:val="-13"/>
          <w:sz w:val="20"/>
        </w:rPr>
        <w:drawing>
          <wp:inline distT="0" distB="0" distL="0" distR="0">
            <wp:extent cx="259027" cy="414527"/>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259027" cy="414527"/>
                    </a:xfrm>
                    <a:prstGeom prst="rect">
                      <a:avLst/>
                    </a:prstGeom>
                  </pic:spPr>
                </pic:pic>
              </a:graphicData>
            </a:graphic>
          </wp:inline>
        </w:drawing>
      </w:r>
      <w:r>
        <w:rPr>
          <w:rFonts w:ascii="Times New Roman"/>
          <w:spacing w:val="112"/>
          <w:position w:val="-13"/>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line="240" w:lineRule="exact"/>
        <w:ind w:left="39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66.55pt;height:12pt;mso-position-horizontal-relative:char;mso-position-vertical-relative:line" coordorigin="0,0" coordsize="3331,240">
            <v:group style="position:absolute;left:0;top:0;width:3331;height:240" coordorigin="0,0" coordsize="3331,240">
              <v:shape style="position:absolute;left:0;top:0;width:3331;height:240" coordorigin="0,0" coordsize="3331,240" path="m0,0l3331,0,3331,240,0,240,0,0xe" filled="true" fillcolor="#808080" stroked="false">
                <v:path arrowok="t"/>
                <v:fill type="solid"/>
              </v:shape>
            </v:group>
          </v:group>
        </w:pict>
      </w:r>
      <w:r>
        <w:rPr>
          <w:rFonts w:ascii="Times New Roman" w:hAnsi="Times New Roman" w:cs="Times New Roman" w:eastAsia="Times New Roman" w:hint="default"/>
          <w:position w:val="-4"/>
          <w:sz w:val="20"/>
          <w:szCs w:val="20"/>
        </w:rPr>
      </w:r>
    </w:p>
    <w:p>
      <w:pPr>
        <w:spacing w:before="14"/>
        <w:ind w:left="3883" w:right="3853" w:firstLine="0"/>
        <w:jc w:val="center"/>
        <w:rPr>
          <w:rFonts w:ascii="Arial" w:hAnsi="Arial" w:cs="Arial" w:eastAsia="Arial" w:hint="default"/>
          <w:sz w:val="20"/>
          <w:szCs w:val="20"/>
        </w:rPr>
      </w:pPr>
      <w:r>
        <w:rPr>
          <w:rFonts w:ascii="Arial"/>
          <w:sz w:val="20"/>
        </w:rPr>
        <w:t>MODERN</w:t>
      </w:r>
      <w:r>
        <w:rPr>
          <w:rFonts w:ascii="Arial"/>
          <w:spacing w:val="-31"/>
          <w:sz w:val="20"/>
        </w:rPr>
        <w:t> </w:t>
      </w:r>
      <w:r>
        <w:rPr>
          <w:rFonts w:ascii="Arial"/>
          <w:sz w:val="20"/>
        </w:rPr>
        <w:t>AVENUE</w:t>
      </w:r>
      <w:r>
        <w:rPr>
          <w:rFonts w:ascii="Arial"/>
          <w:spacing w:val="-25"/>
          <w:sz w:val="20"/>
        </w:rPr>
        <w:t> </w:t>
      </w:r>
      <w:r>
        <w:rPr>
          <w:rFonts w:ascii="Arial"/>
          <w:sz w:val="20"/>
        </w:rPr>
        <w:t>GROUP</w:t>
      </w:r>
      <w:r>
        <w:rPr>
          <w:rFonts w:ascii="Arial"/>
          <w:spacing w:val="-31"/>
          <w:sz w:val="20"/>
        </w:rPr>
        <w:t> </w:t>
      </w:r>
      <w:r>
        <w:rPr>
          <w:rFonts w:ascii="Arial"/>
          <w:sz w:val="20"/>
        </w:rPr>
        <w:t>CO.,LTD.</w:t>
      </w:r>
    </w:p>
    <w:p>
      <w:pPr>
        <w:spacing w:after="0"/>
        <w:jc w:val="center"/>
        <w:rPr>
          <w:rFonts w:ascii="Arial" w:hAnsi="Arial" w:cs="Arial" w:eastAsia="Arial" w:hint="default"/>
          <w:sz w:val="20"/>
          <w:szCs w:val="20"/>
        </w:rPr>
        <w:sectPr>
          <w:type w:val="continuous"/>
          <w:pgSz w:w="11910" w:h="16840"/>
          <w:pgMar w:top="380" w:bottom="280" w:left="360" w:right="40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8"/>
          <w:szCs w:val="28"/>
        </w:rPr>
      </w:pPr>
    </w:p>
    <w:p>
      <w:pPr>
        <w:pStyle w:val="Heading1"/>
        <w:spacing w:line="240" w:lineRule="auto"/>
        <w:ind w:left="276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11"/>
        <w:rPr>
          <w:rFonts w:ascii="宋体" w:hAnsi="宋体" w:cs="宋体" w:eastAsia="宋体" w:hint="default"/>
          <w:b/>
          <w:bCs/>
          <w:sz w:val="44"/>
          <w:szCs w:val="44"/>
        </w:rPr>
      </w:pPr>
    </w:p>
    <w:p>
      <w:pPr>
        <w:pStyle w:val="Heading3"/>
        <w:spacing w:line="357" w:lineRule="auto"/>
        <w:ind w:right="0" w:firstLine="480"/>
        <w:jc w:val="left"/>
      </w:pPr>
      <w:r>
        <w:rPr/>
        <w:t>公司董事会、监事会及董事、监事、高级管理人员保证年度报告内容的真实、准确、完 整，不存在虚假记载、误导性陈述或重大遗漏，并承担个别和连带的法律责任。</w:t>
      </w:r>
    </w:p>
    <w:p>
      <w:pPr>
        <w:pStyle w:val="Heading3"/>
        <w:spacing w:line="357" w:lineRule="auto" w:before="137"/>
        <w:ind w:right="0" w:firstLine="480"/>
        <w:jc w:val="left"/>
      </w:pPr>
      <w:r>
        <w:rPr/>
        <w:t>公司负责人林永飞、主管会计工作负责人刘文焱及会计机构负责人陈阿妮声明：保证年 度报告中财务报告的真实、准确、完整。</w:t>
      </w:r>
    </w:p>
    <w:p>
      <w:pPr>
        <w:pStyle w:val="Heading3"/>
        <w:spacing w:line="240" w:lineRule="auto" w:before="137"/>
        <w:ind w:left="593" w:right="0"/>
        <w:jc w:val="left"/>
      </w:pPr>
      <w:r>
        <w:rPr/>
        <w:t>所有董事均已出席了审议本报告的董事会会议。</w:t>
      </w:r>
    </w:p>
    <w:p>
      <w:pPr>
        <w:spacing w:line="240" w:lineRule="auto" w:before="4"/>
        <w:rPr>
          <w:rFonts w:ascii="宋体" w:hAnsi="宋体" w:cs="宋体" w:eastAsia="宋体" w:hint="default"/>
          <w:sz w:val="19"/>
          <w:szCs w:val="19"/>
        </w:rPr>
      </w:pPr>
    </w:p>
    <w:p>
      <w:pPr>
        <w:pStyle w:val="Heading3"/>
        <w:spacing w:line="240" w:lineRule="auto"/>
        <w:ind w:left="593" w:right="0"/>
        <w:jc w:val="left"/>
      </w:pPr>
      <w:r>
        <w:rPr/>
        <w:t>公司经本次董事会审议通过的利润分配预案为：以 </w:t>
      </w:r>
      <w:r>
        <w:rPr>
          <w:rFonts w:ascii="Times New Roman" w:hAnsi="Times New Roman" w:cs="Times New Roman" w:eastAsia="Times New Roman" w:hint="default"/>
        </w:rPr>
        <w:t>712,519,844 </w:t>
      </w:r>
      <w:r>
        <w:rPr>
          <w:rFonts w:ascii="Times New Roman" w:hAnsi="Times New Roman" w:cs="Times New Roman" w:eastAsia="Times New Roman" w:hint="default"/>
          <w:spacing w:val="34"/>
        </w:rPr>
        <w:t> </w:t>
      </w:r>
      <w:r>
        <w:rPr/>
        <w:t>为基数，向全体股东每</w:t>
      </w:r>
    </w:p>
    <w:p>
      <w:pPr>
        <w:pStyle w:val="Heading3"/>
        <w:spacing w:line="240" w:lineRule="auto" w:before="135"/>
        <w:ind w:right="0"/>
        <w:jc w:val="left"/>
      </w:pPr>
      <w:r>
        <w:rPr>
          <w:rFonts w:ascii="Times New Roman" w:hAnsi="Times New Roman" w:cs="Times New Roman" w:eastAsia="Times New Roman" w:hint="default"/>
        </w:rPr>
        <w:t>10 </w:t>
      </w:r>
      <w:r>
        <w:rPr/>
        <w:t>股派发现金红利</w:t>
      </w:r>
      <w:r>
        <w:rPr>
          <w:spacing w:val="-61"/>
        </w:rPr>
        <w:t> </w:t>
      </w:r>
      <w:r>
        <w:rPr>
          <w:rFonts w:ascii="Times New Roman" w:hAnsi="Times New Roman" w:cs="Times New Roman" w:eastAsia="Times New Roman" w:hint="default"/>
        </w:rPr>
        <w:t>0.04 </w:t>
      </w:r>
      <w:r>
        <w:rPr/>
        <w:t>元（含税</w:t>
      </w:r>
      <w:r>
        <w:rPr>
          <w:spacing w:val="-120"/>
        </w:rPr>
        <w:t>）</w:t>
      </w:r>
      <w:r>
        <w:rPr/>
        <w:t>，送红股</w:t>
      </w:r>
      <w:r>
        <w:rPr>
          <w:spacing w:val="-60"/>
        </w:rPr>
        <w:t> </w:t>
      </w:r>
      <w:r>
        <w:rPr>
          <w:rFonts w:ascii="Times New Roman" w:hAnsi="Times New Roman" w:cs="Times New Roman" w:eastAsia="Times New Roman" w:hint="default"/>
        </w:rPr>
        <w:t>0 </w:t>
      </w:r>
      <w:r>
        <w:rPr/>
        <w:t>股（含税</w:t>
      </w:r>
      <w:r>
        <w:rPr>
          <w:spacing w:val="-120"/>
        </w:rPr>
        <w:t>）</w:t>
      </w:r>
      <w:r>
        <w:rPr/>
        <w:t>，不以公积金转增股本。</w:t>
      </w:r>
    </w:p>
    <w:p>
      <w:pPr>
        <w:spacing w:after="0" w:line="240" w:lineRule="auto"/>
        <w:jc w:val="left"/>
        <w:sectPr>
          <w:headerReference w:type="default" r:id="rId15"/>
          <w:footerReference w:type="default" r:id="rId16"/>
          <w:pgSz w:w="11910" w:h="16840"/>
          <w:pgMar w:header="906" w:footer="1079" w:top="1100" w:bottom="1260" w:left="1020" w:right="0"/>
          <w:pgNumType w:start="1"/>
        </w:sectPr>
      </w:pPr>
    </w:p>
    <w:p>
      <w:pPr>
        <w:spacing w:line="240" w:lineRule="auto" w:before="6"/>
        <w:rPr>
          <w:rFonts w:ascii="宋体" w:hAnsi="宋体" w:cs="宋体" w:eastAsia="宋体" w:hint="default"/>
          <w:sz w:val="29"/>
          <w:szCs w:val="29"/>
        </w:rPr>
      </w:pPr>
    </w:p>
    <w:p>
      <w:pPr>
        <w:spacing w:before="0"/>
        <w:ind w:left="3711" w:right="4086"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line="434" w:lineRule="auto" w:before="26"/>
        <w:ind w:left="593" w:right="0" w:firstLine="2"/>
        <w:jc w:val="left"/>
        <w:rPr>
          <w:rFonts w:ascii="宋体" w:hAnsi="宋体" w:cs="宋体" w:eastAsia="宋体" w:hint="default"/>
          <w:sz w:val="24"/>
          <w:szCs w:val="24"/>
        </w:rPr>
      </w:pPr>
      <w:r>
        <w:rPr>
          <w:rFonts w:ascii="宋体" w:hAnsi="宋体" w:cs="宋体" w:eastAsia="宋体" w:hint="default"/>
          <w:b/>
          <w:bCs/>
          <w:sz w:val="24"/>
          <w:szCs w:val="24"/>
        </w:rPr>
        <w:t>一、宏观经济波动风险</w:t>
      </w:r>
      <w:r>
        <w:rPr>
          <w:rFonts w:ascii="宋体" w:hAnsi="宋体" w:cs="宋体" w:eastAsia="宋体" w:hint="default"/>
          <w:b/>
          <w:bCs/>
          <w:w w:val="99"/>
          <w:sz w:val="24"/>
          <w:szCs w:val="24"/>
        </w:rPr>
        <w:t> </w:t>
      </w:r>
      <w:r>
        <w:rPr>
          <w:rFonts w:ascii="宋体" w:hAnsi="宋体" w:cs="宋体" w:eastAsia="宋体" w:hint="default"/>
          <w:sz w:val="24"/>
          <w:szCs w:val="24"/>
        </w:rPr>
        <w:t>公司作为时尚消费品零售企业，其经营情况、盈利能力与宏观经济走势具有较强的相关</w:t>
      </w:r>
    </w:p>
    <w:p>
      <w:pPr>
        <w:pStyle w:val="Heading3"/>
        <w:spacing w:line="274" w:lineRule="exact"/>
        <w:ind w:right="0"/>
        <w:jc w:val="left"/>
      </w:pPr>
      <w:r>
        <w:rPr/>
        <w:t>性，公司经营存在因经济减速、消费低迷引致的风险。</w:t>
      </w:r>
    </w:p>
    <w:p>
      <w:pPr>
        <w:spacing w:line="240" w:lineRule="auto" w:before="6"/>
        <w:rPr>
          <w:rFonts w:ascii="宋体" w:hAnsi="宋体" w:cs="宋体" w:eastAsia="宋体" w:hint="default"/>
          <w:sz w:val="19"/>
          <w:szCs w:val="19"/>
        </w:rPr>
      </w:pPr>
    </w:p>
    <w:p>
      <w:pPr>
        <w:spacing w:line="434" w:lineRule="auto" w:before="0"/>
        <w:ind w:left="593" w:right="0" w:firstLine="2"/>
        <w:jc w:val="left"/>
        <w:rPr>
          <w:rFonts w:ascii="宋体" w:hAnsi="宋体" w:cs="宋体" w:eastAsia="宋体" w:hint="default"/>
          <w:sz w:val="24"/>
          <w:szCs w:val="24"/>
        </w:rPr>
      </w:pPr>
      <w:r>
        <w:rPr>
          <w:rFonts w:ascii="宋体" w:hAnsi="宋体" w:cs="宋体" w:eastAsia="宋体" w:hint="default"/>
          <w:b/>
          <w:bCs/>
          <w:sz w:val="24"/>
          <w:szCs w:val="24"/>
        </w:rPr>
        <w:t>二、行业竞争加剧风险</w:t>
      </w:r>
      <w:r>
        <w:rPr>
          <w:rFonts w:ascii="宋体" w:hAnsi="宋体" w:cs="宋体" w:eastAsia="宋体" w:hint="default"/>
          <w:b/>
          <w:bCs/>
          <w:w w:val="99"/>
          <w:sz w:val="24"/>
          <w:szCs w:val="24"/>
        </w:rPr>
        <w:t> </w:t>
      </w:r>
      <w:r>
        <w:rPr>
          <w:rFonts w:ascii="宋体" w:hAnsi="宋体" w:cs="宋体" w:eastAsia="宋体" w:hint="default"/>
          <w:sz w:val="24"/>
          <w:szCs w:val="24"/>
        </w:rPr>
        <w:t>作为一家由传统零售商转型为全渠道新零售平台的企业，公司在零售行业面临多方的竞</w:t>
      </w:r>
    </w:p>
    <w:p>
      <w:pPr>
        <w:pStyle w:val="Heading3"/>
        <w:spacing w:line="274" w:lineRule="exact"/>
        <w:ind w:right="0"/>
        <w:jc w:val="left"/>
      </w:pPr>
      <w:r>
        <w:rPr/>
        <w:t>争，部分新零售企业规模与先发优势明显，若行业竞争加剧，可能影响公司的盈利能力。</w:t>
      </w:r>
    </w:p>
    <w:p>
      <w:pPr>
        <w:spacing w:line="240" w:lineRule="auto" w:before="6"/>
        <w:rPr>
          <w:rFonts w:ascii="宋体" w:hAnsi="宋体" w:cs="宋体" w:eastAsia="宋体" w:hint="default"/>
          <w:sz w:val="19"/>
          <w:szCs w:val="19"/>
        </w:rPr>
      </w:pPr>
    </w:p>
    <w:p>
      <w:pPr>
        <w:pStyle w:val="Heading3"/>
        <w:spacing w:line="434" w:lineRule="auto"/>
        <w:ind w:left="593" w:right="0" w:firstLine="2"/>
        <w:jc w:val="left"/>
      </w:pPr>
      <w:r>
        <w:rPr>
          <w:rFonts w:ascii="宋体" w:hAnsi="宋体" w:cs="宋体" w:eastAsia="宋体" w:hint="default"/>
          <w:b/>
          <w:bCs/>
        </w:rPr>
        <w:t>三、汇率波动风险</w:t>
      </w:r>
      <w:r>
        <w:rPr>
          <w:rFonts w:ascii="宋体" w:hAnsi="宋体" w:cs="宋体" w:eastAsia="宋体" w:hint="default"/>
          <w:b/>
          <w:bCs/>
          <w:w w:val="99"/>
        </w:rPr>
        <w:t> </w:t>
      </w:r>
      <w:r>
        <w:rPr/>
        <w:t>近年来，公司设立境外子公司、收购境外品牌公司股权、与境外知名买手店合作、跨境</w:t>
      </w:r>
    </w:p>
    <w:p>
      <w:pPr>
        <w:pStyle w:val="Heading3"/>
        <w:spacing w:line="274" w:lineRule="exact"/>
        <w:ind w:right="0"/>
        <w:jc w:val="left"/>
      </w:pPr>
      <w:r>
        <w:rPr/>
        <w:t>采购等事项均采用外币结算，汇率波动将对公司的经营和收益带来一定风险。</w:t>
      </w:r>
    </w:p>
    <w:p>
      <w:pPr>
        <w:spacing w:after="0" w:line="274" w:lineRule="exact"/>
        <w:jc w:val="left"/>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460" w:lineRule="exact" w:before="0"/>
        <w:ind w:left="3623" w:right="4640" w:firstLine="0"/>
        <w:jc w:val="center"/>
        <w:rPr>
          <w:rFonts w:ascii="黑体" w:hAnsi="黑体" w:cs="黑体" w:eastAsia="黑体" w:hint="default"/>
          <w:sz w:val="36"/>
          <w:szCs w:val="36"/>
        </w:rPr>
      </w:pPr>
      <w:r>
        <w:rPr>
          <w:rFonts w:ascii="黑体" w:hAnsi="黑体" w:cs="黑体" w:eastAsia="黑体" w:hint="default"/>
          <w:sz w:val="36"/>
          <w:szCs w:val="36"/>
        </w:rPr>
        <w:t>目录</w:t>
      </w: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sdt>
      <w:sdtPr>
        <w:docPartObj>
          <w:docPartGallery w:val="Table of Contents"/>
          <w:docPartUnique/>
        </w:docPartObj>
      </w:sdtPr>
      <w:sdtEndPr/>
      <w:sdtContent>
        <w:p>
          <w:pPr>
            <w:pStyle w:val="TOC1"/>
            <w:tabs>
              <w:tab w:pos="9753" w:val="right" w:leader="dot"/>
            </w:tabs>
            <w:spacing w:line="240" w:lineRule="auto" w:before="235"/>
            <w:ind w:right="0"/>
            <w:jc w:val="left"/>
            <w:rPr>
              <w:rFonts w:ascii="黑体" w:hAnsi="黑体" w:cs="黑体" w:eastAsia="黑体" w:hint="default"/>
            </w:rPr>
          </w:pPr>
          <w:r>
            <w:fldChar w:fldCharType="begin"/>
          </w:r>
          <w:r>
            <w:instrText>TOC \o "1-1" \h \z \u </w:instrText>
          </w:r>
          <w:r>
            <w:fldChar w:fldCharType="separate"/>
          </w:r>
          <w:hyperlink w:history="true" w:anchor="_bookmark0">
            <w:r>
              <w:rPr/>
              <w:t>第一节 重要提示、目录和释义</w:t>
            </w:r>
            <w:r>
              <w:rPr>
                <w:rFonts w:ascii="黑体" w:hAnsi="黑体" w:cs="黑体" w:eastAsia="黑体" w:hint="default"/>
              </w:rPr>
              <w:tab/>
              <w:t>1</w:t>
            </w:r>
          </w:hyperlink>
        </w:p>
        <w:p>
          <w:pPr>
            <w:pStyle w:val="TOC1"/>
            <w:tabs>
              <w:tab w:pos="9753" w:val="right" w:leader="dot"/>
            </w:tabs>
            <w:spacing w:line="240" w:lineRule="auto" w:before="351"/>
            <w:ind w:right="0"/>
            <w:jc w:val="left"/>
            <w:rPr>
              <w:rFonts w:ascii="黑体" w:hAnsi="黑体" w:cs="黑体" w:eastAsia="黑体" w:hint="default"/>
            </w:rPr>
          </w:pPr>
          <w:hyperlink w:history="true" w:anchor="_bookmark1">
            <w:r>
              <w:rPr/>
              <w:t>第二节 公司简介和主要财务指标</w:t>
            </w:r>
            <w:r>
              <w:rPr>
                <w:rFonts w:ascii="黑体" w:hAnsi="黑体" w:cs="黑体" w:eastAsia="黑体" w:hint="default"/>
              </w:rPr>
              <w:tab/>
              <w:t>6</w:t>
            </w:r>
          </w:hyperlink>
        </w:p>
        <w:p>
          <w:pPr>
            <w:pStyle w:val="TOC1"/>
            <w:tabs>
              <w:tab w:pos="9753" w:val="right" w:leader="dot"/>
            </w:tabs>
            <w:spacing w:line="240" w:lineRule="auto" w:before="348"/>
            <w:ind w:right="0"/>
            <w:jc w:val="left"/>
            <w:rPr>
              <w:rFonts w:ascii="黑体" w:hAnsi="黑体" w:cs="黑体" w:eastAsia="黑体" w:hint="default"/>
            </w:rPr>
          </w:pPr>
          <w:hyperlink w:history="true" w:anchor="_bookmark2">
            <w:r>
              <w:rPr/>
              <w:t>第三节 公司业务概要</w:t>
            </w:r>
            <w:r>
              <w:rPr>
                <w:rFonts w:ascii="黑体" w:hAnsi="黑体" w:cs="黑体" w:eastAsia="黑体" w:hint="default"/>
              </w:rPr>
              <w:tab/>
              <w:t>10</w:t>
            </w:r>
          </w:hyperlink>
        </w:p>
        <w:p>
          <w:pPr>
            <w:pStyle w:val="TOC1"/>
            <w:tabs>
              <w:tab w:pos="9753" w:val="right" w:leader="dot"/>
            </w:tabs>
            <w:spacing w:line="240" w:lineRule="auto"/>
            <w:ind w:right="0"/>
            <w:jc w:val="left"/>
            <w:rPr>
              <w:rFonts w:ascii="黑体" w:hAnsi="黑体" w:cs="黑体" w:eastAsia="黑体" w:hint="default"/>
            </w:rPr>
          </w:pPr>
          <w:hyperlink w:history="true" w:anchor="_bookmark3">
            <w:r>
              <w:rPr/>
              <w:t>第四节 经营情况讨论与分析</w:t>
            </w:r>
            <w:r>
              <w:rPr>
                <w:rFonts w:ascii="黑体" w:hAnsi="黑体" w:cs="黑体" w:eastAsia="黑体" w:hint="default"/>
              </w:rPr>
              <w:tab/>
              <w:t>15</w:t>
            </w:r>
          </w:hyperlink>
        </w:p>
        <w:p>
          <w:pPr>
            <w:pStyle w:val="TOC1"/>
            <w:tabs>
              <w:tab w:pos="9753" w:val="right" w:leader="dot"/>
            </w:tabs>
            <w:spacing w:line="240" w:lineRule="auto"/>
            <w:ind w:right="0"/>
            <w:jc w:val="left"/>
            <w:rPr>
              <w:rFonts w:ascii="黑体" w:hAnsi="黑体" w:cs="黑体" w:eastAsia="黑体" w:hint="default"/>
            </w:rPr>
          </w:pPr>
          <w:hyperlink w:history="true" w:anchor="_bookmark4">
            <w:r>
              <w:rPr/>
              <w:t>第五节 重要事项</w:t>
            </w:r>
            <w:r>
              <w:rPr>
                <w:rFonts w:ascii="黑体" w:hAnsi="黑体" w:cs="黑体" w:eastAsia="黑体" w:hint="default"/>
              </w:rPr>
              <w:tab/>
              <w:t>39</w:t>
            </w:r>
          </w:hyperlink>
        </w:p>
        <w:p>
          <w:pPr>
            <w:pStyle w:val="TOC1"/>
            <w:tabs>
              <w:tab w:pos="9753" w:val="right" w:leader="dot"/>
            </w:tabs>
            <w:spacing w:line="240" w:lineRule="auto" w:before="348"/>
            <w:ind w:right="0"/>
            <w:jc w:val="left"/>
            <w:rPr>
              <w:rFonts w:ascii="黑体" w:hAnsi="黑体" w:cs="黑体" w:eastAsia="黑体" w:hint="default"/>
            </w:rPr>
          </w:pPr>
          <w:hyperlink w:history="true" w:anchor="_bookmark5">
            <w:r>
              <w:rPr/>
              <w:t>第六节 股份变动及股东情况</w:t>
            </w:r>
            <w:r>
              <w:rPr>
                <w:rFonts w:ascii="黑体" w:hAnsi="黑体" w:cs="黑体" w:eastAsia="黑体" w:hint="default"/>
              </w:rPr>
              <w:tab/>
              <w:t>63</w:t>
            </w:r>
          </w:hyperlink>
        </w:p>
        <w:p>
          <w:pPr>
            <w:pStyle w:val="TOC1"/>
            <w:tabs>
              <w:tab w:pos="9753" w:val="right" w:leader="dot"/>
            </w:tabs>
            <w:spacing w:line="240" w:lineRule="auto" w:before="351"/>
            <w:ind w:right="0"/>
            <w:jc w:val="left"/>
            <w:rPr>
              <w:rFonts w:ascii="黑体" w:hAnsi="黑体" w:cs="黑体" w:eastAsia="黑体" w:hint="default"/>
            </w:rPr>
          </w:pPr>
          <w:hyperlink w:history="true" w:anchor="_bookmark6">
            <w:r>
              <w:rPr/>
              <w:t>第七节 优先股相关情况</w:t>
            </w:r>
            <w:r>
              <w:rPr>
                <w:rFonts w:ascii="黑体" w:hAnsi="黑体" w:cs="黑体" w:eastAsia="黑体" w:hint="default"/>
              </w:rPr>
              <w:tab/>
              <w:t>71</w:t>
            </w:r>
          </w:hyperlink>
        </w:p>
        <w:p>
          <w:pPr>
            <w:pStyle w:val="TOC1"/>
            <w:tabs>
              <w:tab w:pos="9753" w:val="right" w:leader="dot"/>
            </w:tabs>
            <w:spacing w:line="240" w:lineRule="auto"/>
            <w:ind w:right="0"/>
            <w:jc w:val="left"/>
            <w:rPr>
              <w:rFonts w:ascii="黑体" w:hAnsi="黑体" w:cs="黑体" w:eastAsia="黑体" w:hint="default"/>
            </w:rPr>
          </w:pPr>
          <w:hyperlink w:history="true" w:anchor="_bookmark7">
            <w:r>
              <w:rPr/>
              <w:t>第八节 董事、监事、高级管理人员和员工情况</w:t>
            </w:r>
            <w:r>
              <w:rPr>
                <w:rFonts w:ascii="黑体" w:hAnsi="黑体" w:cs="黑体" w:eastAsia="黑体" w:hint="default"/>
              </w:rPr>
              <w:tab/>
              <w:t>72</w:t>
            </w:r>
          </w:hyperlink>
        </w:p>
        <w:p>
          <w:pPr>
            <w:pStyle w:val="TOC1"/>
            <w:tabs>
              <w:tab w:pos="9753" w:val="right" w:leader="dot"/>
            </w:tabs>
            <w:spacing w:line="240" w:lineRule="auto" w:before="348"/>
            <w:ind w:right="0"/>
            <w:jc w:val="left"/>
            <w:rPr>
              <w:rFonts w:ascii="黑体" w:hAnsi="黑体" w:cs="黑体" w:eastAsia="黑体" w:hint="default"/>
            </w:rPr>
          </w:pPr>
          <w:hyperlink w:history="true" w:anchor="_bookmark8">
            <w:r>
              <w:rPr/>
              <w:t>第九节 公司治理</w:t>
            </w:r>
            <w:r>
              <w:rPr>
                <w:rFonts w:ascii="黑体" w:hAnsi="黑体" w:cs="黑体" w:eastAsia="黑体" w:hint="default"/>
              </w:rPr>
              <w:tab/>
              <w:t>80</w:t>
            </w:r>
          </w:hyperlink>
        </w:p>
        <w:p>
          <w:pPr>
            <w:pStyle w:val="TOC1"/>
            <w:tabs>
              <w:tab w:pos="9753" w:val="right" w:leader="dot"/>
            </w:tabs>
            <w:spacing w:line="240" w:lineRule="auto"/>
            <w:ind w:right="0"/>
            <w:jc w:val="left"/>
            <w:rPr>
              <w:rFonts w:ascii="黑体" w:hAnsi="黑体" w:cs="黑体" w:eastAsia="黑体" w:hint="default"/>
            </w:rPr>
          </w:pPr>
          <w:hyperlink w:history="true" w:anchor="_bookmark9">
            <w:r>
              <w:rPr/>
              <w:t>第十节 公司债券相关情况</w:t>
            </w:r>
            <w:r>
              <w:rPr>
                <w:rFonts w:ascii="黑体" w:hAnsi="黑体" w:cs="黑体" w:eastAsia="黑体" w:hint="default"/>
              </w:rPr>
              <w:tab/>
              <w:t>88</w:t>
            </w:r>
          </w:hyperlink>
        </w:p>
        <w:p>
          <w:pPr>
            <w:pStyle w:val="TOC1"/>
            <w:tabs>
              <w:tab w:pos="9753" w:val="right" w:leader="dot"/>
            </w:tabs>
            <w:spacing w:line="240" w:lineRule="auto"/>
            <w:ind w:right="0"/>
            <w:jc w:val="left"/>
            <w:rPr>
              <w:rFonts w:ascii="黑体" w:hAnsi="黑体" w:cs="黑体" w:eastAsia="黑体" w:hint="default"/>
            </w:rPr>
          </w:pPr>
          <w:hyperlink w:history="true" w:anchor="_bookmark10">
            <w:r>
              <w:rPr/>
              <w:t>第十一节</w:t>
            </w:r>
            <w:r>
              <w:rPr>
                <w:spacing w:val="-1"/>
              </w:rPr>
              <w:t> </w:t>
            </w:r>
            <w:r>
              <w:rPr/>
              <w:t>财务报告</w:t>
            </w:r>
            <w:r>
              <w:rPr>
                <w:rFonts w:ascii="黑体" w:hAnsi="黑体" w:cs="黑体" w:eastAsia="黑体" w:hint="default"/>
              </w:rPr>
              <w:tab/>
              <w:t>89</w:t>
            </w:r>
          </w:hyperlink>
        </w:p>
        <w:p>
          <w:pPr>
            <w:pStyle w:val="TOC1"/>
            <w:tabs>
              <w:tab w:pos="9753" w:val="right" w:leader="dot"/>
            </w:tabs>
            <w:spacing w:line="240" w:lineRule="auto" w:before="348"/>
            <w:ind w:right="0"/>
            <w:jc w:val="left"/>
            <w:rPr>
              <w:rFonts w:ascii="黑体" w:hAnsi="黑体" w:cs="黑体" w:eastAsia="黑体" w:hint="default"/>
            </w:rPr>
          </w:pPr>
          <w:hyperlink w:history="true" w:anchor="_bookmark11">
            <w:r>
              <w:rPr/>
              <w:t>第十二节</w:t>
            </w:r>
            <w:r>
              <w:rPr>
                <w:spacing w:val="-1"/>
              </w:rPr>
              <w:t> </w:t>
            </w:r>
            <w:r>
              <w:rPr/>
              <w:t>备查文件目录</w:t>
            </w:r>
            <w:r>
              <w:rPr>
                <w:rFonts w:ascii="黑体" w:hAnsi="黑体" w:cs="黑体" w:eastAsia="黑体" w:hint="default"/>
              </w:rPr>
              <w:tab/>
              <w:t>217</w:t>
            </w:r>
          </w:hyperlink>
        </w:p>
        <w:p>
          <w:pPr/>
          <w:r>
            <w:fldChar w:fldCharType="end"/>
          </w:r>
        </w:p>
      </w:sdtContent>
    </w:sdt>
    <w:p>
      <w:pPr>
        <w:spacing w:after="0"/>
        <w:sectPr>
          <w:pgSz w:w="11910" w:h="16840"/>
          <w:pgMar w:header="906" w:footer="1079" w:top="1100" w:bottom="1260" w:left="1020" w:right="0"/>
        </w:sectPr>
      </w:pPr>
    </w:p>
    <w:p>
      <w:pPr>
        <w:spacing w:line="240" w:lineRule="auto" w:before="0"/>
        <w:rPr>
          <w:rFonts w:ascii="黑体" w:hAnsi="黑体" w:cs="黑体" w:eastAsia="黑体" w:hint="default"/>
          <w:sz w:val="32"/>
          <w:szCs w:val="32"/>
        </w:rPr>
      </w:pPr>
    </w:p>
    <w:p>
      <w:pPr>
        <w:spacing w:line="240" w:lineRule="auto" w:before="12"/>
        <w:rPr>
          <w:rFonts w:ascii="黑体" w:hAnsi="黑体" w:cs="黑体" w:eastAsia="黑体" w:hint="default"/>
          <w:sz w:val="47"/>
          <w:szCs w:val="47"/>
        </w:rPr>
      </w:pPr>
    </w:p>
    <w:p>
      <w:pPr>
        <w:spacing w:before="0"/>
        <w:ind w:left="3623" w:right="464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24"/>
        <w:gridCol w:w="622"/>
        <w:gridCol w:w="5425"/>
      </w:tblGrid>
      <w:tr>
        <w:trPr>
          <w:trHeight w:val="396" w:hRule="exact"/>
        </w:trPr>
        <w:tc>
          <w:tcPr>
            <w:tcW w:w="35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20"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3"/>
              <w:ind w:left="103" w:right="168"/>
              <w:jc w:val="left"/>
              <w:rPr>
                <w:rFonts w:ascii="宋体" w:hAnsi="宋体" w:cs="宋体" w:eastAsia="宋体" w:hint="default"/>
                <w:sz w:val="18"/>
                <w:szCs w:val="18"/>
              </w:rPr>
            </w:pPr>
            <w:r>
              <w:rPr>
                <w:rFonts w:ascii="宋体" w:hAnsi="宋体" w:cs="宋体" w:eastAsia="宋体" w:hint="default"/>
                <w:sz w:val="18"/>
                <w:szCs w:val="18"/>
              </w:rPr>
              <w:t>摩登大道、公司、本公司、股份公司、发 行人</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3"/>
              <w:ind w:left="105" w:right="100"/>
              <w:jc w:val="left"/>
              <w:rPr>
                <w:rFonts w:ascii="宋体" w:hAnsi="宋体" w:cs="宋体" w:eastAsia="宋体" w:hint="default"/>
                <w:sz w:val="18"/>
                <w:szCs w:val="18"/>
              </w:rPr>
            </w:pPr>
            <w:r>
              <w:rPr>
                <w:rFonts w:ascii="宋体" w:hAnsi="宋体" w:cs="宋体" w:eastAsia="宋体" w:hint="default"/>
                <w:spacing w:val="-1"/>
                <w:sz w:val="18"/>
                <w:szCs w:val="18"/>
              </w:rPr>
              <w:t>摩登大道时尚集团股份有限公司（曾用名：广州卡奴迪路服饰股份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有限公司，广州伊狮路贸易有限公司）</w:t>
            </w:r>
          </w:p>
        </w:tc>
      </w:tr>
      <w:tr>
        <w:trPr>
          <w:trHeight w:val="713"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瑞丰股份、控股股东</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5" w:right="102"/>
              <w:jc w:val="left"/>
              <w:rPr>
                <w:rFonts w:ascii="宋体" w:hAnsi="宋体" w:cs="宋体" w:eastAsia="宋体" w:hint="default"/>
                <w:sz w:val="18"/>
                <w:szCs w:val="18"/>
              </w:rPr>
            </w:pPr>
            <w:r>
              <w:rPr>
                <w:rFonts w:ascii="宋体" w:hAnsi="宋体" w:cs="宋体" w:eastAsia="宋体" w:hint="default"/>
                <w:spacing w:val="-1"/>
                <w:sz w:val="18"/>
                <w:szCs w:val="18"/>
              </w:rPr>
              <w:t>广州瑞丰集团股份有限公司（曾用名：广州瑞丰投资有限公司，广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州瑞盈投资有限公司）</w:t>
            </w:r>
          </w:p>
        </w:tc>
      </w:tr>
      <w:tr>
        <w:trPr>
          <w:trHeight w:val="716"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摩登大道时尚电商</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00"/>
              <w:jc w:val="left"/>
              <w:rPr>
                <w:rFonts w:ascii="宋体" w:hAnsi="宋体" w:cs="宋体" w:eastAsia="宋体" w:hint="default"/>
                <w:sz w:val="18"/>
                <w:szCs w:val="18"/>
              </w:rPr>
            </w:pPr>
            <w:r>
              <w:rPr>
                <w:rFonts w:ascii="宋体" w:hAnsi="宋体" w:cs="宋体" w:eastAsia="宋体" w:hint="default"/>
                <w:spacing w:val="-1"/>
                <w:sz w:val="18"/>
                <w:szCs w:val="18"/>
              </w:rPr>
              <w:t>摩登大道时尚电子商务有限公司（曾用名：广州摩登大道时尚电子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商务有限公司）</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狮丹公司</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广州狮丹贸易有限公司，本公司之全资子公司</w:t>
            </w:r>
          </w:p>
        </w:tc>
      </w:tr>
      <w:tr>
        <w:trPr>
          <w:trHeight w:val="403"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卡奴迪路国际</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广州卡奴迪路国际品牌管理有限公司，本公司之全资子公司</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香港卡奴迪路</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卡奴迪路服饰股份（香港）有限公司，本公司之全资子公司</w:t>
            </w:r>
          </w:p>
        </w:tc>
      </w:tr>
      <w:tr>
        <w:trPr>
          <w:trHeight w:val="715"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香港摩登大道品牌管理</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5" w:right="8"/>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摩登大道品牌管理有限公司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曾用名：卡奴迪路国际品牌管理（香港）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澳门卡奴迪路</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卡奴迪路国际有限公司，本公司之全资下属公司</w:t>
            </w:r>
          </w:p>
        </w:tc>
      </w:tr>
      <w:tr>
        <w:trPr>
          <w:trHeight w:val="403"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连卡悦圆</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山南公司</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r>
      <w:tr>
        <w:trPr>
          <w:trHeight w:val="403"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杭州连卡恒福</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广州连卡福</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广州连卡福名品管理有限公司</w:t>
            </w:r>
          </w:p>
        </w:tc>
      </w:tr>
      <w:tr>
        <w:trPr>
          <w:trHeight w:val="715"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摩登大道贸易</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pacing w:val="-1"/>
                <w:sz w:val="18"/>
                <w:szCs w:val="18"/>
              </w:rPr>
              <w:t>广州摩登大道贸易有限公司（曾用名：广州澳玛壹品名品管理有限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公司）</w:t>
            </w:r>
          </w:p>
        </w:tc>
      </w:tr>
      <w:tr>
        <w:trPr>
          <w:trHeight w:val="713"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悦然心动</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5" w:right="100"/>
              <w:jc w:val="left"/>
              <w:rPr>
                <w:rFonts w:ascii="宋体" w:hAnsi="宋体" w:cs="宋体" w:eastAsia="宋体" w:hint="default"/>
                <w:sz w:val="18"/>
                <w:szCs w:val="18"/>
              </w:rPr>
            </w:pPr>
            <w:r>
              <w:rPr>
                <w:rFonts w:ascii="宋体" w:hAnsi="宋体" w:cs="宋体" w:eastAsia="宋体" w:hint="default"/>
                <w:spacing w:val="-1"/>
                <w:sz w:val="18"/>
                <w:szCs w:val="18"/>
              </w:rPr>
              <w:t>武汉悦然心动网络科技有限公司（曾用名：武汉悦然心动网络科技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股份有限公司）</w:t>
            </w:r>
          </w:p>
        </w:tc>
      </w:tr>
      <w:tr>
        <w:trPr>
          <w:trHeight w:val="403"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正中珠江、审计机构</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5"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募投项目</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00"/>
              <w:jc w:val="left"/>
              <w:rPr>
                <w:rFonts w:ascii="宋体" w:hAnsi="宋体" w:cs="宋体" w:eastAsia="宋体" w:hint="default"/>
                <w:sz w:val="18"/>
                <w:szCs w:val="18"/>
              </w:rPr>
            </w:pPr>
            <w:r>
              <w:rPr>
                <w:rFonts w:ascii="宋体" w:hAnsi="宋体" w:cs="宋体" w:eastAsia="宋体" w:hint="default"/>
                <w:spacing w:val="-1"/>
                <w:sz w:val="18"/>
                <w:szCs w:val="18"/>
              </w:rPr>
              <w:t>首次发行人民币普通股募集资金进行投资的项目，非公开发行募投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项目，发行股份购买资产并募集配套资金项目</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《证券法》</w:t>
            </w:r>
          </w:p>
        </w:tc>
      </w:tr>
      <w:tr>
        <w:trPr>
          <w:trHeight w:val="403" w:hRule="exact"/>
        </w:trPr>
        <w:tc>
          <w:tcPr>
            <w:tcW w:w="35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《摩登大道时尚集团股份有限公司章程》</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3"/>
                <w:sz w:val="18"/>
              </w:rPr>
              <w:t>LEVITAS</w:t>
            </w:r>
          </w:p>
        </w:tc>
        <w:tc>
          <w:tcPr>
            <w:tcW w:w="62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S.P.A.</w:t>
            </w:r>
            <w:r>
              <w:rPr>
                <w:rFonts w:ascii="宋体" w:hAnsi="宋体" w:cs="宋体" w:eastAsia="宋体" w:hint="default"/>
                <w:sz w:val="18"/>
                <w:szCs w:val="18"/>
              </w:rPr>
              <w:t>，是一家位于意大利专注于从事</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Dirk</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Bikkembergs</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品牌的设计、推广及授权的国际化公司</w:t>
            </w:r>
          </w:p>
        </w:tc>
      </w:tr>
      <w:tr>
        <w:trPr>
          <w:trHeight w:val="1651" w:hRule="exact"/>
        </w:trPr>
        <w:tc>
          <w:tcPr>
            <w:tcW w:w="3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Dirk</w:t>
            </w:r>
            <w:r>
              <w:rPr>
                <w:rFonts w:ascii="Times New Roman"/>
                <w:spacing w:val="-11"/>
                <w:sz w:val="18"/>
              </w:rPr>
              <w:t> </w:t>
            </w:r>
            <w:r>
              <w:rPr>
                <w:rFonts w:ascii="Times New Roman"/>
                <w:sz w:val="18"/>
              </w:rPr>
              <w:t>Bikkembergs</w:t>
            </w:r>
          </w:p>
        </w:tc>
        <w:tc>
          <w:tcPr>
            <w:tcW w:w="62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09" w:lineRule="auto" w:before="51"/>
              <w:ind w:left="105"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Dirk Bikkembergs </w:t>
            </w:r>
            <w:r>
              <w:rPr>
                <w:rFonts w:ascii="宋体" w:hAnsi="宋体" w:cs="宋体" w:eastAsia="宋体" w:hint="default"/>
                <w:sz w:val="18"/>
                <w:szCs w:val="18"/>
              </w:rPr>
              <w:t>品牌，</w:t>
            </w:r>
            <w:r>
              <w:rPr>
                <w:rFonts w:ascii="Times New Roman" w:hAnsi="Times New Roman" w:cs="Times New Roman" w:eastAsia="Times New Roman" w:hint="default"/>
                <w:sz w:val="18"/>
                <w:szCs w:val="18"/>
              </w:rPr>
              <w:t>1985 </w:t>
            </w:r>
            <w:r>
              <w:rPr>
                <w:rFonts w:ascii="宋体" w:hAnsi="宋体" w:cs="宋体" w:eastAsia="宋体" w:hint="default"/>
                <w:sz w:val="18"/>
                <w:szCs w:val="18"/>
              </w:rPr>
              <w:t>年由德国血统的比利时设计师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Dirk Bikkembergs Leon</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先生创建，以简单、勇气和自我完善的核心价值 为设计理念，足球元素贯穿于各个系列产品之中，充分体现建筑、 运动、高科技、设计多样化以及各种不同美学范畴的知名高级时尚 运动品牌</w:t>
            </w:r>
          </w:p>
        </w:tc>
      </w:tr>
      <w:tr>
        <w:trPr>
          <w:trHeight w:val="1339" w:hRule="exact"/>
        </w:trPr>
        <w:tc>
          <w:tcPr>
            <w:tcW w:w="3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Antonia</w:t>
            </w:r>
          </w:p>
        </w:tc>
        <w:tc>
          <w:tcPr>
            <w:tcW w:w="62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933734"/>
              <w:left w:val="single" w:sz="4" w:space="0" w:color="933734"/>
              <w:bottom w:val="single" w:sz="4" w:space="0" w:color="933734"/>
              <w:right w:val="single" w:sz="4" w:space="0" w:color="933734"/>
            </w:tcBorders>
          </w:tcPr>
          <w:p>
            <w:pPr>
              <w:pStyle w:val="TableParagraph"/>
              <w:spacing w:line="309" w:lineRule="auto" w:before="49"/>
              <w:ind w:left="105" w:right="10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意大利著名时尚买手店品牌，主要涵盖男装、女装、饰品、化妆品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等，合作品牌主要包括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GIVENCHY</w:t>
            </w:r>
            <w:r>
              <w:rPr>
                <w:rFonts w:ascii="宋体" w:hAnsi="宋体" w:cs="宋体" w:eastAsia="宋体" w:hint="default"/>
                <w:sz w:val="18"/>
                <w:szCs w:val="18"/>
              </w:rPr>
              <w:t>、</w:t>
            </w:r>
            <w:r>
              <w:rPr>
                <w:rFonts w:ascii="Times New Roman" w:hAnsi="Times New Roman" w:cs="Times New Roman" w:eastAsia="Times New Roman" w:hint="default"/>
                <w:sz w:val="18"/>
                <w:szCs w:val="18"/>
              </w:rPr>
              <w:t>VALENTINO</w:t>
            </w:r>
            <w:r>
              <w:rPr>
                <w:rFonts w:ascii="宋体" w:hAnsi="宋体" w:cs="宋体" w:eastAsia="宋体" w:hint="default"/>
                <w:sz w:val="18"/>
                <w:szCs w:val="18"/>
              </w:rPr>
              <w:t>、</w:t>
            </w:r>
            <w:r>
              <w:rPr>
                <w:rFonts w:ascii="Times New Roman" w:hAnsi="Times New Roman" w:cs="Times New Roman" w:eastAsia="Times New Roman" w:hint="default"/>
                <w:sz w:val="18"/>
                <w:szCs w:val="18"/>
              </w:rPr>
              <w:t>CHRISTIAN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DIOR</w:t>
            </w:r>
            <w:r>
              <w:rPr>
                <w:rFonts w:ascii="宋体" w:hAnsi="宋体" w:cs="宋体" w:eastAsia="宋体" w:hint="default"/>
                <w:sz w:val="18"/>
                <w:szCs w:val="18"/>
              </w:rPr>
              <w:t>、</w:t>
            </w:r>
            <w:r>
              <w:rPr>
                <w:rFonts w:ascii="Times New Roman" w:hAnsi="Times New Roman" w:cs="Times New Roman" w:eastAsia="Times New Roman" w:hint="default"/>
                <w:sz w:val="18"/>
                <w:szCs w:val="18"/>
              </w:rPr>
              <w:t>YVES SAINT</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LAURENT</w:t>
            </w:r>
            <w:r>
              <w:rPr>
                <w:rFonts w:ascii="宋体" w:hAnsi="宋体" w:cs="宋体" w:eastAsia="宋体" w:hint="default"/>
                <w:sz w:val="18"/>
                <w:szCs w:val="18"/>
              </w:rPr>
              <w:t>、</w:t>
            </w:r>
            <w:r>
              <w:rPr>
                <w:rFonts w:ascii="Times New Roman" w:hAnsi="Times New Roman" w:cs="Times New Roman" w:eastAsia="Times New Roman" w:hint="default"/>
                <w:sz w:val="18"/>
                <w:szCs w:val="18"/>
              </w:rPr>
              <w:t>BALMAIN</w:t>
            </w:r>
            <w:r>
              <w:rPr>
                <w:rFonts w:ascii="宋体" w:hAnsi="宋体" w:cs="宋体" w:eastAsia="宋体" w:hint="default"/>
                <w:sz w:val="18"/>
                <w:szCs w:val="18"/>
              </w:rPr>
              <w:t>、</w:t>
            </w:r>
            <w:r>
              <w:rPr>
                <w:rFonts w:ascii="Times New Roman" w:hAnsi="Times New Roman" w:cs="Times New Roman" w:eastAsia="Times New Roman" w:hint="default"/>
                <w:sz w:val="18"/>
                <w:szCs w:val="18"/>
              </w:rPr>
              <w:t>CHRISTIAN</w:t>
            </w:r>
          </w:p>
          <w:p>
            <w:pPr>
              <w:pStyle w:val="TableParagraph"/>
              <w:spacing w:line="240" w:lineRule="auto" w:before="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LOUBOUTIN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个国际知名品牌</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1"/>
        <w:spacing w:line="240" w:lineRule="auto"/>
        <w:ind w:left="2602" w:right="0"/>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285"/>
        <w:gridCol w:w="2954"/>
        <w:gridCol w:w="2155"/>
        <w:gridCol w:w="2177"/>
      </w:tblGrid>
      <w:tr>
        <w:trPr>
          <w:trHeight w:val="401"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摩登大道</w:t>
            </w:r>
          </w:p>
        </w:tc>
        <w:tc>
          <w:tcPr>
            <w:tcW w:w="21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002656</w:t>
            </w:r>
          </w:p>
        </w:tc>
      </w:tr>
      <w:tr>
        <w:trPr>
          <w:trHeight w:val="403"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摩登大道</w:t>
            </w:r>
          </w:p>
        </w:tc>
      </w:tr>
      <w:tr>
        <w:trPr>
          <w:trHeight w:val="401"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摩登大道时尚集团股份有限公司</w:t>
            </w:r>
          </w:p>
        </w:tc>
      </w:tr>
      <w:tr>
        <w:trPr>
          <w:trHeight w:val="401"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摩登大道</w:t>
            </w:r>
          </w:p>
        </w:tc>
      </w:tr>
      <w:tr>
        <w:trPr>
          <w:trHeight w:val="403"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Modern </w:t>
            </w:r>
            <w:r>
              <w:rPr>
                <w:rFonts w:ascii="Times New Roman"/>
                <w:spacing w:val="-4"/>
                <w:sz w:val="18"/>
              </w:rPr>
              <w:t>Avenue </w:t>
            </w:r>
            <w:r>
              <w:rPr>
                <w:rFonts w:ascii="Times New Roman"/>
                <w:sz w:val="18"/>
              </w:rPr>
              <w:t>Group Co.,</w:t>
            </w:r>
            <w:r>
              <w:rPr>
                <w:rFonts w:ascii="Times New Roman"/>
                <w:spacing w:val="-3"/>
                <w:sz w:val="18"/>
              </w:rPr>
              <w:t> </w:t>
            </w:r>
            <w:r>
              <w:rPr>
                <w:rFonts w:ascii="Times New Roman"/>
                <w:sz w:val="18"/>
              </w:rPr>
              <w:t>Ltd.</w:t>
            </w:r>
          </w:p>
        </w:tc>
      </w:tr>
      <w:tr>
        <w:trPr>
          <w:trHeight w:val="713"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103"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MODERN</w:t>
            </w:r>
            <w:r>
              <w:rPr>
                <w:rFonts w:ascii="Times New Roman"/>
                <w:spacing w:val="-8"/>
                <w:sz w:val="18"/>
              </w:rPr>
              <w:t> </w:t>
            </w:r>
            <w:r>
              <w:rPr>
                <w:rFonts w:ascii="Times New Roman"/>
                <w:spacing w:val="-5"/>
                <w:sz w:val="18"/>
              </w:rPr>
              <w:t>AVENUE</w:t>
            </w:r>
          </w:p>
        </w:tc>
      </w:tr>
      <w:tr>
        <w:trPr>
          <w:trHeight w:val="403"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r>
      <w:tr>
        <w:trPr>
          <w:trHeight w:val="401"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广州市黄埔区科学城光谱中路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广州市黄埔区科学城光谱中路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 </w:t>
            </w:r>
            <w:r>
              <w:rPr>
                <w:rFonts w:ascii="宋体" w:hAnsi="宋体" w:cs="宋体" w:eastAsia="宋体" w:hint="default"/>
                <w:sz w:val="18"/>
                <w:szCs w:val="18"/>
              </w:rPr>
              <w:t>栋</w:t>
            </w:r>
          </w:p>
        </w:tc>
      </w:tr>
      <w:tr>
        <w:trPr>
          <w:trHeight w:val="403"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7">
              <w:r>
                <w:rPr>
                  <w:rFonts w:ascii="Times New Roman"/>
                  <w:sz w:val="18"/>
                </w:rPr>
                <w:t>www.modernavenuegroup.com</w:t>
              </w:r>
            </w:hyperlink>
          </w:p>
        </w:tc>
      </w:tr>
      <w:tr>
        <w:trPr>
          <w:trHeight w:val="404" w:hRule="exact"/>
        </w:trPr>
        <w:tc>
          <w:tcPr>
            <w:tcW w:w="22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7">
              <w:r>
                <w:rPr>
                  <w:rFonts w:ascii="Times New Roman"/>
                  <w:sz w:val="18"/>
                </w:rPr>
                <w:t>www.modernavenuegroup.com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董事长林永飞代行董事会秘书职责</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广州市黄埔区科学城光谱中路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A1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020-87529999</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020-37883955</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8">
              <w:r>
                <w:rPr>
                  <w:rFonts w:ascii="Times New Roman"/>
                  <w:sz w:val="18"/>
                </w:rPr>
                <w:t>investor@modernavenue.com</w:t>
              </w:r>
            </w:hyperlink>
          </w:p>
        </w:tc>
        <w:tc>
          <w:tcPr>
            <w:tcW w:w="3191"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9">
              <w:r>
                <w:rPr>
                  <w:rFonts w:ascii="Times New Roman" w:hAnsi="Times New Roman" w:cs="Times New Roman" w:eastAsia="Times New Roman" w:hint="default"/>
                  <w:sz w:val="18"/>
                  <w:szCs w:val="18"/>
                </w:rPr>
                <w:t>www.cninfo.com.cn</w:t>
              </w:r>
            </w:hyperlink>
          </w:p>
        </w:tc>
      </w:tr>
      <w:tr>
        <w:trPr>
          <w:trHeight w:val="715" w:hRule="exact"/>
        </w:trPr>
        <w:tc>
          <w:tcPr>
            <w:tcW w:w="39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5" w:right="98"/>
              <w:jc w:val="left"/>
              <w:rPr>
                <w:rFonts w:ascii="宋体" w:hAnsi="宋体" w:cs="宋体" w:eastAsia="宋体" w:hint="default"/>
                <w:sz w:val="18"/>
                <w:szCs w:val="18"/>
              </w:rPr>
            </w:pPr>
            <w:r>
              <w:rPr>
                <w:rFonts w:ascii="宋体" w:hAnsi="宋体" w:cs="宋体" w:eastAsia="宋体" w:hint="default"/>
                <w:spacing w:val="-4"/>
                <w:sz w:val="18"/>
                <w:szCs w:val="18"/>
              </w:rPr>
              <w:t>深圳证券交易所、广州市黄埔区科学城光谱中路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pacing w:val="-2"/>
                <w:w w:val="99"/>
                <w:sz w:val="18"/>
                <w:szCs w:val="18"/>
              </w:rPr>
              <w:t>A1</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层证券 部办公室</w:t>
            </w:r>
          </w:p>
        </w:tc>
      </w:tr>
    </w:tbl>
    <w:p>
      <w:pPr>
        <w:spacing w:after="0" w:line="30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6381"/>
      </w:tblGrid>
      <w:tr>
        <w:trPr>
          <w:trHeight w:val="401"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91440101739729668K</w:t>
            </w:r>
          </w:p>
        </w:tc>
      </w:tr>
      <w:tr>
        <w:trPr>
          <w:trHeight w:val="715"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32"/>
          <w:szCs w:val="3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公司聘请的会计师事务所</w:t>
      </w:r>
      <w:r>
        <w:rPr>
          <w:rFonts w:ascii="宋体" w:hAnsi="宋体" w:cs="宋体" w:eastAsia="宋体" w:hint="default"/>
          <w:sz w:val="18"/>
          <w:szCs w:val="18"/>
        </w:rPr>
      </w:r>
    </w:p>
    <w:p>
      <w:pPr>
        <w:spacing w:line="240" w:lineRule="auto" w:before="0"/>
        <w:rPr>
          <w:rFonts w:ascii="宋体" w:hAnsi="宋体" w:cs="宋体" w:eastAsia="宋体" w:hint="default"/>
          <w:b/>
          <w:bCs/>
          <w:sz w:val="14"/>
          <w:szCs w:val="14"/>
        </w:rPr>
      </w:pPr>
    </w:p>
    <w:tbl>
      <w:tblPr>
        <w:tblW w:w="0" w:type="auto"/>
        <w:jc w:val="left"/>
        <w:tblInd w:w="10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26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3" w:hRule="exact"/>
        </w:trPr>
        <w:tc>
          <w:tcPr>
            <w:tcW w:w="26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吉争雄、刘火旺</w:t>
            </w:r>
          </w:p>
        </w:tc>
      </w:tr>
    </w:tbl>
    <w:p>
      <w:pPr>
        <w:spacing w:line="240" w:lineRule="auto" w:before="5"/>
        <w:rPr>
          <w:rFonts w:ascii="宋体" w:hAnsi="宋体" w:cs="宋体" w:eastAsia="宋体" w:hint="default"/>
          <w:b/>
          <w:bCs/>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公司聘请的报告期内履行持续督导职责的保荐机构</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line="439" w:lineRule="auto" w:before="0"/>
        <w:ind w:left="113" w:right="677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公司聘请的报告期内履行持续督导职责的财务顾问</w:t>
      </w:r>
      <w:r>
        <w:rPr>
          <w:rFonts w:ascii="宋体" w:hAnsi="宋体" w:cs="宋体" w:eastAsia="宋体" w:hint="default"/>
          <w:sz w:val="18"/>
          <w:szCs w:val="18"/>
        </w:rPr>
      </w: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202"/>
              <w:jc w:val="left"/>
              <w:rPr>
                <w:rFonts w:ascii="宋体" w:hAnsi="宋体" w:cs="宋体" w:eastAsia="宋体" w:hint="default"/>
                <w:sz w:val="18"/>
                <w:szCs w:val="18"/>
              </w:rPr>
            </w:pPr>
            <w:r>
              <w:rPr>
                <w:rFonts w:ascii="宋体" w:hAnsi="宋体" w:cs="宋体" w:eastAsia="宋体" w:hint="default"/>
                <w:sz w:val="18"/>
                <w:szCs w:val="18"/>
              </w:rPr>
              <w:t>广州市天河区马场路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广发证券大厦</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欧阳渐敏、杜晓炜、杨常建</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六、主要会计数据和财务指标</w:t>
      </w:r>
      <w:r>
        <w:rPr>
          <w:b w:val="0"/>
          <w:bCs w:val="0"/>
        </w:rPr>
      </w:r>
    </w:p>
    <w:p>
      <w:pPr>
        <w:spacing w:line="240" w:lineRule="auto" w:before="4"/>
        <w:rPr>
          <w:rFonts w:ascii="宋体" w:hAnsi="宋体" w:cs="宋体" w:eastAsia="宋体" w:hint="default"/>
          <w:b/>
          <w:bCs/>
          <w:sz w:val="32"/>
          <w:szCs w:val="3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公司是否需追溯调整或重述以前年度会计数据</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0"/>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0"/>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1,562,080,400.82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921,279,626.39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69.56%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754,169,101.01</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27,854,705.17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134,681,024.91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-79.32%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-286,905,549.37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16,714,618.10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28,338,756.92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-293,183,185.89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-87,272,191.55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284,376,468.99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-124,907,558.60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0.0391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0.1958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-80.03%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-0.5016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0.0391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0.1958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-80.03%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-0.5016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-20.59%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9" w:lineRule="auto" w:before="49"/>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3,339,017,925.80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3,381,418,978.33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2,926,654,151.40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2,381,333,447.71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2,363,268,619.86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1,733,354,440.78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29"/>
          <w:szCs w:val="29"/>
        </w:rPr>
      </w:pPr>
    </w:p>
    <w:p>
      <w:pPr>
        <w:pStyle w:val="Heading2"/>
        <w:spacing w:line="240" w:lineRule="auto"/>
        <w:ind w:right="0"/>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1" w:hRule="exact"/>
        </w:trPr>
        <w:tc>
          <w:tcPr>
            <w:tcW w:w="2621"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74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329,235,670.26</w:t>
            </w:r>
          </w:p>
        </w:tc>
        <w:tc>
          <w:tcPr>
            <w:tcW w:w="174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314,495,845.05</w:t>
            </w:r>
          </w:p>
        </w:tc>
        <w:tc>
          <w:tcPr>
            <w:tcW w:w="173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403,923,102.44</w:t>
            </w:r>
          </w:p>
        </w:tc>
        <w:tc>
          <w:tcPr>
            <w:tcW w:w="173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514,425,783.07</w:t>
            </w:r>
          </w:p>
        </w:tc>
      </w:tr>
      <w:tr>
        <w:trPr>
          <w:trHeight w:val="401" w:hRule="exact"/>
        </w:trPr>
        <w:tc>
          <w:tcPr>
            <w:tcW w:w="26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37,408,712.83</w:t>
            </w:r>
          </w:p>
        </w:tc>
        <w:tc>
          <w:tcPr>
            <w:tcW w:w="174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15,281,712.26</w:t>
            </w:r>
          </w:p>
        </w:tc>
        <w:tc>
          <w:tcPr>
            <w:tcW w:w="173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5,678,657.76</w:t>
            </w:r>
          </w:p>
        </w:tc>
        <w:tc>
          <w:tcPr>
            <w:tcW w:w="173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-30,514,377.68</w:t>
            </w:r>
          </w:p>
        </w:tc>
      </w:tr>
      <w:tr>
        <w:trPr>
          <w:trHeight w:val="715" w:hRule="exact"/>
        </w:trPr>
        <w:tc>
          <w:tcPr>
            <w:tcW w:w="26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35,700,690.07</w:t>
            </w:r>
          </w:p>
        </w:tc>
        <w:tc>
          <w:tcPr>
            <w:tcW w:w="174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16,409,715.16</w:t>
            </w:r>
          </w:p>
        </w:tc>
        <w:tc>
          <w:tcPr>
            <w:tcW w:w="173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189,091.72</w:t>
            </w:r>
          </w:p>
        </w:tc>
        <w:tc>
          <w:tcPr>
            <w:tcW w:w="173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-35,584,878.85</w:t>
            </w:r>
          </w:p>
        </w:tc>
      </w:tr>
      <w:tr>
        <w:trPr>
          <w:trHeight w:val="401" w:hRule="exact"/>
        </w:trPr>
        <w:tc>
          <w:tcPr>
            <w:tcW w:w="26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-17,889,006.99</w:t>
            </w:r>
          </w:p>
        </w:tc>
        <w:tc>
          <w:tcPr>
            <w:tcW w:w="174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-65,985,280.90</w:t>
            </w:r>
          </w:p>
        </w:tc>
        <w:tc>
          <w:tcPr>
            <w:tcW w:w="173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-5,296,530.60</w:t>
            </w:r>
          </w:p>
        </w:tc>
        <w:tc>
          <w:tcPr>
            <w:tcW w:w="173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1,898,626.94</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上述财务指标或其加总数是否与公司已披露季度报告、半年度报告相关财务指标存在重大差异</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1" w:hRule="exact"/>
        </w:trPr>
        <w:tc>
          <w:tcPr>
            <w:tcW w:w="32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-81,112.24</w:t>
            </w: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98,720,466.33</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50,259.74</w:t>
            </w:r>
          </w:p>
        </w:tc>
        <w:tc>
          <w:tcPr>
            <w:tcW w:w="171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54"/>
              <w:jc w:val="left"/>
              <w:rPr>
                <w:rFonts w:ascii="宋体" w:hAnsi="宋体" w:cs="宋体" w:eastAsia="宋体" w:hint="default"/>
                <w:sz w:val="18"/>
                <w:szCs w:val="18"/>
              </w:rPr>
            </w:pPr>
            <w:r>
              <w:rPr>
                <w:rFonts w:ascii="宋体" w:hAnsi="宋体" w:cs="宋体" w:eastAsia="宋体" w:hint="default"/>
                <w:sz w:val="18"/>
                <w:szCs w:val="18"/>
              </w:rPr>
              <w:t>非流动资产处置损 益。</w:t>
            </w:r>
          </w:p>
        </w:tc>
      </w:tr>
      <w:tr>
        <w:trPr>
          <w:trHeight w:val="713" w:hRule="exact"/>
        </w:trPr>
        <w:tc>
          <w:tcPr>
            <w:tcW w:w="32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68"/>
              <w:ind w:left="103" w:right="12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9,789,055.02</w:t>
            </w: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3,105,105.91</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8,928,819.75</w:t>
            </w:r>
          </w:p>
        </w:tc>
        <w:tc>
          <w:tcPr>
            <w:tcW w:w="1712"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5" w:right="154"/>
              <w:jc w:val="left"/>
              <w:rPr>
                <w:rFonts w:ascii="宋体" w:hAnsi="宋体" w:cs="宋体" w:eastAsia="宋体" w:hint="default"/>
                <w:sz w:val="18"/>
                <w:szCs w:val="18"/>
              </w:rPr>
            </w:pPr>
            <w:r>
              <w:rPr>
                <w:rFonts w:ascii="宋体" w:hAnsi="宋体" w:cs="宋体" w:eastAsia="宋体" w:hint="default"/>
                <w:sz w:val="18"/>
                <w:szCs w:val="18"/>
              </w:rPr>
              <w:t>政府专项补贴、扶 持资金等</w:t>
            </w:r>
          </w:p>
        </w:tc>
      </w:tr>
    </w:tbl>
    <w:p>
      <w:pPr>
        <w:spacing w:after="0" w:line="314"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89" w:type="dxa"/>
        <w:tblLayout w:type="fixed"/>
        <w:tblCellMar>
          <w:top w:w="0" w:type="dxa"/>
          <w:left w:w="0" w:type="dxa"/>
          <w:bottom w:w="0" w:type="dxa"/>
          <w:right w:w="0" w:type="dxa"/>
        </w:tblCellMar>
        <w:tblLook w:val="01E0"/>
      </w:tblPr>
      <w:tblGrid>
        <w:gridCol w:w="3295"/>
        <w:gridCol w:w="1522"/>
        <w:gridCol w:w="1519"/>
        <w:gridCol w:w="1522"/>
        <w:gridCol w:w="1712"/>
      </w:tblGrid>
      <w:tr>
        <w:trPr>
          <w:trHeight w:val="363"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量享受的政府补助除外）</w:t>
            </w:r>
          </w:p>
        </w:tc>
        <w:tc>
          <w:tcPr>
            <w:tcW w:w="1522" w:type="dxa"/>
            <w:tcBorders>
              <w:top w:val="single" w:sz="4" w:space="0" w:color="933734"/>
              <w:left w:val="single" w:sz="4" w:space="0" w:color="933734"/>
              <w:bottom w:val="single" w:sz="4" w:space="0" w:color="933734"/>
              <w:right w:val="single" w:sz="4" w:space="0" w:color="933734"/>
            </w:tcBorders>
          </w:tcPr>
          <w:p>
            <w:pPr/>
          </w:p>
        </w:tc>
        <w:tc>
          <w:tcPr>
            <w:tcW w:w="1519" w:type="dxa"/>
            <w:tcBorders>
              <w:top w:val="single" w:sz="4" w:space="0" w:color="933734"/>
              <w:left w:val="single" w:sz="4" w:space="0" w:color="933734"/>
              <w:bottom w:val="single" w:sz="4" w:space="0" w:color="933734"/>
              <w:right w:val="single" w:sz="4" w:space="0" w:color="933734"/>
            </w:tcBorders>
          </w:tcPr>
          <w:p>
            <w:pPr/>
          </w:p>
        </w:tc>
        <w:tc>
          <w:tcPr>
            <w:tcW w:w="1522" w:type="dxa"/>
            <w:tcBorders>
              <w:top w:val="single" w:sz="4" w:space="0" w:color="933734"/>
              <w:left w:val="single" w:sz="4" w:space="0" w:color="933734"/>
              <w:bottom w:val="single" w:sz="4" w:space="0" w:color="933734"/>
              <w:right w:val="single" w:sz="4" w:space="0" w:color="933734"/>
            </w:tcBorders>
          </w:tcPr>
          <w:p>
            <w:pPr/>
          </w:p>
        </w:tc>
        <w:tc>
          <w:tcPr>
            <w:tcW w:w="1712"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2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1522" w:type="dxa"/>
            <w:tcBorders>
              <w:top w:val="single" w:sz="4" w:space="0" w:color="933734"/>
              <w:left w:val="single" w:sz="4" w:space="0" w:color="933734"/>
              <w:bottom w:val="single" w:sz="4" w:space="0" w:color="933734"/>
              <w:right w:val="single" w:sz="4" w:space="0" w:color="933734"/>
            </w:tcBorders>
          </w:tcPr>
          <w:p>
            <w:pP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4,725,078.99</w:t>
            </w:r>
          </w:p>
        </w:tc>
        <w:tc>
          <w:tcPr>
            <w:tcW w:w="1522" w:type="dxa"/>
            <w:tcBorders>
              <w:top w:val="single" w:sz="4" w:space="0" w:color="933734"/>
              <w:left w:val="single" w:sz="4" w:space="0" w:color="933734"/>
              <w:bottom w:val="single" w:sz="4" w:space="0" w:color="933734"/>
              <w:right w:val="single" w:sz="4" w:space="0" w:color="933734"/>
            </w:tcBorders>
          </w:tcPr>
          <w:p>
            <w:pPr/>
          </w:p>
        </w:tc>
        <w:tc>
          <w:tcPr>
            <w:tcW w:w="1712" w:type="dxa"/>
            <w:tcBorders>
              <w:top w:val="single" w:sz="4" w:space="0" w:color="933734"/>
              <w:left w:val="single" w:sz="4" w:space="0" w:color="933734"/>
              <w:bottom w:val="single" w:sz="4" w:space="0" w:color="933734"/>
              <w:right w:val="single" w:sz="4" w:space="0" w:color="933734"/>
            </w:tcBorders>
          </w:tcPr>
          <w:p>
            <w:pPr/>
          </w:p>
        </w:tc>
      </w:tr>
      <w:tr>
        <w:trPr>
          <w:trHeight w:val="1339"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1522" w:type="dxa"/>
            <w:tcBorders>
              <w:top w:val="single" w:sz="4" w:space="0" w:color="933734"/>
              <w:left w:val="single" w:sz="4" w:space="0" w:color="933734"/>
              <w:bottom w:val="single" w:sz="4" w:space="0" w:color="933734"/>
              <w:right w:val="single" w:sz="4" w:space="0" w:color="933734"/>
            </w:tcBorders>
          </w:tcPr>
          <w:p>
            <w:pP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471,316.62</w:t>
            </w:r>
          </w:p>
        </w:tc>
        <w:tc>
          <w:tcPr>
            <w:tcW w:w="1522" w:type="dxa"/>
            <w:tcBorders>
              <w:top w:val="single" w:sz="4" w:space="0" w:color="933734"/>
              <w:left w:val="single" w:sz="4" w:space="0" w:color="933734"/>
              <w:bottom w:val="single" w:sz="4" w:space="0" w:color="933734"/>
              <w:right w:val="single" w:sz="4" w:space="0" w:color="933734"/>
            </w:tcBorders>
          </w:tcPr>
          <w:p>
            <w:pPr/>
          </w:p>
        </w:tc>
        <w:tc>
          <w:tcPr>
            <w:tcW w:w="1712" w:type="dxa"/>
            <w:tcBorders>
              <w:top w:val="single" w:sz="4" w:space="0" w:color="933734"/>
              <w:left w:val="single" w:sz="4" w:space="0" w:color="933734"/>
              <w:bottom w:val="single" w:sz="4" w:space="0" w:color="933734"/>
              <w:right w:val="single" w:sz="4" w:space="0" w:color="933734"/>
            </w:tcBorders>
          </w:tcPr>
          <w:p>
            <w:pPr/>
          </w:p>
        </w:tc>
      </w:tr>
      <w:tr>
        <w:trPr>
          <w:trHeight w:val="1961"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2" w:right="12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2,398,206.46</w:t>
            </w:r>
          </w:p>
        </w:tc>
        <w:tc>
          <w:tcPr>
            <w:tcW w:w="1519" w:type="dxa"/>
            <w:tcBorders>
              <w:top w:val="single" w:sz="4" w:space="0" w:color="933734"/>
              <w:left w:val="single" w:sz="4" w:space="0" w:color="933734"/>
              <w:bottom w:val="single" w:sz="4" w:space="0" w:color="933734"/>
              <w:right w:val="single" w:sz="4" w:space="0" w:color="933734"/>
            </w:tcBorders>
          </w:tcPr>
          <w:p>
            <w:pPr/>
          </w:p>
        </w:tc>
        <w:tc>
          <w:tcPr>
            <w:tcW w:w="1522" w:type="dxa"/>
            <w:tcBorders>
              <w:top w:val="single" w:sz="4" w:space="0" w:color="933734"/>
              <w:left w:val="single" w:sz="4" w:space="0" w:color="933734"/>
              <w:bottom w:val="single" w:sz="4" w:space="0" w:color="933734"/>
              <w:right w:val="single" w:sz="4" w:space="0" w:color="933734"/>
            </w:tcBorders>
          </w:tcPr>
          <w:p>
            <w:pPr/>
          </w:p>
        </w:tc>
        <w:tc>
          <w:tcPr>
            <w:tcW w:w="17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购买理财</w:t>
            </w:r>
          </w:p>
        </w:tc>
      </w:tr>
      <w:tr>
        <w:trPr>
          <w:trHeight w:val="715"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2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-70,120.83</w:t>
            </w: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512,927.78</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-1,651,664.07</w:t>
            </w:r>
          </w:p>
        </w:tc>
        <w:tc>
          <w:tcPr>
            <w:tcW w:w="1712"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933734"/>
              <w:left w:val="single" w:sz="4" w:space="0" w:color="933734"/>
              <w:bottom w:val="single" w:sz="4" w:space="0" w:color="933734"/>
              <w:right w:val="single" w:sz="4" w:space="0" w:color="933734"/>
            </w:tcBorders>
          </w:tcPr>
          <w:p>
            <w:pP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712"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889,269.58</w:t>
            </w: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1,040,540.56</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819,976.22</w:t>
            </w:r>
          </w:p>
        </w:tc>
        <w:tc>
          <w:tcPr>
            <w:tcW w:w="1712"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6,671.76</w:t>
            </w: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152,087.08</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229,802.68</w:t>
            </w:r>
          </w:p>
        </w:tc>
        <w:tc>
          <w:tcPr>
            <w:tcW w:w="1712"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11,140,087.07</w:t>
            </w:r>
          </w:p>
        </w:tc>
        <w:tc>
          <w:tcPr>
            <w:tcW w:w="15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106,342,267.99</w:t>
            </w:r>
          </w:p>
        </w:tc>
        <w:tc>
          <w:tcPr>
            <w:tcW w:w="152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6,277,636.52</w:t>
            </w:r>
          </w:p>
        </w:tc>
        <w:tc>
          <w:tcPr>
            <w:tcW w:w="17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spacing w:before="44"/>
        <w:ind w:left="193" w:right="1036"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非经常性损益》定义界定的非经常性损益项目，以及把</w:t>
      </w:r>
      <w:r>
        <w:rPr>
          <w:rFonts w:ascii="宋体" w:hAnsi="宋体" w:cs="宋体" w:eastAsia="宋体" w:hint="default"/>
          <w:sz w:val="18"/>
          <w:szCs w:val="18"/>
        </w:rPr>
      </w:r>
    </w:p>
    <w:p>
      <w:pPr>
        <w:spacing w:line="240" w:lineRule="auto" w:before="10"/>
        <w:rPr>
          <w:rFonts w:ascii="宋体" w:hAnsi="宋体" w:cs="宋体" w:eastAsia="宋体" w:hint="default"/>
          <w:b/>
          <w:bCs/>
          <w:sz w:val="16"/>
          <w:szCs w:val="16"/>
        </w:rPr>
      </w:pPr>
    </w:p>
    <w:p>
      <w:pPr>
        <w:spacing w:line="451" w:lineRule="auto" w:before="0"/>
        <w:ind w:left="193" w:right="1036" w:hanging="92"/>
        <w:jc w:val="left"/>
        <w:rPr>
          <w:rFonts w:ascii="宋体" w:hAnsi="宋体" w:cs="宋体" w:eastAsia="宋体" w:hint="default"/>
          <w:sz w:val="18"/>
          <w:szCs w:val="18"/>
        </w:rPr>
      </w:pPr>
      <w:r>
        <w:rPr>
          <w:rFonts w:ascii="宋体" w:hAnsi="宋体" w:cs="宋体" w:eastAsia="宋体" w:hint="default"/>
          <w:b/>
          <w:bCs/>
          <w:w w:val="99"/>
          <w:sz w:val="18"/>
          <w:szCs w:val="18"/>
        </w:rPr>
        <w:t>《公开发行证券的公司信息披露解释性公告第</w:t>
      </w:r>
      <w:r>
        <w:rPr>
          <w:rFonts w:ascii="宋体" w:hAnsi="宋体" w:cs="宋体" w:eastAsia="宋体" w:hint="default"/>
          <w:b/>
          <w:bCs/>
          <w:spacing w:val="-38"/>
          <w:w w:val="99"/>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
          <w:sz w:val="18"/>
          <w:szCs w:val="18"/>
        </w:rPr>
        <w:t> </w:t>
      </w:r>
      <w:r>
        <w:rPr>
          <w:rFonts w:ascii="宋体" w:hAnsi="宋体" w:cs="宋体" w:eastAsia="宋体" w:hint="default"/>
          <w:b/>
          <w:bCs/>
          <w:spacing w:val="-3"/>
          <w:w w:val="99"/>
          <w:sz w:val="18"/>
          <w:szCs w:val="18"/>
        </w:rPr>
        <w:t>号</w:t>
      </w:r>
      <w:r>
        <w:rPr>
          <w:rFonts w:ascii="Times New Roman" w:hAnsi="Times New Roman" w:cs="Times New Roman" w:eastAsia="Times New Roman" w:hint="default"/>
          <w:b/>
          <w:bCs/>
          <w:spacing w:val="-3"/>
          <w:w w:val="99"/>
          <w:sz w:val="18"/>
          <w:szCs w:val="18"/>
        </w:rPr>
        <w:t>——</w:t>
      </w:r>
      <w:r>
        <w:rPr>
          <w:rFonts w:ascii="宋体" w:hAnsi="宋体" w:cs="宋体" w:eastAsia="宋体" w:hint="default"/>
          <w:b/>
          <w:bCs/>
          <w:spacing w:val="-3"/>
          <w:w w:val="99"/>
          <w:sz w:val="18"/>
          <w:szCs w:val="18"/>
        </w:rPr>
        <w:t>非经常性损益》中列举的非经常性损益项目界定为经常性损益的项目，</w:t>
      </w:r>
      <w:r>
        <w:rPr>
          <w:rFonts w:ascii="宋体" w:hAnsi="宋体" w:cs="宋体" w:eastAsia="宋体" w:hint="default"/>
          <w:b/>
          <w:bCs/>
          <w:spacing w:val="-84"/>
          <w:w w:val="99"/>
          <w:sz w:val="18"/>
          <w:szCs w:val="18"/>
        </w:rPr>
        <w:t> </w:t>
      </w:r>
      <w:r>
        <w:rPr>
          <w:rFonts w:ascii="宋体" w:hAnsi="宋体" w:cs="宋体" w:eastAsia="宋体" w:hint="default"/>
          <w:b/>
          <w:bCs/>
          <w:spacing w:val="-84"/>
          <w:w w:val="99"/>
          <w:sz w:val="18"/>
          <w:szCs w:val="18"/>
        </w:rPr>
      </w:r>
      <w:r>
        <w:rPr>
          <w:rFonts w:ascii="宋体" w:hAnsi="宋体" w:cs="宋体" w:eastAsia="宋体" w:hint="default"/>
          <w:b/>
          <w:bCs/>
          <w:sz w:val="18"/>
          <w:szCs w:val="18"/>
        </w:rPr>
        <w:t>应说明原因</w:t>
      </w:r>
      <w:r>
        <w:rPr>
          <w:rFonts w:ascii="宋体" w:hAnsi="宋体" w:cs="宋体" w:eastAsia="宋体" w:hint="default"/>
          <w:sz w:val="18"/>
          <w:szCs w:val="18"/>
        </w:rPr>
      </w:r>
    </w:p>
    <w:p>
      <w:pPr>
        <w:spacing w:before="33"/>
        <w:ind w:left="193" w:right="103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386" w:lineRule="auto"/>
        <w:ind w:left="193" w:right="1036"/>
        <w:jc w:val="left"/>
      </w:pPr>
      <w:r>
        <w:rPr/>
        <w:t>公司报告期不存在将根据《公开发行证券的公司信息披露解释性公告第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非经常性损益》定义、列</w:t>
      </w:r>
      <w:r>
        <w:rPr>
          <w:spacing w:val="-103"/>
        </w:rPr>
        <w:t> </w:t>
      </w:r>
      <w:r>
        <w:rPr>
          <w:spacing w:val="-103"/>
        </w:rPr>
      </w:r>
      <w:r>
        <w:rPr/>
        <w:t>举的非经常性损益项目界定为经常性损益的项目的情形。</w:t>
      </w:r>
    </w:p>
    <w:p>
      <w:pPr>
        <w:spacing w:after="0" w:line="386" w:lineRule="auto"/>
        <w:jc w:val="left"/>
        <w:sectPr>
          <w:pgSz w:w="11910" w:h="16840"/>
          <w:pgMar w:header="906" w:footer="1079" w:top="1100" w:bottom="1260" w:left="9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406" w:right="0"/>
        <w:jc w:val="left"/>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32"/>
          <w:szCs w:val="32"/>
        </w:rPr>
      </w:pPr>
    </w:p>
    <w:p>
      <w:pPr>
        <w:spacing w:line="436" w:lineRule="auto" w:before="0"/>
        <w:ind w:left="113" w:right="7681" w:firstLine="0"/>
        <w:jc w:val="left"/>
        <w:rPr>
          <w:rFonts w:ascii="宋体" w:hAnsi="宋体" w:cs="宋体" w:eastAsia="宋体" w:hint="default"/>
          <w:sz w:val="18"/>
          <w:szCs w:val="18"/>
        </w:rPr>
      </w:pPr>
      <w:r>
        <w:rPr>
          <w:rFonts w:ascii="宋体" w:hAnsi="宋体" w:cs="宋体" w:eastAsia="宋体" w:hint="default"/>
          <w:b/>
          <w:bCs/>
          <w:sz w:val="18"/>
          <w:szCs w:val="18"/>
        </w:rPr>
        <w:t>公司是否需要遵守特殊行业的披露要求</w:t>
      </w:r>
      <w:r>
        <w:rPr>
          <w:rFonts w:ascii="宋体" w:hAnsi="宋体" w:cs="宋体" w:eastAsia="宋体" w:hint="default"/>
          <w:b/>
          <w:bCs/>
          <w:w w:val="99"/>
          <w:sz w:val="18"/>
          <w:szCs w:val="18"/>
        </w:rPr>
        <w:t> </w:t>
      </w:r>
      <w:r>
        <w:rPr>
          <w:rFonts w:ascii="宋体" w:hAnsi="宋体" w:cs="宋体" w:eastAsia="宋体" w:hint="default"/>
          <w:sz w:val="18"/>
          <w:szCs w:val="18"/>
        </w:rPr>
        <w:t>是</w:t>
      </w:r>
    </w:p>
    <w:p>
      <w:pPr>
        <w:spacing w:line="203" w:lineRule="exact"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零售相关业</w:t>
      </w:r>
    </w:p>
    <w:p>
      <w:pPr>
        <w:spacing w:line="240" w:lineRule="auto" w:before="0"/>
        <w:rPr>
          <w:rFonts w:ascii="宋体" w:hAnsi="宋体" w:cs="宋体" w:eastAsia="宋体" w:hint="default"/>
          <w:sz w:val="15"/>
          <w:szCs w:val="15"/>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b/>
          <w:bCs/>
          <w:sz w:val="18"/>
          <w:szCs w:val="18"/>
        </w:rPr>
        <w:t>公司需遵守《深圳证券交易所行业信息披露指引第</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8</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上市公司从事零售相关业务》的披露要求</w:t>
      </w:r>
      <w:r>
        <w:rPr>
          <w:rFonts w:ascii="宋体" w:hAnsi="宋体" w:cs="宋体" w:eastAsia="宋体" w:hint="default"/>
          <w:sz w:val="18"/>
          <w:szCs w:val="18"/>
        </w:rPr>
      </w:r>
    </w:p>
    <w:p>
      <w:pPr>
        <w:spacing w:line="240" w:lineRule="auto" w:before="2"/>
        <w:rPr>
          <w:rFonts w:ascii="宋体" w:hAnsi="宋体" w:cs="宋体" w:eastAsia="宋体" w:hint="default"/>
          <w:b/>
          <w:bCs/>
          <w:sz w:val="18"/>
          <w:szCs w:val="18"/>
        </w:rPr>
      </w:pPr>
    </w:p>
    <w:p>
      <w:pPr>
        <w:spacing w:line="441" w:lineRule="auto" w:before="0"/>
        <w:ind w:left="533" w:right="0" w:hanging="104"/>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（一）报告期内公司所从事的主要业务、主要产品及其用途、经营模式、主要的业绩驱动因素等内容</w:t>
      </w:r>
      <w:r>
        <w:rPr>
          <w:rFonts w:ascii="宋体" w:hAnsi="宋体" w:cs="宋体" w:eastAsia="宋体" w:hint="default"/>
          <w:b/>
          <w:bCs/>
          <w:spacing w:val="-67"/>
          <w:sz w:val="21"/>
          <w:szCs w:val="21"/>
        </w:rPr>
        <w:t> </w:t>
      </w:r>
      <w:r>
        <w:rPr>
          <w:rFonts w:ascii="宋体" w:hAnsi="宋体" w:cs="宋体" w:eastAsia="宋体" w:hint="default"/>
          <w:b/>
          <w:bCs/>
          <w:spacing w:val="-67"/>
          <w:sz w:val="21"/>
          <w:szCs w:val="21"/>
        </w:rPr>
      </w:r>
      <w:r>
        <w:rPr>
          <w:rFonts w:ascii="宋体" w:hAnsi="宋体" w:cs="宋体" w:eastAsia="宋体" w:hint="default"/>
          <w:sz w:val="21"/>
          <w:szCs w:val="21"/>
        </w:rPr>
        <w:t>报告期内，公司从事的主要业务依旧在于时尚零售业务领域：</w:t>
      </w:r>
    </w:p>
    <w:p>
      <w:pPr>
        <w:pStyle w:val="Heading4"/>
        <w:spacing w:line="240" w:lineRule="auto" w:before="57"/>
        <w:ind w:left="535" w:right="0"/>
        <w:jc w:val="left"/>
        <w:rPr>
          <w:b w:val="0"/>
          <w:bCs w:val="0"/>
        </w:rPr>
      </w:pPr>
      <w:r>
        <w:rPr>
          <w:rFonts w:ascii="Times New Roman" w:hAnsi="Times New Roman" w:cs="Times New Roman" w:eastAsia="Times New Roman" w:hint="default"/>
        </w:rPr>
        <w:t>1</w:t>
      </w:r>
      <w:r>
        <w:rPr/>
        <w:t>、自有品牌运营业务</w:t>
      </w:r>
      <w:r>
        <w:rPr>
          <w:b w:val="0"/>
          <w:bCs w:val="0"/>
        </w:rPr>
      </w:r>
    </w:p>
    <w:p>
      <w:pPr>
        <w:spacing w:line="240" w:lineRule="auto" w:before="9"/>
        <w:rPr>
          <w:rFonts w:ascii="宋体" w:hAnsi="宋体" w:cs="宋体" w:eastAsia="宋体" w:hint="default"/>
          <w:b/>
          <w:bCs/>
          <w:sz w:val="16"/>
          <w:szCs w:val="16"/>
        </w:rPr>
      </w:pPr>
    </w:p>
    <w:p>
      <w:pPr>
        <w:pStyle w:val="BodyText"/>
        <w:spacing w:line="386" w:lineRule="auto"/>
        <w:ind w:right="1126" w:firstLine="420"/>
        <w:jc w:val="both"/>
      </w:pPr>
      <w:r>
        <w:rPr>
          <w:spacing w:val="-4"/>
        </w:rPr>
        <w:t>公司经营的自有品牌包括卡奴迪路</w:t>
      </w:r>
      <w:r>
        <w:rPr>
          <w:rFonts w:ascii="Times New Roman" w:hAnsi="Times New Roman" w:cs="Times New Roman" w:eastAsia="Times New Roman" w:hint="default"/>
          <w:spacing w:val="-4"/>
        </w:rPr>
        <w:t>CANUDILO</w:t>
      </w:r>
      <w:r>
        <w:rPr>
          <w:spacing w:val="-4"/>
        </w:rPr>
        <w:t>、</w:t>
      </w:r>
      <w:r>
        <w:rPr>
          <w:rFonts w:ascii="Times New Roman" w:hAnsi="Times New Roman" w:cs="Times New Roman" w:eastAsia="Times New Roman" w:hint="default"/>
          <w:spacing w:val="-4"/>
        </w:rPr>
        <w:t>CANUDILO </w:t>
      </w:r>
      <w:r>
        <w:rPr>
          <w:rFonts w:ascii="Times New Roman" w:hAnsi="Times New Roman" w:cs="Times New Roman" w:eastAsia="Times New Roman" w:hint="default"/>
        </w:rPr>
        <w:t>H </w:t>
      </w:r>
      <w:r>
        <w:rPr>
          <w:rFonts w:ascii="Times New Roman" w:hAnsi="Times New Roman" w:cs="Times New Roman" w:eastAsia="Times New Roman" w:hint="default"/>
          <w:spacing w:val="-7"/>
        </w:rPr>
        <w:t>HOLIDAYS</w:t>
      </w:r>
      <w:r>
        <w:rPr>
          <w:spacing w:val="-7"/>
        </w:rPr>
        <w:t>、</w:t>
      </w:r>
      <w:r>
        <w:rPr>
          <w:rFonts w:ascii="Times New Roman" w:hAnsi="Times New Roman" w:cs="Times New Roman" w:eastAsia="Times New Roman" w:hint="default"/>
          <w:spacing w:val="-7"/>
        </w:rPr>
        <w:t>DIRK</w:t>
      </w:r>
      <w:r>
        <w:rPr>
          <w:rFonts w:ascii="Times New Roman" w:hAnsi="Times New Roman" w:cs="Times New Roman" w:eastAsia="Times New Roman" w:hint="default"/>
          <w:spacing w:val="28"/>
        </w:rPr>
        <w:t> </w:t>
      </w:r>
      <w:r>
        <w:rPr>
          <w:rFonts w:ascii="Times New Roman" w:hAnsi="Times New Roman" w:cs="Times New Roman" w:eastAsia="Times New Roman" w:hint="default"/>
        </w:rPr>
        <w:t>BIKKEMBERGS</w:t>
      </w:r>
      <w:r>
        <w:rPr/>
        <w:t>，</w:t>
      </w:r>
      <w:r>
        <w:rPr>
          <w:w w:val="100"/>
        </w:rPr>
        <w:t> </w:t>
      </w:r>
      <w:r>
        <w:rPr>
          <w:spacing w:val="13"/>
        </w:rPr>
        <w:t>报告期内，自有品牌实现营业收入</w:t>
      </w:r>
      <w:r>
        <w:rPr>
          <w:spacing w:val="-75"/>
        </w:rPr>
        <w:t> </w:t>
      </w:r>
      <w:r>
        <w:rPr>
          <w:rFonts w:ascii="Times New Roman" w:hAnsi="Times New Roman" w:cs="Times New Roman" w:eastAsia="Times New Roman" w:hint="default"/>
          <w:spacing w:val="5"/>
        </w:rPr>
        <w:t>56</w:t>
      </w:r>
      <w:r>
        <w:rPr>
          <w:spacing w:val="5"/>
        </w:rPr>
        <w:t>，</w:t>
      </w:r>
      <w:r>
        <w:rPr>
          <w:rFonts w:ascii="Times New Roman" w:hAnsi="Times New Roman" w:cs="Times New Roman" w:eastAsia="Times New Roman" w:hint="default"/>
          <w:spacing w:val="5"/>
        </w:rPr>
        <w:t>899.01</w:t>
      </w:r>
      <w:r>
        <w:rPr>
          <w:spacing w:val="5"/>
        </w:rPr>
        <w:t>万元。自有品牌卡奴迪路</w:t>
      </w:r>
      <w:r>
        <w:rPr>
          <w:rFonts w:ascii="Times New Roman" w:hAnsi="Times New Roman" w:cs="Times New Roman" w:eastAsia="Times New Roman" w:hint="default"/>
          <w:spacing w:val="5"/>
        </w:rPr>
        <w:t>CANUDILO</w:t>
      </w:r>
      <w:r>
        <w:rPr>
          <w:spacing w:val="5"/>
        </w:rPr>
        <w:t>、</w:t>
      </w:r>
      <w:r>
        <w:rPr>
          <w:rFonts w:ascii="Times New Roman" w:hAnsi="Times New Roman" w:cs="Times New Roman" w:eastAsia="Times New Roman" w:hint="default"/>
          <w:spacing w:val="5"/>
        </w:rPr>
        <w:t>CANUDILO</w:t>
      </w:r>
      <w:r>
        <w:rPr>
          <w:rFonts w:ascii="Times New Roman" w:hAnsi="Times New Roman" w:cs="Times New Roman" w:eastAsia="Times New Roman" w:hint="default"/>
          <w:spacing w:val="54"/>
        </w:rPr>
        <w:t> </w:t>
      </w:r>
      <w:r>
        <w:rPr>
          <w:rFonts w:ascii="Times New Roman" w:hAnsi="Times New Roman" w:cs="Times New Roman" w:eastAsia="Times New Roman" w:hint="default"/>
        </w:rPr>
        <w:t>H</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rFonts w:ascii="Times New Roman" w:hAnsi="Times New Roman" w:cs="Times New Roman" w:eastAsia="Times New Roman" w:hint="default"/>
        </w:rPr>
        <w:t>HOLIDAYS</w:t>
      </w:r>
      <w:r>
        <w:rPr/>
        <w:t>始终占据中国高端男装市场的领先地位，渠道模式以直营为主、加盟为辅</w:t>
      </w:r>
      <w:r>
        <w:rPr>
          <w:rFonts w:ascii="Times New Roman" w:hAnsi="Times New Roman" w:cs="Times New Roman" w:eastAsia="Times New Roman" w:hint="default"/>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9"/>
        </w:rPr>
        <w:t> </w:t>
      </w:r>
      <w:r>
        <w:rPr>
          <w:spacing w:val="-1"/>
        </w:rPr>
        <w:t>日，公司开设</w:t>
      </w:r>
      <w:r>
        <w:rPr>
          <w:rFonts w:ascii="Times New Roman" w:hAnsi="Times New Roman" w:cs="Times New Roman" w:eastAsia="Times New Roman" w:hint="default"/>
          <w:spacing w:val="-1"/>
        </w:rPr>
        <w:t>CANUDILO</w:t>
      </w:r>
      <w:r>
        <w:rPr>
          <w:spacing w:val="-1"/>
        </w:rPr>
        <w:t>品牌门店</w:t>
      </w:r>
      <w:r>
        <w:rPr>
          <w:rFonts w:ascii="Times New Roman" w:hAnsi="Times New Roman" w:cs="Times New Roman" w:eastAsia="Times New Roman" w:hint="default"/>
          <w:spacing w:val="-1"/>
        </w:rPr>
        <w:t>230</w:t>
      </w:r>
      <w:r>
        <w:rPr>
          <w:spacing w:val="-1"/>
        </w:rPr>
        <w:t>家；近年来，公司通过产品持续创新、优化和整合线下门店，使该</w:t>
      </w:r>
      <w:r>
        <w:rPr>
          <w:spacing w:val="-24"/>
        </w:rPr>
        <w:t> </w:t>
      </w:r>
      <w:r>
        <w:rPr>
          <w:spacing w:val="-24"/>
        </w:rPr>
      </w:r>
      <w:r>
        <w:rPr>
          <w:spacing w:val="-2"/>
        </w:rPr>
        <w:t>品牌在新渠道和新业务模式下，业绩稳中有升，经营态势良好。</w:t>
      </w:r>
      <w:r>
        <w:rPr>
          <w:rFonts w:ascii="Times New Roman" w:hAnsi="Times New Roman" w:cs="Times New Roman" w:eastAsia="Times New Roman" w:hint="default"/>
          <w:spacing w:val="-2"/>
        </w:rPr>
        <w:t>DIRK</w:t>
      </w:r>
      <w:r>
        <w:rPr>
          <w:rFonts w:ascii="Times New Roman" w:hAnsi="Times New Roman" w:cs="Times New Roman" w:eastAsia="Times New Roman" w:hint="default"/>
        </w:rPr>
        <w:t> </w:t>
      </w:r>
      <w:r>
        <w:rPr>
          <w:rFonts w:ascii="Times New Roman" w:hAnsi="Times New Roman" w:cs="Times New Roman" w:eastAsia="Times New Roman" w:hint="default"/>
          <w:spacing w:val="-1"/>
        </w:rPr>
        <w:t>BIKKEMBERGS</w:t>
      </w:r>
      <w:r>
        <w:rPr>
          <w:spacing w:val="-1"/>
        </w:rPr>
        <w:t>拥有欧洲正统的设</w:t>
      </w:r>
      <w:r>
        <w:rPr>
          <w:spacing w:val="-79"/>
        </w:rPr>
        <w:t> </w:t>
      </w:r>
      <w:r>
        <w:rPr>
          <w:spacing w:val="-79"/>
        </w:rPr>
      </w:r>
      <w:r>
        <w:rPr>
          <w:spacing w:val="-11"/>
          <w:w w:val="100"/>
        </w:rPr>
        <w:t>计师品牌血统，代表了运动时尚的全球风潮；结合欧洲市场的知名度、供应链的优化，</w:t>
      </w:r>
      <w:r>
        <w:rPr>
          <w:rFonts w:ascii="Times New Roman" w:hAnsi="Times New Roman" w:cs="Times New Roman" w:eastAsia="Times New Roman" w:hint="default"/>
          <w:spacing w:val="-11"/>
          <w:w w:val="100"/>
        </w:rPr>
        <w:t>DIRK</w:t>
      </w:r>
      <w:r>
        <w:rPr>
          <w:rFonts w:ascii="Times New Roman" w:hAnsi="Times New Roman" w:cs="Times New Roman" w:eastAsia="Times New Roman" w:hint="default"/>
          <w:spacing w:val="-14"/>
          <w:w w:val="100"/>
        </w:rPr>
        <w:t> </w:t>
      </w:r>
      <w:r>
        <w:rPr>
          <w:rFonts w:ascii="Times New Roman" w:hAnsi="Times New Roman" w:cs="Times New Roman" w:eastAsia="Times New Roman" w:hint="default"/>
          <w:spacing w:val="-1"/>
          <w:w w:val="100"/>
        </w:rPr>
        <w:t>BIKKEMBERGS</w:t>
      </w:r>
      <w:r>
        <w:rPr>
          <w:rFonts w:ascii="Times New Roman" w:hAnsi="Times New Roman" w:cs="Times New Roman" w:eastAsia="Times New Roman" w:hint="default"/>
          <w:w w:val="100"/>
        </w:rPr>
        <w:t> </w:t>
      </w:r>
      <w:r>
        <w:rPr/>
        <w:t>正全力拓展中国区业务，顺应中国市场消费升级的趋势。</w:t>
      </w:r>
    </w:p>
    <w:p>
      <w:pPr>
        <w:pStyle w:val="BodyText"/>
        <w:spacing w:line="420" w:lineRule="auto" w:before="103"/>
        <w:ind w:left="533" w:right="0" w:firstLine="2"/>
        <w:jc w:val="left"/>
      </w:pPr>
      <w:r>
        <w:rPr>
          <w:rFonts w:ascii="Times New Roman" w:hAnsi="Times New Roman" w:cs="Times New Roman" w:eastAsia="Times New Roman" w:hint="default"/>
          <w:b/>
          <w:bCs/>
        </w:rPr>
        <w:t>2</w:t>
      </w:r>
      <w:r>
        <w:rPr>
          <w:rFonts w:ascii="宋体" w:hAnsi="宋体" w:cs="宋体" w:eastAsia="宋体" w:hint="default"/>
          <w:b/>
          <w:bCs/>
        </w:rPr>
        <w:t>、代理品牌运营业务</w:t>
      </w:r>
      <w:r>
        <w:rPr>
          <w:rFonts w:ascii="宋体" w:hAnsi="宋体" w:cs="宋体" w:eastAsia="宋体" w:hint="default"/>
          <w:b/>
          <w:bCs/>
          <w:w w:val="100"/>
        </w:rPr>
        <w:t> </w:t>
      </w:r>
      <w:r>
        <w:rPr/>
        <w:t>公司多年来持续深耕品牌资源整合工作，与国际一、二线品牌商建立了长期而稳定的代理合作关系，</w:t>
      </w:r>
    </w:p>
    <w:p>
      <w:pPr>
        <w:pStyle w:val="BodyText"/>
        <w:spacing w:line="408" w:lineRule="auto" w:before="35"/>
        <w:ind w:right="1125"/>
        <w:jc w:val="both"/>
      </w:pPr>
      <w:r>
        <w:rPr/>
        <w:t>线上线下多渠道进行代理品牌的推广、销售。报告期内，代理品牌实现营业收入</w:t>
      </w:r>
      <w:r>
        <w:rPr>
          <w:rFonts w:ascii="宋体" w:hAnsi="宋体" w:cs="宋体" w:eastAsia="宋体" w:hint="default"/>
        </w:rPr>
        <w:t>60,698.72</w:t>
      </w:r>
      <w:r>
        <w:rPr/>
        <w:t>万元。代表性</w:t>
      </w:r>
      <w:r>
        <w:rPr>
          <w:spacing w:val="-22"/>
        </w:rPr>
        <w:t> </w:t>
      </w:r>
      <w:r>
        <w:rPr>
          <w:spacing w:val="-22"/>
        </w:rPr>
      </w:r>
      <w:r>
        <w:rPr>
          <w:spacing w:val="-2"/>
        </w:rPr>
        <w:t>的合作有：开设于澳门的</w:t>
      </w:r>
      <w:r>
        <w:rPr>
          <w:rFonts w:ascii="宋体" w:hAnsi="宋体" w:cs="宋体" w:eastAsia="宋体" w:hint="default"/>
          <w:spacing w:val="-2"/>
        </w:rPr>
        <w:t>ANTONIA</w:t>
      </w:r>
      <w:r>
        <w:rPr>
          <w:spacing w:val="-2"/>
        </w:rPr>
        <w:t>品牌集合买手店，面积</w:t>
      </w:r>
      <w:r>
        <w:rPr>
          <w:rFonts w:ascii="宋体" w:hAnsi="宋体" w:cs="宋体" w:eastAsia="宋体" w:hint="default"/>
          <w:spacing w:val="-2"/>
        </w:rPr>
        <w:t>3000</w:t>
      </w:r>
      <w:r>
        <w:rPr>
          <w:spacing w:val="-2"/>
        </w:rPr>
        <w:t>平方米，经营超</w:t>
      </w:r>
      <w:r>
        <w:rPr>
          <w:rFonts w:ascii="宋体" w:hAnsi="宋体" w:cs="宋体" w:eastAsia="宋体" w:hint="default"/>
          <w:spacing w:val="-2"/>
        </w:rPr>
        <w:t>300</w:t>
      </w:r>
      <w:r>
        <w:rPr>
          <w:spacing w:val="-2"/>
        </w:rPr>
        <w:t>个时尚品牌，成为当地乃</w:t>
      </w:r>
      <w:r>
        <w:rPr>
          <w:spacing w:val="-38"/>
        </w:rPr>
        <w:t> </w:t>
      </w:r>
      <w:r>
        <w:rPr>
          <w:spacing w:val="-38"/>
        </w:rPr>
      </w:r>
      <w:r>
        <w:rPr>
          <w:spacing w:val="-2"/>
        </w:rPr>
        <w:t>至整个亚太地区的时尚标志；与韩国化妆品品牌美迪惠尔</w:t>
      </w:r>
      <w:r>
        <w:rPr>
          <w:rFonts w:ascii="宋体" w:hAnsi="宋体" w:cs="宋体" w:eastAsia="宋体" w:hint="default"/>
          <w:spacing w:val="-2"/>
        </w:rPr>
        <w:t>MEDIHEAL</w:t>
      </w:r>
      <w:r>
        <w:rPr>
          <w:spacing w:val="-2"/>
        </w:rPr>
        <w:t>进行全面电商合作，拓展主流和新型的</w:t>
      </w:r>
      <w:r>
        <w:rPr>
          <w:spacing w:val="-35"/>
        </w:rPr>
        <w:t> </w:t>
      </w:r>
      <w:r>
        <w:rPr>
          <w:spacing w:val="-35"/>
        </w:rPr>
      </w:r>
      <w:r>
        <w:rPr/>
        <w:t>零售业态；与法国高端时装品牌</w:t>
      </w:r>
      <w:r>
        <w:rPr>
          <w:rFonts w:ascii="宋体" w:hAnsi="宋体" w:cs="宋体" w:eastAsia="宋体" w:hint="default"/>
        </w:rPr>
        <w:t>G</w:t>
      </w:r>
      <w:r>
        <w:rPr>
          <w:rFonts w:ascii="宋体" w:hAnsi="宋体" w:cs="宋体" w:eastAsia="宋体" w:hint="default"/>
          <w:spacing w:val="-28"/>
        </w:rPr>
        <w:t> </w:t>
      </w:r>
      <w:r>
        <w:rPr>
          <w:rFonts w:ascii="宋体" w:hAnsi="宋体" w:cs="宋体" w:eastAsia="宋体" w:hint="default"/>
        </w:rPr>
        <w:t>Givenchy</w:t>
      </w:r>
      <w:r>
        <w:rPr/>
        <w:t>进行区域销售合作，打造多层次的销售网络；与欧洲第一大免</w:t>
      </w:r>
      <w:r>
        <w:rPr>
          <w:w w:val="100"/>
        </w:rPr>
        <w:t> </w:t>
      </w:r>
      <w:r>
        <w:rPr/>
        <w:t>税品公司德国海内曼合作，在澳门金沙城中心开设</w:t>
      </w:r>
      <w:r>
        <w:rPr>
          <w:rFonts w:ascii="宋体" w:hAnsi="宋体" w:cs="宋体" w:eastAsia="宋体" w:hint="default"/>
        </w:rPr>
        <w:t>Esscents</w:t>
      </w:r>
      <w:r>
        <w:rPr/>
        <w:t>香化美妆免税店等。</w:t>
      </w:r>
    </w:p>
    <w:p>
      <w:pPr>
        <w:pStyle w:val="BodyText"/>
        <w:spacing w:line="408" w:lineRule="auto" w:before="87"/>
        <w:ind w:right="0" w:firstLine="420"/>
        <w:jc w:val="left"/>
      </w:pPr>
      <w:r>
        <w:rPr>
          <w:spacing w:val="-2"/>
        </w:rPr>
        <w:t>公司将全渠道运营能力作为核心竞争力打造。在构建线上和线下融合的全渠道零售商的新商业模式下，</w:t>
      </w:r>
      <w:r>
        <w:rPr>
          <w:w w:val="100"/>
        </w:rPr>
        <w:t> </w:t>
      </w:r>
      <w:r>
        <w:rPr>
          <w:spacing w:val="-5"/>
        </w:rPr>
        <w:t>公司拥有的终端实体门店、线上入驻的平台店铺、线上自建平台、优质的战略合作渠道和大量的</w:t>
      </w:r>
      <w:r>
        <w:rPr>
          <w:rFonts w:ascii="宋体" w:hAnsi="宋体" w:cs="宋体" w:eastAsia="宋体" w:hint="default"/>
          <w:spacing w:val="-5"/>
        </w:rPr>
        <w:t>VIP</w:t>
      </w:r>
      <w:r>
        <w:rPr>
          <w:spacing w:val="-5"/>
        </w:rPr>
        <w:t>客户，</w:t>
      </w:r>
      <w:r>
        <w:rPr>
          <w:spacing w:val="-7"/>
        </w:rPr>
        <w:t> </w:t>
      </w:r>
      <w:r>
        <w:rPr/>
        <w:t>为全渠道营销、大数据采集分析提供了强有力的担保和支持。通过掌握和利用精准用户信息，公司可以根</w:t>
      </w:r>
      <w:r>
        <w:rPr>
          <w:w w:val="100"/>
        </w:rPr>
        <w:t> </w:t>
      </w:r>
      <w:r>
        <w:rPr/>
        <w:t>据消费者的独特需求和偏好量身提供个性化的客户体验和服务；同时，伴随着持续良性运营而积累的用户</w:t>
      </w:r>
    </w:p>
    <w:p>
      <w:pPr>
        <w:spacing w:after="0" w:line="408"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32" w:lineRule="auto" w:before="36"/>
        <w:ind w:left="533" w:right="0" w:hanging="420"/>
        <w:jc w:val="left"/>
      </w:pPr>
      <w:r>
        <w:rPr/>
        <w:t>信息、商品企划信息、交易数据、跨渠道协同经验，都将为摩登大道的全渠道运营持续提供正反馈支撑。</w:t>
      </w:r>
      <w:r>
        <w:rPr>
          <w:spacing w:val="-29"/>
        </w:rPr>
        <w:t> </w:t>
      </w:r>
      <w:r>
        <w:rPr>
          <w:spacing w:val="-29"/>
        </w:rPr>
      </w:r>
      <w:r>
        <w:rPr>
          <w:rFonts w:ascii="Times New Roman" w:hAnsi="Times New Roman" w:cs="Times New Roman" w:eastAsia="Times New Roman" w:hint="default"/>
          <w:b/>
          <w:bCs/>
        </w:rPr>
        <w:t>3</w:t>
      </w:r>
      <w:r>
        <w:rPr>
          <w:rFonts w:ascii="宋体" w:hAnsi="宋体" w:cs="宋体" w:eastAsia="宋体" w:hint="default"/>
          <w:b/>
          <w:bCs/>
        </w:rPr>
        <w:t>、线上全渠道运营业务</w:t>
      </w:r>
      <w:r>
        <w:rPr>
          <w:rFonts w:ascii="宋体" w:hAnsi="宋体" w:cs="宋体" w:eastAsia="宋体" w:hint="default"/>
          <w:b/>
          <w:bCs/>
          <w:w w:val="100"/>
        </w:rPr>
        <w:t> </w:t>
      </w:r>
      <w:r>
        <w:rPr/>
        <w:t>摩登大道以自主品牌及丰富的国际一二线品牌、优秀设计师品牌为基础，以近</w:t>
      </w:r>
      <w:r>
        <w:rPr>
          <w:rFonts w:ascii="Times New Roman" w:hAnsi="Times New Roman" w:cs="Times New Roman" w:eastAsia="Times New Roman" w:hint="default"/>
        </w:rPr>
        <w:t>300</w:t>
      </w:r>
      <w:r>
        <w:rPr/>
        <w:t>家线下时尚品牌零</w:t>
      </w:r>
    </w:p>
    <w:p>
      <w:pPr>
        <w:pStyle w:val="BodyText"/>
        <w:spacing w:line="400" w:lineRule="auto"/>
        <w:ind w:right="1126"/>
        <w:jc w:val="both"/>
      </w:pPr>
      <w:r>
        <w:rPr>
          <w:spacing w:val="-2"/>
        </w:rPr>
        <w:t>售店为依托，打造线上服务、线下体验的生活方式。目前已与苏宁易购、天猫、唯品会、京东、考拉、小</w:t>
      </w:r>
      <w:r>
        <w:rPr>
          <w:spacing w:val="-49"/>
        </w:rPr>
        <w:t> </w:t>
      </w:r>
      <w:r>
        <w:rPr>
          <w:spacing w:val="-49"/>
        </w:rPr>
      </w:r>
      <w:r>
        <w:rPr>
          <w:spacing w:val="-2"/>
        </w:rPr>
        <w:t>红书等电商展开合作。零售品类包括时装配饰、美容护肤、皮具箱包、时尚精品等。报告期内，线上全渠</w:t>
      </w:r>
      <w:r>
        <w:rPr>
          <w:spacing w:val="-42"/>
        </w:rPr>
        <w:t> </w:t>
      </w:r>
      <w:r>
        <w:rPr>
          <w:spacing w:val="-42"/>
        </w:rPr>
      </w:r>
      <w:r>
        <w:rPr/>
        <w:t>道业务收入实现</w:t>
      </w:r>
      <w:r>
        <w:rPr>
          <w:rFonts w:ascii="Times New Roman" w:hAnsi="Times New Roman" w:cs="Times New Roman" w:eastAsia="Times New Roman" w:hint="default"/>
        </w:rPr>
        <w:t>37,579.20</w:t>
      </w:r>
      <w:r>
        <w:rPr/>
        <w:t>万元，比上年同期实现大幅增长</w:t>
      </w:r>
      <w:r>
        <w:rPr>
          <w:rFonts w:ascii="Times New Roman" w:hAnsi="Times New Roman" w:cs="Times New Roman" w:eastAsia="Times New Roman" w:hint="default"/>
        </w:rPr>
        <w:t>769.78%</w:t>
      </w:r>
      <w:r>
        <w:rPr/>
        <w:t>，线上业务已经成为摩登大道的重要业</w:t>
      </w:r>
      <w:r>
        <w:rPr>
          <w:spacing w:val="-44"/>
        </w:rPr>
        <w:t> </w:t>
      </w:r>
      <w:r>
        <w:rPr>
          <w:spacing w:val="-44"/>
        </w:rPr>
      </w:r>
      <w:r>
        <w:rPr/>
        <w:t>务成长引擎。</w:t>
      </w:r>
    </w:p>
    <w:p>
      <w:pPr>
        <w:spacing w:line="420" w:lineRule="auto" w:before="93"/>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、移动社交工具类应用的开发和运营业务</w:t>
      </w:r>
      <w:r>
        <w:rPr>
          <w:rFonts w:ascii="宋体" w:hAnsi="宋体" w:cs="宋体" w:eastAsia="宋体" w:hint="default"/>
          <w:b/>
          <w:bCs/>
          <w:w w:val="100"/>
          <w:sz w:val="21"/>
          <w:szCs w:val="21"/>
        </w:rPr>
        <w:t> </w:t>
      </w:r>
      <w:r>
        <w:rPr>
          <w:rFonts w:ascii="宋体" w:hAnsi="宋体" w:cs="宋体" w:eastAsia="宋体" w:hint="default"/>
          <w:spacing w:val="-2"/>
          <w:sz w:val="21"/>
          <w:szCs w:val="21"/>
        </w:rPr>
        <w:t>悦然心动的主营业务为移动社交工具类应用的开发和运营，对产品研发完成后，通过苹果、谷歌等应</w:t>
      </w:r>
    </w:p>
    <w:p>
      <w:pPr>
        <w:pStyle w:val="BodyText"/>
        <w:spacing w:line="408" w:lineRule="auto" w:before="35"/>
        <w:ind w:right="1126"/>
        <w:jc w:val="both"/>
      </w:pPr>
      <w:r>
        <w:rPr>
          <w:spacing w:val="-2"/>
        </w:rPr>
        <w:t>用商店上线运营，直达用户。用户可以免费下载相关软件产品，成为悦然心动的用户；如果用户对应用中</w:t>
      </w:r>
      <w:r>
        <w:rPr>
          <w:spacing w:val="-50"/>
        </w:rPr>
        <w:t> </w:t>
      </w:r>
      <w:r>
        <w:rPr>
          <w:spacing w:val="-50"/>
        </w:rPr>
      </w:r>
      <w:r>
        <w:rPr>
          <w:spacing w:val="-7"/>
        </w:rPr>
        <w:t>的高级功能感兴趣，可在应用中付费购买或者完成应用中指定的如观看广告等任务，以“解锁”高级功能。</w:t>
      </w:r>
      <w:r>
        <w:rPr>
          <w:spacing w:val="-17"/>
        </w:rPr>
        <w:t> </w:t>
      </w:r>
      <w:r>
        <w:rPr>
          <w:spacing w:val="-17"/>
        </w:rPr>
      </w:r>
      <w:r>
        <w:rPr/>
        <w:t>悦然心动的盈利主要由广告收入和</w:t>
      </w:r>
      <w:r>
        <w:rPr>
          <w:rFonts w:ascii="Times New Roman" w:hAnsi="Times New Roman" w:cs="Times New Roman" w:eastAsia="Times New Roman" w:hint="default"/>
        </w:rPr>
        <w:t>IAP</w:t>
      </w:r>
      <w:r>
        <w:rPr/>
        <w:t>收入（</w:t>
      </w:r>
      <w:r>
        <w:rPr>
          <w:rFonts w:ascii="Times New Roman" w:hAnsi="Times New Roman" w:cs="Times New Roman" w:eastAsia="Times New Roman" w:hint="default"/>
        </w:rPr>
        <w:t>In App</w:t>
      </w:r>
      <w:r>
        <w:rPr>
          <w:rFonts w:ascii="Times New Roman" w:hAnsi="Times New Roman" w:cs="Times New Roman" w:eastAsia="Times New Roman" w:hint="default"/>
          <w:spacing w:val="-21"/>
        </w:rPr>
        <w:t> </w:t>
      </w:r>
      <w:r>
        <w:rPr>
          <w:rFonts w:ascii="Times New Roman" w:hAnsi="Times New Roman" w:cs="Times New Roman" w:eastAsia="Times New Roman" w:hint="default"/>
        </w:rPr>
        <w:t>purchase</w:t>
      </w:r>
      <w:r>
        <w:rPr/>
        <w:t>）构成。</w:t>
      </w:r>
    </w:p>
    <w:p>
      <w:pPr>
        <w:pStyle w:val="BodyText"/>
        <w:spacing w:line="391" w:lineRule="auto" w:before="53"/>
        <w:ind w:right="1126" w:firstLine="420"/>
        <w:jc w:val="both"/>
      </w:pPr>
      <w:r>
        <w:rPr>
          <w:rFonts w:ascii="Times New Roman" w:hAnsi="Times New Roman" w:cs="Times New Roman" w:eastAsia="Times New Roman" w:hint="default"/>
          <w:spacing w:val="-2"/>
        </w:rPr>
        <w:t>2018</w:t>
      </w:r>
      <w:r>
        <w:rPr>
          <w:spacing w:val="-2"/>
        </w:rPr>
        <w:t>年，悦然心动实现营业收入</w:t>
      </w:r>
      <w:r>
        <w:rPr>
          <w:rFonts w:ascii="Times New Roman" w:hAnsi="Times New Roman" w:cs="Times New Roman" w:eastAsia="Times New Roman" w:hint="default"/>
          <w:spacing w:val="-2"/>
        </w:rPr>
        <w:t>374,908,181.89</w:t>
      </w:r>
      <w:r>
        <w:rPr>
          <w:spacing w:val="-2"/>
        </w:rPr>
        <w:t>元，净利润</w:t>
      </w:r>
      <w:r>
        <w:rPr>
          <w:rFonts w:ascii="Times New Roman" w:hAnsi="Times New Roman" w:cs="Times New Roman" w:eastAsia="Times New Roman" w:hint="default"/>
          <w:spacing w:val="-2"/>
        </w:rPr>
        <w:t>68,957,288.00</w:t>
      </w:r>
      <w:r>
        <w:rPr>
          <w:spacing w:val="-2"/>
        </w:rPr>
        <w:t>元。报告期内，悦然心动秉承</w:t>
      </w:r>
      <w:r>
        <w:rPr>
          <w:w w:val="100"/>
        </w:rPr>
        <w:t> </w:t>
      </w:r>
      <w:r>
        <w:rPr>
          <w:spacing w:val="-4"/>
        </w:rPr>
        <w:t>年初制定的经营策略，在完善产品功能、优化产品效率的同时，一方面加大力度进行广告投放，从</w:t>
      </w:r>
      <w:r>
        <w:rPr>
          <w:rFonts w:ascii="Times New Roman" w:hAnsi="Times New Roman" w:cs="Times New Roman" w:eastAsia="Times New Roman" w:hint="default"/>
          <w:spacing w:val="-4"/>
        </w:rPr>
        <w:t>Apple</w:t>
      </w:r>
      <w:r>
        <w:rPr>
          <w:spacing w:val="-4"/>
        </w:rPr>
        <w:t>、</w:t>
      </w:r>
      <w:r>
        <w:rPr>
          <w:spacing w:val="-38"/>
        </w:rPr>
        <w:t> </w:t>
      </w:r>
      <w:r>
        <w:rPr>
          <w:rFonts w:ascii="Times New Roman" w:hAnsi="Times New Roman" w:cs="Times New Roman" w:eastAsia="Times New Roman" w:hint="default"/>
          <w:spacing w:val="-2"/>
        </w:rPr>
        <w:t>Google</w:t>
      </w:r>
      <w:r>
        <w:rPr>
          <w:spacing w:val="-2"/>
        </w:rPr>
        <w:t>等世界级平台中，通过广告投放方式高效获取用户；一方面顺应海外移动互联网的发展趋势，加强</w:t>
      </w:r>
      <w:r>
        <w:rPr>
          <w:spacing w:val="-29"/>
        </w:rPr>
        <w:t> </w:t>
      </w:r>
      <w:r>
        <w:rPr>
          <w:spacing w:val="-29"/>
        </w:rPr>
      </w:r>
      <w:r>
        <w:rPr>
          <w:spacing w:val="-2"/>
        </w:rPr>
        <w:t>与海外头部广告平台的合作，为广告主提供基于悦然心动产品精准用户画像的投放解决方案，实现流量变</w:t>
      </w:r>
      <w:r>
        <w:rPr>
          <w:spacing w:val="-44"/>
        </w:rPr>
        <w:t> </w:t>
      </w:r>
      <w:r>
        <w:rPr>
          <w:spacing w:val="-44"/>
        </w:rPr>
      </w:r>
      <w:r>
        <w:rPr/>
        <w:t>现。</w:t>
      </w:r>
    </w:p>
    <w:p>
      <w:pPr>
        <w:pStyle w:val="BodyText"/>
        <w:spacing w:line="240" w:lineRule="auto" w:before="101"/>
        <w:ind w:left="533" w:right="0"/>
        <w:jc w:val="left"/>
      </w:pPr>
      <w:r>
        <w:rPr/>
        <w:t>具体可参阅第四节“经营情况讨论与分析”一、概述。</w:t>
      </w:r>
    </w:p>
    <w:p>
      <w:pPr>
        <w:spacing w:line="240" w:lineRule="auto" w:before="12"/>
        <w:rPr>
          <w:rFonts w:ascii="宋体" w:hAnsi="宋体" w:cs="宋体" w:eastAsia="宋体" w:hint="default"/>
          <w:sz w:val="17"/>
          <w:szCs w:val="17"/>
        </w:rPr>
      </w:pPr>
    </w:p>
    <w:p>
      <w:pPr>
        <w:spacing w:line="432" w:lineRule="auto" w:before="0"/>
        <w:ind w:left="533" w:right="1126" w:hanging="104"/>
        <w:jc w:val="left"/>
        <w:rPr>
          <w:rFonts w:ascii="宋体" w:hAnsi="宋体" w:cs="宋体" w:eastAsia="宋体" w:hint="default"/>
          <w:sz w:val="21"/>
          <w:szCs w:val="21"/>
        </w:rPr>
      </w:pPr>
      <w:r>
        <w:rPr>
          <w:rFonts w:ascii="宋体" w:hAnsi="宋体" w:cs="宋体" w:eastAsia="宋体" w:hint="default"/>
          <w:b/>
          <w:bCs/>
          <w:sz w:val="21"/>
          <w:szCs w:val="21"/>
        </w:rPr>
        <w:t>（二）报告期内公司所属行业的发展阶段、周期性特点以及公司所处的行业地位等</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、公司按照中国证监会行业划分标准分属“批发和零售贸易”</w:t>
      </w:r>
      <w:r>
        <w:rPr>
          <w:rFonts w:ascii="宋体" w:hAnsi="宋体" w:cs="宋体" w:eastAsia="宋体" w:hint="default"/>
          <w:b/>
          <w:bCs/>
          <w:sz w:val="21"/>
          <w:szCs w:val="21"/>
        </w:rPr>
        <w:t>-</w:t>
      </w:r>
      <w:r>
        <w:rPr>
          <w:rFonts w:ascii="宋体" w:hAnsi="宋体" w:cs="宋体" w:eastAsia="宋体" w:hint="default"/>
          <w:b/>
          <w:bCs/>
          <w:sz w:val="21"/>
          <w:szCs w:val="21"/>
        </w:rPr>
        <w:t>零售业。</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根据中国国家统计局</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年公布的《国民经济行业分类》（</w:t>
      </w:r>
      <w:r>
        <w:rPr>
          <w:rFonts w:ascii="Times New Roman" w:hAnsi="Times New Roman" w:cs="Times New Roman" w:eastAsia="Times New Roman" w:hint="default"/>
          <w:spacing w:val="-5"/>
          <w:w w:val="100"/>
          <w:sz w:val="21"/>
          <w:szCs w:val="21"/>
        </w:rPr>
        <w:t>GB/T</w:t>
      </w:r>
      <w:r>
        <w:rPr>
          <w:rFonts w:ascii="Times New Roman" w:hAnsi="Times New Roman" w:cs="Times New Roman" w:eastAsia="Times New Roman" w:hint="default"/>
          <w:spacing w:val="41"/>
          <w:w w:val="100"/>
          <w:sz w:val="21"/>
          <w:szCs w:val="21"/>
        </w:rPr>
        <w:t> </w:t>
      </w:r>
      <w:r>
        <w:rPr>
          <w:rFonts w:ascii="Times New Roman" w:hAnsi="Times New Roman" w:cs="Times New Roman" w:eastAsia="Times New Roman" w:hint="default"/>
          <w:spacing w:val="-7"/>
          <w:w w:val="100"/>
          <w:sz w:val="21"/>
          <w:szCs w:val="21"/>
        </w:rPr>
        <w:t>4754-2011</w:t>
      </w:r>
      <w:r>
        <w:rPr>
          <w:rFonts w:ascii="宋体" w:hAnsi="宋体" w:cs="宋体" w:eastAsia="宋体" w:hint="default"/>
          <w:spacing w:val="-7"/>
          <w:w w:val="100"/>
          <w:sz w:val="21"/>
          <w:szCs w:val="21"/>
        </w:rPr>
        <w:t>），公司所处行业为批发和</w:t>
      </w:r>
    </w:p>
    <w:p>
      <w:pPr>
        <w:pStyle w:val="BodyText"/>
        <w:spacing w:line="386" w:lineRule="auto"/>
        <w:ind w:right="1128"/>
        <w:jc w:val="both"/>
      </w:pPr>
      <w:r>
        <w:rPr>
          <w:spacing w:val="-5"/>
          <w:w w:val="100"/>
        </w:rPr>
        <w:t>零售业</w:t>
      </w:r>
      <w:r>
        <w:rPr>
          <w:rFonts w:ascii="Times New Roman" w:hAnsi="Times New Roman" w:cs="Times New Roman" w:eastAsia="Times New Roman" w:hint="default"/>
          <w:spacing w:val="-5"/>
          <w:w w:val="100"/>
        </w:rPr>
        <w:t>-</w:t>
      </w:r>
      <w:r>
        <w:rPr>
          <w:spacing w:val="-5"/>
          <w:w w:val="100"/>
        </w:rPr>
        <w:t>零售业</w:t>
      </w:r>
      <w:r>
        <w:rPr>
          <w:rFonts w:ascii="Times New Roman" w:hAnsi="Times New Roman" w:cs="Times New Roman" w:eastAsia="Times New Roman" w:hint="default"/>
          <w:spacing w:val="-5"/>
          <w:w w:val="100"/>
        </w:rPr>
        <w:t>-</w:t>
      </w:r>
      <w:r>
        <w:rPr>
          <w:spacing w:val="-5"/>
          <w:w w:val="100"/>
        </w:rPr>
        <w:t>纺织服装零售、互联网零售；依据中国证监会《上市公司行业分类指引》（</w:t>
      </w:r>
      <w:r>
        <w:rPr>
          <w:rFonts w:ascii="Times New Roman" w:hAnsi="Times New Roman" w:cs="Times New Roman" w:eastAsia="Times New Roman" w:hint="default"/>
          <w:spacing w:val="-5"/>
          <w:w w:val="100"/>
        </w:rPr>
        <w:t>2012</w:t>
      </w:r>
      <w:r>
        <w:rPr>
          <w:spacing w:val="-5"/>
          <w:w w:val="100"/>
        </w:rPr>
        <w:t>年修订），</w:t>
      </w:r>
      <w:r>
        <w:rPr>
          <w:spacing w:val="-77"/>
          <w:w w:val="100"/>
        </w:rPr>
        <w:t> </w:t>
      </w:r>
      <w:r>
        <w:rPr>
          <w:spacing w:val="-77"/>
          <w:w w:val="100"/>
        </w:rPr>
      </w:r>
      <w:r>
        <w:rPr/>
        <w:t>公司所属行业为</w:t>
      </w:r>
      <w:r>
        <w:rPr>
          <w:rFonts w:ascii="Times New Roman" w:hAnsi="Times New Roman" w:cs="Times New Roman" w:eastAsia="Times New Roman" w:hint="default"/>
        </w:rPr>
        <w:t>F</w:t>
      </w:r>
      <w:r>
        <w:rPr/>
        <w:t>批发和零售业</w:t>
      </w:r>
      <w:r>
        <w:rPr>
          <w:rFonts w:ascii="Times New Roman" w:hAnsi="Times New Roman" w:cs="Times New Roman" w:eastAsia="Times New Roman" w:hint="default"/>
        </w:rPr>
        <w:t>-</w:t>
      </w:r>
      <w:r>
        <w:rPr/>
        <w:t>零售业。</w:t>
      </w:r>
    </w:p>
    <w:p>
      <w:pPr>
        <w:pStyle w:val="BodyText"/>
        <w:spacing w:line="417" w:lineRule="auto" w:before="77"/>
        <w:ind w:left="533" w:right="1126" w:firstLine="2"/>
        <w:jc w:val="left"/>
      </w:pPr>
      <w:r>
        <w:rPr>
          <w:rFonts w:ascii="Times New Roman" w:hAnsi="Times New Roman" w:cs="Times New Roman" w:eastAsia="Times New Roman" w:hint="default"/>
          <w:b/>
          <w:bCs/>
        </w:rPr>
        <w:t>2</w:t>
      </w:r>
      <w:r>
        <w:rPr>
          <w:rFonts w:ascii="宋体" w:hAnsi="宋体" w:cs="宋体" w:eastAsia="宋体" w:hint="default"/>
          <w:b/>
          <w:bCs/>
        </w:rPr>
        <w:t>、行业情况</w:t>
      </w:r>
      <w:r>
        <w:rPr>
          <w:rFonts w:ascii="宋体" w:hAnsi="宋体" w:cs="宋体" w:eastAsia="宋体" w:hint="default"/>
          <w:b/>
          <w:bCs/>
          <w:w w:val="100"/>
        </w:rPr>
        <w:t> </w:t>
      </w:r>
      <w:r>
        <w:rPr>
          <w:spacing w:val="-7"/>
        </w:rPr>
        <w:t>零售行业已发展为优势互补的多业态融合模式，通过融合国内政策、企业实力、业内资本等各种资源，</w:t>
      </w:r>
    </w:p>
    <w:p>
      <w:pPr>
        <w:pStyle w:val="BodyText"/>
        <w:spacing w:line="240" w:lineRule="auto" w:before="37"/>
        <w:ind w:right="0"/>
        <w:jc w:val="both"/>
      </w:pPr>
      <w:r>
        <w:rPr/>
        <w:t>零售行业正强力向全渠道新型零售发展。</w:t>
      </w:r>
    </w:p>
    <w:p>
      <w:pPr>
        <w:spacing w:line="240" w:lineRule="auto" w:before="12"/>
        <w:rPr>
          <w:rFonts w:ascii="宋体" w:hAnsi="宋体" w:cs="宋体" w:eastAsia="宋体" w:hint="default"/>
          <w:sz w:val="17"/>
          <w:szCs w:val="17"/>
        </w:rPr>
      </w:pPr>
    </w:p>
    <w:p>
      <w:pPr>
        <w:pStyle w:val="BodyText"/>
        <w:spacing w:line="420" w:lineRule="auto"/>
        <w:ind w:left="533" w:right="0" w:firstLine="2"/>
        <w:jc w:val="left"/>
      </w:pPr>
      <w:r>
        <w:rPr>
          <w:rFonts w:ascii="Times New Roman" w:hAnsi="Times New Roman" w:cs="Times New Roman" w:eastAsia="Times New Roman" w:hint="default"/>
          <w:b/>
          <w:bCs/>
        </w:rPr>
        <w:t>3</w:t>
      </w:r>
      <w:r>
        <w:rPr>
          <w:rFonts w:ascii="宋体" w:hAnsi="宋体" w:cs="宋体" w:eastAsia="宋体" w:hint="default"/>
          <w:b/>
          <w:bCs/>
        </w:rPr>
        <w:t>、公司所处行业地位</w:t>
      </w:r>
      <w:r>
        <w:rPr>
          <w:rFonts w:ascii="宋体" w:hAnsi="宋体" w:cs="宋体" w:eastAsia="宋体" w:hint="default"/>
          <w:b/>
          <w:bCs/>
          <w:w w:val="100"/>
        </w:rPr>
        <w:t> </w:t>
      </w:r>
      <w:r>
        <w:rPr>
          <w:spacing w:val="-2"/>
        </w:rPr>
        <w:t>公司是与欧美国际品牌合作较多的企业，熟悉国际时尚行业，了解全球时尚流行趋势，能够准确将新</w:t>
      </w:r>
    </w:p>
    <w:p>
      <w:pPr>
        <w:spacing w:after="0" w:line="42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0"/>
        <w:jc w:val="left"/>
      </w:pPr>
      <w:r>
        <w:rPr>
          <w:spacing w:val="-2"/>
        </w:rPr>
        <w:t>兴的具有市场潜力的国际品牌、个性鲜明的设计师品牌引进中国；公司所运营的全球时尚品牌终端门店已</w:t>
      </w:r>
      <w:r>
        <w:rPr>
          <w:spacing w:val="-42"/>
        </w:rPr>
        <w:t> </w:t>
      </w:r>
      <w:r>
        <w:rPr>
          <w:spacing w:val="-42"/>
        </w:rPr>
      </w:r>
      <w:r>
        <w:rPr/>
        <w:t>完整覆盖一线、二线城市高端核心零售商圈以及枢纽机场，所运营的线上渠道也基本覆盖国内主流平台，</w:t>
      </w:r>
      <w:r>
        <w:rPr>
          <w:spacing w:val="-24"/>
        </w:rPr>
        <w:t> </w:t>
      </w:r>
      <w:r>
        <w:rPr>
          <w:spacing w:val="-24"/>
        </w:rPr>
      </w:r>
      <w:r>
        <w:rPr/>
        <w:t>在中国时尚零售行业建立起引领潮流的领导地位。</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1"/>
        <w:gridCol w:w="6520"/>
      </w:tblGrid>
      <w:tr>
        <w:trPr>
          <w:trHeight w:val="763" w:hRule="exact"/>
        </w:trPr>
        <w:tc>
          <w:tcPr>
            <w:tcW w:w="30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30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2"/>
              <w:ind w:left="105" w:right="99"/>
              <w:jc w:val="left"/>
              <w:rPr>
                <w:rFonts w:ascii="宋体" w:hAnsi="宋体" w:cs="宋体" w:eastAsia="宋体" w:hint="default"/>
                <w:sz w:val="18"/>
                <w:szCs w:val="18"/>
              </w:rPr>
            </w:pPr>
            <w:r>
              <w:rPr>
                <w:rFonts w:ascii="宋体" w:hAnsi="宋体" w:cs="宋体" w:eastAsia="宋体" w:hint="default"/>
                <w:spacing w:val="-2"/>
                <w:sz w:val="18"/>
                <w:szCs w:val="18"/>
              </w:rPr>
              <w:t>报告期末，公司固定资产较上年度期末下降了</w:t>
            </w:r>
            <w:r>
              <w:rPr>
                <w:rFonts w:ascii="宋体" w:hAnsi="宋体" w:cs="宋体" w:eastAsia="宋体" w:hint="default"/>
                <w:spacing w:val="-32"/>
                <w:sz w:val="18"/>
                <w:szCs w:val="18"/>
              </w:rPr>
              <w:t> </w:t>
            </w:r>
            <w:r>
              <w:rPr>
                <w:rFonts w:ascii="Times New Roman" w:hAnsi="Times New Roman" w:cs="Times New Roman" w:eastAsia="Times New Roman" w:hint="default"/>
                <w:spacing w:val="-2"/>
                <w:sz w:val="18"/>
                <w:szCs w:val="18"/>
              </w:rPr>
              <w:t>33.68%</w:t>
            </w:r>
            <w:r>
              <w:rPr>
                <w:rFonts w:ascii="宋体" w:hAnsi="宋体" w:cs="宋体" w:eastAsia="宋体" w:hint="default"/>
                <w:spacing w:val="-2"/>
                <w:sz w:val="18"/>
                <w:szCs w:val="18"/>
              </w:rPr>
              <w:t>，主要是报告期固定资产转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投资性房地产引起固定资产减少</w:t>
            </w:r>
          </w:p>
        </w:tc>
      </w:tr>
      <w:tr>
        <w:trPr>
          <w:trHeight w:val="713" w:hRule="exact"/>
        </w:trPr>
        <w:tc>
          <w:tcPr>
            <w:tcW w:w="30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5" w:right="130"/>
              <w:jc w:val="left"/>
              <w:rPr>
                <w:rFonts w:ascii="宋体" w:hAnsi="宋体" w:cs="宋体" w:eastAsia="宋体" w:hint="default"/>
                <w:sz w:val="18"/>
                <w:szCs w:val="18"/>
              </w:rPr>
            </w:pPr>
            <w:r>
              <w:rPr>
                <w:rFonts w:ascii="宋体" w:hAnsi="宋体" w:cs="宋体" w:eastAsia="宋体" w:hint="default"/>
                <w:sz w:val="18"/>
                <w:szCs w:val="18"/>
              </w:rPr>
              <w:t>报告期末，公司无形产较上年度期末下降了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6.19%</w:t>
            </w:r>
            <w:r>
              <w:rPr>
                <w:rFonts w:ascii="宋体" w:hAnsi="宋体" w:cs="宋体" w:eastAsia="宋体" w:hint="default"/>
                <w:sz w:val="18"/>
                <w:szCs w:val="18"/>
              </w:rPr>
              <w:t>，主要是报告期无形资产摊销 引起资产减少</w:t>
            </w:r>
          </w:p>
        </w:tc>
      </w:tr>
      <w:tr>
        <w:trPr>
          <w:trHeight w:val="715" w:hRule="exact"/>
        </w:trPr>
        <w:tc>
          <w:tcPr>
            <w:tcW w:w="30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5" w:right="99"/>
              <w:jc w:val="left"/>
              <w:rPr>
                <w:rFonts w:ascii="宋体" w:hAnsi="宋体" w:cs="宋体" w:eastAsia="宋体" w:hint="default"/>
                <w:sz w:val="18"/>
                <w:szCs w:val="18"/>
              </w:rPr>
            </w:pPr>
            <w:r>
              <w:rPr>
                <w:rFonts w:ascii="宋体" w:hAnsi="宋体" w:cs="宋体" w:eastAsia="宋体" w:hint="default"/>
                <w:spacing w:val="-2"/>
                <w:sz w:val="18"/>
                <w:szCs w:val="18"/>
              </w:rPr>
              <w:t>报告期末，公司在建工程较上年度期末下降</w:t>
            </w:r>
            <w:r>
              <w:rPr>
                <w:rFonts w:ascii="宋体" w:hAnsi="宋体" w:cs="宋体" w:eastAsia="宋体" w:hint="default"/>
                <w:spacing w:val="-32"/>
                <w:sz w:val="18"/>
                <w:szCs w:val="18"/>
              </w:rPr>
              <w:t> </w:t>
            </w:r>
            <w:r>
              <w:rPr>
                <w:rFonts w:ascii="Times New Roman" w:hAnsi="Times New Roman" w:cs="Times New Roman" w:eastAsia="Times New Roman" w:hint="default"/>
                <w:spacing w:val="-2"/>
                <w:sz w:val="18"/>
                <w:szCs w:val="18"/>
              </w:rPr>
              <w:t>79.50%</w:t>
            </w:r>
            <w:r>
              <w:rPr>
                <w:rFonts w:ascii="宋体" w:hAnsi="宋体" w:cs="宋体" w:eastAsia="宋体" w:hint="default"/>
                <w:spacing w:val="-2"/>
                <w:sz w:val="18"/>
                <w:szCs w:val="18"/>
              </w:rPr>
              <w:t>，主要是报告期在建工程转固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引起在建工程减少。</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3"/>
        <w:gridCol w:w="1063"/>
        <w:gridCol w:w="1064"/>
        <w:gridCol w:w="1066"/>
        <w:gridCol w:w="1064"/>
        <w:gridCol w:w="1063"/>
        <w:gridCol w:w="1066"/>
        <w:gridCol w:w="1061"/>
        <w:gridCol w:w="1061"/>
      </w:tblGrid>
      <w:tr>
        <w:trPr>
          <w:trHeight w:val="1340" w:hRule="exact"/>
        </w:trPr>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165" w:hanging="92"/>
              <w:jc w:val="left"/>
              <w:rPr>
                <w:rFonts w:ascii="宋体" w:hAnsi="宋体" w:cs="宋体" w:eastAsia="宋体" w:hint="default"/>
                <w:sz w:val="18"/>
                <w:szCs w:val="18"/>
              </w:rPr>
            </w:pPr>
            <w:r>
              <w:rPr>
                <w:rFonts w:ascii="宋体" w:hAnsi="宋体" w:cs="宋体" w:eastAsia="宋体" w:hint="default"/>
                <w:sz w:val="18"/>
                <w:szCs w:val="18"/>
              </w:rPr>
              <w:t>资产的具 体内容</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5" w:right="167"/>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65" w:right="163"/>
              <w:jc w:val="center"/>
              <w:rPr>
                <w:rFonts w:ascii="宋体" w:hAnsi="宋体" w:cs="宋体" w:eastAsia="宋体" w:hint="default"/>
                <w:sz w:val="18"/>
                <w:szCs w:val="18"/>
              </w:rPr>
            </w:pPr>
            <w:r>
              <w:rPr>
                <w:rFonts w:ascii="宋体" w:hAnsi="宋体" w:cs="宋体" w:eastAsia="宋体" w:hint="default"/>
                <w:sz w:val="18"/>
                <w:szCs w:val="18"/>
              </w:rPr>
              <w:t>境外资产 占公司净 资产的比 重</w:t>
            </w:r>
          </w:p>
        </w:tc>
        <w:tc>
          <w:tcPr>
            <w:tcW w:w="10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5" w:right="165"/>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1961" w:hRule="exact"/>
        </w:trPr>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pacing w:val="-3"/>
                <w:sz w:val="18"/>
              </w:rPr>
              <w:t>LEVITAS</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pacing w:val="-4"/>
                <w:sz w:val="18"/>
              </w:rPr>
              <w:t>S.P.A.</w:t>
            </w:r>
            <w:r>
              <w:rPr>
                <w:rFonts w:ascii="Times New Roman"/>
                <w:sz w:val="18"/>
              </w:rPr>
              <w:t> 51%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274,107,93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1.07</w:t>
            </w: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从事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Dirk Bikkember gs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品牌的 </w:t>
            </w:r>
            <w:r>
              <w:rPr>
                <w:rFonts w:ascii="宋体" w:hAnsi="宋体" w:cs="宋体" w:eastAsia="宋体" w:hint="default"/>
                <w:spacing w:val="-11"/>
                <w:sz w:val="18"/>
                <w:szCs w:val="18"/>
              </w:rPr>
              <w:t>设计、推广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及授权活 动</w:t>
            </w:r>
          </w:p>
        </w:tc>
        <w:tc>
          <w:tcPr>
            <w:tcW w:w="1063" w:type="dxa"/>
            <w:tcBorders>
              <w:top w:val="single" w:sz="4" w:space="0" w:color="933734"/>
              <w:left w:val="single" w:sz="4" w:space="0" w:color="933734"/>
              <w:bottom w:val="single" w:sz="4" w:space="0" w:color="933734"/>
              <w:right w:val="single" w:sz="4" w:space="0" w:color="933734"/>
            </w:tcBorders>
          </w:tcPr>
          <w:p>
            <w:pP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-34,165,85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2.08</w:t>
            </w:r>
          </w:p>
        </w:tc>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11.09%</w:t>
            </w:r>
          </w:p>
        </w:tc>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其他情况 说明</w:t>
            </w:r>
          </w:p>
        </w:tc>
        <w:tc>
          <w:tcPr>
            <w:tcW w:w="8508" w:type="dxa"/>
            <w:gridSpan w:val="8"/>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5" w:right="95"/>
              <w:jc w:val="both"/>
              <w:rPr>
                <w:rFonts w:ascii="宋体" w:hAnsi="宋体" w:cs="宋体" w:eastAsia="宋体" w:hint="default"/>
                <w:sz w:val="18"/>
                <w:szCs w:val="18"/>
              </w:rPr>
            </w:pPr>
            <w:r>
              <w:rPr>
                <w:rFonts w:ascii="宋体" w:hAnsi="宋体" w:cs="宋体" w:eastAsia="宋体" w:hint="default"/>
                <w:sz w:val="18"/>
                <w:szCs w:val="18"/>
              </w:rPr>
              <w:t>公司全资子公司香港卡奴迪路在完成对意大利</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S.P.A51%</w:t>
            </w:r>
            <w:r>
              <w:rPr>
                <w:rFonts w:ascii="宋体" w:hAnsi="宋体" w:cs="宋体" w:eastAsia="宋体" w:hint="default"/>
                <w:sz w:val="18"/>
                <w:szCs w:val="18"/>
              </w:rPr>
              <w:t>股权的收购事项后，分别于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Sinv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Zeis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收购完成其余股份。截至本报告出具日，公司全资子公司香港卡 奴迪路已持有意大利</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S.P.A100%</w:t>
            </w:r>
            <w:r>
              <w:rPr>
                <w:rFonts w:ascii="宋体" w:hAnsi="宋体" w:cs="宋体" w:eastAsia="宋体" w:hint="default"/>
                <w:sz w:val="18"/>
                <w:szCs w:val="18"/>
              </w:rPr>
              <w:t>股权。</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三、核心竞争力分析</w:t>
      </w:r>
      <w:r>
        <w:rPr>
          <w:b w:val="0"/>
          <w:bCs w:val="0"/>
        </w:rPr>
      </w:r>
    </w:p>
    <w:p>
      <w:pPr>
        <w:spacing w:line="240" w:lineRule="auto" w:before="4"/>
        <w:rPr>
          <w:rFonts w:ascii="宋体" w:hAnsi="宋体" w:cs="宋体" w:eastAsia="宋体" w:hint="default"/>
          <w:b/>
          <w:bCs/>
          <w:sz w:val="32"/>
          <w:szCs w:val="32"/>
        </w:rPr>
      </w:pPr>
    </w:p>
    <w:p>
      <w:pPr>
        <w:spacing w:line="436" w:lineRule="auto" w:before="0"/>
        <w:ind w:left="113" w:right="7681" w:firstLine="0"/>
        <w:jc w:val="left"/>
        <w:rPr>
          <w:rFonts w:ascii="宋体" w:hAnsi="宋体" w:cs="宋体" w:eastAsia="宋体" w:hint="default"/>
          <w:sz w:val="18"/>
          <w:szCs w:val="18"/>
        </w:rPr>
      </w:pPr>
      <w:r>
        <w:rPr>
          <w:rFonts w:ascii="宋体" w:hAnsi="宋体" w:cs="宋体" w:eastAsia="宋体" w:hint="default"/>
          <w:b/>
          <w:bCs/>
          <w:sz w:val="18"/>
          <w:szCs w:val="18"/>
        </w:rPr>
        <w:t>公司是否需要遵守特殊行业的披露要求</w:t>
      </w:r>
      <w:r>
        <w:rPr>
          <w:rFonts w:ascii="宋体" w:hAnsi="宋体" w:cs="宋体" w:eastAsia="宋体" w:hint="default"/>
          <w:b/>
          <w:bCs/>
          <w:w w:val="99"/>
          <w:sz w:val="18"/>
          <w:szCs w:val="18"/>
        </w:rPr>
        <w:t> </w:t>
      </w:r>
      <w:r>
        <w:rPr>
          <w:rFonts w:ascii="宋体" w:hAnsi="宋体" w:cs="宋体" w:eastAsia="宋体" w:hint="default"/>
          <w:sz w:val="18"/>
          <w:szCs w:val="18"/>
        </w:rPr>
        <w:t>是</w:t>
      </w:r>
    </w:p>
    <w:p>
      <w:pPr>
        <w:spacing w:line="205" w:lineRule="exact"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零售相关业</w:t>
      </w:r>
    </w:p>
    <w:p>
      <w:pPr>
        <w:spacing w:line="240" w:lineRule="auto" w:before="1"/>
        <w:rPr>
          <w:rFonts w:ascii="宋体" w:hAnsi="宋体" w:cs="宋体" w:eastAsia="宋体" w:hint="default"/>
          <w:sz w:val="13"/>
          <w:szCs w:val="13"/>
        </w:rPr>
      </w:pPr>
    </w:p>
    <w:p>
      <w:pPr>
        <w:pStyle w:val="Heading4"/>
        <w:spacing w:line="240" w:lineRule="auto"/>
        <w:ind w:left="430" w:right="0"/>
        <w:jc w:val="left"/>
        <w:rPr>
          <w:b w:val="0"/>
          <w:bCs w:val="0"/>
        </w:rPr>
      </w:pPr>
      <w:r>
        <w:rPr/>
        <w:t>（一）国际品牌资源供应链整合能力优势</w:t>
      </w:r>
      <w:r>
        <w:rPr>
          <w:b w:val="0"/>
          <w:bCs w:val="0"/>
        </w:rPr>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b/>
          <w:bCs/>
          <w:sz w:val="27"/>
          <w:szCs w:val="27"/>
        </w:rPr>
      </w:pPr>
    </w:p>
    <w:p>
      <w:pPr>
        <w:pStyle w:val="BodyText"/>
        <w:spacing w:line="408" w:lineRule="auto" w:before="36"/>
        <w:ind w:right="1126" w:firstLine="420"/>
        <w:jc w:val="both"/>
      </w:pPr>
      <w:r>
        <w:rPr>
          <w:spacing w:val="-2"/>
        </w:rPr>
        <w:t>公司作为与欧美国际品牌合作较多的企业，熟悉国际时尚行业，了解全球时尚流行趋势，能够准确将</w:t>
      </w:r>
      <w:r>
        <w:rPr>
          <w:w w:val="100"/>
        </w:rPr>
        <w:t> </w:t>
      </w:r>
      <w:r>
        <w:rPr>
          <w:spacing w:val="-2"/>
        </w:rPr>
        <w:t>新兴的具有市场潜力的国际品牌、个性鲜明的设计师品牌引进中国，在中国零售行业建立起引领潮流的领</w:t>
      </w:r>
      <w:r>
        <w:rPr>
          <w:spacing w:val="-44"/>
        </w:rPr>
        <w:t> </w:t>
      </w:r>
      <w:r>
        <w:rPr>
          <w:spacing w:val="-44"/>
        </w:rPr>
      </w:r>
      <w:r>
        <w:rPr/>
        <w:t>导地位。</w:t>
      </w:r>
    </w:p>
    <w:p>
      <w:pPr>
        <w:pStyle w:val="BodyText"/>
        <w:spacing w:line="393" w:lineRule="auto" w:before="87"/>
        <w:ind w:right="1126" w:firstLine="420"/>
        <w:jc w:val="both"/>
      </w:pPr>
      <w:r>
        <w:rPr>
          <w:spacing w:val="-2"/>
        </w:rPr>
        <w:t>通过成熟开放的合作方式和互惠共赢的利益分配机制，以及自身建立的企业声誉，公司与国际一、二</w:t>
      </w:r>
      <w:r>
        <w:rPr>
          <w:w w:val="100"/>
        </w:rPr>
        <w:t> </w:t>
      </w:r>
      <w:r>
        <w:rPr>
          <w:spacing w:val="-2"/>
        </w:rPr>
        <w:t>线品牌建立了长期而稳定的合作关系。公司国际品牌运营事业日趋强大，截至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日，公司已取</w:t>
      </w:r>
      <w:r>
        <w:rPr>
          <w:spacing w:val="-35"/>
        </w:rPr>
        <w:t> </w:t>
      </w:r>
      <w:r>
        <w:rPr>
          <w:spacing w:val="-35"/>
        </w:rPr>
      </w:r>
      <w:r>
        <w:rPr>
          <w:spacing w:val="-9"/>
          <w:w w:val="100"/>
        </w:rPr>
        <w:t>得</w:t>
      </w:r>
      <w:r>
        <w:rPr>
          <w:rFonts w:ascii="Times New Roman" w:hAnsi="Times New Roman" w:cs="Times New Roman" w:eastAsia="Times New Roman" w:hint="default"/>
          <w:spacing w:val="-9"/>
          <w:w w:val="100"/>
        </w:rPr>
        <w:t>Samsonite</w:t>
      </w:r>
      <w:r>
        <w:rPr>
          <w:spacing w:val="-9"/>
          <w:w w:val="100"/>
        </w:rPr>
        <w:t>、</w:t>
      </w:r>
      <w:r>
        <w:rPr>
          <w:rFonts w:ascii="Times New Roman" w:hAnsi="Times New Roman" w:cs="Times New Roman" w:eastAsia="Times New Roman" w:hint="default"/>
          <w:spacing w:val="-9"/>
          <w:w w:val="100"/>
        </w:rPr>
        <w:t>G</w:t>
      </w:r>
      <w:r>
        <w:rPr>
          <w:rFonts w:ascii="Times New Roman" w:hAnsi="Times New Roman" w:cs="Times New Roman" w:eastAsia="Times New Roman" w:hint="default"/>
          <w:w w:val="100"/>
        </w:rPr>
        <w:t> </w:t>
      </w:r>
      <w:r>
        <w:rPr>
          <w:rFonts w:ascii="Times New Roman" w:hAnsi="Times New Roman" w:cs="Times New Roman" w:eastAsia="Times New Roman" w:hint="default"/>
          <w:spacing w:val="-8"/>
          <w:w w:val="100"/>
        </w:rPr>
        <w:t>Givenchy</w:t>
      </w:r>
      <w:r>
        <w:rPr>
          <w:spacing w:val="-8"/>
          <w:w w:val="100"/>
        </w:rPr>
        <w:t>、</w:t>
      </w:r>
      <w:r>
        <w:rPr>
          <w:rFonts w:ascii="Times New Roman" w:hAnsi="Times New Roman" w:cs="Times New Roman" w:eastAsia="Times New Roman" w:hint="default"/>
          <w:spacing w:val="-8"/>
          <w:w w:val="100"/>
        </w:rPr>
        <w:t>VERSUS</w:t>
      </w:r>
      <w:r>
        <w:rPr>
          <w:rFonts w:ascii="Times New Roman" w:hAnsi="Times New Roman" w:cs="Times New Roman" w:eastAsia="Times New Roman" w:hint="default"/>
          <w:w w:val="100"/>
        </w:rPr>
        <w:t> </w:t>
      </w:r>
      <w:r>
        <w:rPr>
          <w:rFonts w:ascii="Times New Roman" w:hAnsi="Times New Roman" w:cs="Times New Roman" w:eastAsia="Times New Roman" w:hint="default"/>
          <w:spacing w:val="-13"/>
          <w:w w:val="100"/>
        </w:rPr>
        <w:t>VERSACE</w:t>
      </w:r>
      <w:r>
        <w:rPr>
          <w:spacing w:val="-13"/>
          <w:w w:val="100"/>
        </w:rPr>
        <w:t>、</w:t>
      </w:r>
      <w:r>
        <w:rPr>
          <w:rFonts w:ascii="Times New Roman" w:hAnsi="Times New Roman" w:cs="Times New Roman" w:eastAsia="Times New Roman" w:hint="default"/>
          <w:spacing w:val="-13"/>
          <w:w w:val="100"/>
        </w:rPr>
        <w:t>PAUL&amp;SHARK</w:t>
      </w:r>
      <w:r>
        <w:rPr>
          <w:spacing w:val="-13"/>
          <w:w w:val="100"/>
        </w:rPr>
        <w:t>、</w:t>
      </w:r>
      <w:r>
        <w:rPr>
          <w:rFonts w:ascii="Times New Roman" w:hAnsi="Times New Roman" w:cs="Times New Roman" w:eastAsia="Times New Roman" w:hint="default"/>
          <w:spacing w:val="-13"/>
          <w:w w:val="100"/>
        </w:rPr>
        <w:t>VALENTINO</w:t>
      </w:r>
      <w:r>
        <w:rPr>
          <w:spacing w:val="-13"/>
          <w:w w:val="100"/>
        </w:rPr>
        <w:t>、</w:t>
      </w:r>
      <w:r>
        <w:rPr>
          <w:rFonts w:ascii="Times New Roman" w:hAnsi="Times New Roman" w:cs="Times New Roman" w:eastAsia="Times New Roman" w:hint="default"/>
          <w:spacing w:val="-13"/>
          <w:w w:val="100"/>
        </w:rPr>
        <w:t>GUCCI</w:t>
      </w:r>
      <w:r>
        <w:rPr>
          <w:spacing w:val="-13"/>
          <w:w w:val="100"/>
        </w:rPr>
        <w:t>、</w:t>
      </w:r>
      <w:r>
        <w:rPr>
          <w:rFonts w:ascii="Times New Roman" w:hAnsi="Times New Roman" w:cs="Times New Roman" w:eastAsia="Times New Roman" w:hint="default"/>
          <w:spacing w:val="-13"/>
          <w:w w:val="100"/>
        </w:rPr>
        <w:t>Yves</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Saint</w:t>
      </w:r>
      <w:r>
        <w:rPr>
          <w:rFonts w:ascii="Times New Roman" w:hAnsi="Times New Roman" w:cs="Times New Roman" w:eastAsia="Times New Roman" w:hint="default"/>
          <w:spacing w:val="-5"/>
          <w:w w:val="100"/>
        </w:rPr>
        <w:t> </w:t>
      </w:r>
      <w:r>
        <w:rPr>
          <w:rFonts w:ascii="Times New Roman" w:hAnsi="Times New Roman" w:cs="Times New Roman" w:eastAsia="Times New Roman" w:hint="default"/>
          <w:spacing w:val="-1"/>
          <w:w w:val="100"/>
        </w:rPr>
        <w:t>Laurent</w:t>
      </w:r>
      <w:r>
        <w:rPr>
          <w:spacing w:val="-1"/>
          <w:w w:val="100"/>
        </w:rPr>
        <w:t>、</w:t>
      </w:r>
      <w:r>
        <w:rPr>
          <w:w w:val="100"/>
        </w:rPr>
        <w:t> </w:t>
      </w:r>
      <w:r>
        <w:rPr>
          <w:rFonts w:ascii="Times New Roman" w:hAnsi="Times New Roman" w:cs="Times New Roman" w:eastAsia="Times New Roman" w:hint="default"/>
          <w:spacing w:val="-14"/>
          <w:w w:val="100"/>
        </w:rPr>
        <w:t>Kenzo</w:t>
      </w:r>
      <w:r>
        <w:rPr>
          <w:spacing w:val="-14"/>
          <w:w w:val="100"/>
        </w:rPr>
        <w:t>、</w:t>
      </w:r>
      <w:r>
        <w:rPr>
          <w:rFonts w:ascii="Times New Roman" w:hAnsi="Times New Roman" w:cs="Times New Roman" w:eastAsia="Times New Roman" w:hint="default"/>
          <w:spacing w:val="-14"/>
          <w:w w:val="100"/>
        </w:rPr>
        <w:t>LANVIN</w:t>
      </w:r>
      <w:r>
        <w:rPr>
          <w:spacing w:val="-14"/>
          <w:w w:val="100"/>
        </w:rPr>
        <w:t>、</w:t>
      </w:r>
      <w:r>
        <w:rPr>
          <w:rFonts w:ascii="Times New Roman" w:hAnsi="Times New Roman" w:cs="Times New Roman" w:eastAsia="Times New Roman" w:hint="default"/>
          <w:spacing w:val="-14"/>
          <w:w w:val="100"/>
        </w:rPr>
        <w:t>MSGM</w:t>
      </w:r>
      <w:r>
        <w:rPr>
          <w:spacing w:val="-14"/>
          <w:w w:val="100"/>
        </w:rPr>
        <w:t>、</w:t>
      </w:r>
      <w:r>
        <w:rPr>
          <w:rFonts w:ascii="Times New Roman" w:hAnsi="Times New Roman" w:cs="Times New Roman" w:eastAsia="Times New Roman" w:hint="default"/>
          <w:spacing w:val="-14"/>
          <w:w w:val="100"/>
        </w:rPr>
        <w:t>RICK</w:t>
      </w:r>
      <w:r>
        <w:rPr>
          <w:rFonts w:ascii="Times New Roman" w:hAnsi="Times New Roman" w:cs="Times New Roman" w:eastAsia="Times New Roman" w:hint="default"/>
          <w:w w:val="100"/>
        </w:rPr>
        <w:t> </w:t>
      </w:r>
      <w:r>
        <w:rPr>
          <w:rFonts w:ascii="Times New Roman" w:hAnsi="Times New Roman" w:cs="Times New Roman" w:eastAsia="Times New Roman" w:hint="default"/>
          <w:spacing w:val="-13"/>
          <w:w w:val="100"/>
        </w:rPr>
        <w:t>OWENS</w:t>
      </w:r>
      <w:r>
        <w:rPr>
          <w:spacing w:val="-13"/>
          <w:w w:val="100"/>
        </w:rPr>
        <w:t>、</w:t>
      </w:r>
      <w:r>
        <w:rPr>
          <w:rFonts w:ascii="Times New Roman" w:hAnsi="Times New Roman" w:cs="Times New Roman" w:eastAsia="Times New Roman" w:hint="default"/>
          <w:spacing w:val="-13"/>
          <w:w w:val="100"/>
        </w:rPr>
        <w:t>OFF-WHITE</w:t>
      </w:r>
      <w:r>
        <w:rPr>
          <w:spacing w:val="-13"/>
          <w:w w:val="100"/>
        </w:rPr>
        <w:t>、</w:t>
      </w:r>
      <w:r>
        <w:rPr>
          <w:rFonts w:ascii="Times New Roman" w:hAnsi="Times New Roman" w:cs="Times New Roman" w:eastAsia="Times New Roman" w:hint="default"/>
          <w:spacing w:val="-13"/>
          <w:w w:val="100"/>
        </w:rPr>
        <w:t>SIEG</w:t>
      </w:r>
      <w:r>
        <w:rPr>
          <w:spacing w:val="-13"/>
          <w:w w:val="100"/>
        </w:rPr>
        <w:t>、</w:t>
      </w:r>
      <w:r>
        <w:rPr>
          <w:rFonts w:ascii="Times New Roman" w:hAnsi="Times New Roman" w:cs="Times New Roman" w:eastAsia="Times New Roman" w:hint="default"/>
          <w:spacing w:val="-13"/>
          <w:w w:val="100"/>
        </w:rPr>
        <w:t>ICEBERG</w:t>
      </w:r>
      <w:r>
        <w:rPr>
          <w:spacing w:val="-13"/>
          <w:w w:val="100"/>
        </w:rPr>
        <w:t>、</w:t>
      </w:r>
      <w:r>
        <w:rPr>
          <w:rFonts w:ascii="Times New Roman" w:hAnsi="Times New Roman" w:cs="Times New Roman" w:eastAsia="Times New Roman" w:hint="default"/>
          <w:spacing w:val="-13"/>
          <w:w w:val="100"/>
        </w:rPr>
        <w:t>MARC</w:t>
      </w:r>
      <w:r>
        <w:rPr>
          <w:rFonts w:ascii="Times New Roman" w:hAnsi="Times New Roman" w:cs="Times New Roman" w:eastAsia="Times New Roman" w:hint="default"/>
          <w:spacing w:val="22"/>
          <w:w w:val="100"/>
        </w:rPr>
        <w:t> </w:t>
      </w:r>
      <w:r>
        <w:rPr>
          <w:rFonts w:ascii="Times New Roman" w:hAnsi="Times New Roman" w:cs="Times New Roman" w:eastAsia="Times New Roman" w:hint="default"/>
          <w:spacing w:val="-7"/>
          <w:w w:val="100"/>
        </w:rPr>
        <w:t>JACOBS</w:t>
      </w:r>
      <w:r>
        <w:rPr>
          <w:spacing w:val="-7"/>
          <w:w w:val="100"/>
        </w:rPr>
        <w:t>、</w:t>
      </w:r>
      <w:r>
        <w:rPr>
          <w:rFonts w:ascii="Times New Roman" w:hAnsi="Times New Roman" w:cs="Times New Roman" w:eastAsia="Times New Roman" w:hint="default"/>
          <w:spacing w:val="-7"/>
          <w:w w:val="100"/>
        </w:rPr>
        <w:t>DSQUARED2</w:t>
      </w:r>
      <w:r>
        <w:rPr>
          <w:spacing w:val="-7"/>
          <w:w w:val="100"/>
        </w:rPr>
        <w:t>、</w:t>
      </w:r>
    </w:p>
    <w:p>
      <w:pPr>
        <w:pStyle w:val="BodyText"/>
        <w:spacing w:line="386" w:lineRule="auto" w:before="28"/>
        <w:ind w:right="1127"/>
        <w:jc w:val="both"/>
      </w:pPr>
      <w:r>
        <w:rPr>
          <w:rFonts w:ascii="Times New Roman" w:hAnsi="Times New Roman" w:cs="Times New Roman" w:eastAsia="Times New Roman" w:hint="default"/>
        </w:rPr>
        <w:t>Just </w:t>
      </w:r>
      <w:r>
        <w:rPr>
          <w:rFonts w:ascii="Times New Roman" w:hAnsi="Times New Roman" w:cs="Times New Roman" w:eastAsia="Times New Roman" w:hint="default"/>
          <w:spacing w:val="-4"/>
        </w:rPr>
        <w:t>cavalli</w:t>
      </w:r>
      <w:r>
        <w:rPr>
          <w:spacing w:val="-4"/>
        </w:rPr>
        <w:t>及香化品牌</w:t>
      </w:r>
      <w:r>
        <w:rPr>
          <w:rFonts w:ascii="Times New Roman" w:hAnsi="Times New Roman" w:cs="Times New Roman" w:eastAsia="Times New Roman" w:hint="default"/>
          <w:spacing w:val="-4"/>
        </w:rPr>
        <w:t>Burberry</w:t>
      </w:r>
      <w:r>
        <w:rPr>
          <w:spacing w:val="-4"/>
        </w:rPr>
        <w:t>、</w:t>
      </w:r>
      <w:r>
        <w:rPr>
          <w:rFonts w:ascii="Times New Roman" w:hAnsi="Times New Roman" w:cs="Times New Roman" w:eastAsia="Times New Roman" w:hint="default"/>
          <w:spacing w:val="-4"/>
        </w:rPr>
        <w:t>GIORGIO </w:t>
      </w:r>
      <w:r>
        <w:rPr>
          <w:rFonts w:ascii="Times New Roman" w:hAnsi="Times New Roman" w:cs="Times New Roman" w:eastAsia="Times New Roman" w:hint="default"/>
          <w:spacing w:val="-7"/>
        </w:rPr>
        <w:t>ARMANI</w:t>
      </w:r>
      <w:r>
        <w:rPr>
          <w:spacing w:val="-7"/>
        </w:rPr>
        <w:t>、</w:t>
      </w:r>
      <w:r>
        <w:rPr>
          <w:rFonts w:ascii="Times New Roman" w:hAnsi="Times New Roman" w:cs="Times New Roman" w:eastAsia="Times New Roman" w:hint="default"/>
          <w:spacing w:val="-7"/>
        </w:rPr>
        <w:t>Estee </w:t>
      </w:r>
      <w:r>
        <w:rPr>
          <w:rFonts w:ascii="Times New Roman" w:hAnsi="Times New Roman" w:cs="Times New Roman" w:eastAsia="Times New Roman" w:hint="default"/>
          <w:spacing w:val="-10"/>
        </w:rPr>
        <w:t>Lauder</w:t>
      </w:r>
      <w:r>
        <w:rPr>
          <w:spacing w:val="-10"/>
        </w:rPr>
        <w:t>、</w:t>
      </w:r>
      <w:r>
        <w:rPr>
          <w:rFonts w:ascii="Times New Roman" w:hAnsi="Times New Roman" w:cs="Times New Roman" w:eastAsia="Times New Roman" w:hint="default"/>
          <w:spacing w:val="-10"/>
        </w:rPr>
        <w:t>LANCOME</w:t>
      </w:r>
      <w:r>
        <w:rPr>
          <w:spacing w:val="-10"/>
        </w:rPr>
        <w:t>、</w:t>
      </w:r>
      <w:r>
        <w:rPr>
          <w:rFonts w:ascii="Times New Roman" w:hAnsi="Times New Roman" w:cs="Times New Roman" w:eastAsia="Times New Roman" w:hint="default"/>
          <w:spacing w:val="-10"/>
        </w:rPr>
        <w:t>SHISEIDO</w:t>
      </w:r>
      <w:r>
        <w:rPr>
          <w:spacing w:val="-10"/>
        </w:rPr>
        <w:t>、</w:t>
      </w:r>
      <w:r>
        <w:rPr>
          <w:rFonts w:ascii="Times New Roman" w:hAnsi="Times New Roman" w:cs="Times New Roman" w:eastAsia="Times New Roman" w:hint="default"/>
          <w:spacing w:val="-10"/>
        </w:rPr>
        <w:t>SK-</w:t>
      </w:r>
      <w:r>
        <w:rPr>
          <w:spacing w:val="-10"/>
        </w:rPr>
        <w:t>Ⅱ、</w:t>
      </w:r>
      <w:r>
        <w:rPr>
          <w:rFonts w:ascii="Times New Roman" w:hAnsi="Times New Roman" w:cs="Times New Roman" w:eastAsia="Times New Roman" w:hint="default"/>
          <w:spacing w:val="-10"/>
        </w:rPr>
        <w:t>YSL</w:t>
      </w:r>
      <w:r>
        <w:rPr>
          <w:spacing w:val="-10"/>
        </w:rPr>
        <w:t>、</w:t>
      </w:r>
      <w:r>
        <w:rPr>
          <w:spacing w:val="-55"/>
        </w:rPr>
        <w:t> </w:t>
      </w:r>
      <w:r>
        <w:rPr>
          <w:rFonts w:ascii="Times New Roman" w:hAnsi="Times New Roman" w:cs="Times New Roman" w:eastAsia="Times New Roman" w:hint="default"/>
          <w:spacing w:val="8"/>
        </w:rPr>
        <w:t>HR</w:t>
      </w:r>
      <w:r>
        <w:rPr>
          <w:spacing w:val="8"/>
        </w:rPr>
        <w:t>、</w:t>
      </w:r>
      <w:r>
        <w:rPr>
          <w:spacing w:val="-77"/>
        </w:rPr>
        <w:t> </w:t>
      </w:r>
      <w:r>
        <w:rPr>
          <w:rFonts w:ascii="Times New Roman" w:hAnsi="Times New Roman" w:cs="Times New Roman" w:eastAsia="Times New Roman" w:hint="default"/>
        </w:rPr>
        <w:t>HUGO</w:t>
      </w:r>
      <w:r>
        <w:rPr>
          <w:rFonts w:ascii="Times New Roman" w:hAnsi="Times New Roman" w:cs="Times New Roman" w:eastAsia="Times New Roman" w:hint="default"/>
          <w:spacing w:val="34"/>
        </w:rPr>
        <w:t> </w:t>
      </w:r>
      <w:r>
        <w:rPr>
          <w:rFonts w:ascii="Times New Roman" w:hAnsi="Times New Roman" w:cs="Times New Roman" w:eastAsia="Times New Roman" w:hint="default"/>
        </w:rPr>
        <w:t>BOSS</w:t>
      </w:r>
      <w:r>
        <w:rPr>
          <w:rFonts w:ascii="Times New Roman" w:hAnsi="Times New Roman" w:cs="Times New Roman" w:eastAsia="Times New Roman" w:hint="default"/>
          <w:spacing w:val="-24"/>
        </w:rPr>
        <w:t> </w:t>
      </w:r>
      <w:r>
        <w:rPr/>
        <w:t>、</w:t>
      </w:r>
      <w:r>
        <w:rPr>
          <w:spacing w:val="-77"/>
        </w:rPr>
        <w:t> </w:t>
      </w:r>
      <w:r>
        <w:rPr>
          <w:rFonts w:ascii="Times New Roman" w:hAnsi="Times New Roman" w:cs="Times New Roman" w:eastAsia="Times New Roman" w:hint="default"/>
        </w:rPr>
        <w:t>MEDIHEAL</w:t>
      </w:r>
      <w:r>
        <w:rPr/>
        <w:t>等</w:t>
      </w:r>
      <w:r>
        <w:rPr>
          <w:spacing w:val="-77"/>
        </w:rPr>
        <w:t> </w:t>
      </w:r>
      <w:r>
        <w:rPr/>
        <w:t>国</w:t>
      </w:r>
      <w:r>
        <w:rPr>
          <w:spacing w:val="-77"/>
        </w:rPr>
        <w:t> </w:t>
      </w:r>
      <w:r>
        <w:rPr/>
        <w:t>际</w:t>
      </w:r>
      <w:r>
        <w:rPr>
          <w:spacing w:val="-77"/>
        </w:rPr>
        <w:t> </w:t>
      </w:r>
      <w:r>
        <w:rPr/>
        <w:t>品</w:t>
      </w:r>
      <w:r>
        <w:rPr>
          <w:spacing w:val="-77"/>
        </w:rPr>
        <w:t> </w:t>
      </w:r>
      <w:r>
        <w:rPr/>
        <w:t>牌</w:t>
      </w:r>
      <w:r>
        <w:rPr>
          <w:spacing w:val="-77"/>
        </w:rPr>
        <w:t> </w:t>
      </w:r>
      <w:r>
        <w:rPr>
          <w:spacing w:val="11"/>
        </w:rPr>
        <w:t>的授</w:t>
      </w:r>
      <w:r>
        <w:rPr>
          <w:spacing w:val="-77"/>
        </w:rPr>
        <w:t> </w:t>
      </w:r>
      <w:r>
        <w:rPr/>
        <w:t>权</w:t>
      </w:r>
      <w:r>
        <w:rPr>
          <w:spacing w:val="-77"/>
        </w:rPr>
        <w:t> </w:t>
      </w:r>
      <w:r>
        <w:rPr/>
        <w:t>。</w:t>
      </w:r>
      <w:r>
        <w:rPr>
          <w:spacing w:val="-77"/>
        </w:rPr>
        <w:t> </w:t>
      </w:r>
      <w:r>
        <w:rPr>
          <w:spacing w:val="11"/>
        </w:rPr>
        <w:t>同时</w:t>
      </w:r>
      <w:r>
        <w:rPr>
          <w:spacing w:val="-77"/>
        </w:rPr>
        <w:t> </w:t>
      </w:r>
      <w:r>
        <w:rPr/>
        <w:t>，</w:t>
      </w:r>
      <w:r>
        <w:rPr>
          <w:spacing w:val="-77"/>
        </w:rPr>
        <w:t> </w:t>
      </w:r>
      <w:r>
        <w:rPr>
          <w:spacing w:val="11"/>
        </w:rPr>
        <w:t>公司</w:t>
      </w:r>
      <w:r>
        <w:rPr>
          <w:spacing w:val="-77"/>
        </w:rPr>
        <w:t> </w:t>
      </w:r>
      <w:r>
        <w:rPr/>
        <w:t>已</w:t>
      </w:r>
      <w:r>
        <w:rPr>
          <w:spacing w:val="-77"/>
        </w:rPr>
        <w:t> </w:t>
      </w:r>
      <w:r>
        <w:rPr>
          <w:spacing w:val="11"/>
        </w:rPr>
        <w:t>对跨</w:t>
      </w:r>
      <w:r>
        <w:rPr>
          <w:spacing w:val="-77"/>
        </w:rPr>
        <w:t> </w:t>
      </w:r>
      <w:r>
        <w:rPr/>
        <w:t>境</w:t>
      </w:r>
      <w:r>
        <w:rPr>
          <w:spacing w:val="-77"/>
        </w:rPr>
        <w:t> </w:t>
      </w:r>
      <w:r>
        <w:rPr/>
        <w:t>并</w:t>
      </w:r>
      <w:r>
        <w:rPr>
          <w:spacing w:val="-77"/>
        </w:rPr>
        <w:t> </w:t>
      </w:r>
      <w:r>
        <w:rPr>
          <w:spacing w:val="11"/>
        </w:rPr>
        <w:t>购的</w:t>
      </w:r>
      <w:r>
        <w:rPr>
          <w:spacing w:val="-77"/>
        </w:rPr>
        <w:t> </w:t>
      </w:r>
      <w:r>
        <w:rPr/>
        <w:t>国</w:t>
      </w:r>
      <w:r>
        <w:rPr>
          <w:spacing w:val="-77"/>
        </w:rPr>
        <w:t> </w:t>
      </w:r>
      <w:r>
        <w:rPr>
          <w:spacing w:val="11"/>
        </w:rPr>
        <w:t>际品</w:t>
      </w:r>
      <w:r>
        <w:rPr>
          <w:spacing w:val="-77"/>
        </w:rPr>
        <w:t> </w:t>
      </w:r>
      <w:r>
        <w:rPr/>
        <w:t>牌</w:t>
      </w:r>
      <w:r>
        <w:rPr>
          <w:spacing w:val="-73"/>
        </w:rPr>
        <w:t> </w:t>
      </w:r>
      <w:r>
        <w:rPr>
          <w:rFonts w:ascii="Times New Roman" w:hAnsi="Times New Roman" w:cs="Times New Roman" w:eastAsia="Times New Roman" w:hint="default"/>
        </w:rPr>
        <w:t>DIRK</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rFonts w:ascii="Times New Roman" w:hAnsi="Times New Roman" w:cs="Times New Roman" w:eastAsia="Times New Roman" w:hint="default"/>
          <w:spacing w:val="-2"/>
        </w:rPr>
        <w:t>BIKKEMBERGS</w:t>
      </w:r>
      <w:r>
        <w:rPr>
          <w:spacing w:val="-2"/>
        </w:rPr>
        <w:t>进行了充分整合，后续有望借助</w:t>
      </w:r>
      <w:r>
        <w:rPr>
          <w:rFonts w:ascii="Times New Roman" w:hAnsi="Times New Roman" w:cs="Times New Roman" w:eastAsia="Times New Roman" w:hint="default"/>
          <w:spacing w:val="-2"/>
        </w:rPr>
        <w:t>DIRK</w:t>
      </w:r>
      <w:r>
        <w:rPr>
          <w:rFonts w:ascii="Times New Roman" w:hAnsi="Times New Roman" w:cs="Times New Roman" w:eastAsia="Times New Roman" w:hint="default"/>
        </w:rPr>
        <w:t> </w:t>
      </w:r>
      <w:r>
        <w:rPr>
          <w:rFonts w:ascii="Times New Roman" w:hAnsi="Times New Roman" w:cs="Times New Roman" w:eastAsia="Times New Roman" w:hint="default"/>
          <w:spacing w:val="-2"/>
        </w:rPr>
        <w:t>BIKKEMBERGS</w:t>
      </w:r>
      <w:r>
        <w:rPr>
          <w:spacing w:val="-2"/>
        </w:rPr>
        <w:t>实现环球销售、提高公司的世界知</w:t>
      </w:r>
      <w:r>
        <w:rPr>
          <w:spacing w:val="-94"/>
        </w:rPr>
        <w:t> </w:t>
      </w:r>
      <w:r>
        <w:rPr>
          <w:spacing w:val="-94"/>
        </w:rPr>
      </w:r>
      <w:r>
        <w:rPr>
          <w:spacing w:val="-2"/>
        </w:rPr>
        <w:t>名度，同时</w:t>
      </w:r>
      <w:r>
        <w:rPr>
          <w:rFonts w:ascii="Times New Roman" w:hAnsi="Times New Roman" w:cs="Times New Roman" w:eastAsia="Times New Roman" w:hint="default"/>
          <w:spacing w:val="-2"/>
        </w:rPr>
        <w:t>DIRK</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
        </w:rPr>
        <w:t>BIKKEMBERGS</w:t>
      </w:r>
      <w:r>
        <w:rPr>
          <w:spacing w:val="-2"/>
        </w:rPr>
        <w:t>亦能弥补公司在国内运动时尚鞋服领域的产品空白。</w:t>
      </w:r>
    </w:p>
    <w:p>
      <w:pPr>
        <w:spacing w:line="444" w:lineRule="auto" w:before="74"/>
        <w:ind w:left="533" w:right="0" w:hanging="104"/>
        <w:jc w:val="left"/>
        <w:rPr>
          <w:rFonts w:ascii="宋体" w:hAnsi="宋体" w:cs="宋体" w:eastAsia="宋体" w:hint="default"/>
          <w:sz w:val="21"/>
          <w:szCs w:val="21"/>
        </w:rPr>
      </w:pPr>
      <w:r>
        <w:rPr>
          <w:rFonts w:ascii="宋体" w:hAnsi="宋体" w:cs="宋体" w:eastAsia="宋体" w:hint="default"/>
          <w:b/>
          <w:bCs/>
          <w:sz w:val="21"/>
          <w:szCs w:val="21"/>
        </w:rPr>
        <w:t>（二）终端门店展示、体验及信用担保力优势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公司运营的全球时尚品牌终端门店已完整覆盖一线、二线城市高端核心零售商圈以及枢纽机场。公司</w:t>
      </w:r>
    </w:p>
    <w:p>
      <w:pPr>
        <w:pStyle w:val="BodyText"/>
        <w:spacing w:line="400" w:lineRule="auto" w:before="14"/>
        <w:ind w:right="1126"/>
        <w:jc w:val="both"/>
      </w:pPr>
      <w:r>
        <w:rPr>
          <w:spacing w:val="-2"/>
        </w:rPr>
        <w:t>与包括广州天环、杭州万象城、沈阳卓展、南京金鹰、王府井百货、新世界百货、湖南友谊阿波罗、澳门</w:t>
      </w:r>
      <w:r>
        <w:rPr>
          <w:spacing w:val="-48"/>
        </w:rPr>
        <w:t> </w:t>
      </w:r>
      <w:r>
        <w:rPr>
          <w:spacing w:val="-48"/>
        </w:rPr>
      </w:r>
      <w:r>
        <w:rPr>
          <w:spacing w:val="-2"/>
        </w:rPr>
        <w:t>金沙城中心、澳门威尼斯人等在内的标志性高端连锁百货或高端购物中心建立了长期稳定的合作关系。截</w:t>
      </w:r>
      <w:r>
        <w:rPr>
          <w:spacing w:val="-44"/>
        </w:rPr>
        <w:t> </w:t>
      </w:r>
      <w:r>
        <w:rPr>
          <w:spacing w:val="-44"/>
        </w:rPr>
      </w:r>
      <w:r>
        <w:rPr>
          <w:spacing w:val="-5"/>
        </w:rPr>
        <w:t>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日，公司门店总数为</w:t>
      </w:r>
      <w:r>
        <w:rPr>
          <w:rFonts w:ascii="Times New Roman" w:hAnsi="Times New Roman" w:cs="Times New Roman" w:eastAsia="Times New Roman" w:hint="default"/>
          <w:spacing w:val="-5"/>
        </w:rPr>
        <w:t>293</w:t>
      </w:r>
      <w:r>
        <w:rPr>
          <w:spacing w:val="-5"/>
        </w:rPr>
        <w:t>家，直营店为</w:t>
      </w:r>
      <w:r>
        <w:rPr>
          <w:rFonts w:ascii="Times New Roman" w:hAnsi="Times New Roman" w:cs="Times New Roman" w:eastAsia="Times New Roman" w:hint="default"/>
          <w:spacing w:val="-5"/>
        </w:rPr>
        <w:t>202</w:t>
      </w:r>
      <w:r>
        <w:rPr>
          <w:spacing w:val="-5"/>
        </w:rPr>
        <w:t>家，加盟店为</w:t>
      </w:r>
      <w:r>
        <w:rPr>
          <w:rFonts w:ascii="Times New Roman" w:hAnsi="Times New Roman" w:cs="Times New Roman" w:eastAsia="Times New Roman" w:hint="default"/>
          <w:spacing w:val="-5"/>
        </w:rPr>
        <w:t>91</w:t>
      </w:r>
      <w:r>
        <w:rPr>
          <w:spacing w:val="-5"/>
        </w:rPr>
        <w:t>家；其中，</w:t>
      </w:r>
      <w:r>
        <w:rPr>
          <w:rFonts w:ascii="Times New Roman" w:hAnsi="Times New Roman" w:cs="Times New Roman" w:eastAsia="Times New Roman" w:hint="default"/>
          <w:spacing w:val="-5"/>
        </w:rPr>
        <w:t>CANUDILO</w:t>
      </w:r>
      <w:r>
        <w:rPr>
          <w:spacing w:val="-5"/>
        </w:rPr>
        <w:t>品牌店</w:t>
      </w:r>
      <w:r>
        <w:rPr>
          <w:rFonts w:ascii="Times New Roman" w:hAnsi="Times New Roman" w:cs="Times New Roman" w:eastAsia="Times New Roman" w:hint="default"/>
          <w:spacing w:val="-5"/>
        </w:rPr>
        <w:t>230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家，</w:t>
      </w:r>
      <w:r>
        <w:rPr>
          <w:rFonts w:ascii="Times New Roman" w:hAnsi="Times New Roman" w:cs="Times New Roman" w:eastAsia="Times New Roman" w:hint="default"/>
          <w:spacing w:val="-2"/>
        </w:rPr>
        <w:t>DIRK</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2"/>
        </w:rPr>
        <w:t>BIKKEMBERGS</w:t>
      </w:r>
      <w:r>
        <w:rPr>
          <w:spacing w:val="-2"/>
        </w:rPr>
        <w:t>品牌店</w:t>
      </w:r>
      <w:r>
        <w:rPr>
          <w:rFonts w:ascii="Times New Roman" w:hAnsi="Times New Roman" w:cs="Times New Roman" w:eastAsia="Times New Roman" w:hint="default"/>
          <w:spacing w:val="-2"/>
        </w:rPr>
        <w:t>5</w:t>
      </w:r>
      <w:r>
        <w:rPr>
          <w:spacing w:val="-2"/>
        </w:rPr>
        <w:t>家，国际代理品牌店</w:t>
      </w:r>
      <w:r>
        <w:rPr>
          <w:rFonts w:ascii="Times New Roman" w:hAnsi="Times New Roman" w:cs="Times New Roman" w:eastAsia="Times New Roman" w:hint="default"/>
          <w:spacing w:val="-2"/>
        </w:rPr>
        <w:t>58</w:t>
      </w:r>
      <w:r>
        <w:rPr>
          <w:spacing w:val="-2"/>
        </w:rPr>
        <w:t>家。</w:t>
      </w:r>
    </w:p>
    <w:p>
      <w:pPr>
        <w:pStyle w:val="BodyText"/>
        <w:spacing w:line="408" w:lineRule="auto" w:before="62"/>
        <w:ind w:right="1126" w:firstLine="420"/>
        <w:jc w:val="both"/>
      </w:pPr>
      <w:r>
        <w:rPr>
          <w:spacing w:val="-2"/>
        </w:rPr>
        <w:t>这些位于重要位置的终端门店，除了构成摩登大道旗下各品牌的销售渠道，也提供给消费者、合作伙</w:t>
      </w:r>
      <w:r>
        <w:rPr>
          <w:w w:val="100"/>
        </w:rPr>
        <w:t> </w:t>
      </w:r>
      <w:r>
        <w:rPr>
          <w:spacing w:val="-2"/>
        </w:rPr>
        <w:t>伴一个强有力的终端形象展示和体验空间。同时，基于这些高质量的实体终端，摩登大道也提供了对上下</w:t>
      </w:r>
      <w:r>
        <w:rPr>
          <w:spacing w:val="-43"/>
        </w:rPr>
        <w:t> </w:t>
      </w:r>
      <w:r>
        <w:rPr>
          <w:spacing w:val="-43"/>
        </w:rPr>
      </w:r>
      <w:r>
        <w:rPr/>
        <w:t>游的信用担保力，良性地促进了业务的发展。</w:t>
      </w:r>
    </w:p>
    <w:p>
      <w:pPr>
        <w:spacing w:line="444" w:lineRule="auto" w:before="84"/>
        <w:ind w:left="533" w:right="0" w:hanging="104"/>
        <w:jc w:val="left"/>
        <w:rPr>
          <w:rFonts w:ascii="宋体" w:hAnsi="宋体" w:cs="宋体" w:eastAsia="宋体" w:hint="default"/>
          <w:sz w:val="21"/>
          <w:szCs w:val="21"/>
        </w:rPr>
      </w:pPr>
      <w:r>
        <w:rPr>
          <w:rFonts w:ascii="宋体" w:hAnsi="宋体" w:cs="宋体" w:eastAsia="宋体" w:hint="default"/>
          <w:b/>
          <w:bCs/>
          <w:sz w:val="21"/>
          <w:szCs w:val="21"/>
        </w:rPr>
        <w:t>（三）全渠道运营能力优势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公司将全渠道运营能力作为核心竞争力打造。在构建线上和线下融合的全渠道零售商的新商业模式下，</w:t>
      </w:r>
    </w:p>
    <w:p>
      <w:pPr>
        <w:pStyle w:val="BodyText"/>
        <w:spacing w:line="400" w:lineRule="auto" w:before="14"/>
        <w:ind w:right="1031"/>
        <w:jc w:val="both"/>
      </w:pPr>
      <w:r>
        <w:rPr>
          <w:spacing w:val="-5"/>
        </w:rPr>
        <w:t>公司拥有的终端实体门店、线上入驻的平台店铺、线上自建平台、优质的战略合作渠道和大量的</w:t>
      </w:r>
      <w:r>
        <w:rPr>
          <w:rFonts w:ascii="Times New Roman" w:hAnsi="Times New Roman" w:cs="Times New Roman" w:eastAsia="Times New Roman" w:hint="default"/>
          <w:spacing w:val="-5"/>
        </w:rPr>
        <w:t>VIP</w:t>
      </w:r>
      <w:r>
        <w:rPr>
          <w:spacing w:val="-5"/>
        </w:rPr>
        <w:t>客户，</w:t>
      </w:r>
      <w:r>
        <w:rPr>
          <w:spacing w:val="-30"/>
        </w:rPr>
        <w:t> </w:t>
      </w:r>
      <w:r>
        <w:rPr>
          <w:spacing w:val="-2"/>
        </w:rPr>
        <w:t>为全渠道营销、大数据采集分析提供了强有力的担保和支持。通过掌握和利用精准用户信息，公司可以根</w:t>
      </w:r>
      <w:r>
        <w:rPr>
          <w:spacing w:val="-45"/>
        </w:rPr>
        <w:t> </w:t>
      </w:r>
      <w:r>
        <w:rPr>
          <w:spacing w:val="-45"/>
        </w:rPr>
      </w:r>
      <w:r>
        <w:rPr>
          <w:spacing w:val="-2"/>
        </w:rPr>
        <w:t>据消费者的独特需求和偏好量身提供个性化的客户体验和服务；同时，伴随着持续良性运营而积累的用户</w:t>
      </w:r>
      <w:r>
        <w:rPr>
          <w:spacing w:val="-44"/>
        </w:rPr>
        <w:t> </w:t>
      </w:r>
      <w:r>
        <w:rPr>
          <w:spacing w:val="-44"/>
        </w:rPr>
      </w:r>
      <w:r>
        <w:rPr/>
        <w:t>信息、商品企划信息、交易数据、跨渠道协同经验，都将为摩登大道的全渠道运营持续提供正反馈支撑。</w:t>
      </w:r>
    </w:p>
    <w:p>
      <w:pPr>
        <w:spacing w:line="441" w:lineRule="auto" w:before="93"/>
        <w:ind w:left="533" w:right="0" w:hanging="104"/>
        <w:jc w:val="left"/>
        <w:rPr>
          <w:rFonts w:ascii="宋体" w:hAnsi="宋体" w:cs="宋体" w:eastAsia="宋体" w:hint="default"/>
          <w:sz w:val="21"/>
          <w:szCs w:val="21"/>
        </w:rPr>
      </w:pPr>
      <w:r>
        <w:rPr>
          <w:rFonts w:ascii="宋体" w:hAnsi="宋体" w:cs="宋体" w:eastAsia="宋体" w:hint="default"/>
          <w:b/>
          <w:bCs/>
          <w:sz w:val="21"/>
          <w:szCs w:val="21"/>
        </w:rPr>
        <w:t>（四）自有品牌经营优势</w:t>
      </w:r>
      <w:r>
        <w:rPr>
          <w:rFonts w:ascii="宋体" w:hAnsi="宋体" w:cs="宋体" w:eastAsia="宋体" w:hint="default"/>
          <w:b/>
          <w:bCs/>
          <w:w w:val="100"/>
          <w:sz w:val="21"/>
          <w:szCs w:val="21"/>
        </w:rPr>
        <w:t> </w:t>
      </w:r>
      <w:r>
        <w:rPr>
          <w:rFonts w:ascii="宋体" w:hAnsi="宋体" w:cs="宋体" w:eastAsia="宋体" w:hint="default"/>
          <w:sz w:val="21"/>
          <w:szCs w:val="21"/>
        </w:rPr>
        <w:t>卡奴迪路（</w:t>
      </w:r>
      <w:r>
        <w:rPr>
          <w:rFonts w:ascii="Times New Roman" w:hAnsi="Times New Roman" w:cs="Times New Roman" w:eastAsia="Times New Roman" w:hint="default"/>
          <w:sz w:val="21"/>
          <w:szCs w:val="21"/>
        </w:rPr>
        <w:t>CANUDILO</w:t>
      </w:r>
      <w:r>
        <w:rPr>
          <w:rFonts w:ascii="宋体" w:hAnsi="宋体" w:cs="宋体" w:eastAsia="宋体" w:hint="default"/>
          <w:sz w:val="21"/>
          <w:szCs w:val="21"/>
        </w:rPr>
        <w:t>）品牌已成为国内较具影响力和知名度的高级男装服饰品牌之一</w:t>
      </w:r>
      <w:r>
        <w:rPr>
          <w:rFonts w:ascii="Times New Roman" w:hAnsi="Times New Roman" w:cs="Times New Roman" w:eastAsia="Times New Roman" w:hint="default"/>
          <w:sz w:val="21"/>
          <w:szCs w:val="21"/>
        </w:rPr>
        <w:t>,</w:t>
      </w:r>
      <w:r>
        <w:rPr>
          <w:rFonts w:ascii="宋体" w:hAnsi="宋体" w:cs="宋体" w:eastAsia="宋体" w:hint="default"/>
          <w:sz w:val="21"/>
          <w:szCs w:val="21"/>
        </w:rPr>
        <w:t>是公司最核</w:t>
      </w:r>
    </w:p>
    <w:p>
      <w:pPr>
        <w:pStyle w:val="BodyText"/>
        <w:spacing w:line="273" w:lineRule="exact"/>
        <w:ind w:right="0"/>
        <w:jc w:val="both"/>
      </w:pPr>
      <w:r>
        <w:rPr>
          <w:spacing w:val="-7"/>
        </w:rPr>
        <w:t>心、最具价值的无形资产。目前，卡奴迪路（</w:t>
      </w:r>
      <w:r>
        <w:rPr>
          <w:rFonts w:ascii="Times New Roman" w:hAnsi="Times New Roman" w:cs="Times New Roman" w:eastAsia="Times New Roman" w:hint="default"/>
          <w:spacing w:val="-7"/>
        </w:rPr>
        <w:t>CANUDILO</w:t>
      </w:r>
      <w:r>
        <w:rPr>
          <w:spacing w:val="-7"/>
        </w:rPr>
        <w:t>）品牌在高级男装服饰行业内享有较高的认知度，</w:t>
      </w:r>
    </w:p>
    <w:p>
      <w:pPr>
        <w:spacing w:after="0" w:line="273" w:lineRule="exact"/>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right="1126"/>
        <w:jc w:val="left"/>
      </w:pPr>
      <w:r>
        <w:rPr>
          <w:rFonts w:ascii="Times New Roman" w:hAnsi="Times New Roman" w:cs="Times New Roman" w:eastAsia="Times New Roman" w:hint="default"/>
        </w:rPr>
        <w:t>CANUDILO H</w:t>
      </w:r>
      <w:r>
        <w:rPr>
          <w:rFonts w:ascii="Times New Roman" w:hAnsi="Times New Roman" w:cs="Times New Roman" w:eastAsia="Times New Roman" w:hint="default"/>
          <w:spacing w:val="6"/>
        </w:rPr>
        <w:t> </w:t>
      </w:r>
      <w:r>
        <w:rPr>
          <w:rFonts w:ascii="Times New Roman" w:hAnsi="Times New Roman" w:cs="Times New Roman" w:eastAsia="Times New Roman" w:hint="default"/>
        </w:rPr>
        <w:t>HOLIDAYS</w:t>
      </w:r>
      <w:r>
        <w:rPr/>
        <w:t>系列以国宝熊猫和中国文化为设计元素，产品创新，赢得了消费者的认可和青</w:t>
      </w:r>
      <w:r>
        <w:rPr>
          <w:w w:val="100"/>
        </w:rPr>
        <w:t> </w:t>
      </w:r>
      <w:r>
        <w:rPr/>
        <w:t>睐。</w:t>
      </w:r>
    </w:p>
    <w:p>
      <w:pPr>
        <w:pStyle w:val="BodyText"/>
        <w:spacing w:line="398" w:lineRule="auto" w:before="106"/>
        <w:ind w:right="1126" w:firstLine="420"/>
        <w:jc w:val="both"/>
      </w:pPr>
      <w:r>
        <w:rPr>
          <w:spacing w:val="-2"/>
        </w:rPr>
        <w:t>公司秉持国际高端品牌运营理念，凭借公司长期积累的品牌运营经验，致力于整合国际品牌资源、优</w:t>
      </w:r>
      <w:r>
        <w:rPr>
          <w:w w:val="100"/>
        </w:rPr>
        <w:t> </w:t>
      </w:r>
      <w:r>
        <w:rPr>
          <w:spacing w:val="-3"/>
        </w:rPr>
        <w:t>化营销渠道建设、加强终端控制等。公司管理层一直以来注重卡奴迪路（</w:t>
      </w:r>
      <w:r>
        <w:rPr>
          <w:rFonts w:ascii="Times New Roman" w:hAnsi="Times New Roman" w:cs="Times New Roman" w:eastAsia="Times New Roman" w:hint="default"/>
          <w:spacing w:val="-3"/>
        </w:rPr>
        <w:t>CANUDILO</w:t>
      </w:r>
      <w:r>
        <w:rPr>
          <w:spacing w:val="-3"/>
        </w:rPr>
        <w:t>）品牌的研发创新和</w:t>
      </w:r>
      <w:r>
        <w:rPr>
          <w:spacing w:val="-44"/>
        </w:rPr>
        <w:t> </w:t>
      </w:r>
      <w:r>
        <w:rPr>
          <w:spacing w:val="-44"/>
        </w:rPr>
      </w:r>
      <w:r>
        <w:rPr>
          <w:spacing w:val="-3"/>
        </w:rPr>
        <w:t>标准化经营，不断巩固和提升卡奴迪路（</w:t>
      </w:r>
      <w:r>
        <w:rPr>
          <w:rFonts w:ascii="Times New Roman" w:hAnsi="Times New Roman" w:cs="Times New Roman" w:eastAsia="Times New Roman" w:hint="default"/>
          <w:spacing w:val="-3"/>
        </w:rPr>
        <w:t>CANUDILO</w:t>
      </w:r>
      <w:r>
        <w:rPr>
          <w:spacing w:val="-3"/>
        </w:rPr>
        <w:t>）品牌的美誉度和知名度，引领高级男装市场的时尚</w:t>
      </w:r>
      <w:r>
        <w:rPr>
          <w:spacing w:val="-44"/>
        </w:rPr>
        <w:t> </w:t>
      </w:r>
      <w:r>
        <w:rPr>
          <w:spacing w:val="-44"/>
        </w:rPr>
      </w:r>
      <w:r>
        <w:rPr>
          <w:spacing w:val="-2"/>
        </w:rPr>
        <w:t>和潮流，达到艺术性和商业性的良好结合。卡奴迪路品牌的运营能力能够保持业内领先，为公司及品牌自</w:t>
      </w:r>
      <w:r>
        <w:rPr>
          <w:spacing w:val="-43"/>
        </w:rPr>
        <w:t> </w:t>
      </w:r>
      <w:r>
        <w:rPr>
          <w:spacing w:val="-43"/>
        </w:rPr>
      </w:r>
      <w:r>
        <w:rPr/>
        <w:t>身的可持续发展提供了充足的源动力。</w:t>
      </w:r>
    </w:p>
    <w:p>
      <w:pPr>
        <w:pStyle w:val="BodyText"/>
        <w:spacing w:line="386" w:lineRule="auto" w:before="93"/>
        <w:ind w:right="1128" w:firstLine="420"/>
        <w:jc w:val="both"/>
      </w:pPr>
      <w:r>
        <w:rPr>
          <w:spacing w:val="-3"/>
        </w:rPr>
        <w:t>在卡奴迪路（</w:t>
      </w:r>
      <w:r>
        <w:rPr>
          <w:rFonts w:ascii="Times New Roman" w:hAnsi="Times New Roman" w:cs="Times New Roman" w:eastAsia="Times New Roman" w:hint="default"/>
          <w:spacing w:val="-3"/>
        </w:rPr>
        <w:t>CANUDILO</w:t>
      </w:r>
      <w:r>
        <w:rPr>
          <w:spacing w:val="-3"/>
        </w:rPr>
        <w:t>）品牌之外，公司也积极利用并购等方式整合具有协同性的优秀品牌。国际</w:t>
      </w:r>
      <w:r>
        <w:rPr>
          <w:w w:val="100"/>
        </w:rPr>
        <w:t> </w:t>
      </w:r>
      <w:r>
        <w:rPr/>
        <w:t>品牌</w:t>
      </w:r>
      <w:r>
        <w:rPr>
          <w:rFonts w:ascii="Times New Roman" w:hAnsi="Times New Roman" w:cs="Times New Roman" w:eastAsia="Times New Roman" w:hint="default"/>
        </w:rPr>
        <w:t>DIRK BIKKEMBERGS</w:t>
      </w:r>
      <w:r>
        <w:rPr/>
        <w:t>即是公司采用跨境并购所获得的优秀品牌代表，</w:t>
      </w:r>
      <w:r>
        <w:rPr>
          <w:rFonts w:ascii="Times New Roman" w:hAnsi="Times New Roman" w:cs="Times New Roman" w:eastAsia="Times New Roman" w:hint="default"/>
        </w:rPr>
        <w:t>DIRK</w:t>
      </w:r>
      <w:r>
        <w:rPr>
          <w:rFonts w:ascii="Times New Roman" w:hAnsi="Times New Roman" w:cs="Times New Roman" w:eastAsia="Times New Roman" w:hint="default"/>
          <w:spacing w:val="15"/>
        </w:rPr>
        <w:t> </w:t>
      </w:r>
      <w:r>
        <w:rPr>
          <w:rFonts w:ascii="Times New Roman" w:hAnsi="Times New Roman" w:cs="Times New Roman" w:eastAsia="Times New Roman" w:hint="default"/>
        </w:rPr>
        <w:t>BIKKEMBERGS</w:t>
      </w:r>
      <w:r>
        <w:rPr/>
        <w:t>也将成</w:t>
      </w:r>
      <w:r>
        <w:rPr>
          <w:spacing w:val="-3"/>
          <w:w w:val="100"/>
        </w:rPr>
        <w:t> </w:t>
      </w:r>
      <w:r>
        <w:rPr/>
        <w:t>为全球特别是大中华区销售成长性极高的时尚运动品牌。</w:t>
      </w:r>
    </w:p>
    <w:p>
      <w:pPr>
        <w:pStyle w:val="BodyText"/>
        <w:spacing w:line="240" w:lineRule="auto" w:before="106"/>
        <w:ind w:left="533" w:right="0"/>
        <w:jc w:val="left"/>
      </w:pPr>
      <w:r>
        <w:rPr/>
        <w:t>报告期内，公司核心竞争力未发生重大变化。</w:t>
      </w:r>
    </w:p>
    <w:p>
      <w:pPr>
        <w:spacing w:after="0" w:line="240" w:lineRule="auto"/>
        <w:jc w:val="left"/>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left="430" w:right="0"/>
        <w:jc w:val="left"/>
        <w:rPr>
          <w:b w:val="0"/>
          <w:bCs w:val="0"/>
        </w:rPr>
      </w:pPr>
      <w:r>
        <w:rPr/>
        <w:t>（一）行业概述</w:t>
      </w:r>
      <w:r>
        <w:rPr>
          <w:b w:val="0"/>
          <w:bCs w:val="0"/>
        </w:rPr>
      </w:r>
    </w:p>
    <w:p>
      <w:pPr>
        <w:spacing w:line="240" w:lineRule="auto" w:before="9"/>
        <w:rPr>
          <w:rFonts w:ascii="宋体" w:hAnsi="宋体" w:cs="宋体" w:eastAsia="宋体" w:hint="default"/>
          <w:b/>
          <w:bCs/>
          <w:sz w:val="17"/>
          <w:szCs w:val="17"/>
        </w:rPr>
      </w:pPr>
    </w:p>
    <w:p>
      <w:pPr>
        <w:pStyle w:val="BodyText"/>
        <w:spacing w:line="386" w:lineRule="auto"/>
        <w:ind w:right="1126" w:firstLine="420"/>
        <w:jc w:val="right"/>
      </w:pPr>
      <w:r>
        <w:rPr>
          <w:rFonts w:ascii="Times New Roman" w:hAnsi="Times New Roman" w:cs="Times New Roman" w:eastAsia="Times New Roman" w:hint="default"/>
        </w:rPr>
        <w:t>2018</w:t>
      </w:r>
      <w:r>
        <w:rPr/>
        <w:t>年中国零售业呈上涨趋势，</w:t>
      </w:r>
      <w:r>
        <w:rPr>
          <w:rFonts w:ascii="Times New Roman" w:hAnsi="Times New Roman" w:cs="Times New Roman" w:eastAsia="Times New Roman" w:hint="default"/>
        </w:rPr>
        <w:t>2018</w:t>
      </w:r>
      <w:r>
        <w:rPr/>
        <w:t>年全年我国社会消费品零售总额</w:t>
      </w:r>
      <w:r>
        <w:rPr>
          <w:rFonts w:ascii="Times New Roman" w:hAnsi="Times New Roman" w:cs="Times New Roman" w:eastAsia="Times New Roman" w:hint="default"/>
        </w:rPr>
        <w:t>380,987</w:t>
      </w:r>
      <w:r>
        <w:rPr/>
        <w:t>亿，同比增长</w:t>
      </w:r>
      <w:r>
        <w:rPr>
          <w:rFonts w:ascii="Times New Roman" w:hAnsi="Times New Roman" w:cs="Times New Roman" w:eastAsia="Times New Roman" w:hint="default"/>
        </w:rPr>
        <w:t>9%</w:t>
      </w:r>
      <w:r>
        <w:rPr/>
        <w:t>，但增</w:t>
      </w:r>
      <w:r>
        <w:rPr>
          <w:w w:val="100"/>
        </w:rPr>
        <w:t> </w:t>
      </w:r>
      <w:r>
        <w:rPr>
          <w:spacing w:val="-3"/>
        </w:rPr>
        <w:t>速持续放缓，同比去年增速回落</w:t>
      </w:r>
      <w:r>
        <w:rPr>
          <w:rFonts w:ascii="Times New Roman" w:hAnsi="Times New Roman" w:cs="Times New Roman" w:eastAsia="Times New Roman" w:hint="default"/>
          <w:spacing w:val="-3"/>
        </w:rPr>
        <w:t>1.2%</w:t>
      </w:r>
      <w:r>
        <w:rPr>
          <w:spacing w:val="-3"/>
        </w:rPr>
        <w:t>。由于消费结构的不断优化，我国主要增速表现在三个方面，一是服</w:t>
      </w:r>
      <w:r>
        <w:rPr>
          <w:spacing w:val="-44"/>
        </w:rPr>
        <w:t> </w:t>
      </w:r>
      <w:r>
        <w:rPr>
          <w:spacing w:val="-44"/>
        </w:rPr>
      </w:r>
      <w:r>
        <w:rPr/>
        <w:t>务消费增长快于商品消费。去年，我国服务消费占比已经提高到</w:t>
      </w:r>
      <w:r>
        <w:rPr>
          <w:rFonts w:ascii="Times New Roman" w:hAnsi="Times New Roman" w:cs="Times New Roman" w:eastAsia="Times New Roman" w:hint="default"/>
        </w:rPr>
        <w:t>49.5%</w:t>
      </w:r>
      <w:r>
        <w:rPr/>
        <w:t>。二是，农村消费增长快于城市消</w:t>
      </w:r>
      <w:r>
        <w:rPr>
          <w:spacing w:val="-51"/>
        </w:rPr>
        <w:t> </w:t>
      </w:r>
      <w:r>
        <w:rPr>
          <w:spacing w:val="-51"/>
        </w:rPr>
      </w:r>
      <w:r>
        <w:rPr>
          <w:spacing w:val="-8"/>
        </w:rPr>
        <w:t>费，增速高出</w:t>
      </w:r>
      <w:r>
        <w:rPr>
          <w:rFonts w:ascii="Times New Roman" w:hAnsi="Times New Roman" w:cs="Times New Roman" w:eastAsia="Times New Roman" w:hint="default"/>
          <w:spacing w:val="-8"/>
        </w:rPr>
        <w:t>1.3</w:t>
      </w:r>
      <w:r>
        <w:rPr>
          <w:spacing w:val="-8"/>
        </w:rPr>
        <w:t>个百分点。三是，消费质量进一步提高，个性化、多元化、定制化消费已经成为新的趋势。</w:t>
      </w:r>
    </w:p>
    <w:p>
      <w:pPr>
        <w:pStyle w:val="BodyText"/>
        <w:spacing w:line="386" w:lineRule="auto" w:before="76"/>
        <w:ind w:right="0" w:firstLine="420"/>
        <w:jc w:val="left"/>
      </w:pPr>
      <w:r>
        <w:rPr/>
        <w:t>从现在线上线下的消费数据看零售格局，</w:t>
      </w:r>
      <w:r>
        <w:rPr>
          <w:rFonts w:ascii="Times New Roman" w:hAnsi="Times New Roman" w:cs="Times New Roman" w:eastAsia="Times New Roman" w:hint="default"/>
        </w:rPr>
        <w:t>2018</w:t>
      </w:r>
      <w:r>
        <w:rPr/>
        <w:t>年，全国网上零售额</w:t>
      </w:r>
      <w:r>
        <w:rPr>
          <w:rFonts w:ascii="Times New Roman" w:hAnsi="Times New Roman" w:cs="Times New Roman" w:eastAsia="Times New Roman" w:hint="default"/>
        </w:rPr>
        <w:t>90,065</w:t>
      </w:r>
      <w:r>
        <w:rPr/>
        <w:t>亿元，比上年增长</w:t>
      </w:r>
      <w:r>
        <w:rPr>
          <w:rFonts w:ascii="Times New Roman" w:hAnsi="Times New Roman" w:cs="Times New Roman" w:eastAsia="Times New Roman" w:hint="default"/>
        </w:rPr>
        <w:t>23.9</w:t>
      </w:r>
      <w:r>
        <w:rPr/>
        <w:t>％，</w:t>
      </w:r>
      <w:r>
        <w:rPr>
          <w:spacing w:val="2"/>
          <w:w w:val="100"/>
        </w:rPr>
        <w:t> </w:t>
      </w:r>
      <w:r>
        <w:rPr>
          <w:spacing w:val="-1"/>
        </w:rPr>
        <w:t>增速趋缓。其中，实物商品网上零售额</w:t>
      </w:r>
      <w:r>
        <w:rPr>
          <w:rFonts w:ascii="Times New Roman" w:hAnsi="Times New Roman" w:cs="Times New Roman" w:eastAsia="Times New Roman" w:hint="default"/>
          <w:spacing w:val="-1"/>
        </w:rPr>
        <w:t>70,198</w:t>
      </w:r>
      <w:r>
        <w:rPr>
          <w:spacing w:val="-1"/>
        </w:rPr>
        <w:t>亿元，增长</w:t>
      </w:r>
      <w:r>
        <w:rPr>
          <w:rFonts w:ascii="Times New Roman" w:hAnsi="Times New Roman" w:cs="Times New Roman" w:eastAsia="Times New Roman" w:hint="default"/>
          <w:spacing w:val="-1"/>
        </w:rPr>
        <w:t>25.4</w:t>
      </w:r>
      <w:r>
        <w:rPr>
          <w:spacing w:val="-1"/>
        </w:rPr>
        <w:t>％，占社会消费品零售总额的比重为</w:t>
      </w:r>
      <w:r>
        <w:rPr>
          <w:rFonts w:ascii="Times New Roman" w:hAnsi="Times New Roman" w:cs="Times New Roman" w:eastAsia="Times New Roman" w:hint="default"/>
          <w:spacing w:val="-1"/>
        </w:rPr>
        <w:t>18.4</w:t>
      </w:r>
      <w:r>
        <w:rPr>
          <w:spacing w:val="-1"/>
        </w:rPr>
        <w:t>％。</w:t>
      </w:r>
      <w:r>
        <w:rPr/>
      </w:r>
    </w:p>
    <w:p>
      <w:pPr>
        <w:pStyle w:val="BodyText"/>
        <w:spacing w:line="408" w:lineRule="auto" w:before="76"/>
        <w:ind w:right="1126" w:firstLine="420"/>
        <w:jc w:val="both"/>
      </w:pPr>
      <w:r>
        <w:rPr>
          <w:spacing w:val="-2"/>
        </w:rPr>
        <w:t>零售行业仍然在朝着个性化、生活化、智能化的方向蓬勃发展，其中各企业也在积极尝试新零售的线</w:t>
      </w:r>
      <w:r>
        <w:rPr>
          <w:w w:val="100"/>
        </w:rPr>
        <w:t> </w:t>
      </w:r>
      <w:r>
        <w:rPr/>
        <w:t>上线下交互，尝试把握其中的机遇和创新模式。</w:t>
      </w:r>
    </w:p>
    <w:p>
      <w:pPr>
        <w:pStyle w:val="Heading4"/>
        <w:spacing w:line="240" w:lineRule="auto" w:before="84"/>
        <w:ind w:left="430" w:right="0"/>
        <w:jc w:val="left"/>
        <w:rPr>
          <w:b w:val="0"/>
          <w:bCs w:val="0"/>
        </w:rPr>
      </w:pPr>
      <w:r>
        <w:rPr/>
        <w:t>（二）</w:t>
      </w:r>
      <w:r>
        <w:rPr>
          <w:rFonts w:ascii="Times New Roman" w:hAnsi="Times New Roman" w:cs="Times New Roman" w:eastAsia="Times New Roman" w:hint="default"/>
        </w:rPr>
        <w:t>2018</w:t>
      </w:r>
      <w:r>
        <w:rPr/>
        <w:t>年公司经营情况介绍</w:t>
      </w:r>
      <w:r>
        <w:rPr>
          <w:b w:val="0"/>
          <w:bCs w:val="0"/>
        </w:rPr>
      </w:r>
    </w:p>
    <w:p>
      <w:pPr>
        <w:spacing w:line="240" w:lineRule="auto" w:before="9"/>
        <w:rPr>
          <w:rFonts w:ascii="宋体" w:hAnsi="宋体" w:cs="宋体" w:eastAsia="宋体" w:hint="default"/>
          <w:b/>
          <w:bCs/>
          <w:sz w:val="16"/>
          <w:szCs w:val="16"/>
        </w:rPr>
      </w:pPr>
    </w:p>
    <w:p>
      <w:pPr>
        <w:pStyle w:val="BodyText"/>
        <w:spacing w:line="386" w:lineRule="auto"/>
        <w:ind w:right="0" w:firstLine="420"/>
        <w:jc w:val="left"/>
      </w:pPr>
      <w:r>
        <w:rPr>
          <w:rFonts w:ascii="Times New Roman" w:hAnsi="Times New Roman" w:cs="Times New Roman" w:eastAsia="Times New Roman" w:hint="default"/>
        </w:rPr>
        <w:t>2018</w:t>
      </w:r>
      <w:r>
        <w:rPr/>
        <w:t>年度，公司实现营业收入</w:t>
      </w:r>
      <w:r>
        <w:rPr>
          <w:rFonts w:ascii="Times New Roman" w:hAnsi="Times New Roman" w:cs="Times New Roman" w:eastAsia="Times New Roman" w:hint="default"/>
        </w:rPr>
        <w:t>156,208.04</w:t>
      </w:r>
      <w:r>
        <w:rPr/>
        <w:t>万元，较上年同期上升</w:t>
      </w:r>
      <w:r>
        <w:rPr>
          <w:rFonts w:ascii="Times New Roman" w:hAnsi="Times New Roman" w:cs="Times New Roman" w:eastAsia="Times New Roman" w:hint="default"/>
        </w:rPr>
        <w:t>69.56%</w:t>
      </w:r>
      <w:r>
        <w:rPr/>
        <w:t>；归属于上市公司股东的净利</w:t>
      </w:r>
      <w:r>
        <w:rPr>
          <w:w w:val="100"/>
        </w:rPr>
        <w:t> </w:t>
      </w:r>
      <w:r>
        <w:rPr>
          <w:spacing w:val="-4"/>
        </w:rPr>
        <w:t>润</w:t>
      </w:r>
      <w:r>
        <w:rPr>
          <w:rFonts w:ascii="Times New Roman" w:hAnsi="Times New Roman" w:cs="Times New Roman" w:eastAsia="Times New Roman" w:hint="default"/>
          <w:spacing w:val="-4"/>
        </w:rPr>
        <w:t>2,785.47</w:t>
      </w:r>
      <w:r>
        <w:rPr>
          <w:spacing w:val="-4"/>
        </w:rPr>
        <w:t>万元，较上年同期下降</w:t>
      </w:r>
      <w:r>
        <w:rPr>
          <w:rFonts w:ascii="Times New Roman" w:hAnsi="Times New Roman" w:cs="Times New Roman" w:eastAsia="Times New Roman" w:hint="default"/>
          <w:spacing w:val="-4"/>
        </w:rPr>
        <w:t>79.32%</w:t>
      </w:r>
      <w:r>
        <w:rPr>
          <w:spacing w:val="-4"/>
        </w:rPr>
        <w:t>；归属于上市公司股东的扣除非经常性损益的净利润</w:t>
      </w:r>
      <w:r>
        <w:rPr>
          <w:rFonts w:ascii="Times New Roman" w:hAnsi="Times New Roman" w:cs="Times New Roman" w:eastAsia="Times New Roman" w:hint="default"/>
          <w:spacing w:val="-4"/>
        </w:rPr>
        <w:t>1,671.46</w:t>
      </w:r>
      <w:r>
        <w:rPr>
          <w:spacing w:val="-4"/>
        </w:rPr>
        <w:t>万元，</w:t>
      </w:r>
      <w:r>
        <w:rPr>
          <w:spacing w:val="-24"/>
        </w:rPr>
        <w:t> </w:t>
      </w:r>
      <w:r>
        <w:rPr>
          <w:spacing w:val="-24"/>
        </w:rPr>
      </w:r>
      <w:r>
        <w:rPr/>
        <w:t>较上年同期减少</w:t>
      </w:r>
      <w:r>
        <w:rPr>
          <w:rFonts w:ascii="Times New Roman" w:hAnsi="Times New Roman" w:cs="Times New Roman" w:eastAsia="Times New Roman" w:hint="default"/>
        </w:rPr>
        <w:t>1,162.41</w:t>
      </w:r>
      <w:r>
        <w:rPr/>
        <w:t>万元，下降</w:t>
      </w:r>
      <w:r>
        <w:rPr>
          <w:rFonts w:ascii="Times New Roman" w:hAnsi="Times New Roman" w:cs="Times New Roman" w:eastAsia="Times New Roman" w:hint="default"/>
        </w:rPr>
        <w:t>41.02%</w:t>
      </w:r>
      <w:r>
        <w:rPr/>
        <w:t>。归属于上市公司股东的扣除非经常性损益及商誉减值影响后</w:t>
      </w:r>
      <w:r>
        <w:rPr>
          <w:spacing w:val="-46"/>
        </w:rPr>
        <w:t> </w:t>
      </w:r>
      <w:r>
        <w:rPr>
          <w:spacing w:val="-46"/>
        </w:rPr>
      </w:r>
      <w:r>
        <w:rPr/>
        <w:t>的净利润</w:t>
      </w:r>
      <w:r>
        <w:rPr>
          <w:rFonts w:ascii="Times New Roman" w:hAnsi="Times New Roman" w:cs="Times New Roman" w:eastAsia="Times New Roman" w:hint="default"/>
        </w:rPr>
        <w:t>5,475.97</w:t>
      </w:r>
      <w:r>
        <w:rPr/>
        <w:t>万元，较上年同期增加</w:t>
      </w:r>
      <w:r>
        <w:rPr>
          <w:rFonts w:ascii="Times New Roman" w:hAnsi="Times New Roman" w:cs="Times New Roman" w:eastAsia="Times New Roman" w:hint="default"/>
        </w:rPr>
        <w:t>2,642.09</w:t>
      </w:r>
      <w:r>
        <w:rPr/>
        <w:t>万元，上升</w:t>
      </w:r>
      <w:r>
        <w:rPr>
          <w:rFonts w:ascii="Times New Roman" w:hAnsi="Times New Roman" w:cs="Times New Roman" w:eastAsia="Times New Roman" w:hint="default"/>
        </w:rPr>
        <w:t>93.23%</w:t>
      </w:r>
      <w:r>
        <w:rPr/>
        <w:t>。</w:t>
      </w:r>
    </w:p>
    <w:p>
      <w:pPr>
        <w:pStyle w:val="BodyText"/>
        <w:spacing w:line="386" w:lineRule="auto" w:before="76"/>
        <w:ind w:right="1126" w:firstLine="420"/>
        <w:jc w:val="both"/>
      </w:pPr>
      <w:r>
        <w:rPr>
          <w:rFonts w:ascii="Times New Roman" w:hAnsi="Times New Roman" w:cs="Times New Roman" w:eastAsia="Times New Roman" w:hint="default"/>
          <w:spacing w:val="-1"/>
        </w:rPr>
        <w:t>2018</w:t>
      </w:r>
      <w:r>
        <w:rPr>
          <w:spacing w:val="-1"/>
        </w:rPr>
        <w:t>年度营业收入的增长主要是：公司代理品牌线上</w:t>
      </w:r>
      <w:r>
        <w:rPr>
          <w:rFonts w:ascii="Times New Roman" w:hAnsi="Times New Roman" w:cs="Times New Roman" w:eastAsia="Times New Roman" w:hint="default"/>
          <w:spacing w:val="-1"/>
        </w:rPr>
        <w:t>B2B</w:t>
      </w:r>
      <w:r>
        <w:rPr>
          <w:spacing w:val="-1"/>
        </w:rPr>
        <w:t>业务收入、澳门代理品牌店铺收入、公司自</w:t>
      </w:r>
      <w:r>
        <w:rPr>
          <w:w w:val="100"/>
        </w:rPr>
        <w:t> </w:t>
      </w:r>
      <w:r>
        <w:rPr>
          <w:spacing w:val="-2"/>
        </w:rPr>
        <w:t>有品牌高级定制业务收入、以及武汉悦然心动互联网行业营业收入实现了快速增长。</w:t>
      </w:r>
      <w:r>
        <w:rPr>
          <w:rFonts w:ascii="Times New Roman" w:hAnsi="Times New Roman" w:cs="Times New Roman" w:eastAsia="Times New Roman" w:hint="default"/>
          <w:spacing w:val="-2"/>
        </w:rPr>
        <w:t>2018</w:t>
      </w:r>
      <w:r>
        <w:rPr>
          <w:spacing w:val="-2"/>
        </w:rPr>
        <w:t>年度公司自有品</w:t>
      </w:r>
      <w:r>
        <w:rPr>
          <w:spacing w:val="-40"/>
        </w:rPr>
        <w:t> </w:t>
      </w:r>
      <w:r>
        <w:rPr>
          <w:spacing w:val="-40"/>
        </w:rPr>
      </w:r>
      <w:r>
        <w:rPr>
          <w:spacing w:val="-4"/>
        </w:rPr>
        <w:t>牌业务营业收入</w:t>
      </w:r>
      <w:r>
        <w:rPr>
          <w:rFonts w:ascii="Times New Roman" w:hAnsi="Times New Roman" w:cs="Times New Roman" w:eastAsia="Times New Roman" w:hint="default"/>
          <w:spacing w:val="-4"/>
        </w:rPr>
        <w:t>56,899.01</w:t>
      </w:r>
      <w:r>
        <w:rPr>
          <w:spacing w:val="-4"/>
        </w:rPr>
        <w:t>万元，较上年度增加</w:t>
      </w:r>
      <w:r>
        <w:rPr>
          <w:rFonts w:ascii="Times New Roman" w:hAnsi="Times New Roman" w:cs="Times New Roman" w:eastAsia="Times New Roman" w:hint="default"/>
          <w:spacing w:val="-4"/>
        </w:rPr>
        <w:t>6,672.38</w:t>
      </w:r>
      <w:r>
        <w:rPr>
          <w:spacing w:val="-4"/>
        </w:rPr>
        <w:t>万元，增长</w:t>
      </w:r>
      <w:r>
        <w:rPr>
          <w:rFonts w:ascii="Times New Roman" w:hAnsi="Times New Roman" w:cs="Times New Roman" w:eastAsia="Times New Roman" w:hint="default"/>
          <w:spacing w:val="-4"/>
        </w:rPr>
        <w:t>13.28%</w:t>
      </w:r>
      <w:r>
        <w:rPr>
          <w:spacing w:val="-4"/>
        </w:rPr>
        <w:t>；代理品牌业务营业收入</w:t>
      </w:r>
      <w:r>
        <w:rPr>
          <w:rFonts w:ascii="Times New Roman" w:hAnsi="Times New Roman" w:cs="Times New Roman" w:eastAsia="Times New Roman" w:hint="default"/>
          <w:spacing w:val="-4"/>
        </w:rPr>
        <w:t>60,698.72</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万元，较上年度增加</w:t>
      </w:r>
      <w:r>
        <w:rPr>
          <w:rFonts w:ascii="Times New Roman" w:hAnsi="Times New Roman" w:cs="Times New Roman" w:eastAsia="Times New Roman" w:hint="default"/>
        </w:rPr>
        <w:t>32,460.98</w:t>
      </w:r>
      <w:r>
        <w:rPr/>
        <w:t>万元，增长</w:t>
      </w:r>
      <w:r>
        <w:rPr>
          <w:rFonts w:ascii="Times New Roman" w:hAnsi="Times New Roman" w:cs="Times New Roman" w:eastAsia="Times New Roman" w:hint="default"/>
        </w:rPr>
        <w:t>114.96%</w:t>
      </w:r>
      <w:r>
        <w:rPr/>
        <w:t>；武汉悦然心动互联网行业营业收入</w:t>
      </w:r>
      <w:r>
        <w:rPr>
          <w:rFonts w:ascii="Times New Roman" w:hAnsi="Times New Roman" w:cs="Times New Roman" w:eastAsia="Times New Roman" w:hint="default"/>
        </w:rPr>
        <w:t>37,490.82</w:t>
      </w:r>
      <w:r>
        <w:rPr/>
        <w:t>万元，较</w:t>
      </w:r>
      <w:r>
        <w:rPr>
          <w:spacing w:val="-46"/>
        </w:rPr>
        <w:t> </w:t>
      </w:r>
      <w:r>
        <w:rPr/>
        <w:t>上年度纳入合并范围内的收入增加</w:t>
      </w:r>
      <w:r>
        <w:rPr>
          <w:rFonts w:ascii="Times New Roman" w:hAnsi="Times New Roman" w:cs="Times New Roman" w:eastAsia="Times New Roman" w:hint="default"/>
        </w:rPr>
        <w:t>28,583.77</w:t>
      </w:r>
      <w:r>
        <w:rPr/>
        <w:t>万元，增长</w:t>
      </w:r>
      <w:r>
        <w:rPr>
          <w:rFonts w:ascii="Times New Roman" w:hAnsi="Times New Roman" w:cs="Times New Roman" w:eastAsia="Times New Roman" w:hint="default"/>
        </w:rPr>
        <w:t>320.91%</w:t>
      </w:r>
      <w:r>
        <w:rPr/>
        <w:t>。</w:t>
      </w:r>
    </w:p>
    <w:p>
      <w:pPr>
        <w:pStyle w:val="BodyText"/>
        <w:spacing w:line="386" w:lineRule="auto" w:before="74"/>
        <w:ind w:right="1028" w:firstLine="420"/>
        <w:jc w:val="both"/>
      </w:pPr>
      <w:r>
        <w:rPr>
          <w:rFonts w:ascii="Times New Roman" w:hAnsi="Times New Roman" w:cs="Times New Roman" w:eastAsia="Times New Roman" w:hint="default"/>
          <w:spacing w:val="-2"/>
        </w:rPr>
        <w:t>2018</w:t>
      </w:r>
      <w:r>
        <w:rPr>
          <w:spacing w:val="-2"/>
        </w:rPr>
        <w:t>年度归属于上市公司股东的净利润较上年变动的原因主要是：</w:t>
      </w:r>
      <w:r>
        <w:rPr>
          <w:rFonts w:ascii="Times New Roman" w:hAnsi="Times New Roman" w:cs="Times New Roman" w:eastAsia="Times New Roman" w:hint="default"/>
          <w:spacing w:val="-2"/>
        </w:rPr>
        <w:t>2017</w:t>
      </w:r>
      <w:r>
        <w:rPr>
          <w:spacing w:val="-2"/>
        </w:rPr>
        <w:t>年公司出于战略升级及集中公</w:t>
      </w:r>
      <w:r>
        <w:rPr>
          <w:w w:val="100"/>
        </w:rPr>
        <w:t> </w:t>
      </w:r>
      <w:r>
        <w:rPr/>
        <w:t>司有效资源的考量，处置连卡福（衡阳）商业广场有限公司股权，确认了投资收益</w:t>
      </w:r>
      <w:r>
        <w:rPr>
          <w:rFonts w:ascii="Times New Roman" w:hAnsi="Times New Roman" w:cs="Times New Roman" w:eastAsia="Times New Roman" w:hint="default"/>
        </w:rPr>
        <w:t>9,881.32</w:t>
      </w:r>
      <w:r>
        <w:rPr/>
        <w:t>万元；扣除非</w:t>
      </w:r>
      <w:r>
        <w:rPr>
          <w:spacing w:val="-23"/>
        </w:rPr>
        <w:t> </w:t>
      </w:r>
      <w:r>
        <w:rPr>
          <w:spacing w:val="-23"/>
        </w:rPr>
      </w:r>
      <w:r>
        <w:rPr>
          <w:spacing w:val="-2"/>
        </w:rPr>
        <w:t>经常性损益因素的影响，</w:t>
      </w:r>
      <w:r>
        <w:rPr>
          <w:rFonts w:ascii="Times New Roman" w:hAnsi="Times New Roman" w:cs="Times New Roman" w:eastAsia="Times New Roman" w:hint="default"/>
          <w:spacing w:val="-2"/>
        </w:rPr>
        <w:t>2018</w:t>
      </w:r>
      <w:r>
        <w:rPr>
          <w:spacing w:val="-2"/>
        </w:rPr>
        <w:t>年度归属于上市公司股东的扣除非经常性损益的净利润同比变动的主要原因</w:t>
      </w:r>
      <w:r>
        <w:rPr>
          <w:spacing w:val="-43"/>
        </w:rPr>
        <w:t> </w:t>
      </w:r>
      <w:r>
        <w:rPr>
          <w:spacing w:val="-43"/>
        </w:rPr>
      </w:r>
      <w:r>
        <w:rPr>
          <w:spacing w:val="-2"/>
        </w:rPr>
        <w:t>是：公司基于谨慎性原则，公司对收购</w:t>
      </w:r>
      <w:r>
        <w:rPr>
          <w:rFonts w:ascii="Times New Roman" w:hAnsi="Times New Roman" w:cs="Times New Roman" w:eastAsia="Times New Roman" w:hint="default"/>
          <w:spacing w:val="-2"/>
        </w:rPr>
        <w:t>LEVITAS</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
        </w:rPr>
        <w:t>S.P.A.</w:t>
      </w:r>
      <w:r>
        <w:rPr>
          <w:spacing w:val="-2"/>
        </w:rPr>
        <w:t>公司形成的商誉计提了</w:t>
      </w:r>
      <w:r>
        <w:rPr>
          <w:rFonts w:ascii="Times New Roman" w:hAnsi="Times New Roman" w:cs="Times New Roman" w:eastAsia="Times New Roman" w:hint="default"/>
          <w:spacing w:val="-2"/>
        </w:rPr>
        <w:t>3,804.51</w:t>
      </w:r>
      <w:r>
        <w:rPr>
          <w:spacing w:val="-2"/>
        </w:rPr>
        <w:t>万元商誉减值准备。</w:t>
      </w:r>
    </w:p>
    <w:p>
      <w:pPr>
        <w:pStyle w:val="BodyText"/>
        <w:spacing w:line="408" w:lineRule="auto" w:before="76"/>
        <w:ind w:right="0" w:firstLine="420"/>
        <w:jc w:val="left"/>
      </w:pPr>
      <w:r>
        <w:rPr>
          <w:spacing w:val="-2"/>
        </w:rPr>
        <w:t>董事会认为，公司升级转型取得阶段性进展，集中体现在业务构成持续优化、渠道模式持续丰富，贴</w:t>
      </w:r>
      <w:r>
        <w:rPr>
          <w:w w:val="100"/>
        </w:rPr>
        <w:t> </w:t>
      </w:r>
      <w:r>
        <w:rPr/>
        <w:t>合当前零售行业整体发展方向。</w:t>
      </w:r>
    </w:p>
    <w:p>
      <w:pPr>
        <w:spacing w:after="0" w:line="408"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240" w:lineRule="auto" w:before="36"/>
        <w:ind w:left="533" w:right="0"/>
        <w:jc w:val="left"/>
      </w:pPr>
      <w:r>
        <w:rPr/>
        <w:t>报告期内，公司重点工作具体总结如下：</w:t>
      </w:r>
    </w:p>
    <w:p>
      <w:pPr>
        <w:spacing w:line="240" w:lineRule="auto" w:before="12"/>
        <w:rPr>
          <w:rFonts w:ascii="宋体" w:hAnsi="宋体" w:cs="宋体" w:eastAsia="宋体" w:hint="default"/>
          <w:sz w:val="17"/>
          <w:szCs w:val="17"/>
        </w:rPr>
      </w:pPr>
    </w:p>
    <w:p>
      <w:pPr>
        <w:spacing w:line="417" w:lineRule="auto" w:before="0"/>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、线上全渠道业务取得阶段性进展</w:t>
      </w:r>
      <w:r>
        <w:rPr>
          <w:rFonts w:ascii="宋体" w:hAnsi="宋体" w:cs="宋体" w:eastAsia="宋体" w:hint="default"/>
          <w:b/>
          <w:bCs/>
          <w:w w:val="100"/>
          <w:sz w:val="21"/>
          <w:szCs w:val="21"/>
        </w:rPr>
        <w:t> </w:t>
      </w:r>
      <w:r>
        <w:rPr>
          <w:rFonts w:ascii="宋体" w:hAnsi="宋体" w:cs="宋体" w:eastAsia="宋体" w:hint="default"/>
          <w:spacing w:val="-2"/>
          <w:sz w:val="21"/>
          <w:szCs w:val="21"/>
        </w:rPr>
        <w:t>公司依托自身长期发展积累的品牌、供应链、渠道等优势，加大箱包、香化美妆为业务的团队建设与</w:t>
      </w:r>
    </w:p>
    <w:p>
      <w:pPr>
        <w:pStyle w:val="BodyText"/>
        <w:spacing w:line="403" w:lineRule="auto" w:before="37"/>
        <w:ind w:right="1126"/>
        <w:jc w:val="both"/>
      </w:pPr>
      <w:r>
        <w:rPr>
          <w:spacing w:val="-2"/>
        </w:rPr>
        <w:t>业务投入，争取更多的代理品牌，并根据不同的品牌定位进行了渠道布局，线上线下结合，形成了一定的</w:t>
      </w:r>
      <w:r>
        <w:rPr>
          <w:spacing w:val="-50"/>
        </w:rPr>
        <w:t> </w:t>
      </w:r>
      <w:r>
        <w:rPr>
          <w:spacing w:val="-50"/>
        </w:rPr>
      </w:r>
      <w:r>
        <w:rPr>
          <w:spacing w:val="-2"/>
        </w:rPr>
        <w:t>业务规模与格局，为打造摩登大道全渠道新零售运营平台打下坚实基础；同时布局小程序等多种符合当前</w:t>
      </w:r>
      <w:r>
        <w:rPr>
          <w:spacing w:val="-45"/>
        </w:rPr>
        <w:t> </w:t>
      </w:r>
      <w:r>
        <w:rPr>
          <w:spacing w:val="-45"/>
        </w:rPr>
      </w:r>
      <w:r>
        <w:rPr>
          <w:spacing w:val="-5"/>
        </w:rPr>
        <w:t>趋势的新型交互入口；灵活采用</w:t>
      </w:r>
      <w:r>
        <w:rPr>
          <w:rFonts w:ascii="Times New Roman" w:hAnsi="Times New Roman" w:cs="Times New Roman" w:eastAsia="Times New Roman" w:hint="default"/>
          <w:spacing w:val="-5"/>
        </w:rPr>
        <w:t>B2B</w:t>
      </w:r>
      <w:r>
        <w:rPr>
          <w:spacing w:val="-5"/>
        </w:rPr>
        <w:t>、</w:t>
      </w:r>
      <w:r>
        <w:rPr>
          <w:rFonts w:ascii="Times New Roman" w:hAnsi="Times New Roman" w:cs="Times New Roman" w:eastAsia="Times New Roman" w:hint="default"/>
          <w:spacing w:val="-5"/>
        </w:rPr>
        <w:t>B2C</w:t>
      </w:r>
      <w:r>
        <w:rPr>
          <w:spacing w:val="-5"/>
        </w:rPr>
        <w:t>两种合作模式，打通了京东、考拉、天猫、小红书、苏宁易购、</w:t>
      </w:r>
      <w:r>
        <w:rPr>
          <w:spacing w:val="-41"/>
        </w:rPr>
        <w:t> </w:t>
      </w:r>
      <w:r>
        <w:rPr>
          <w:spacing w:val="-41"/>
        </w:rPr>
      </w:r>
      <w:r>
        <w:rPr>
          <w:spacing w:val="-2"/>
        </w:rPr>
        <w:t>唯品会等主流销售渠道，助力公司全渠道业务的收入提升。随着供应链整合、品类扩张以及渠道运营等方</w:t>
      </w:r>
      <w:r>
        <w:rPr>
          <w:spacing w:val="-43"/>
        </w:rPr>
        <w:t> </w:t>
      </w:r>
      <w:r>
        <w:rPr>
          <w:spacing w:val="-43"/>
        </w:rPr>
      </w:r>
      <w:r>
        <w:rPr/>
        <w:t>面的自身核心竞争力提升，未来客户数量、转化率等均有望稳步提升，带动公司线上规模持续增长。</w:t>
      </w:r>
    </w:p>
    <w:p>
      <w:pPr>
        <w:spacing w:line="420" w:lineRule="auto" w:before="91"/>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、继续深耕全球时尚品牌运营业务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公司深耕全球时尚品牌实体渠道近</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年，目前已完整覆盖一线、二线城市高端核心零售商圈以及枢纽</w:t>
      </w:r>
    </w:p>
    <w:p>
      <w:pPr>
        <w:pStyle w:val="BodyText"/>
        <w:spacing w:line="393" w:lineRule="auto" w:before="3"/>
        <w:ind w:right="1128"/>
        <w:jc w:val="both"/>
      </w:pPr>
      <w:r>
        <w:rPr>
          <w:spacing w:val="-10"/>
          <w:w w:val="100"/>
        </w:rPr>
        <w:t>机场。截至</w:t>
      </w:r>
      <w:r>
        <w:rPr>
          <w:rFonts w:ascii="Times New Roman" w:hAnsi="Times New Roman" w:cs="Times New Roman" w:eastAsia="Times New Roman" w:hint="default"/>
          <w:spacing w:val="-10"/>
          <w:w w:val="100"/>
        </w:rPr>
        <w:t>2018</w:t>
      </w:r>
      <w:r>
        <w:rPr>
          <w:spacing w:val="-10"/>
          <w:w w:val="100"/>
        </w:rPr>
        <w:t>年</w:t>
      </w:r>
      <w:r>
        <w:rPr>
          <w:rFonts w:ascii="Times New Roman" w:hAnsi="Times New Roman" w:cs="Times New Roman" w:eastAsia="Times New Roman" w:hint="default"/>
          <w:spacing w:val="-10"/>
          <w:w w:val="100"/>
        </w:rPr>
        <w:t>12</w:t>
      </w:r>
      <w:r>
        <w:rPr>
          <w:spacing w:val="-10"/>
          <w:w w:val="100"/>
        </w:rPr>
        <w:t>月</w:t>
      </w:r>
      <w:r>
        <w:rPr>
          <w:rFonts w:ascii="Times New Roman" w:hAnsi="Times New Roman" w:cs="Times New Roman" w:eastAsia="Times New Roman" w:hint="default"/>
          <w:spacing w:val="-10"/>
          <w:w w:val="100"/>
        </w:rPr>
        <w:t>31</w:t>
      </w:r>
      <w:r>
        <w:rPr>
          <w:spacing w:val="-10"/>
          <w:w w:val="100"/>
        </w:rPr>
        <w:t>日，公司门店总数</w:t>
      </w:r>
      <w:r>
        <w:rPr>
          <w:rFonts w:ascii="Times New Roman" w:hAnsi="Times New Roman" w:cs="Times New Roman" w:eastAsia="Times New Roman" w:hint="default"/>
          <w:spacing w:val="-10"/>
          <w:w w:val="100"/>
        </w:rPr>
        <w:t>293</w:t>
      </w:r>
      <w:r>
        <w:rPr>
          <w:spacing w:val="-10"/>
          <w:w w:val="100"/>
        </w:rPr>
        <w:t>家，直营店</w:t>
      </w:r>
      <w:r>
        <w:rPr>
          <w:rFonts w:ascii="Times New Roman" w:hAnsi="Times New Roman" w:cs="Times New Roman" w:eastAsia="Times New Roman" w:hint="default"/>
          <w:spacing w:val="-10"/>
          <w:w w:val="100"/>
        </w:rPr>
        <w:t>202</w:t>
      </w:r>
      <w:r>
        <w:rPr>
          <w:spacing w:val="-10"/>
          <w:w w:val="100"/>
        </w:rPr>
        <w:t>家，加盟店</w:t>
      </w:r>
      <w:r>
        <w:rPr>
          <w:rFonts w:ascii="Times New Roman" w:hAnsi="Times New Roman" w:cs="Times New Roman" w:eastAsia="Times New Roman" w:hint="default"/>
          <w:spacing w:val="-10"/>
          <w:w w:val="100"/>
        </w:rPr>
        <w:t>91</w:t>
      </w:r>
      <w:r>
        <w:rPr>
          <w:spacing w:val="-10"/>
          <w:w w:val="100"/>
        </w:rPr>
        <w:t>家；其中卡奴迪路（</w:t>
      </w:r>
      <w:r>
        <w:rPr>
          <w:rFonts w:ascii="Times New Roman" w:hAnsi="Times New Roman" w:cs="Times New Roman" w:eastAsia="Times New Roman" w:hint="default"/>
          <w:spacing w:val="-10"/>
          <w:w w:val="100"/>
        </w:rPr>
        <w:t>CANUDILO</w:t>
      </w:r>
      <w:r>
        <w:rPr>
          <w:spacing w:val="-10"/>
          <w:w w:val="100"/>
        </w:rPr>
        <w:t>）</w:t>
      </w:r>
      <w:r>
        <w:rPr>
          <w:spacing w:val="-82"/>
          <w:w w:val="100"/>
        </w:rPr>
        <w:t> </w:t>
      </w:r>
      <w:r>
        <w:rPr>
          <w:spacing w:val="-2"/>
        </w:rPr>
        <w:t>品牌店</w:t>
      </w:r>
      <w:r>
        <w:rPr>
          <w:rFonts w:ascii="Times New Roman" w:hAnsi="Times New Roman" w:cs="Times New Roman" w:eastAsia="Times New Roman" w:hint="default"/>
          <w:spacing w:val="-2"/>
        </w:rPr>
        <w:t>230</w:t>
      </w:r>
      <w:r>
        <w:rPr>
          <w:spacing w:val="-2"/>
        </w:rPr>
        <w:t>家，</w:t>
      </w:r>
      <w:r>
        <w:rPr>
          <w:rFonts w:ascii="Times New Roman" w:hAnsi="Times New Roman" w:cs="Times New Roman" w:eastAsia="Times New Roman" w:hint="default"/>
          <w:spacing w:val="-2"/>
        </w:rPr>
        <w:t>DIRK</w:t>
      </w:r>
      <w:r>
        <w:rPr>
          <w:rFonts w:ascii="Times New Roman" w:hAnsi="Times New Roman" w:cs="Times New Roman" w:eastAsia="Times New Roman" w:hint="default"/>
        </w:rPr>
        <w:t> </w:t>
      </w:r>
      <w:r>
        <w:rPr>
          <w:rFonts w:ascii="Times New Roman" w:hAnsi="Times New Roman" w:cs="Times New Roman" w:eastAsia="Times New Roman" w:hint="default"/>
          <w:spacing w:val="-2"/>
        </w:rPr>
        <w:t>BIKKEMBERGS</w:t>
      </w:r>
      <w:r>
        <w:rPr>
          <w:spacing w:val="-2"/>
        </w:rPr>
        <w:t>品牌店</w:t>
      </w:r>
      <w:r>
        <w:rPr>
          <w:rFonts w:ascii="Times New Roman" w:hAnsi="Times New Roman" w:cs="Times New Roman" w:eastAsia="Times New Roman" w:hint="default"/>
          <w:spacing w:val="-2"/>
        </w:rPr>
        <w:t>5</w:t>
      </w:r>
      <w:r>
        <w:rPr>
          <w:spacing w:val="-2"/>
        </w:rPr>
        <w:t>家，其它国际代理品牌店</w:t>
      </w:r>
      <w:r>
        <w:rPr>
          <w:rFonts w:ascii="Times New Roman" w:hAnsi="Times New Roman" w:cs="Times New Roman" w:eastAsia="Times New Roman" w:hint="default"/>
          <w:spacing w:val="-2"/>
        </w:rPr>
        <w:t>58</w:t>
      </w:r>
      <w:r>
        <w:rPr>
          <w:spacing w:val="-2"/>
        </w:rPr>
        <w:t>家。近年来公司通过积极优化门</w:t>
      </w:r>
      <w:r>
        <w:rPr>
          <w:spacing w:val="-56"/>
        </w:rPr>
        <w:t> </w:t>
      </w:r>
      <w:r>
        <w:rPr>
          <w:spacing w:val="-56"/>
        </w:rPr>
      </w:r>
      <w:r>
        <w:rPr>
          <w:spacing w:val="-2"/>
        </w:rPr>
        <w:t>店结构，关闭经营效益不佳的门店，并推出体验式业态更丰富的新店，效果逐步体现，线下同店表现持续</w:t>
      </w:r>
      <w:r>
        <w:rPr>
          <w:spacing w:val="-50"/>
        </w:rPr>
        <w:t> </w:t>
      </w:r>
      <w:r>
        <w:rPr>
          <w:spacing w:val="-50"/>
        </w:rPr>
      </w:r>
      <w:r>
        <w:rPr/>
        <w:t>好转。</w:t>
      </w:r>
    </w:p>
    <w:p>
      <w:pPr>
        <w:pStyle w:val="BodyText"/>
        <w:spacing w:line="386" w:lineRule="auto" w:before="97"/>
        <w:ind w:right="1128" w:firstLine="420"/>
        <w:jc w:val="both"/>
      </w:pPr>
      <w:r>
        <w:rPr>
          <w:spacing w:val="-3"/>
        </w:rPr>
        <w:t>公司经营的自有品牌</w:t>
      </w:r>
      <w:r>
        <w:rPr>
          <w:rFonts w:ascii="Times New Roman" w:hAnsi="Times New Roman" w:cs="Times New Roman" w:eastAsia="Times New Roman" w:hint="default"/>
          <w:spacing w:val="-3"/>
        </w:rPr>
        <w:t>CANUDILO</w:t>
      </w:r>
      <w:r>
        <w:rPr>
          <w:spacing w:val="-3"/>
        </w:rPr>
        <w:t>业务目标定位为产品创新，创造利润，优化和整合线下门店，专注提</w:t>
      </w:r>
      <w:r>
        <w:rPr>
          <w:w w:val="100"/>
        </w:rPr>
        <w:t> </w:t>
      </w:r>
      <w:r>
        <w:rPr/>
        <w:t>升品牌经营核心竞争力。</w:t>
      </w:r>
      <w:r>
        <w:rPr>
          <w:rFonts w:ascii="Times New Roman" w:hAnsi="Times New Roman" w:cs="Times New Roman" w:eastAsia="Times New Roman" w:hint="default"/>
        </w:rPr>
        <w:t>CANUDILO</w:t>
      </w:r>
      <w:r>
        <w:rPr>
          <w:rFonts w:ascii="Times New Roman" w:hAnsi="Times New Roman" w:cs="Times New Roman" w:eastAsia="Times New Roman" w:hint="default"/>
          <w:spacing w:val="17"/>
        </w:rPr>
        <w:t> </w:t>
      </w:r>
      <w:r>
        <w:rPr>
          <w:rFonts w:ascii="Times New Roman" w:hAnsi="Times New Roman" w:cs="Times New Roman" w:eastAsia="Times New Roman" w:hint="default"/>
        </w:rPr>
        <w:t>H</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3"/>
        </w:rPr>
        <w:t>HOLIDAYS</w:t>
      </w:r>
      <w:r>
        <w:rPr>
          <w:spacing w:val="-3"/>
        </w:rPr>
        <w:t>以国宝熊猫为设计元素，定位更加年轻化，主打时尚</w:t>
      </w:r>
      <w:r>
        <w:rPr>
          <w:spacing w:val="-99"/>
        </w:rPr>
        <w:t> </w:t>
      </w:r>
      <w:r>
        <w:rPr>
          <w:spacing w:val="-99"/>
        </w:rPr>
      </w:r>
      <w:r>
        <w:rPr/>
        <w:t>轻奢，专注差异化竞争，</w:t>
      </w:r>
      <w:r>
        <w:rPr>
          <w:spacing w:val="-3"/>
        </w:rPr>
        <w:t> </w:t>
      </w:r>
      <w:r>
        <w:rPr>
          <w:rFonts w:ascii="Times New Roman" w:hAnsi="Times New Roman" w:cs="Times New Roman" w:eastAsia="Times New Roman" w:hint="default"/>
        </w:rPr>
        <w:t>2018</w:t>
      </w:r>
      <w:r>
        <w:rPr/>
        <w:t>销售数据显示，市场份额稳步上升。</w:t>
      </w:r>
    </w:p>
    <w:p>
      <w:pPr>
        <w:pStyle w:val="BodyText"/>
        <w:spacing w:line="398" w:lineRule="auto" w:before="76"/>
        <w:ind w:right="1126" w:firstLine="420"/>
        <w:jc w:val="both"/>
      </w:pPr>
      <w:r>
        <w:rPr>
          <w:rFonts w:ascii="Times New Roman" w:hAnsi="Times New Roman" w:cs="Times New Roman" w:eastAsia="Times New Roman" w:hint="default"/>
          <w:spacing w:val="-1"/>
        </w:rPr>
        <w:t>DIRK</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2"/>
        </w:rPr>
        <w:t>BIKKEMBERGS</w:t>
      </w:r>
      <w:r>
        <w:rPr>
          <w:spacing w:val="-2"/>
        </w:rPr>
        <w:t>是一个时尚的性感和运动的力量衔接的高级运动时尚品牌，揉合建筑、运动、</w:t>
      </w:r>
      <w:r>
        <w:rPr>
          <w:w w:val="100"/>
        </w:rPr>
        <w:t> </w:t>
      </w:r>
      <w:r>
        <w:rPr>
          <w:spacing w:val="-2"/>
        </w:rPr>
        <w:t>高科技以及各种不同范畴的美学于一身的设计灵感，在全球范围内有一定数量的粉丝群体，也是集团下一</w:t>
      </w:r>
      <w:r>
        <w:rPr>
          <w:spacing w:val="-43"/>
        </w:rPr>
        <w:t> </w:t>
      </w:r>
      <w:r>
        <w:rPr>
          <w:spacing w:val="-43"/>
        </w:rPr>
      </w:r>
      <w:r>
        <w:rPr/>
        <w:t>步的核心增长点。</w:t>
      </w:r>
    </w:p>
    <w:p>
      <w:pPr>
        <w:pStyle w:val="BodyText"/>
        <w:spacing w:line="408" w:lineRule="auto" w:before="95"/>
        <w:ind w:right="1126" w:firstLine="420"/>
        <w:jc w:val="both"/>
      </w:pPr>
      <w:r>
        <w:rPr>
          <w:spacing w:val="-7"/>
        </w:rPr>
        <w:t>公司根据业务需求持续拓展品牌资源和拓宽经营品类，经营品类从原有的“服装”为主转变为“服装、</w:t>
      </w:r>
      <w:r>
        <w:rPr>
          <w:w w:val="100"/>
        </w:rPr>
        <w:t> </w:t>
      </w:r>
      <w:r>
        <w:rPr>
          <w:spacing w:val="-2"/>
        </w:rPr>
        <w:t>美妆、鞋类、箱包、精品”等品类并行发展，并通过线下部分传统门店设置智能化体验区，为消费者分享</w:t>
      </w:r>
      <w:r>
        <w:rPr>
          <w:spacing w:val="-42"/>
        </w:rPr>
        <w:t> </w:t>
      </w:r>
      <w:r>
        <w:rPr>
          <w:spacing w:val="-42"/>
        </w:rPr>
      </w:r>
      <w:r>
        <w:rPr>
          <w:spacing w:val="-2"/>
        </w:rPr>
        <w:t>生活方式，及时追踪消费者喜好。借助大数据和移动端，对线下实体商业资源进行网络化、信息化和数字</w:t>
      </w:r>
      <w:r>
        <w:rPr>
          <w:spacing w:val="-50"/>
        </w:rPr>
        <w:t> </w:t>
      </w:r>
      <w:r>
        <w:rPr>
          <w:spacing w:val="-50"/>
        </w:rPr>
      </w:r>
      <w:r>
        <w:rPr>
          <w:spacing w:val="-2"/>
        </w:rPr>
        <w:t>化改造，实现线下消费体验和线上购物便利的双向结合。通过科技创新、互联网行业应用，增强了用户互</w:t>
      </w:r>
      <w:r>
        <w:rPr>
          <w:spacing w:val="-47"/>
        </w:rPr>
        <w:t> </w:t>
      </w:r>
      <w:r>
        <w:rPr>
          <w:spacing w:val="-47"/>
        </w:rPr>
      </w:r>
      <w:r>
        <w:rPr/>
        <w:t>动和粘性。</w:t>
      </w:r>
    </w:p>
    <w:p>
      <w:pPr>
        <w:spacing w:line="420" w:lineRule="auto" w:before="84"/>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、以“科技创新”作为推动公司发展的新动力</w:t>
      </w:r>
      <w:r>
        <w:rPr>
          <w:rFonts w:ascii="宋体" w:hAnsi="宋体" w:cs="宋体" w:eastAsia="宋体" w:hint="default"/>
          <w:b/>
          <w:bCs/>
          <w:w w:val="100"/>
          <w:sz w:val="21"/>
          <w:szCs w:val="21"/>
        </w:rPr>
        <w:t> </w:t>
      </w:r>
      <w:r>
        <w:rPr>
          <w:rFonts w:ascii="宋体" w:hAnsi="宋体" w:cs="宋体" w:eastAsia="宋体" w:hint="default"/>
          <w:spacing w:val="-2"/>
          <w:sz w:val="21"/>
          <w:szCs w:val="21"/>
        </w:rPr>
        <w:t>随着消费结构升级、技术创新加速，零售行业加快转型升级，互联网、大数据、人工智能等新技术与</w:t>
      </w:r>
    </w:p>
    <w:p>
      <w:pPr>
        <w:pStyle w:val="BodyText"/>
        <w:spacing w:line="408" w:lineRule="auto" w:before="35"/>
        <w:ind w:right="1126"/>
        <w:jc w:val="both"/>
      </w:pPr>
      <w:r>
        <w:rPr>
          <w:spacing w:val="-2"/>
        </w:rPr>
        <w:t>传统零售深度融合，新模式、新业态不断涌现，行业呈现出万千气象，公司以“科技创新”作为推动未来</w:t>
      </w:r>
      <w:r>
        <w:rPr>
          <w:spacing w:val="-42"/>
        </w:rPr>
        <w:t> </w:t>
      </w:r>
      <w:r>
        <w:rPr>
          <w:spacing w:val="-42"/>
        </w:rPr>
      </w:r>
      <w:r>
        <w:rPr/>
        <w:t>发展的新动力，报告期内，相关举措如下：</w:t>
      </w:r>
    </w:p>
    <w:p>
      <w:pPr>
        <w:spacing w:after="0" w:line="408"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20" w:lineRule="auto" w:before="36"/>
        <w:ind w:left="533" w:right="0" w:hanging="106"/>
        <w:jc w:val="left"/>
      </w:pPr>
      <w:r>
        <w:rPr/>
        <w:t>（</w:t>
      </w:r>
      <w:r>
        <w:rPr>
          <w:rFonts w:ascii="Times New Roman" w:hAnsi="Times New Roman" w:cs="Times New Roman" w:eastAsia="Times New Roman" w:hint="default"/>
        </w:rPr>
        <w:t>1</w:t>
      </w:r>
      <w:r>
        <w:rPr/>
        <w:t>）合理经营策略下悦然心动的持续稳健增长</w:t>
      </w:r>
      <w:r>
        <w:rPr>
          <w:w w:val="100"/>
        </w:rPr>
        <w:t> </w:t>
      </w:r>
      <w:r>
        <w:rPr>
          <w:spacing w:val="-2"/>
        </w:rPr>
        <w:t>悦然心动的主营业务为移动社交工具类应用的开发和运营，对产品研发完成后，通过苹果、谷歌等应</w:t>
      </w:r>
    </w:p>
    <w:p>
      <w:pPr>
        <w:pStyle w:val="BodyText"/>
        <w:spacing w:line="400" w:lineRule="auto" w:before="35"/>
        <w:ind w:right="1125"/>
        <w:jc w:val="both"/>
      </w:pPr>
      <w:r>
        <w:rPr>
          <w:spacing w:val="-2"/>
        </w:rPr>
        <w:t>用商店上线运营，直达用户。用户可以免费下载相关软件产品，成为悦然心动的用户；如果用户对应用中</w:t>
      </w:r>
      <w:r>
        <w:rPr>
          <w:spacing w:val="-50"/>
        </w:rPr>
        <w:t> </w:t>
      </w:r>
      <w:r>
        <w:rPr>
          <w:spacing w:val="-50"/>
        </w:rPr>
      </w:r>
      <w:r>
        <w:rPr>
          <w:spacing w:val="-7"/>
        </w:rPr>
        <w:t>的高级功能感兴趣，可在应用中付费购买或者完成应用中指定的如观看广告等任务，以“解锁”高级功能。</w:t>
      </w:r>
      <w:r>
        <w:rPr>
          <w:spacing w:val="-17"/>
        </w:rPr>
        <w:t> </w:t>
      </w:r>
      <w:r>
        <w:rPr>
          <w:spacing w:val="-17"/>
        </w:rPr>
      </w:r>
      <w:r>
        <w:rPr>
          <w:spacing w:val="2"/>
        </w:rPr>
        <w:t>悦然心动的盈利主要由广告收入和</w:t>
      </w:r>
      <w:r>
        <w:rPr>
          <w:rFonts w:ascii="宋体" w:hAnsi="宋体" w:cs="宋体" w:eastAsia="宋体" w:hint="default"/>
          <w:spacing w:val="2"/>
        </w:rPr>
        <w:t>IAP</w:t>
      </w:r>
      <w:r>
        <w:rPr>
          <w:spacing w:val="2"/>
        </w:rPr>
        <w:t>收入（</w:t>
      </w:r>
      <w:r>
        <w:rPr>
          <w:rFonts w:ascii="宋体" w:hAnsi="宋体" w:cs="宋体" w:eastAsia="宋体" w:hint="default"/>
          <w:spacing w:val="2"/>
        </w:rPr>
        <w:t>In </w:t>
      </w:r>
      <w:r>
        <w:rPr>
          <w:rFonts w:ascii="宋体" w:hAnsi="宋体" w:cs="宋体" w:eastAsia="宋体" w:hint="default"/>
        </w:rPr>
        <w:t>App purchase</w:t>
      </w:r>
      <w:r>
        <w:rPr/>
        <w:t>）构成。</w:t>
      </w:r>
      <w:r>
        <w:rPr>
          <w:rFonts w:ascii="Times New Roman" w:hAnsi="Times New Roman" w:cs="Times New Roman" w:eastAsia="Times New Roman" w:hint="default"/>
        </w:rPr>
        <w:t>2018</w:t>
      </w:r>
      <w:r>
        <w:rPr/>
        <w:t>年，悦然心动实现营业收入</w:t>
      </w:r>
      <w:r>
        <w:rPr>
          <w:spacing w:val="-89"/>
        </w:rPr>
        <w:t> </w:t>
      </w:r>
      <w:r>
        <w:rPr>
          <w:spacing w:val="-89"/>
        </w:rPr>
      </w:r>
      <w:r>
        <w:rPr>
          <w:rFonts w:ascii="Times New Roman" w:hAnsi="Times New Roman" w:cs="Times New Roman" w:eastAsia="Times New Roman" w:hint="default"/>
        </w:rPr>
        <w:t>37,490.82</w:t>
      </w:r>
      <w:r>
        <w:rPr/>
        <w:t>万元，净利润</w:t>
      </w:r>
      <w:r>
        <w:rPr>
          <w:rFonts w:ascii="Times New Roman" w:hAnsi="Times New Roman" w:cs="Times New Roman" w:eastAsia="Times New Roman" w:hint="default"/>
        </w:rPr>
        <w:t>6,895.73</w:t>
      </w:r>
      <w:r>
        <w:rPr/>
        <w:t>万元。</w:t>
      </w:r>
    </w:p>
    <w:p>
      <w:pPr>
        <w:pStyle w:val="BodyText"/>
        <w:spacing w:line="400" w:lineRule="auto" w:before="60"/>
        <w:ind w:right="1126" w:firstLine="420"/>
        <w:jc w:val="both"/>
      </w:pPr>
      <w:r>
        <w:rPr>
          <w:spacing w:val="-2"/>
        </w:rPr>
        <w:t>报告期内，悦然心动秉承年初制定的经营策略，在完善产品功能、优化产品效率的同时，一方面加大</w:t>
      </w:r>
      <w:r>
        <w:rPr>
          <w:w w:val="100"/>
        </w:rPr>
        <w:t> </w:t>
      </w:r>
      <w:r>
        <w:rPr>
          <w:spacing w:val="-4"/>
        </w:rPr>
        <w:t>力度进行广告投放，从</w:t>
      </w:r>
      <w:r>
        <w:rPr>
          <w:rFonts w:ascii="Times New Roman" w:hAnsi="Times New Roman" w:cs="Times New Roman" w:eastAsia="Times New Roman" w:hint="default"/>
          <w:spacing w:val="-4"/>
        </w:rPr>
        <w:t>Apple</w:t>
      </w:r>
      <w:r>
        <w:rPr>
          <w:spacing w:val="-4"/>
        </w:rPr>
        <w:t>、</w:t>
      </w:r>
      <w:r>
        <w:rPr>
          <w:rFonts w:ascii="Times New Roman" w:hAnsi="Times New Roman" w:cs="Times New Roman" w:eastAsia="Times New Roman" w:hint="default"/>
          <w:spacing w:val="-4"/>
        </w:rPr>
        <w:t>Google</w:t>
      </w:r>
      <w:r>
        <w:rPr>
          <w:spacing w:val="-4"/>
        </w:rPr>
        <w:t>等世界级平台中，通过广告投放方式高效获取用户；一方面顺应海外</w:t>
      </w:r>
      <w:r>
        <w:rPr>
          <w:spacing w:val="-15"/>
        </w:rPr>
        <w:t> </w:t>
      </w:r>
      <w:r>
        <w:rPr>
          <w:spacing w:val="-15"/>
        </w:rPr>
      </w:r>
      <w:r>
        <w:rPr>
          <w:spacing w:val="-2"/>
        </w:rPr>
        <w:t>移动互联网的发展趋势，加强与海外头部广告平台的合作，为广告主提供基于悦然心动产品精准用户画像</w:t>
      </w:r>
      <w:r>
        <w:rPr>
          <w:spacing w:val="-43"/>
        </w:rPr>
        <w:t> </w:t>
      </w:r>
      <w:r>
        <w:rPr>
          <w:spacing w:val="-43"/>
        </w:rPr>
      </w:r>
      <w:r>
        <w:rPr/>
        <w:t>的投放解决方案，实现流量变现。</w:t>
      </w:r>
    </w:p>
    <w:p>
      <w:pPr>
        <w:pStyle w:val="BodyText"/>
        <w:spacing w:line="420" w:lineRule="auto" w:before="93"/>
        <w:ind w:left="533" w:right="0" w:hanging="106"/>
        <w:jc w:val="left"/>
      </w:pPr>
      <w:r>
        <w:rPr/>
        <w:t>（</w:t>
      </w:r>
      <w:r>
        <w:rPr>
          <w:rFonts w:ascii="Times New Roman" w:hAnsi="Times New Roman" w:cs="Times New Roman" w:eastAsia="Times New Roman" w:hint="default"/>
        </w:rPr>
        <w:t>2</w:t>
      </w:r>
      <w:r>
        <w:rPr/>
        <w:t>）投资美国硅谷人工智能</w:t>
      </w:r>
      <w:r>
        <w:rPr>
          <w:rFonts w:ascii="Times New Roman" w:hAnsi="Times New Roman" w:cs="Times New Roman" w:eastAsia="Times New Roman" w:hint="default"/>
        </w:rPr>
        <w:t>YOUSPACE.INC</w:t>
      </w:r>
      <w:r>
        <w:rPr/>
        <w:t>公司</w:t>
      </w:r>
      <w:r>
        <w:rPr>
          <w:w w:val="100"/>
        </w:rPr>
        <w:t> </w:t>
      </w:r>
      <w:r>
        <w:rPr/>
        <w:t>公司投资的美国硅谷创业公司</w:t>
      </w:r>
      <w:r>
        <w:rPr>
          <w:rFonts w:ascii="Times New Roman" w:hAnsi="Times New Roman" w:cs="Times New Roman" w:eastAsia="Times New Roman" w:hint="default"/>
        </w:rPr>
        <w:t>YouSpace</w:t>
      </w:r>
      <w:r>
        <w:rPr/>
        <w:t>拥有的多维深度感测和免触碰遥控技术</w:t>
      </w:r>
      <w:r>
        <w:rPr>
          <w:rFonts w:ascii="Times New Roman" w:hAnsi="Times New Roman" w:cs="Times New Roman" w:eastAsia="Times New Roman" w:hint="default"/>
        </w:rPr>
        <w:t>,</w:t>
      </w:r>
      <w:r>
        <w:rPr/>
        <w:t>使用户无需穿戴任何</w:t>
      </w:r>
    </w:p>
    <w:p>
      <w:pPr>
        <w:pStyle w:val="BodyText"/>
        <w:spacing w:line="386" w:lineRule="auto" w:before="3"/>
        <w:ind w:right="1131"/>
        <w:jc w:val="both"/>
      </w:pPr>
      <w:r>
        <w:rPr/>
        <w:t>设备即可远距离进行精准人机互动</w:t>
      </w:r>
      <w:r>
        <w:rPr>
          <w:rFonts w:ascii="Times New Roman" w:hAnsi="Times New Roman" w:cs="Times New Roman" w:eastAsia="Times New Roman" w:hint="default"/>
        </w:rPr>
        <w:t>,</w:t>
      </w:r>
      <w:r>
        <w:rPr/>
        <w:t>核心产品广泛用于互动购物屏幕、互动广告、交互</w:t>
      </w:r>
      <w:r>
        <w:rPr>
          <w:rFonts w:ascii="Times New Roman" w:hAnsi="Times New Roman" w:cs="Times New Roman" w:eastAsia="Times New Roman" w:hint="default"/>
        </w:rPr>
        <w:t>VR</w:t>
      </w:r>
      <w:r>
        <w:rPr/>
        <w:t>体验及机器人视</w:t>
      </w:r>
      <w:r>
        <w:rPr>
          <w:spacing w:val="-52"/>
        </w:rPr>
        <w:t> </w:t>
      </w:r>
      <w:r>
        <w:rPr>
          <w:spacing w:val="-52"/>
        </w:rPr>
      </w:r>
      <w:r>
        <w:rPr/>
        <w:t>觉等方面。公司正通过</w:t>
      </w:r>
      <w:r>
        <w:rPr>
          <w:rFonts w:ascii="Times New Roman" w:hAnsi="Times New Roman" w:cs="Times New Roman" w:eastAsia="Times New Roman" w:hint="default"/>
        </w:rPr>
        <w:t>YouSpace</w:t>
      </w:r>
      <w:r>
        <w:rPr/>
        <w:t>的技术与工具，进行智能化线上线下购物体验的打造。</w:t>
      </w:r>
    </w:p>
    <w:p>
      <w:pPr>
        <w:pStyle w:val="Heading4"/>
        <w:spacing w:line="240" w:lineRule="auto" w:before="74"/>
        <w:ind w:left="430" w:right="0"/>
        <w:jc w:val="left"/>
        <w:rPr>
          <w:b w:val="0"/>
          <w:bCs w:val="0"/>
        </w:rPr>
      </w:pPr>
      <w:r>
        <w:rPr/>
        <w:t>（三）零售经营情况</w:t>
      </w:r>
      <w:r>
        <w:rPr>
          <w:b w:val="0"/>
          <w:bCs w:val="0"/>
        </w:rPr>
      </w:r>
    </w:p>
    <w:p>
      <w:pPr>
        <w:spacing w:line="240" w:lineRule="auto" w:before="12"/>
        <w:rPr>
          <w:rFonts w:ascii="宋体" w:hAnsi="宋体" w:cs="宋体" w:eastAsia="宋体" w:hint="default"/>
          <w:b/>
          <w:bCs/>
          <w:sz w:val="17"/>
          <w:szCs w:val="17"/>
        </w:rPr>
      </w:pPr>
    </w:p>
    <w:p>
      <w:pPr>
        <w:pStyle w:val="BodyText"/>
        <w:spacing w:line="420" w:lineRule="auto"/>
        <w:ind w:left="533" w:right="0" w:firstLine="2"/>
        <w:jc w:val="left"/>
      </w:pPr>
      <w:r>
        <w:rPr>
          <w:rFonts w:ascii="Times New Roman" w:hAnsi="Times New Roman" w:cs="Times New Roman" w:eastAsia="Times New Roman" w:hint="default"/>
          <w:b/>
          <w:bCs/>
        </w:rPr>
        <w:t>1</w:t>
      </w:r>
      <w:r>
        <w:rPr>
          <w:rFonts w:ascii="宋体" w:hAnsi="宋体" w:cs="宋体" w:eastAsia="宋体" w:hint="default"/>
          <w:b/>
          <w:bCs/>
        </w:rPr>
        <w:t>、门店变动情况</w:t>
      </w:r>
      <w:r>
        <w:rPr>
          <w:rFonts w:ascii="宋体" w:hAnsi="宋体" w:cs="宋体" w:eastAsia="宋体" w:hint="default"/>
          <w:b/>
          <w:bCs/>
          <w:w w:val="100"/>
        </w:rPr>
        <w:t> </w:t>
      </w:r>
      <w:r>
        <w:rPr>
          <w:spacing w:val="-7"/>
        </w:rPr>
        <w:t>截至</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日，公司门店总数</w:t>
      </w:r>
      <w:r>
        <w:rPr>
          <w:rFonts w:ascii="Times New Roman" w:hAnsi="Times New Roman" w:cs="Times New Roman" w:eastAsia="Times New Roman" w:hint="default"/>
          <w:spacing w:val="-7"/>
        </w:rPr>
        <w:t>293</w:t>
      </w:r>
      <w:r>
        <w:rPr>
          <w:spacing w:val="-7"/>
        </w:rPr>
        <w:t>家，直营店</w:t>
      </w:r>
      <w:r>
        <w:rPr>
          <w:rFonts w:ascii="Times New Roman" w:hAnsi="Times New Roman" w:cs="Times New Roman" w:eastAsia="Times New Roman" w:hint="default"/>
          <w:spacing w:val="-7"/>
        </w:rPr>
        <w:t>202</w:t>
      </w:r>
      <w:r>
        <w:rPr>
          <w:spacing w:val="-7"/>
        </w:rPr>
        <w:t>家，加盟店</w:t>
      </w:r>
      <w:r>
        <w:rPr>
          <w:rFonts w:ascii="Times New Roman" w:hAnsi="Times New Roman" w:cs="Times New Roman" w:eastAsia="Times New Roman" w:hint="default"/>
          <w:spacing w:val="-7"/>
        </w:rPr>
        <w:t>91</w:t>
      </w:r>
      <w:r>
        <w:rPr>
          <w:spacing w:val="-7"/>
        </w:rPr>
        <w:t>家，其中卡奴迪路（</w:t>
      </w:r>
      <w:r>
        <w:rPr>
          <w:rFonts w:ascii="Times New Roman" w:hAnsi="Times New Roman" w:cs="Times New Roman" w:eastAsia="Times New Roman" w:hint="default"/>
          <w:spacing w:val="-7"/>
        </w:rPr>
        <w:t>CANUDILO</w:t>
      </w:r>
      <w:r>
        <w:rPr>
          <w:spacing w:val="-7"/>
        </w:rPr>
        <w:t>）</w:t>
      </w:r>
    </w:p>
    <w:p>
      <w:pPr>
        <w:pStyle w:val="BodyText"/>
        <w:spacing w:line="386" w:lineRule="auto" w:before="3"/>
        <w:ind w:right="1128"/>
        <w:jc w:val="both"/>
      </w:pPr>
      <w:r>
        <w:rPr>
          <w:spacing w:val="-2"/>
        </w:rPr>
        <w:t>品牌店</w:t>
      </w:r>
      <w:r>
        <w:rPr>
          <w:rFonts w:ascii="Times New Roman" w:hAnsi="Times New Roman" w:cs="Times New Roman" w:eastAsia="Times New Roman" w:hint="default"/>
          <w:spacing w:val="-2"/>
        </w:rPr>
        <w:t>230</w:t>
      </w:r>
      <w:r>
        <w:rPr>
          <w:spacing w:val="-2"/>
        </w:rPr>
        <w:t>家，</w:t>
      </w:r>
      <w:r>
        <w:rPr>
          <w:rFonts w:ascii="Times New Roman" w:hAnsi="Times New Roman" w:cs="Times New Roman" w:eastAsia="Times New Roman" w:hint="default"/>
          <w:spacing w:val="-2"/>
        </w:rPr>
        <w:t>DIRK</w:t>
      </w:r>
      <w:r>
        <w:rPr>
          <w:rFonts w:ascii="Times New Roman" w:hAnsi="Times New Roman" w:cs="Times New Roman" w:eastAsia="Times New Roman" w:hint="default"/>
        </w:rPr>
        <w:t> </w:t>
      </w:r>
      <w:r>
        <w:rPr>
          <w:rFonts w:ascii="Times New Roman" w:hAnsi="Times New Roman" w:cs="Times New Roman" w:eastAsia="Times New Roman" w:hint="default"/>
          <w:spacing w:val="-2"/>
        </w:rPr>
        <w:t>BIKKEMBERGS</w:t>
      </w:r>
      <w:r>
        <w:rPr>
          <w:spacing w:val="-2"/>
        </w:rPr>
        <w:t>品牌店</w:t>
      </w:r>
      <w:r>
        <w:rPr>
          <w:rFonts w:ascii="Times New Roman" w:hAnsi="Times New Roman" w:cs="Times New Roman" w:eastAsia="Times New Roman" w:hint="default"/>
          <w:spacing w:val="-2"/>
        </w:rPr>
        <w:t>5</w:t>
      </w:r>
      <w:r>
        <w:rPr>
          <w:spacing w:val="-2"/>
        </w:rPr>
        <w:t>家，其它国际代理品牌店</w:t>
      </w:r>
      <w:r>
        <w:rPr>
          <w:rFonts w:ascii="Times New Roman" w:hAnsi="Times New Roman" w:cs="Times New Roman" w:eastAsia="Times New Roman" w:hint="default"/>
          <w:spacing w:val="-2"/>
        </w:rPr>
        <w:t>58</w:t>
      </w:r>
      <w:r>
        <w:rPr>
          <w:spacing w:val="-2"/>
        </w:rPr>
        <w:t>家。报告期内，直营店营业收入</w:t>
      </w:r>
      <w:r>
        <w:rPr>
          <w:spacing w:val="-56"/>
        </w:rPr>
        <w:t> </w:t>
      </w:r>
      <w:r>
        <w:rPr>
          <w:spacing w:val="-56"/>
        </w:rPr>
      </w:r>
      <w:r>
        <w:rPr>
          <w:spacing w:val="-3"/>
        </w:rPr>
        <w:t>为</w:t>
      </w:r>
      <w:r>
        <w:rPr>
          <w:rFonts w:ascii="Times New Roman" w:hAnsi="Times New Roman" w:cs="Times New Roman" w:eastAsia="Times New Roman" w:hint="default"/>
          <w:spacing w:val="-3"/>
        </w:rPr>
        <w:t>621,688,606.01</w:t>
      </w:r>
      <w:r>
        <w:rPr>
          <w:spacing w:val="-3"/>
        </w:rPr>
        <w:t>元，加盟店营业收入为</w:t>
      </w:r>
      <w:r>
        <w:rPr>
          <w:rFonts w:ascii="Times New Roman" w:hAnsi="Times New Roman" w:cs="Times New Roman" w:eastAsia="Times New Roman" w:hint="default"/>
          <w:spacing w:val="-3"/>
        </w:rPr>
        <w:t>72,919,352.65</w:t>
      </w:r>
      <w:r>
        <w:rPr>
          <w:spacing w:val="-3"/>
        </w:rPr>
        <w:t>元，电商营业收入</w:t>
      </w:r>
      <w:r>
        <w:rPr>
          <w:rFonts w:ascii="Times New Roman" w:hAnsi="Times New Roman" w:cs="Times New Roman" w:eastAsia="Times New Roman" w:hint="default"/>
          <w:spacing w:val="-3"/>
        </w:rPr>
        <w:t>369,919,431.06</w:t>
      </w:r>
      <w:r>
        <w:rPr>
          <w:spacing w:val="-3"/>
        </w:rPr>
        <w:t>元，其他零售营业收</w:t>
      </w:r>
      <w:r>
        <w:rPr>
          <w:spacing w:val="9"/>
        </w:rPr>
        <w:t> </w:t>
      </w:r>
      <w:r>
        <w:rPr>
          <w:spacing w:val="9"/>
        </w:rPr>
      </w:r>
      <w:r>
        <w:rPr/>
        <w:t>入</w:t>
      </w:r>
      <w:r>
        <w:rPr>
          <w:rFonts w:ascii="Times New Roman" w:hAnsi="Times New Roman" w:cs="Times New Roman" w:eastAsia="Times New Roman" w:hint="default"/>
        </w:rPr>
        <w:t>111,449,858.98</w:t>
      </w:r>
      <w:r>
        <w:rPr/>
        <w:t>元。报告期内，公司新增门店</w:t>
      </w:r>
      <w:r>
        <w:rPr>
          <w:rFonts w:ascii="Times New Roman" w:hAnsi="Times New Roman" w:cs="Times New Roman" w:eastAsia="Times New Roman" w:hint="default"/>
        </w:rPr>
        <w:t>50</w:t>
      </w:r>
      <w:r>
        <w:rPr/>
        <w:t>家，新增门店面积合计约</w:t>
      </w:r>
      <w:r>
        <w:rPr>
          <w:rFonts w:ascii="Times New Roman" w:hAnsi="Times New Roman" w:cs="Times New Roman" w:eastAsia="Times New Roman" w:hint="default"/>
        </w:rPr>
        <w:t>4000</w:t>
      </w:r>
      <w:r>
        <w:rPr/>
        <w:t>平方米；公司关闭门店</w:t>
      </w:r>
      <w:r>
        <w:rPr>
          <w:rFonts w:ascii="Times New Roman" w:hAnsi="Times New Roman" w:cs="Times New Roman" w:eastAsia="Times New Roman" w:hint="default"/>
        </w:rPr>
        <w:t>64</w:t>
      </w:r>
      <w:r>
        <w:rPr>
          <w:rFonts w:ascii="Times New Roman" w:hAnsi="Times New Roman" w:cs="Times New Roman" w:eastAsia="Times New Roman" w:hint="default"/>
          <w:spacing w:val="16"/>
        </w:rPr>
        <w:t> </w:t>
      </w:r>
      <w:r>
        <w:rPr>
          <w:spacing w:val="-2"/>
        </w:rPr>
        <w:t>家，关闭门店面积合计约</w:t>
      </w:r>
      <w:r>
        <w:rPr>
          <w:rFonts w:ascii="Times New Roman" w:hAnsi="Times New Roman" w:cs="Times New Roman" w:eastAsia="Times New Roman" w:hint="default"/>
          <w:spacing w:val="-2"/>
        </w:rPr>
        <w:t>5200</w:t>
      </w:r>
      <w:r>
        <w:rPr>
          <w:spacing w:val="-2"/>
        </w:rPr>
        <w:t>平方米。新增和关闭门店均为公司正常经营所需，对公司业绩起到动态互补</w:t>
      </w:r>
      <w:r>
        <w:rPr>
          <w:spacing w:val="-44"/>
        </w:rPr>
        <w:t> </w:t>
      </w:r>
      <w:r>
        <w:rPr>
          <w:spacing w:val="-44"/>
        </w:rPr>
      </w:r>
      <w:r>
        <w:rPr/>
        <w:t>作用，未对公司整体业绩造成重大影响。</w:t>
      </w:r>
    </w:p>
    <w:p>
      <w:pPr>
        <w:pStyle w:val="BodyText"/>
        <w:spacing w:line="240" w:lineRule="auto" w:before="103"/>
        <w:ind w:left="533" w:right="0"/>
        <w:jc w:val="left"/>
      </w:pPr>
      <w:r>
        <w:rPr/>
        <w:t>公司整体门店的变动情况如下：</w:t>
      </w:r>
    </w:p>
    <w:p>
      <w:pPr>
        <w:pStyle w:val="BodyText"/>
        <w:spacing w:line="240" w:lineRule="auto" w:before="157"/>
        <w:ind w:left="0" w:right="1131"/>
        <w:jc w:val="right"/>
      </w:pPr>
      <w:r>
        <w:rPr>
          <w:spacing w:val="-7"/>
        </w:rPr>
        <w:t>单位：家</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642"/>
        <w:gridCol w:w="1642"/>
        <w:gridCol w:w="1644"/>
        <w:gridCol w:w="1642"/>
        <w:gridCol w:w="1642"/>
        <w:gridCol w:w="1644"/>
      </w:tblGrid>
      <w:tr>
        <w:trPr>
          <w:trHeight w:val="348" w:hRule="exact"/>
        </w:trPr>
        <w:tc>
          <w:tcPr>
            <w:tcW w:w="1642"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品牌</w:t>
            </w:r>
          </w:p>
        </w:tc>
        <w:tc>
          <w:tcPr>
            <w:tcW w:w="1642"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门店类型</w:t>
            </w:r>
          </w:p>
        </w:tc>
        <w:tc>
          <w:tcPr>
            <w:tcW w:w="1644"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88" w:lineRule="exact"/>
              <w:ind w:left="1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年末数量</w:t>
            </w:r>
          </w:p>
        </w:tc>
        <w:tc>
          <w:tcPr>
            <w:tcW w:w="1642"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88" w:lineRule="exact"/>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年末数量</w:t>
            </w:r>
          </w:p>
        </w:tc>
        <w:tc>
          <w:tcPr>
            <w:tcW w:w="1642"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88" w:lineRule="exact"/>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年新开</w:t>
            </w:r>
          </w:p>
        </w:tc>
        <w:tc>
          <w:tcPr>
            <w:tcW w:w="1644"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88" w:lineRule="exact"/>
              <w:ind w:left="1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年关闭</w:t>
            </w:r>
          </w:p>
        </w:tc>
      </w:tr>
      <w:tr>
        <w:trPr>
          <w:trHeight w:val="346" w:hRule="exact"/>
        </w:trPr>
        <w:tc>
          <w:tcPr>
            <w:tcW w:w="1642" w:type="dxa"/>
            <w:vMerge w:val="restart"/>
            <w:tcBorders>
              <w:top w:val="single" w:sz="10" w:space="0" w:color="933734"/>
              <w:left w:val="single" w:sz="6" w:space="0" w:color="933734"/>
              <w:right w:val="single" w:sz="6" w:space="0" w:color="933734"/>
            </w:tcBorders>
          </w:tcPr>
          <w:p>
            <w:pPr>
              <w:pStyle w:val="TableParagraph"/>
              <w:spacing w:line="267" w:lineRule="exact"/>
              <w:ind w:left="184" w:right="0"/>
              <w:jc w:val="left"/>
              <w:rPr>
                <w:rFonts w:ascii="宋体" w:hAnsi="宋体" w:cs="宋体" w:eastAsia="宋体" w:hint="default"/>
                <w:sz w:val="21"/>
                <w:szCs w:val="21"/>
              </w:rPr>
            </w:pPr>
            <w:r>
              <w:rPr>
                <w:rFonts w:ascii="宋体" w:hAnsi="宋体" w:cs="宋体" w:eastAsia="宋体" w:hint="default"/>
                <w:sz w:val="21"/>
                <w:szCs w:val="21"/>
              </w:rPr>
              <w:t>卡奴迪路</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自营</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4" w:right="0"/>
              <w:jc w:val="left"/>
              <w:rPr>
                <w:rFonts w:ascii="Times New Roman" w:hAnsi="Times New Roman" w:cs="Times New Roman" w:eastAsia="Times New Roman" w:hint="default"/>
                <w:sz w:val="21"/>
                <w:szCs w:val="21"/>
              </w:rPr>
            </w:pPr>
            <w:r>
              <w:rPr>
                <w:rFonts w:ascii="Times New Roman"/>
                <w:sz w:val="21"/>
              </w:rPr>
              <w:t>148</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2" w:right="0"/>
              <w:jc w:val="left"/>
              <w:rPr>
                <w:rFonts w:ascii="Times New Roman" w:hAnsi="Times New Roman" w:cs="Times New Roman" w:eastAsia="Times New Roman" w:hint="default"/>
                <w:sz w:val="21"/>
                <w:szCs w:val="21"/>
              </w:rPr>
            </w:pPr>
            <w:r>
              <w:rPr>
                <w:rFonts w:ascii="Times New Roman"/>
                <w:sz w:val="21"/>
              </w:rPr>
              <w:t>147</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2" w:right="0"/>
              <w:jc w:val="left"/>
              <w:rPr>
                <w:rFonts w:ascii="Times New Roman" w:hAnsi="Times New Roman" w:cs="Times New Roman" w:eastAsia="Times New Roman" w:hint="default"/>
                <w:sz w:val="21"/>
                <w:szCs w:val="21"/>
              </w:rPr>
            </w:pPr>
            <w:r>
              <w:rPr>
                <w:rFonts w:ascii="Times New Roman"/>
                <w:sz w:val="21"/>
              </w:rPr>
              <w:t>20</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4" w:right="0"/>
              <w:jc w:val="left"/>
              <w:rPr>
                <w:rFonts w:ascii="Times New Roman" w:hAnsi="Times New Roman" w:cs="Times New Roman" w:eastAsia="Times New Roman" w:hint="default"/>
                <w:sz w:val="21"/>
                <w:szCs w:val="21"/>
              </w:rPr>
            </w:pPr>
            <w:r>
              <w:rPr>
                <w:rFonts w:ascii="Times New Roman"/>
                <w:sz w:val="21"/>
              </w:rPr>
              <w:t>21</w:t>
            </w:r>
          </w:p>
        </w:tc>
      </w:tr>
      <w:tr>
        <w:trPr>
          <w:trHeight w:val="348" w:hRule="exact"/>
        </w:trPr>
        <w:tc>
          <w:tcPr>
            <w:tcW w:w="1642" w:type="dxa"/>
            <w:vMerge/>
            <w:tcBorders>
              <w:left w:val="single" w:sz="6" w:space="0" w:color="933734"/>
              <w:bottom w:val="single" w:sz="6" w:space="0" w:color="933734"/>
              <w:right w:val="single" w:sz="6" w:space="0" w:color="933734"/>
            </w:tcBorders>
          </w:tcPr>
          <w:p>
            <w:pP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加盟</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left="184" w:right="0"/>
              <w:jc w:val="left"/>
              <w:rPr>
                <w:rFonts w:ascii="Times New Roman" w:hAnsi="Times New Roman" w:cs="Times New Roman" w:eastAsia="Times New Roman" w:hint="default"/>
                <w:sz w:val="21"/>
                <w:szCs w:val="21"/>
              </w:rPr>
            </w:pPr>
            <w:r>
              <w:rPr>
                <w:rFonts w:ascii="Times New Roman"/>
                <w:sz w:val="21"/>
              </w:rPr>
              <w:t>84</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left="182" w:right="0"/>
              <w:jc w:val="left"/>
              <w:rPr>
                <w:rFonts w:ascii="Times New Roman" w:hAnsi="Times New Roman" w:cs="Times New Roman" w:eastAsia="Times New Roman" w:hint="default"/>
                <w:sz w:val="21"/>
                <w:szCs w:val="21"/>
              </w:rPr>
            </w:pPr>
            <w:r>
              <w:rPr>
                <w:rFonts w:ascii="Times New Roman"/>
                <w:sz w:val="21"/>
              </w:rPr>
              <w:t>83</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left="182" w:right="0"/>
              <w:jc w:val="left"/>
              <w:rPr>
                <w:rFonts w:ascii="Times New Roman" w:hAnsi="Times New Roman" w:cs="Times New Roman" w:eastAsia="Times New Roman" w:hint="default"/>
                <w:sz w:val="21"/>
                <w:szCs w:val="21"/>
              </w:rPr>
            </w:pPr>
            <w:r>
              <w:rPr>
                <w:rFonts w:ascii="Times New Roman"/>
                <w:sz w:val="21"/>
              </w:rPr>
              <w:t>23</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left="184" w:right="0"/>
              <w:jc w:val="left"/>
              <w:rPr>
                <w:rFonts w:ascii="Times New Roman" w:hAnsi="Times New Roman" w:cs="Times New Roman" w:eastAsia="Times New Roman" w:hint="default"/>
                <w:sz w:val="21"/>
                <w:szCs w:val="21"/>
              </w:rPr>
            </w:pPr>
            <w:r>
              <w:rPr>
                <w:rFonts w:ascii="Times New Roman"/>
                <w:sz w:val="21"/>
              </w:rPr>
              <w:t>24</w:t>
            </w:r>
          </w:p>
        </w:tc>
      </w:tr>
      <w:tr>
        <w:trPr>
          <w:trHeight w:val="346" w:hRule="exact"/>
        </w:trPr>
        <w:tc>
          <w:tcPr>
            <w:tcW w:w="1642" w:type="dxa"/>
            <w:vMerge w:val="restart"/>
            <w:tcBorders>
              <w:top w:val="single" w:sz="6" w:space="0" w:color="933734"/>
              <w:left w:val="single" w:sz="6" w:space="0" w:color="933734"/>
              <w:right w:val="single" w:sz="6" w:space="0" w:color="933734"/>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代理品牌</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自营</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4" w:right="0"/>
              <w:jc w:val="left"/>
              <w:rPr>
                <w:rFonts w:ascii="Times New Roman" w:hAnsi="Times New Roman" w:cs="Times New Roman" w:eastAsia="Times New Roman" w:hint="default"/>
                <w:sz w:val="21"/>
                <w:szCs w:val="21"/>
              </w:rPr>
            </w:pPr>
            <w:r>
              <w:rPr>
                <w:rFonts w:ascii="Times New Roman"/>
                <w:sz w:val="21"/>
              </w:rPr>
              <w:t>65</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2" w:right="0"/>
              <w:jc w:val="left"/>
              <w:rPr>
                <w:rFonts w:ascii="Times New Roman" w:hAnsi="Times New Roman" w:cs="Times New Roman" w:eastAsia="Times New Roman" w:hint="default"/>
                <w:sz w:val="21"/>
                <w:szCs w:val="21"/>
              </w:rPr>
            </w:pPr>
            <w:r>
              <w:rPr>
                <w:rFonts w:ascii="Times New Roman"/>
                <w:sz w:val="21"/>
              </w:rPr>
              <w:t>55</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2" w:right="0"/>
              <w:jc w:val="left"/>
              <w:rPr>
                <w:rFonts w:ascii="Times New Roman" w:hAnsi="Times New Roman" w:cs="Times New Roman" w:eastAsia="Times New Roman" w:hint="default"/>
                <w:sz w:val="21"/>
                <w:szCs w:val="21"/>
              </w:rPr>
            </w:pPr>
            <w:r>
              <w:rPr>
                <w:rFonts w:ascii="Times New Roman"/>
                <w:w w:val="100"/>
                <w:sz w:val="21"/>
              </w:rPr>
              <w:t>6</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4" w:right="0"/>
              <w:jc w:val="left"/>
              <w:rPr>
                <w:rFonts w:ascii="Times New Roman" w:hAnsi="Times New Roman" w:cs="Times New Roman" w:eastAsia="Times New Roman" w:hint="default"/>
                <w:sz w:val="21"/>
                <w:szCs w:val="21"/>
              </w:rPr>
            </w:pPr>
            <w:r>
              <w:rPr>
                <w:rFonts w:ascii="Times New Roman"/>
                <w:sz w:val="21"/>
              </w:rPr>
              <w:t>16</w:t>
            </w:r>
          </w:p>
        </w:tc>
      </w:tr>
      <w:tr>
        <w:trPr>
          <w:trHeight w:val="348" w:hRule="exact"/>
        </w:trPr>
        <w:tc>
          <w:tcPr>
            <w:tcW w:w="1642" w:type="dxa"/>
            <w:vMerge/>
            <w:tcBorders>
              <w:left w:val="single" w:sz="6" w:space="0" w:color="933734"/>
              <w:bottom w:val="single" w:sz="6" w:space="0" w:color="933734"/>
              <w:right w:val="single" w:sz="6" w:space="0" w:color="933734"/>
            </w:tcBorders>
          </w:tcPr>
          <w:p>
            <w:pP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加盟</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left="184" w:right="0"/>
              <w:jc w:val="left"/>
              <w:rPr>
                <w:rFonts w:ascii="Times New Roman" w:hAnsi="Times New Roman" w:cs="Times New Roman" w:eastAsia="Times New Roman" w:hint="default"/>
                <w:sz w:val="21"/>
                <w:szCs w:val="21"/>
              </w:rPr>
            </w:pPr>
            <w:r>
              <w:rPr>
                <w:rFonts w:ascii="Times New Roman"/>
                <w:sz w:val="21"/>
              </w:rPr>
              <w:t>10</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left="182" w:right="0"/>
              <w:jc w:val="left"/>
              <w:rPr>
                <w:rFonts w:ascii="Times New Roman" w:hAnsi="Times New Roman" w:cs="Times New Roman" w:eastAsia="Times New Roman" w:hint="default"/>
                <w:sz w:val="21"/>
                <w:szCs w:val="21"/>
              </w:rPr>
            </w:pPr>
            <w:r>
              <w:rPr>
                <w:rFonts w:ascii="Times New Roman"/>
                <w:w w:val="100"/>
                <w:sz w:val="21"/>
              </w:rPr>
              <w:t>8</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left="182" w:right="0"/>
              <w:jc w:val="left"/>
              <w:rPr>
                <w:rFonts w:ascii="Times New Roman" w:hAnsi="Times New Roman" w:cs="Times New Roman" w:eastAsia="Times New Roman" w:hint="default"/>
                <w:sz w:val="21"/>
                <w:szCs w:val="21"/>
              </w:rPr>
            </w:pPr>
            <w:r>
              <w:rPr>
                <w:rFonts w:ascii="Times New Roman"/>
                <w:w w:val="100"/>
                <w:sz w:val="21"/>
              </w:rPr>
              <w:t>1</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left="184" w:right="0"/>
              <w:jc w:val="left"/>
              <w:rPr>
                <w:rFonts w:ascii="Times New Roman" w:hAnsi="Times New Roman" w:cs="Times New Roman" w:eastAsia="Times New Roman" w:hint="default"/>
                <w:sz w:val="21"/>
                <w:szCs w:val="21"/>
              </w:rPr>
            </w:pPr>
            <w:r>
              <w:rPr>
                <w:rFonts w:ascii="Times New Roman"/>
                <w:w w:val="100"/>
                <w:sz w:val="21"/>
              </w:rPr>
              <w:t>3</w:t>
            </w:r>
          </w:p>
        </w:tc>
      </w:tr>
      <w:tr>
        <w:trPr>
          <w:trHeight w:val="348" w:hRule="exact"/>
        </w:trPr>
        <w:tc>
          <w:tcPr>
            <w:tcW w:w="3284" w:type="dxa"/>
            <w:gridSpan w:val="2"/>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4" w:right="0"/>
              <w:jc w:val="left"/>
              <w:rPr>
                <w:rFonts w:ascii="Times New Roman" w:hAnsi="Times New Roman" w:cs="Times New Roman" w:eastAsia="Times New Roman" w:hint="default"/>
                <w:sz w:val="21"/>
                <w:szCs w:val="21"/>
              </w:rPr>
            </w:pPr>
            <w:r>
              <w:rPr>
                <w:rFonts w:ascii="Times New Roman"/>
                <w:sz w:val="21"/>
              </w:rPr>
              <w:t>307</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2" w:right="0"/>
              <w:jc w:val="left"/>
              <w:rPr>
                <w:rFonts w:ascii="Times New Roman" w:hAnsi="Times New Roman" w:cs="Times New Roman" w:eastAsia="Times New Roman" w:hint="default"/>
                <w:sz w:val="21"/>
                <w:szCs w:val="21"/>
              </w:rPr>
            </w:pPr>
            <w:r>
              <w:rPr>
                <w:rFonts w:ascii="Times New Roman"/>
                <w:sz w:val="21"/>
              </w:rPr>
              <w:t>293</w:t>
            </w:r>
          </w:p>
        </w:tc>
        <w:tc>
          <w:tcPr>
            <w:tcW w:w="1642"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2" w:right="0"/>
              <w:jc w:val="left"/>
              <w:rPr>
                <w:rFonts w:ascii="Times New Roman" w:hAnsi="Times New Roman" w:cs="Times New Roman" w:eastAsia="Times New Roman" w:hint="default"/>
                <w:sz w:val="21"/>
                <w:szCs w:val="21"/>
              </w:rPr>
            </w:pPr>
            <w:r>
              <w:rPr>
                <w:rFonts w:ascii="Times New Roman"/>
                <w:sz w:val="21"/>
              </w:rPr>
              <w:t>50</w:t>
            </w:r>
          </w:p>
        </w:tc>
        <w:tc>
          <w:tcPr>
            <w:tcW w:w="1644"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left="184" w:right="0"/>
              <w:jc w:val="left"/>
              <w:rPr>
                <w:rFonts w:ascii="Times New Roman" w:hAnsi="Times New Roman" w:cs="Times New Roman" w:eastAsia="Times New Roman" w:hint="default"/>
                <w:sz w:val="21"/>
                <w:szCs w:val="21"/>
              </w:rPr>
            </w:pPr>
            <w:r>
              <w:rPr>
                <w:rFonts w:ascii="Times New Roman"/>
                <w:sz w:val="21"/>
              </w:rPr>
              <w:t>64</w:t>
            </w:r>
          </w:p>
        </w:tc>
      </w:tr>
    </w:tbl>
    <w:p>
      <w:pPr>
        <w:spacing w:line="240" w:lineRule="auto" w:before="3"/>
        <w:rPr>
          <w:rFonts w:ascii="宋体" w:hAnsi="宋体" w:cs="宋体" w:eastAsia="宋体" w:hint="default"/>
          <w:sz w:val="5"/>
          <w:szCs w:val="5"/>
        </w:rPr>
      </w:pPr>
    </w:p>
    <w:p>
      <w:pPr>
        <w:pStyle w:val="Heading4"/>
        <w:spacing w:line="240" w:lineRule="auto" w:before="36"/>
        <w:ind w:left="595" w:right="0"/>
        <w:jc w:val="left"/>
        <w:rPr>
          <w:b w:val="0"/>
          <w:bCs w:val="0"/>
        </w:rPr>
      </w:pPr>
      <w:r>
        <w:rPr>
          <w:rFonts w:ascii="Times New Roman" w:hAnsi="Times New Roman" w:cs="Times New Roman" w:eastAsia="Times New Roman" w:hint="default"/>
        </w:rPr>
        <w:t>2</w:t>
      </w:r>
      <w:r>
        <w:rPr/>
        <w:t>、门店经营情况</w:t>
      </w:r>
      <w:r>
        <w:rPr>
          <w:b w:val="0"/>
          <w:bCs w:val="0"/>
        </w:rPr>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b/>
          <w:bCs/>
          <w:sz w:val="27"/>
          <w:szCs w:val="27"/>
        </w:rPr>
      </w:pPr>
    </w:p>
    <w:p>
      <w:pPr>
        <w:pStyle w:val="BodyText"/>
        <w:spacing w:line="240" w:lineRule="auto" w:before="36"/>
        <w:ind w:left="595" w:right="0"/>
        <w:jc w:val="left"/>
      </w:pPr>
      <w:r>
        <w:rPr>
          <w:rFonts w:ascii="Times New Roman" w:hAnsi="Times New Roman" w:cs="Times New Roman" w:eastAsia="Times New Roman" w:hint="default"/>
        </w:rPr>
        <w:t>2018</w:t>
      </w:r>
      <w:r>
        <w:rPr/>
        <w:t>年度销售收入排前</w:t>
      </w:r>
      <w:r>
        <w:rPr>
          <w:rFonts w:ascii="Times New Roman" w:hAnsi="Times New Roman" w:cs="Times New Roman" w:eastAsia="Times New Roman" w:hint="default"/>
        </w:rPr>
        <w:t>10</w:t>
      </w:r>
      <w:r>
        <w:rPr/>
        <w:t>名的门店信息如下：</w:t>
      </w:r>
    </w:p>
    <w:p>
      <w:pPr>
        <w:spacing w:line="240" w:lineRule="auto" w:before="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66"/>
        <w:gridCol w:w="2209"/>
        <w:gridCol w:w="2897"/>
        <w:gridCol w:w="850"/>
        <w:gridCol w:w="711"/>
        <w:gridCol w:w="850"/>
        <w:gridCol w:w="708"/>
        <w:gridCol w:w="850"/>
      </w:tblGrid>
      <w:tr>
        <w:trPr>
          <w:trHeight w:val="653" w:hRule="exact"/>
        </w:trPr>
        <w:tc>
          <w:tcPr>
            <w:tcW w:w="566"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0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b/>
                <w:bCs/>
                <w:sz w:val="18"/>
                <w:szCs w:val="18"/>
              </w:rPr>
              <w:t>门店名称</w:t>
            </w:r>
            <w:r>
              <w:rPr>
                <w:rFonts w:ascii="宋体" w:hAnsi="宋体" w:cs="宋体" w:eastAsia="宋体" w:hint="default"/>
                <w:sz w:val="18"/>
                <w:szCs w:val="18"/>
              </w:rPr>
            </w:r>
          </w:p>
        </w:tc>
        <w:tc>
          <w:tcPr>
            <w:tcW w:w="2897"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850"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316" w:lineRule="auto" w:before="13"/>
              <w:ind w:left="235" w:right="233"/>
              <w:jc w:val="left"/>
              <w:rPr>
                <w:rFonts w:ascii="宋体" w:hAnsi="宋体" w:cs="宋体" w:eastAsia="宋体" w:hint="default"/>
                <w:sz w:val="18"/>
                <w:szCs w:val="18"/>
              </w:rPr>
            </w:pPr>
            <w:r>
              <w:rPr>
                <w:rFonts w:ascii="宋体" w:hAnsi="宋体" w:cs="宋体" w:eastAsia="宋体" w:hint="default"/>
                <w:b/>
                <w:bCs/>
                <w:sz w:val="18"/>
                <w:szCs w:val="18"/>
              </w:rPr>
              <w:t>开业</w:t>
            </w:r>
            <w:r>
              <w:rPr>
                <w:rFonts w:ascii="宋体" w:hAnsi="宋体" w:cs="宋体" w:eastAsia="宋体" w:hint="default"/>
                <w:b/>
                <w:bCs/>
                <w:spacing w:val="-89"/>
                <w:sz w:val="18"/>
                <w:szCs w:val="18"/>
              </w:rPr>
              <w:t> </w:t>
            </w:r>
            <w:r>
              <w:rPr>
                <w:rFonts w:ascii="宋体" w:hAnsi="宋体" w:cs="宋体" w:eastAsia="宋体" w:hint="default"/>
                <w:b/>
                <w:bCs/>
                <w:sz w:val="18"/>
                <w:szCs w:val="18"/>
              </w:rPr>
              <w:t>时间</w:t>
            </w:r>
            <w:r>
              <w:rPr>
                <w:rFonts w:ascii="宋体" w:hAnsi="宋体" w:cs="宋体" w:eastAsia="宋体" w:hint="default"/>
                <w:sz w:val="18"/>
                <w:szCs w:val="18"/>
              </w:rPr>
            </w:r>
          </w:p>
        </w:tc>
        <w:tc>
          <w:tcPr>
            <w:tcW w:w="711"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M²</w:t>
            </w:r>
            <w:r>
              <w:rPr>
                <w:rFonts w:ascii="宋体" w:hAnsi="宋体" w:cs="宋体" w:eastAsia="宋体" w:hint="default"/>
                <w:b/>
                <w:bCs/>
                <w:sz w:val="18"/>
                <w:szCs w:val="18"/>
              </w:rPr>
              <w:t>）</w:t>
            </w:r>
            <w:r>
              <w:rPr>
                <w:rFonts w:ascii="宋体" w:hAnsi="宋体" w:cs="宋体" w:eastAsia="宋体" w:hint="default"/>
                <w:sz w:val="18"/>
                <w:szCs w:val="18"/>
              </w:rPr>
            </w:r>
          </w:p>
        </w:tc>
        <w:tc>
          <w:tcPr>
            <w:tcW w:w="850"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316" w:lineRule="auto" w:before="13"/>
              <w:ind w:left="235" w:right="233"/>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89"/>
                <w:sz w:val="18"/>
                <w:szCs w:val="18"/>
              </w:rPr>
              <w:t> </w:t>
            </w:r>
            <w:r>
              <w:rPr>
                <w:rFonts w:ascii="宋体" w:hAnsi="宋体" w:cs="宋体" w:eastAsia="宋体" w:hint="default"/>
                <w:b/>
                <w:bCs/>
                <w:sz w:val="18"/>
                <w:szCs w:val="18"/>
              </w:rPr>
              <w:t>业态</w:t>
            </w:r>
            <w:r>
              <w:rPr>
                <w:rFonts w:ascii="宋体" w:hAnsi="宋体" w:cs="宋体" w:eastAsia="宋体" w:hint="default"/>
                <w:sz w:val="18"/>
                <w:szCs w:val="18"/>
              </w:rPr>
            </w:r>
          </w:p>
        </w:tc>
        <w:tc>
          <w:tcPr>
            <w:tcW w:w="708"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316" w:lineRule="auto" w:before="13"/>
              <w:ind w:left="165" w:right="161"/>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89"/>
                <w:sz w:val="18"/>
                <w:szCs w:val="18"/>
              </w:rPr>
              <w:t> </w:t>
            </w:r>
            <w:r>
              <w:rPr>
                <w:rFonts w:ascii="宋体" w:hAnsi="宋体" w:cs="宋体" w:eastAsia="宋体" w:hint="default"/>
                <w:b/>
                <w:bCs/>
                <w:sz w:val="18"/>
                <w:szCs w:val="18"/>
              </w:rPr>
              <w:t>模式</w:t>
            </w:r>
            <w:r>
              <w:rPr>
                <w:rFonts w:ascii="宋体" w:hAnsi="宋体" w:cs="宋体" w:eastAsia="宋体" w:hint="default"/>
                <w:sz w:val="18"/>
                <w:szCs w:val="18"/>
              </w:rPr>
            </w:r>
          </w:p>
        </w:tc>
        <w:tc>
          <w:tcPr>
            <w:tcW w:w="850"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316" w:lineRule="auto" w:before="13"/>
              <w:ind w:left="237" w:right="53" w:hanging="180"/>
              <w:jc w:val="left"/>
              <w:rPr>
                <w:rFonts w:ascii="宋体" w:hAnsi="宋体" w:cs="宋体" w:eastAsia="宋体" w:hint="default"/>
                <w:sz w:val="18"/>
                <w:szCs w:val="18"/>
              </w:rPr>
            </w:pPr>
            <w:r>
              <w:rPr>
                <w:rFonts w:ascii="宋体" w:hAnsi="宋体" w:cs="宋体" w:eastAsia="宋体" w:hint="default"/>
                <w:b/>
                <w:bCs/>
                <w:sz w:val="18"/>
                <w:szCs w:val="18"/>
              </w:rPr>
              <w:t>物业权属</w:t>
            </w:r>
            <w:r>
              <w:rPr>
                <w:rFonts w:ascii="宋体" w:hAnsi="宋体" w:cs="宋体" w:eastAsia="宋体" w:hint="default"/>
                <w:b/>
                <w:bCs/>
                <w:w w:val="99"/>
                <w:sz w:val="18"/>
                <w:szCs w:val="18"/>
              </w:rPr>
              <w:t> </w:t>
            </w:r>
            <w:r>
              <w:rPr>
                <w:rFonts w:ascii="宋体" w:hAnsi="宋体" w:cs="宋体" w:eastAsia="宋体" w:hint="default"/>
                <w:b/>
                <w:bCs/>
                <w:sz w:val="18"/>
                <w:szCs w:val="18"/>
              </w:rPr>
              <w:t>状态</w:t>
            </w:r>
            <w:r>
              <w:rPr>
                <w:rFonts w:ascii="宋体" w:hAnsi="宋体" w:cs="宋体" w:eastAsia="宋体" w:hint="default"/>
                <w:sz w:val="18"/>
                <w:szCs w:val="18"/>
              </w:rPr>
            </w:r>
          </w:p>
        </w:tc>
      </w:tr>
      <w:tr>
        <w:trPr>
          <w:trHeight w:val="470"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澳门巴黎人</w:t>
            </w:r>
            <w:r>
              <w:rPr>
                <w:rFonts w:ascii="Times New Roman" w:hAnsi="Times New Roman" w:cs="Times New Roman" w:eastAsia="Times New Roman" w:hint="default"/>
                <w:sz w:val="18"/>
                <w:szCs w:val="18"/>
              </w:rPr>
              <w:t>ANTONIA</w:t>
            </w:r>
            <w:r>
              <w:rPr>
                <w:rFonts w:ascii="宋体" w:hAnsi="宋体" w:cs="宋体" w:eastAsia="宋体" w:hint="default"/>
                <w:sz w:val="18"/>
                <w:szCs w:val="18"/>
              </w:rPr>
              <w:t>店</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澳门路氹连贯公路澳门巴黎人</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2842</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酒店</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60"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澳门金沙城香水化妆品店</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20"/>
              <w:ind w:left="4" w:right="177"/>
              <w:jc w:val="left"/>
              <w:rPr>
                <w:rFonts w:ascii="宋体" w:hAnsi="宋体" w:cs="宋体" w:eastAsia="宋体" w:hint="default"/>
                <w:sz w:val="18"/>
                <w:szCs w:val="18"/>
              </w:rPr>
            </w:pPr>
            <w:r>
              <w:rPr>
                <w:rFonts w:ascii="宋体" w:hAnsi="宋体" w:cs="宋体" w:eastAsia="宋体" w:hint="default"/>
                <w:sz w:val="18"/>
                <w:szCs w:val="18"/>
              </w:rPr>
              <w:t>澳门氹仔望德圣母湾大马路金沙城 中心</w:t>
            </w:r>
            <w:r>
              <w:rPr>
                <w:rFonts w:ascii="宋体" w:hAnsi="宋体" w:cs="宋体" w:eastAsia="宋体" w:hint="default"/>
                <w:sz w:val="18"/>
                <w:szCs w:val="18"/>
              </w:rPr>
              <w:t>2</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386</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酒店</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60"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17"/>
              <w:ind w:left="4" w:right="27"/>
              <w:jc w:val="left"/>
              <w:rPr>
                <w:rFonts w:ascii="宋体" w:hAnsi="宋体" w:cs="宋体" w:eastAsia="宋体" w:hint="default"/>
                <w:sz w:val="18"/>
                <w:szCs w:val="18"/>
              </w:rPr>
            </w:pPr>
            <w:r>
              <w:rPr>
                <w:rFonts w:ascii="宋体" w:hAnsi="宋体" w:cs="宋体" w:eastAsia="宋体" w:hint="default"/>
                <w:sz w:val="18"/>
                <w:szCs w:val="18"/>
              </w:rPr>
              <w:t>澳门威尼斯人酒店卡奴迪路 店（</w:t>
            </w:r>
            <w:r>
              <w:rPr>
                <w:rFonts w:ascii="宋体" w:hAnsi="宋体" w:cs="宋体" w:eastAsia="宋体" w:hint="default"/>
                <w:sz w:val="18"/>
                <w:szCs w:val="18"/>
              </w:rPr>
              <w:t>CH</w:t>
            </w:r>
            <w:r>
              <w:rPr>
                <w:rFonts w:ascii="宋体" w:hAnsi="宋体" w:cs="宋体" w:eastAsia="宋体" w:hint="default"/>
                <w:sz w:val="18"/>
                <w:szCs w:val="18"/>
              </w:rPr>
              <w:t>）</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17"/>
              <w:ind w:left="4" w:right="177"/>
              <w:jc w:val="left"/>
              <w:rPr>
                <w:rFonts w:ascii="宋体" w:hAnsi="宋体" w:cs="宋体" w:eastAsia="宋体" w:hint="default"/>
                <w:sz w:val="18"/>
                <w:szCs w:val="18"/>
              </w:rPr>
            </w:pPr>
            <w:r>
              <w:rPr>
                <w:rFonts w:ascii="宋体" w:hAnsi="宋体" w:cs="宋体" w:eastAsia="宋体" w:hint="default"/>
                <w:sz w:val="18"/>
                <w:szCs w:val="18"/>
              </w:rPr>
              <w:t>澳门威尼斯人度假村酒店大运河购 物中心鸿日街</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130</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酒店</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58"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澳门金沙城卡奴迪路店</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17"/>
              <w:ind w:left="4" w:right="177"/>
              <w:jc w:val="left"/>
              <w:rPr>
                <w:rFonts w:ascii="宋体" w:hAnsi="宋体" w:cs="宋体" w:eastAsia="宋体" w:hint="default"/>
                <w:sz w:val="18"/>
                <w:szCs w:val="18"/>
              </w:rPr>
            </w:pPr>
            <w:r>
              <w:rPr>
                <w:rFonts w:ascii="宋体" w:hAnsi="宋体" w:cs="宋体" w:eastAsia="宋体" w:hint="default"/>
                <w:sz w:val="18"/>
                <w:szCs w:val="18"/>
              </w:rPr>
              <w:t>澳门氹仔望德圣母湾大马路金沙城 中心</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319</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酒店</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61"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广东珠海机场卡奴迪路店</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CH</w:t>
            </w:r>
            <w:r>
              <w:rPr>
                <w:rFonts w:ascii="宋体" w:hAnsi="宋体" w:cs="宋体" w:eastAsia="宋体" w:hint="default"/>
                <w:sz w:val="18"/>
                <w:szCs w:val="18"/>
              </w:rPr>
              <w:t>）</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19" w:lineRule="auto" w:before="20"/>
              <w:ind w:left="4" w:right="177"/>
              <w:jc w:val="left"/>
              <w:rPr>
                <w:rFonts w:ascii="宋体" w:hAnsi="宋体" w:cs="宋体" w:eastAsia="宋体" w:hint="default"/>
                <w:sz w:val="18"/>
                <w:szCs w:val="18"/>
              </w:rPr>
            </w:pPr>
            <w:r>
              <w:rPr>
                <w:rFonts w:ascii="宋体" w:hAnsi="宋体" w:cs="宋体" w:eastAsia="宋体" w:hint="default"/>
                <w:sz w:val="18"/>
                <w:szCs w:val="18"/>
              </w:rPr>
              <w:t>广东省珠海市金湾区三灶镇海澄机 场候机厅</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97</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机场</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8"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广东珠海机场卡奴迪路店</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17"/>
              <w:ind w:left="4" w:right="175"/>
              <w:jc w:val="left"/>
              <w:rPr>
                <w:rFonts w:ascii="宋体" w:hAnsi="宋体" w:cs="宋体" w:eastAsia="宋体" w:hint="default"/>
                <w:sz w:val="18"/>
                <w:szCs w:val="18"/>
              </w:rPr>
            </w:pPr>
            <w:r>
              <w:rPr>
                <w:rFonts w:ascii="宋体" w:hAnsi="宋体" w:cs="宋体" w:eastAsia="宋体" w:hint="default"/>
                <w:sz w:val="18"/>
                <w:szCs w:val="18"/>
              </w:rPr>
              <w:t>广东省珠海市金湾区三灶镇海澄机 场候机厅</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139.5</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机场</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0"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7</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20"/>
              <w:ind w:left="4" w:right="27"/>
              <w:jc w:val="left"/>
              <w:rPr>
                <w:rFonts w:ascii="宋体" w:hAnsi="宋体" w:cs="宋体" w:eastAsia="宋体" w:hint="default"/>
                <w:sz w:val="18"/>
                <w:szCs w:val="18"/>
              </w:rPr>
            </w:pPr>
            <w:r>
              <w:rPr>
                <w:rFonts w:ascii="宋体" w:hAnsi="宋体" w:cs="宋体" w:eastAsia="宋体" w:hint="default"/>
                <w:sz w:val="18"/>
                <w:szCs w:val="18"/>
              </w:rPr>
              <w:t>陕西西安赛格购物中心卡奴 迪路店（</w:t>
            </w:r>
            <w:r>
              <w:rPr>
                <w:rFonts w:ascii="宋体" w:hAnsi="宋体" w:cs="宋体" w:eastAsia="宋体" w:hint="default"/>
                <w:sz w:val="18"/>
                <w:szCs w:val="18"/>
              </w:rPr>
              <w:t>CH</w:t>
            </w:r>
            <w:r>
              <w:rPr>
                <w:rFonts w:ascii="宋体" w:hAnsi="宋体" w:cs="宋体" w:eastAsia="宋体" w:hint="default"/>
                <w:sz w:val="18"/>
                <w:szCs w:val="18"/>
              </w:rPr>
              <w:t>）</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西安市雁塔区长安中路</w:t>
            </w:r>
            <w:r>
              <w:rPr>
                <w:rFonts w:ascii="宋体" w:hAnsi="宋体" w:cs="宋体" w:eastAsia="宋体" w:hint="default"/>
                <w:sz w:val="18"/>
                <w:szCs w:val="18"/>
              </w:rPr>
              <w:t>123</w:t>
            </w:r>
            <w:r>
              <w:rPr>
                <w:rFonts w:ascii="宋体" w:hAnsi="宋体" w:cs="宋体" w:eastAsia="宋体" w:hint="default"/>
                <w:sz w:val="18"/>
                <w:szCs w:val="18"/>
              </w:rPr>
              <w:t>号赛格国 际购物中心</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104</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购物中心</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0"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8</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17"/>
              <w:ind w:left="4" w:right="27"/>
              <w:jc w:val="left"/>
              <w:rPr>
                <w:rFonts w:ascii="宋体" w:hAnsi="宋体" w:cs="宋体" w:eastAsia="宋体" w:hint="default"/>
                <w:sz w:val="18"/>
                <w:szCs w:val="18"/>
              </w:rPr>
            </w:pPr>
            <w:r>
              <w:rPr>
                <w:rFonts w:ascii="宋体" w:hAnsi="宋体" w:cs="宋体" w:eastAsia="宋体" w:hint="default"/>
                <w:sz w:val="18"/>
                <w:szCs w:val="18"/>
              </w:rPr>
              <w:t>湖南长沙友阿卡奴迪路奥特 莱斯店</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00"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长沙市天心区芙蓉南路</w:t>
            </w:r>
            <w:r>
              <w:rPr>
                <w:rFonts w:ascii="Times New Roman" w:hAnsi="Times New Roman" w:cs="Times New Roman" w:eastAsia="Times New Roman" w:hint="default"/>
                <w:sz w:val="18"/>
                <w:szCs w:val="18"/>
              </w:rPr>
              <w:t>3</w:t>
            </w:r>
            <w:r>
              <w:rPr>
                <w:rFonts w:ascii="宋体" w:hAnsi="宋体" w:cs="宋体" w:eastAsia="宋体" w:hint="default"/>
                <w:sz w:val="18"/>
                <w:szCs w:val="18"/>
              </w:rPr>
              <w:t>段</w:t>
            </w:r>
            <w:r>
              <w:rPr>
                <w:rFonts w:ascii="Times New Roman" w:hAnsi="Times New Roman" w:cs="Times New Roman" w:eastAsia="Times New Roman" w:hint="default"/>
                <w:sz w:val="18"/>
                <w:szCs w:val="18"/>
              </w:rPr>
              <w:t>27</w:t>
            </w:r>
            <w:r>
              <w:rPr>
                <w:rFonts w:ascii="宋体" w:hAnsi="宋体" w:cs="宋体" w:eastAsia="宋体" w:hint="default"/>
                <w:sz w:val="18"/>
                <w:szCs w:val="18"/>
              </w:rPr>
              <w:t>号友谊 阿波罗</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272</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百货商场</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8"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澳门金沙城新秀丽箱包店</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17"/>
              <w:ind w:left="4" w:right="177"/>
              <w:jc w:val="left"/>
              <w:rPr>
                <w:rFonts w:ascii="宋体" w:hAnsi="宋体" w:cs="宋体" w:eastAsia="宋体" w:hint="default"/>
                <w:sz w:val="18"/>
                <w:szCs w:val="18"/>
              </w:rPr>
            </w:pPr>
            <w:r>
              <w:rPr>
                <w:rFonts w:ascii="宋体" w:hAnsi="宋体" w:cs="宋体" w:eastAsia="宋体" w:hint="default"/>
                <w:sz w:val="18"/>
                <w:szCs w:val="18"/>
              </w:rPr>
              <w:t>澳门氹仔望德圣母湾大马路金沙城 中心</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166</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酒店</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租赁物业</w:t>
            </w:r>
          </w:p>
        </w:tc>
      </w:tr>
      <w:tr>
        <w:trPr>
          <w:trHeight w:val="660" w:hRule="exact"/>
        </w:trPr>
        <w:tc>
          <w:tcPr>
            <w:tcW w:w="566"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w:t>
            </w:r>
          </w:p>
        </w:tc>
        <w:tc>
          <w:tcPr>
            <w:tcW w:w="2209"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20"/>
              <w:ind w:left="4" w:right="27"/>
              <w:jc w:val="left"/>
              <w:rPr>
                <w:rFonts w:ascii="宋体" w:hAnsi="宋体" w:cs="宋体" w:eastAsia="宋体" w:hint="default"/>
                <w:sz w:val="18"/>
                <w:szCs w:val="18"/>
              </w:rPr>
            </w:pPr>
            <w:r>
              <w:rPr>
                <w:rFonts w:ascii="宋体" w:hAnsi="宋体" w:cs="宋体" w:eastAsia="宋体" w:hint="default"/>
                <w:sz w:val="18"/>
                <w:szCs w:val="18"/>
              </w:rPr>
              <w:t>江苏南京金鹰卡奴迪路集合 店</w:t>
            </w:r>
          </w:p>
        </w:tc>
        <w:tc>
          <w:tcPr>
            <w:tcW w:w="2897" w:type="dxa"/>
            <w:tcBorders>
              <w:top w:val="single" w:sz="6" w:space="0" w:color="933734"/>
              <w:left w:val="single" w:sz="6" w:space="0" w:color="933734"/>
              <w:bottom w:val="single" w:sz="6" w:space="0" w:color="933734"/>
              <w:right w:val="single" w:sz="6" w:space="0" w:color="933734"/>
            </w:tcBorders>
          </w:tcPr>
          <w:p>
            <w:pPr>
              <w:pStyle w:val="TableParagraph"/>
              <w:spacing w:line="316" w:lineRule="auto" w:before="20"/>
              <w:ind w:left="4" w:right="175"/>
              <w:jc w:val="left"/>
              <w:rPr>
                <w:rFonts w:ascii="宋体" w:hAnsi="宋体" w:cs="宋体" w:eastAsia="宋体" w:hint="default"/>
                <w:sz w:val="18"/>
                <w:szCs w:val="18"/>
              </w:rPr>
            </w:pPr>
            <w:r>
              <w:rPr>
                <w:rFonts w:ascii="宋体" w:hAnsi="宋体" w:cs="宋体" w:eastAsia="宋体" w:hint="default"/>
                <w:sz w:val="18"/>
                <w:szCs w:val="18"/>
              </w:rPr>
              <w:t>江苏省南京市秦淮区汉中路</w:t>
            </w:r>
            <w:r>
              <w:rPr>
                <w:rFonts w:ascii="宋体" w:hAnsi="宋体" w:cs="宋体" w:eastAsia="宋体" w:hint="default"/>
                <w:sz w:val="18"/>
                <w:szCs w:val="18"/>
              </w:rPr>
              <w:t>89</w:t>
            </w:r>
            <w:r>
              <w:rPr>
                <w:rFonts w:ascii="宋体" w:hAnsi="宋体" w:cs="宋体" w:eastAsia="宋体" w:hint="default"/>
                <w:sz w:val="18"/>
                <w:szCs w:val="18"/>
              </w:rPr>
              <w:t>号南 京金鹰国际购物中心</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7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125</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百货商场</w:t>
            </w:r>
          </w:p>
        </w:tc>
        <w:tc>
          <w:tcPr>
            <w:tcW w:w="708"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850"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85" w:lineRule="auto" w:before="0"/>
        <w:ind w:left="113" w:right="49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2"/>
          <w:sz w:val="21"/>
          <w:szCs w:val="21"/>
        </w:rPr>
        <w:t>参见“经营情况讨论与分析”中的“一、概述”相关内容。</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80"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933734"/>
              <w:left w:val="single" w:sz="4" w:space="0" w:color="933734"/>
              <w:right w:val="single" w:sz="4" w:space="0" w:color="933734"/>
            </w:tcBorders>
            <w:shd w:val="clear" w:color="auto" w:fill="E4B8B7"/>
          </w:tcPr>
          <w:p>
            <w:pPr/>
          </w:p>
        </w:tc>
        <w:tc>
          <w:tcPr>
            <w:tcW w:w="318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933734"/>
              <w:bottom w:val="single" w:sz="4" w:space="0" w:color="933734"/>
              <w:right w:val="single" w:sz="4" w:space="0" w:color="933734"/>
            </w:tcBorders>
            <w:shd w:val="clear" w:color="auto" w:fill="E4B8B7"/>
          </w:tcPr>
          <w:p>
            <w:pP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933734"/>
              <w:bottom w:val="single" w:sz="4" w:space="0" w:color="933734"/>
              <w:right w:val="single" w:sz="4" w:space="0" w:color="933734"/>
            </w:tcBorders>
            <w:shd w:val="clear" w:color="auto" w:fill="E4B8B7"/>
          </w:tcPr>
          <w:p>
            <w:pPr/>
          </w:p>
        </w:tc>
      </w:tr>
      <w:tr>
        <w:trPr>
          <w:trHeight w:val="406" w:hRule="exact"/>
        </w:trPr>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1,562,080,400.82</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921,279,626.39</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69.56%</w:t>
            </w:r>
          </w:p>
        </w:tc>
      </w:tr>
      <w:tr>
        <w:trPr>
          <w:trHeight w:val="398" w:hRule="exact"/>
        </w:trPr>
        <w:tc>
          <w:tcPr>
            <w:tcW w:w="9568" w:type="dxa"/>
            <w:gridSpan w:val="6"/>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批发零售业（线 上）</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375,792,029.20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24.06%</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43,205,271.12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769.78%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批发零售业（线 下）</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800,185,219.59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51.23%</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777,333,438.05</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84.38%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w:t>
            </w:r>
          </w:p>
        </w:tc>
      </w:tr>
      <w:tr>
        <w:trPr>
          <w:trHeight w:val="40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374,908,181.89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24.00%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89,070,500.53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9.67%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320.91%</w:t>
            </w:r>
          </w:p>
        </w:tc>
      </w:tr>
      <w:tr>
        <w:trPr>
          <w:trHeight w:val="402"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11,194,970.14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0.72%</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11,670,416.69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w:t>
            </w:r>
          </w:p>
        </w:tc>
      </w:tr>
      <w:tr>
        <w:trPr>
          <w:trHeight w:val="402" w:hRule="exact"/>
        </w:trPr>
        <w:tc>
          <w:tcPr>
            <w:tcW w:w="9568" w:type="dxa"/>
            <w:gridSpan w:val="6"/>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8"/>
                <w:sz w:val="18"/>
                <w:szCs w:val="18"/>
              </w:rPr>
              <w:t>服饰及配件（自有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品牌）</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568,990,071.92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36.43%</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502,266,267.40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54.52%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13.28%</w:t>
            </w:r>
          </w:p>
        </w:tc>
      </w:tr>
      <w:tr>
        <w:trPr>
          <w:trHeight w:val="715"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服饰及配件（代理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品牌）</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469,832,311.21</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30.08%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245,676,489.24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26.67%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91.24%</w:t>
            </w:r>
          </w:p>
        </w:tc>
      </w:tr>
      <w:tr>
        <w:trPr>
          <w:trHeight w:val="71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pacing w:val="-8"/>
                <w:sz w:val="18"/>
                <w:szCs w:val="18"/>
              </w:rPr>
              <w:t>香化产品（代理品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牌）</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137,154,865.66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36,700,920.92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273.71%</w:t>
            </w:r>
          </w:p>
        </w:tc>
      </w:tr>
      <w:tr>
        <w:trPr>
          <w:trHeight w:val="40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科技互联网</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374,908,181.89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24.00%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89,070,500.53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9.67%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320.91%</w:t>
            </w:r>
          </w:p>
        </w:tc>
      </w:tr>
      <w:tr>
        <w:trPr>
          <w:trHeight w:val="401"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百货商场</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35,895,031.61</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11,194,970.14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0.72%</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11,670,416.69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-4.07%</w:t>
            </w:r>
          </w:p>
        </w:tc>
      </w:tr>
      <w:tr>
        <w:trPr>
          <w:trHeight w:val="401" w:hRule="exact"/>
        </w:trPr>
        <w:tc>
          <w:tcPr>
            <w:tcW w:w="9568" w:type="dxa"/>
            <w:gridSpan w:val="6"/>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679,540,179.66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43.50%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684,639,494.14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74.31%</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-0.74%</w:t>
            </w:r>
          </w:p>
        </w:tc>
      </w:tr>
      <w:tr>
        <w:trPr>
          <w:trHeight w:val="40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882,540,221.16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56.50%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236,640,132.25</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25.69%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6"/>
          <w:szCs w:val="26"/>
        </w:rPr>
      </w:pPr>
    </w:p>
    <w:p>
      <w:pPr>
        <w:spacing w:line="439" w:lineRule="auto" w:before="0"/>
        <w:ind w:left="113" w:right="768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公司是否需要遵守特殊行业的披露要求</w:t>
      </w:r>
      <w:r>
        <w:rPr>
          <w:rFonts w:ascii="宋体" w:hAnsi="宋体" w:cs="宋体" w:eastAsia="宋体" w:hint="default"/>
          <w:sz w:val="18"/>
          <w:szCs w:val="18"/>
        </w:rPr>
      </w: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是，零售相关业</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27" w:right="135"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30" w:right="134"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19" w:right="141"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573" w:type="dxa"/>
            <w:gridSpan w:val="7"/>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批发零售业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（线上）</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375,792,029.20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330,468,629.06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769.78%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765.70%</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0.41%</w:t>
            </w:r>
          </w:p>
        </w:tc>
      </w:tr>
      <w:tr>
        <w:trPr>
          <w:trHeight w:val="716"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批发零售业</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（线下）</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800,185,219.59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297,256,458.66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62.85%</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-14.11%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7.37%</w:t>
            </w:r>
          </w:p>
        </w:tc>
      </w:tr>
      <w:tr>
        <w:trPr>
          <w:trHeight w:val="402"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374,908,181.89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281,752,957.28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24.85%</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320.91%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854.21%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-42.00%</w:t>
            </w:r>
          </w:p>
        </w:tc>
      </w:tr>
      <w:tr>
        <w:trPr>
          <w:trHeight w:val="402" w:hRule="exact"/>
        </w:trPr>
        <w:tc>
          <w:tcPr>
            <w:tcW w:w="9573" w:type="dxa"/>
            <w:gridSpan w:val="7"/>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服饰及配件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（自有品牌）</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568,990,071.92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174,731,900.69</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69.29%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13.28%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服饰及配件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469,832,311.21</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360,746,957.86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23.22%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91.24%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132.53%</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香化产品</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137,154,865.66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92,246,229.17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32.74%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273.71%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288.50%</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科技互联网</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374,908,181.89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281,752,957.28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24.85%</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320.91%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854.21%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-42.00%</w:t>
            </w:r>
          </w:p>
        </w:tc>
      </w:tr>
      <w:tr>
        <w:trPr>
          <w:trHeight w:val="401" w:hRule="exact"/>
        </w:trPr>
        <w:tc>
          <w:tcPr>
            <w:tcW w:w="9573" w:type="dxa"/>
            <w:gridSpan w:val="7"/>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679,540,179.66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258,741,240.44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61.92%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-0.74%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-13.79%</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5.76%</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882,540,221.16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655,720,169.68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25.70%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272.95%</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457.15%</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-24.57%</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公司主营业务数据统计口径在报告期发生调整的情况下，公司最近</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年按报告期末口径调整后的主营业务数据</w:t>
      </w:r>
      <w:r>
        <w:rPr>
          <w:rFonts w:ascii="宋体" w:hAnsi="宋体" w:cs="宋体" w:eastAsia="宋体" w:hint="default"/>
          <w:sz w:val="18"/>
          <w:szCs w:val="18"/>
        </w:rPr>
      </w:r>
    </w:p>
    <w:p>
      <w:pPr>
        <w:spacing w:line="240" w:lineRule="auto" w:before="3"/>
        <w:rPr>
          <w:rFonts w:ascii="宋体" w:hAnsi="宋体" w:cs="宋体" w:eastAsia="宋体" w:hint="default"/>
          <w:b/>
          <w:bCs/>
          <w:sz w:val="10"/>
          <w:szCs w:val="10"/>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6"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27" w:right="135"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30" w:right="134"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19" w:right="141"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3" w:type="dxa"/>
            <w:gridSpan w:val="7"/>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批发零售业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（线上）</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375,792,029.20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330,468,629.06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769.78%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765.70%</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0.41%</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批发零售业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（线下）</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800,185,219.59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297,256,458.66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62.85%</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-14.11%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7.37%</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374,908,181.89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281,752,957.28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24.85%</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320.91%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854.21%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-42.00%</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11,194,970.14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4,983,365.12</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55.49%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-4.07%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23.41%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w:t>
            </w:r>
          </w:p>
        </w:tc>
      </w:tr>
      <w:tr>
        <w:trPr>
          <w:trHeight w:val="403" w:hRule="exact"/>
        </w:trPr>
        <w:tc>
          <w:tcPr>
            <w:tcW w:w="9573" w:type="dxa"/>
            <w:gridSpan w:val="7"/>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服饰及配件</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（自有品牌）</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568,990,071.92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174,731,900.69</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69.29%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13.28%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服饰及配件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469,832,311.21</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360,746,957.86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23.22%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91.24%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132.53%</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-13.63%</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香化产品</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137,154,865.66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92,246,229.17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32.74%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273.71%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288.50%</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科技互联网</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374,908,181.89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281,752,957.28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24.85%</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320.91%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854.21%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-42.00%</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百货商场</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7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11,194,970.14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4,983,365.12</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55.49%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-4.07%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23.41%</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w:t>
            </w:r>
          </w:p>
        </w:tc>
      </w:tr>
      <w:tr>
        <w:trPr>
          <w:trHeight w:val="401" w:hRule="exact"/>
        </w:trPr>
        <w:tc>
          <w:tcPr>
            <w:tcW w:w="9573" w:type="dxa"/>
            <w:gridSpan w:val="7"/>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679,540,179.66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258,741,240.44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61.92%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-13.79%</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5.76%</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882,540,221.16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655,720,169.68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25.70%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272.95%</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457.15%</w:t>
            </w:r>
          </w:p>
        </w:tc>
        <w:tc>
          <w:tcPr>
            <w:tcW w:w="13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-24.57%</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变更口径的理由</w:t>
      </w:r>
      <w:r>
        <w:rPr>
          <w:rFonts w:ascii="宋体" w:hAnsi="宋体" w:cs="宋体" w:eastAsia="宋体" w:hint="default"/>
          <w:sz w:val="18"/>
          <w:szCs w:val="18"/>
        </w:rPr>
      </w:r>
    </w:p>
    <w:p>
      <w:pPr>
        <w:spacing w:line="240" w:lineRule="auto" w:before="2"/>
        <w:rPr>
          <w:rFonts w:ascii="宋体" w:hAnsi="宋体" w:cs="宋体" w:eastAsia="宋体" w:hint="default"/>
          <w:b/>
          <w:bCs/>
          <w:sz w:val="19"/>
          <w:szCs w:val="19"/>
        </w:rPr>
      </w:pPr>
    </w:p>
    <w:p>
      <w:pPr>
        <w:pStyle w:val="BodyText"/>
        <w:spacing w:line="240" w:lineRule="auto"/>
        <w:ind w:right="0"/>
        <w:jc w:val="left"/>
      </w:pPr>
      <w:r>
        <w:rPr/>
        <w:t>结合公司现有业务模式对产品分类进行梳理，以更能体现公司目前的业务特点</w:t>
      </w:r>
    </w:p>
    <w:p>
      <w:pPr>
        <w:spacing w:line="240" w:lineRule="auto" w:before="0"/>
        <w:rPr>
          <w:rFonts w:ascii="宋体" w:hAnsi="宋体" w:cs="宋体" w:eastAsia="宋体" w:hint="default"/>
          <w:sz w:val="20"/>
          <w:szCs w:val="20"/>
        </w:rPr>
      </w:pPr>
    </w:p>
    <w:p>
      <w:pPr>
        <w:pStyle w:val="Heading4"/>
        <w:spacing w:line="240" w:lineRule="auto" w:before="152"/>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933734"/>
              <w:left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2,576,648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1,070,283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141.00%</w:t>
            </w:r>
          </w:p>
        </w:tc>
      </w:tr>
      <w:tr>
        <w:trPr>
          <w:trHeight w:val="401" w:hRule="exact"/>
        </w:trPr>
        <w:tc>
          <w:tcPr>
            <w:tcW w:w="1596" w:type="dxa"/>
            <w:vMerge/>
            <w:tcBorders>
              <w:left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2,710,900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1,129,248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140.00%</w:t>
            </w:r>
          </w:p>
        </w:tc>
      </w:tr>
      <w:tr>
        <w:trPr>
          <w:trHeight w:val="403" w:hRule="exact"/>
        </w:trPr>
        <w:tc>
          <w:tcPr>
            <w:tcW w:w="1596" w:type="dxa"/>
            <w:vMerge/>
            <w:tcBorders>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1,167,437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1,033,185</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13.00%</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相关数据同比发生变动</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以上的原因说明</w:t>
      </w:r>
      <w:r>
        <w:rPr>
          <w:rFonts w:ascii="宋体" w:hAnsi="宋体" w:cs="宋体" w:eastAsia="宋体" w:hint="default"/>
          <w:sz w:val="18"/>
          <w:szCs w:val="18"/>
        </w:rPr>
      </w:r>
    </w:p>
    <w:p>
      <w:pPr>
        <w:spacing w:line="240" w:lineRule="auto" w:before="8"/>
        <w:rPr>
          <w:rFonts w:ascii="宋体" w:hAnsi="宋体" w:cs="宋体" w:eastAsia="宋体" w:hint="default"/>
          <w:b/>
          <w:bCs/>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t>主要为本年销售收入同比增长</w:t>
      </w:r>
      <w:r>
        <w:rPr>
          <w:rFonts w:ascii="Times New Roman" w:hAnsi="Times New Roman" w:cs="Times New Roman" w:eastAsia="Times New Roman" w:hint="default"/>
        </w:rPr>
        <w:t>69.56%</w:t>
      </w:r>
      <w:r>
        <w:rPr/>
        <w:t>引起销售数量及生产量增加。</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5" w:hRule="exact"/>
        </w:trPr>
        <w:tc>
          <w:tcPr>
            <w:tcW w:w="1368" w:type="dxa"/>
            <w:vMerge/>
            <w:tcBorders>
              <w:left w:val="single" w:sz="4" w:space="0" w:color="933734"/>
              <w:bottom w:val="single" w:sz="4" w:space="0" w:color="933734"/>
              <w:right w:val="single" w:sz="4" w:space="0" w:color="933734"/>
            </w:tcBorders>
            <w:shd w:val="clear" w:color="auto" w:fill="E4B8B7"/>
          </w:tcPr>
          <w:p>
            <w:pPr/>
          </w:p>
        </w:tc>
        <w:tc>
          <w:tcPr>
            <w:tcW w:w="1369" w:type="dxa"/>
            <w:vMerge/>
            <w:tcBorders>
              <w:left w:val="single" w:sz="4" w:space="0" w:color="933734"/>
              <w:bottom w:val="single" w:sz="4" w:space="0" w:color="933734"/>
              <w:right w:val="single" w:sz="4" w:space="0" w:color="933734"/>
            </w:tcBorders>
            <w:shd w:val="clear" w:color="auto" w:fill="E4B8B7"/>
          </w:tcPr>
          <w:p>
            <w:pP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588" w:right="135"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587" w:right="134"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vMerge/>
            <w:tcBorders>
              <w:left w:val="single" w:sz="4" w:space="0" w:color="933734"/>
              <w:bottom w:val="single" w:sz="4" w:space="0" w:color="933734"/>
              <w:right w:val="single" w:sz="4" w:space="0" w:color="933734"/>
            </w:tcBorders>
            <w:shd w:val="clear" w:color="auto" w:fill="E4B8B7"/>
          </w:tcPr>
          <w:p>
            <w:pP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批发零售业</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（线上）</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服饰配件、香 化</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330,468,629.06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36.14%</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38,173,553.69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9.14%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765.70%</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批发零售业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（线下）</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服饰配件、香 化</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297,256,458.66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32.51%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346,085,038.81</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82.83%</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-14.11%</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移动应用产品</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281,752,957.28</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30.81%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29,527,346.10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854.21%</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4,983,365.12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0.54%</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4,037,922.31</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23.41%</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68" w:type="dxa"/>
            <w:vMerge/>
            <w:tcBorders>
              <w:left w:val="single" w:sz="4" w:space="0" w:color="933734"/>
              <w:bottom w:val="single" w:sz="4" w:space="0" w:color="933734"/>
              <w:right w:val="single" w:sz="4" w:space="0" w:color="933734"/>
            </w:tcBorders>
            <w:shd w:val="clear" w:color="auto" w:fill="E4B8B7"/>
          </w:tcPr>
          <w:p>
            <w:pPr/>
          </w:p>
        </w:tc>
        <w:tc>
          <w:tcPr>
            <w:tcW w:w="1369" w:type="dxa"/>
            <w:vMerge/>
            <w:tcBorders>
              <w:left w:val="single" w:sz="4" w:space="0" w:color="933734"/>
              <w:bottom w:val="single" w:sz="4" w:space="0" w:color="933734"/>
              <w:right w:val="single" w:sz="4" w:space="0" w:color="933734"/>
            </w:tcBorders>
            <w:shd w:val="clear" w:color="auto" w:fill="E4B8B7"/>
          </w:tcPr>
          <w:p>
            <w:pP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588" w:right="135"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587" w:right="134"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vMerge/>
            <w:tcBorders>
              <w:left w:val="single" w:sz="4" w:space="0" w:color="933734"/>
              <w:bottom w:val="single" w:sz="4" w:space="0" w:color="933734"/>
              <w:right w:val="single" w:sz="4" w:space="0" w:color="933734"/>
            </w:tcBorders>
            <w:shd w:val="clear" w:color="auto" w:fill="E4B8B7"/>
          </w:tcPr>
          <w:p>
            <w:pPr/>
          </w:p>
        </w:tc>
      </w:tr>
      <w:tr>
        <w:trPr>
          <w:trHeight w:val="716"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服饰及配件</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（自有品牌）</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174,731,900.69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19.11%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173,676,087.28</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41.57%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0.61%</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服饰及配件</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360,746,957.86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39.45%</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155,137,265.66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37.13%</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132.53%</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香化产品（代 理品牌）</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香化</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92,246,229.17</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10.09%</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23,744,445.34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288.50%</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科技互联网</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移动应用产品</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281,752,957.28</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30.81%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29,527,346.10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854.21%</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百货商场</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百货商场</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31,700,794.22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7.59%</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4"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4,983,365.12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790" w:right="0"/>
              <w:jc w:val="left"/>
              <w:rPr>
                <w:rFonts w:ascii="Times New Roman" w:hAnsi="Times New Roman" w:cs="Times New Roman" w:eastAsia="Times New Roman" w:hint="default"/>
                <w:sz w:val="18"/>
                <w:szCs w:val="18"/>
              </w:rPr>
            </w:pPr>
            <w:r>
              <w:rPr>
                <w:rFonts w:ascii="Times New Roman"/>
                <w:sz w:val="18"/>
              </w:rPr>
              <w:t>0.54%</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4,037,922.31</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23.41%</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13"/>
          <w:szCs w:val="13"/>
        </w:rPr>
      </w:pPr>
    </w:p>
    <w:p>
      <w:pPr>
        <w:pStyle w:val="BodyText"/>
        <w:spacing w:line="393" w:lineRule="auto"/>
        <w:ind w:right="0" w:firstLine="314"/>
        <w:jc w:val="left"/>
      </w:pPr>
      <w:r>
        <w:rPr/>
        <w:t>（</w:t>
      </w:r>
      <w:r>
        <w:rPr>
          <w:rFonts w:ascii="Times New Roman" w:hAnsi="Times New Roman" w:cs="Times New Roman" w:eastAsia="Times New Roman" w:hint="default"/>
        </w:rPr>
        <w:t>1</w:t>
      </w:r>
      <w:r>
        <w:rPr/>
        <w:t>）合并范围增加：香港一方网络科技有限公司、骏优集团有限公司为非同一控制下合并的子公司，</w:t>
      </w:r>
      <w:r>
        <w:rPr>
          <w:w w:val="100"/>
        </w:rPr>
        <w:t> </w:t>
      </w:r>
      <w:r>
        <w:rPr>
          <w:spacing w:val="-2"/>
        </w:rPr>
        <w:t>自合并日起纳入合并范围；广州伊韵电子商贸有限公司、美年电子商贸（广州）有限公司、广州美年科技</w:t>
      </w:r>
      <w:r>
        <w:rPr>
          <w:spacing w:val="-43"/>
        </w:rPr>
        <w:t> </w:t>
      </w:r>
      <w:r>
        <w:rPr>
          <w:spacing w:val="-43"/>
        </w:rPr>
      </w:r>
      <w:r>
        <w:rPr>
          <w:spacing w:val="-3"/>
        </w:rPr>
        <w:t>有限公司、广州天美电子商贸有限公司、广州摩登时尚鞋业有限公司、</w:t>
      </w:r>
      <w:r>
        <w:rPr>
          <w:rFonts w:ascii="Times New Roman" w:hAnsi="Times New Roman" w:cs="Times New Roman" w:eastAsia="Times New Roman" w:hint="default"/>
          <w:spacing w:val="-3"/>
        </w:rPr>
        <w:t>EBC,INC.</w:t>
      </w:r>
      <w:r>
        <w:rPr>
          <w:spacing w:val="-3"/>
        </w:rPr>
        <w:t>、武汉乐玩互动网络科技</w:t>
      </w:r>
      <w:r>
        <w:rPr>
          <w:spacing w:val="-24"/>
        </w:rPr>
        <w:t> </w:t>
      </w:r>
      <w:r>
        <w:rPr>
          <w:spacing w:val="-24"/>
        </w:rPr>
      </w:r>
      <w:r>
        <w:rPr/>
        <w:t>有限公司为公司的控股孙公司，自成立日起纳入合并范围。</w:t>
      </w:r>
    </w:p>
    <w:p>
      <w:pPr>
        <w:pStyle w:val="BodyText"/>
        <w:spacing w:line="240" w:lineRule="auto" w:before="97"/>
        <w:ind w:left="427" w:right="0"/>
        <w:jc w:val="left"/>
      </w:pPr>
      <w:r>
        <w:rPr/>
        <w:t>（</w:t>
      </w:r>
      <w:r>
        <w:rPr>
          <w:rFonts w:ascii="Times New Roman" w:hAnsi="Times New Roman" w:cs="Times New Roman" w:eastAsia="Times New Roman" w:hint="default"/>
        </w:rPr>
        <w:t>2</w:t>
      </w:r>
      <w:r>
        <w:rPr/>
        <w:t>）合并范围减少：</w:t>
      </w:r>
      <w:r>
        <w:rPr>
          <w:rFonts w:ascii="Times New Roman" w:hAnsi="Times New Roman" w:cs="Times New Roman" w:eastAsia="Times New Roman" w:hint="default"/>
        </w:rPr>
        <w:t>EBC,INC.</w:t>
      </w:r>
      <w:r>
        <w:rPr/>
        <w:t>自注销日起不再纳入合并范围。</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3"/>
      </w:tblGrid>
      <w:tr>
        <w:trPr>
          <w:trHeight w:val="402" w:hRule="exact"/>
        </w:trPr>
        <w:tc>
          <w:tcPr>
            <w:tcW w:w="425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588,244,761.46</w:t>
            </w:r>
          </w:p>
        </w:tc>
      </w:tr>
      <w:tr>
        <w:trPr>
          <w:trHeight w:val="402" w:hRule="exact"/>
        </w:trPr>
        <w:tc>
          <w:tcPr>
            <w:tcW w:w="425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37.93%</w:t>
            </w:r>
          </w:p>
        </w:tc>
      </w:tr>
      <w:tr>
        <w:trPr>
          <w:trHeight w:val="715" w:hRule="exact"/>
        </w:trPr>
        <w:tc>
          <w:tcPr>
            <w:tcW w:w="425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THE </w:t>
            </w:r>
            <w:r>
              <w:rPr>
                <w:rFonts w:ascii="Times New Roman"/>
                <w:spacing w:val="-4"/>
                <w:sz w:val="18"/>
              </w:rPr>
              <w:t>SPACE </w:t>
            </w:r>
            <w:r>
              <w:rPr>
                <w:rFonts w:ascii="Times New Roman"/>
                <w:sz w:val="18"/>
              </w:rPr>
              <w:t>VIP</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190,668,348.91</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12.29%</w:t>
            </w:r>
          </w:p>
        </w:tc>
      </w:tr>
      <w:tr>
        <w:trPr>
          <w:trHeight w:val="401" w:hRule="exact"/>
        </w:trPr>
        <w:tc>
          <w:tcPr>
            <w:tcW w:w="8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APPLE</w:t>
            </w:r>
            <w:r>
              <w:rPr>
                <w:rFonts w:ascii="Times New Roman"/>
                <w:spacing w:val="-2"/>
                <w:sz w:val="18"/>
              </w:rPr>
              <w:t> </w:t>
            </w:r>
            <w:r>
              <w:rPr>
                <w:rFonts w:ascii="Times New Roman"/>
                <w:sz w:val="18"/>
              </w:rPr>
              <w:t>INC</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136,856,878.75</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8.82%</w:t>
            </w:r>
          </w:p>
        </w:tc>
      </w:tr>
      <w:tr>
        <w:trPr>
          <w:trHeight w:val="403" w:hRule="exact"/>
        </w:trPr>
        <w:tc>
          <w:tcPr>
            <w:tcW w:w="8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GOOGLE</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134,914,329.11</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8.70%</w:t>
            </w:r>
          </w:p>
        </w:tc>
      </w:tr>
      <w:tr>
        <w:trPr>
          <w:trHeight w:val="401" w:hRule="exact"/>
        </w:trPr>
        <w:tc>
          <w:tcPr>
            <w:tcW w:w="8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facebook</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68,833,239.38</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4.44%</w:t>
            </w:r>
          </w:p>
        </w:tc>
      </w:tr>
      <w:tr>
        <w:trPr>
          <w:trHeight w:val="404" w:hRule="exact"/>
        </w:trPr>
        <w:tc>
          <w:tcPr>
            <w:tcW w:w="8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天猫</w:t>
            </w:r>
            <w:r>
              <w:rPr>
                <w:rFonts w:ascii="Times New Roman" w:hAnsi="Times New Roman" w:cs="Times New Roman" w:eastAsia="Times New Roman" w:hint="default"/>
                <w:sz w:val="18"/>
                <w:szCs w:val="18"/>
              </w:rPr>
              <w:t>-</w:t>
            </w:r>
            <w:r>
              <w:rPr>
                <w:rFonts w:ascii="宋体" w:hAnsi="宋体" w:cs="宋体" w:eastAsia="宋体" w:hint="default"/>
                <w:sz w:val="18"/>
                <w:szCs w:val="18"/>
              </w:rPr>
              <w:t>美迪惠尔旗舰店</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56,971,965.31</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3.67%</w:t>
            </w:r>
          </w:p>
        </w:tc>
      </w:tr>
      <w:tr>
        <w:trPr>
          <w:trHeight w:val="403" w:hRule="exact"/>
        </w:trPr>
        <w:tc>
          <w:tcPr>
            <w:tcW w:w="8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588,244,761.46</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37.93%</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主要客户其他情况说明</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line="360" w:lineRule="auto" w:before="0"/>
        <w:ind w:left="113" w:right="9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283,837,914.62</w:t>
            </w:r>
          </w:p>
        </w:tc>
      </w:tr>
      <w:tr>
        <w:trPr>
          <w:trHeight w:val="401" w:hRule="exact"/>
        </w:trPr>
        <w:tc>
          <w:tcPr>
            <w:tcW w:w="425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31.30%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257"/>
        <w:gridCol w:w="5313"/>
      </w:tblGrid>
      <w:tr>
        <w:trPr>
          <w:trHeight w:val="716" w:hRule="exact"/>
        </w:trPr>
        <w:tc>
          <w:tcPr>
            <w:tcW w:w="425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2"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Applovin</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84,488,149.62</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9.32%</w:t>
            </w:r>
          </w:p>
        </w:tc>
      </w:tr>
      <w:tr>
        <w:trPr>
          <w:trHeight w:val="401" w:hRule="exact"/>
        </w:trPr>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L&amp;P COSMETIC</w:t>
            </w:r>
            <w:r>
              <w:rPr>
                <w:rFonts w:ascii="Times New Roman"/>
                <w:spacing w:val="-10"/>
                <w:sz w:val="18"/>
              </w:rPr>
              <w:t> </w:t>
            </w:r>
            <w:r>
              <w:rPr>
                <w:rFonts w:ascii="Times New Roman"/>
                <w:spacing w:val="-3"/>
                <w:sz w:val="18"/>
              </w:rPr>
              <w:t>CO.,LTD</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59,589,457.45</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6.57%</w:t>
            </w:r>
          </w:p>
        </w:tc>
      </w:tr>
      <w:tr>
        <w:trPr>
          <w:trHeight w:val="715" w:hRule="exact"/>
        </w:trPr>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933734"/>
              <w:left w:val="single" w:sz="4" w:space="0" w:color="933734"/>
              <w:bottom w:val="single" w:sz="4" w:space="0" w:color="933734"/>
              <w:right w:val="single" w:sz="4" w:space="0" w:color="933734"/>
            </w:tcBorders>
          </w:tcPr>
          <w:p>
            <w:pPr>
              <w:pStyle w:val="TableParagraph"/>
              <w:spacing w:line="360" w:lineRule="auto" w:before="93"/>
              <w:ind w:left="103" w:right="139"/>
              <w:jc w:val="left"/>
              <w:rPr>
                <w:rFonts w:ascii="Times New Roman" w:hAnsi="Times New Roman" w:cs="Times New Roman" w:eastAsia="Times New Roman" w:hint="default"/>
                <w:sz w:val="18"/>
                <w:szCs w:val="18"/>
              </w:rPr>
            </w:pPr>
            <w:r>
              <w:rPr>
                <w:rFonts w:ascii="Times New Roman"/>
                <w:spacing w:val="-1"/>
                <w:sz w:val="18"/>
              </w:rPr>
              <w:t>MEETSONIAL(HONGKONG)DIGITA</w:t>
            </w:r>
            <w:r>
              <w:rPr>
                <w:rFonts w:ascii="Times New Roman"/>
                <w:spacing w:val="-42"/>
                <w:sz w:val="18"/>
              </w:rPr>
              <w:t> </w:t>
            </w:r>
            <w:r>
              <w:rPr>
                <w:rFonts w:ascii="Times New Roman"/>
                <w:spacing w:val="-42"/>
                <w:sz w:val="18"/>
              </w:rPr>
            </w:r>
            <w:r>
              <w:rPr>
                <w:rFonts w:ascii="Times New Roman"/>
                <w:sz w:val="18"/>
              </w:rPr>
              <w:t>L MARKETING CO</w:t>
            </w:r>
            <w:r>
              <w:rPr>
                <w:rFonts w:ascii="Times New Roman"/>
                <w:spacing w:val="-14"/>
                <w:sz w:val="18"/>
              </w:rPr>
              <w:t> </w:t>
            </w:r>
            <w:r>
              <w:rPr>
                <w:rFonts w:ascii="Times New Roman"/>
                <w:sz w:val="18"/>
              </w:rPr>
              <w:t>LIMITED</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59,399,817.84</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6.55%</w:t>
            </w:r>
          </w:p>
        </w:tc>
      </w:tr>
      <w:tr>
        <w:trPr>
          <w:trHeight w:val="401" w:hRule="exact"/>
        </w:trPr>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Heinemann Asia Pacific Pte</w:t>
            </w:r>
            <w:r>
              <w:rPr>
                <w:rFonts w:ascii="Times New Roman"/>
                <w:spacing w:val="-16"/>
                <w:sz w:val="18"/>
              </w:rPr>
              <w:t> </w:t>
            </w:r>
            <w:r>
              <w:rPr>
                <w:rFonts w:ascii="Times New Roman"/>
                <w:sz w:val="18"/>
              </w:rPr>
              <w:t>Ltd</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43,738,937.56</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4.82%</w:t>
            </w:r>
          </w:p>
        </w:tc>
      </w:tr>
      <w:tr>
        <w:trPr>
          <w:trHeight w:val="403" w:hRule="exact"/>
        </w:trPr>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纪梵希（上海）商贸有限公司</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36,621,552.15</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4.04%</w:t>
            </w:r>
          </w:p>
        </w:tc>
      </w:tr>
      <w:tr>
        <w:trPr>
          <w:trHeight w:val="404" w:hRule="exact"/>
        </w:trPr>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283,837,914.62</w:t>
            </w:r>
          </w:p>
        </w:tc>
        <w:tc>
          <w:tcPr>
            <w:tcW w:w="31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31.30%</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主要供应商其他情况说明</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1417"/>
        <w:gridCol w:w="1418"/>
        <w:gridCol w:w="1277"/>
        <w:gridCol w:w="3899"/>
      </w:tblGrid>
      <w:tr>
        <w:trPr>
          <w:trHeight w:val="403" w:hRule="exact"/>
        </w:trPr>
        <w:tc>
          <w:tcPr>
            <w:tcW w:w="156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41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89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49" w:hRule="exact"/>
        </w:trPr>
        <w:tc>
          <w:tcPr>
            <w:tcW w:w="15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368,811,851.85</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327,501,184.46</w:t>
            </w:r>
          </w:p>
        </w:tc>
        <w:tc>
          <w:tcPr>
            <w:tcW w:w="1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12.61%</w:t>
            </w:r>
          </w:p>
        </w:tc>
        <w:tc>
          <w:tcPr>
            <w:tcW w:w="3899"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23"/>
              <w:jc w:val="both"/>
              <w:rPr>
                <w:rFonts w:ascii="宋体" w:hAnsi="宋体" w:cs="宋体" w:eastAsia="宋体" w:hint="default"/>
                <w:sz w:val="18"/>
                <w:szCs w:val="18"/>
              </w:rPr>
            </w:pPr>
            <w:r>
              <w:rPr>
                <w:rFonts w:ascii="宋体" w:hAnsi="宋体" w:cs="宋体" w:eastAsia="宋体" w:hint="default"/>
                <w:sz w:val="18"/>
                <w:szCs w:val="18"/>
              </w:rPr>
              <w:t>报告期销售费用较上年增加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4,131.07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 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12.61%</w:t>
            </w:r>
            <w:r>
              <w:rPr>
                <w:rFonts w:ascii="宋体" w:hAnsi="宋体" w:cs="宋体" w:eastAsia="宋体" w:hint="default"/>
                <w:sz w:val="18"/>
                <w:szCs w:val="18"/>
              </w:rPr>
              <w:t>，主要报告期公司营业收入增加，相 应的工资及福利费较上年增加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1,097.16 </w:t>
            </w:r>
            <w:r>
              <w:rPr>
                <w:rFonts w:ascii="宋体" w:hAnsi="宋体" w:cs="宋体" w:eastAsia="宋体" w:hint="default"/>
                <w:sz w:val="18"/>
                <w:szCs w:val="18"/>
              </w:rPr>
              <w:t>万元；</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广告费较上年增加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3,211.40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万元，办公、差旅</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等其他费用较上年增加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963" w:hRule="exact"/>
        </w:trPr>
        <w:tc>
          <w:tcPr>
            <w:tcW w:w="15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113,179,791.99</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78,257,250.17</w:t>
            </w:r>
          </w:p>
        </w:tc>
        <w:tc>
          <w:tcPr>
            <w:tcW w:w="1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44.63%</w:t>
            </w:r>
          </w:p>
        </w:tc>
        <w:tc>
          <w:tcPr>
            <w:tcW w:w="3899"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23"/>
              <w:jc w:val="both"/>
              <w:rPr>
                <w:rFonts w:ascii="宋体" w:hAnsi="宋体" w:cs="宋体" w:eastAsia="宋体" w:hint="default"/>
                <w:sz w:val="18"/>
                <w:szCs w:val="18"/>
              </w:rPr>
            </w:pPr>
            <w:r>
              <w:rPr>
                <w:rFonts w:ascii="宋体" w:hAnsi="宋体" w:cs="宋体" w:eastAsia="宋体" w:hint="default"/>
                <w:sz w:val="18"/>
                <w:szCs w:val="18"/>
              </w:rPr>
              <w:t>报告期管理费用较上年增加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3,492.25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 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44.63%</w:t>
            </w:r>
            <w:r>
              <w:rPr>
                <w:rFonts w:ascii="宋体" w:hAnsi="宋体" w:cs="宋体" w:eastAsia="宋体" w:hint="default"/>
                <w:sz w:val="18"/>
                <w:szCs w:val="18"/>
              </w:rPr>
              <w:t>，主要是报告期公司营业收入增加， 相应的工资及福利费用较上年增加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1,171.09 </w:t>
            </w:r>
            <w:r>
              <w:rPr>
                <w:rFonts w:ascii="宋体" w:hAnsi="宋体" w:cs="宋体" w:eastAsia="宋体" w:hint="default"/>
                <w:sz w:val="18"/>
                <w:szCs w:val="18"/>
              </w:rPr>
              <w:t>万</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元，折旧费较上年增加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万元，办公、差</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旅及其他费用较上年增加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741.94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万元，中介机</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构费用较上年增加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569.29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5" w:hRule="exact"/>
        </w:trPr>
        <w:tc>
          <w:tcPr>
            <w:tcW w:w="15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14,140,530.22</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17,295,037.15</w:t>
            </w:r>
          </w:p>
        </w:tc>
        <w:tc>
          <w:tcPr>
            <w:tcW w:w="1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-18.24%</w:t>
            </w:r>
          </w:p>
        </w:tc>
        <w:tc>
          <w:tcPr>
            <w:tcW w:w="3899"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23"/>
              <w:jc w:val="both"/>
              <w:rPr>
                <w:rFonts w:ascii="宋体" w:hAnsi="宋体" w:cs="宋体" w:eastAsia="宋体" w:hint="default"/>
                <w:sz w:val="18"/>
                <w:szCs w:val="18"/>
              </w:rPr>
            </w:pPr>
            <w:r>
              <w:rPr>
                <w:rFonts w:ascii="宋体" w:hAnsi="宋体" w:cs="宋体" w:eastAsia="宋体" w:hint="default"/>
                <w:sz w:val="18"/>
                <w:szCs w:val="18"/>
              </w:rPr>
              <w:t>报告期财务费用较上年同期减少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315.45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18.24%</w:t>
            </w:r>
            <w:r>
              <w:rPr>
                <w:rFonts w:ascii="宋体" w:hAnsi="宋体" w:cs="宋体" w:eastAsia="宋体" w:hint="default"/>
                <w:sz w:val="18"/>
                <w:szCs w:val="18"/>
              </w:rPr>
              <w:t>，主要是报告期汇兑损失较上年同 期减少。</w:t>
            </w:r>
          </w:p>
        </w:tc>
      </w:tr>
      <w:tr>
        <w:trPr>
          <w:trHeight w:val="1963" w:hRule="exact"/>
        </w:trPr>
        <w:tc>
          <w:tcPr>
            <w:tcW w:w="15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50,800,047.55</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22,165,125.44</w:t>
            </w:r>
          </w:p>
        </w:tc>
        <w:tc>
          <w:tcPr>
            <w:tcW w:w="1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129.19%</w:t>
            </w:r>
          </w:p>
        </w:tc>
        <w:tc>
          <w:tcPr>
            <w:tcW w:w="3899"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报告期研发费用较上年同期增加 </w:t>
            </w:r>
            <w:r>
              <w:rPr>
                <w:rFonts w:ascii="Times New Roman" w:hAnsi="Times New Roman" w:cs="Times New Roman" w:eastAsia="Times New Roman" w:hint="default"/>
                <w:sz w:val="18"/>
                <w:szCs w:val="18"/>
              </w:rPr>
              <w:t>2,863.49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元，增长</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129.19%</w:t>
            </w:r>
            <w:r>
              <w:rPr>
                <w:rFonts w:ascii="宋体" w:hAnsi="宋体" w:cs="宋体" w:eastAsia="宋体" w:hint="default"/>
                <w:sz w:val="18"/>
                <w:szCs w:val="18"/>
              </w:rPr>
              <w:t>，主要是报告期公司研发投入 </w:t>
            </w:r>
            <w:r>
              <w:rPr>
                <w:rFonts w:ascii="宋体" w:hAnsi="宋体" w:cs="宋体" w:eastAsia="宋体" w:hint="default"/>
                <w:spacing w:val="-4"/>
                <w:sz w:val="18"/>
                <w:szCs w:val="18"/>
              </w:rPr>
              <w:t>增加，相应的研发人员薪酬较上年增加</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2,008.59</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3"/>
                <w:sz w:val="18"/>
                <w:szCs w:val="18"/>
              </w:rPr>
              <w:t>万元，办公费较上年增加 </w:t>
            </w:r>
            <w:r>
              <w:rPr>
                <w:rFonts w:ascii="Times New Roman" w:hAnsi="Times New Roman" w:cs="Times New Roman" w:eastAsia="Times New Roman" w:hint="default"/>
                <w:sz w:val="18"/>
                <w:szCs w:val="18"/>
              </w:rPr>
              <w:t>284.55 </w:t>
            </w:r>
            <w:r>
              <w:rPr>
                <w:rFonts w:ascii="宋体" w:hAnsi="宋体" w:cs="宋体" w:eastAsia="宋体" w:hint="default"/>
                <w:sz w:val="18"/>
                <w:szCs w:val="18"/>
              </w:rPr>
              <w:t>万元，</w:t>
            </w:r>
            <w:r>
              <w:rPr>
                <w:rFonts w:ascii="宋体" w:hAnsi="宋体" w:cs="宋体" w:eastAsia="宋体" w:hint="default"/>
                <w:spacing w:val="-61"/>
                <w:sz w:val="18"/>
                <w:szCs w:val="18"/>
              </w:rPr>
              <w:t> </w:t>
            </w:r>
            <w:r>
              <w:rPr>
                <w:rFonts w:ascii="宋体" w:hAnsi="宋体" w:cs="宋体" w:eastAsia="宋体" w:hint="default"/>
                <w:sz w:val="18"/>
                <w:szCs w:val="18"/>
              </w:rPr>
              <w:t>折旧及</w:t>
            </w:r>
            <w:r>
              <w:rPr>
                <w:rFonts w:ascii="宋体" w:hAnsi="宋体" w:cs="宋体" w:eastAsia="宋体" w:hint="default"/>
                <w:sz w:val="18"/>
                <w:szCs w:val="18"/>
              </w:rPr>
              <w:t> 摊销较上年增加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万元、设计费较上年增</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284.47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t>报告期内，公司获得</w:t>
      </w:r>
      <w:r>
        <w:rPr>
          <w:rFonts w:ascii="Times New Roman" w:hAnsi="Times New Roman" w:cs="Times New Roman" w:eastAsia="Times New Roman" w:hint="default"/>
        </w:rPr>
        <w:t>1</w:t>
      </w:r>
      <w:r>
        <w:rPr/>
        <w:t>项发明专利、</w:t>
      </w:r>
      <w:r>
        <w:rPr>
          <w:rFonts w:ascii="Times New Roman" w:hAnsi="Times New Roman" w:cs="Times New Roman" w:eastAsia="Times New Roman" w:hint="default"/>
        </w:rPr>
        <w:t>4</w:t>
      </w:r>
      <w:r>
        <w:rPr/>
        <w:t>项实用新型、</w:t>
      </w:r>
      <w:r>
        <w:rPr>
          <w:rFonts w:ascii="Times New Roman" w:hAnsi="Times New Roman" w:cs="Times New Roman" w:eastAsia="Times New Roman" w:hint="default"/>
        </w:rPr>
        <w:t>14</w:t>
      </w:r>
      <w:r>
        <w:rPr/>
        <w:t>项软件著作权。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174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67.31%</w:t>
            </w: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12.22%</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8.94%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50,800,047.55</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22,165,125.44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129.19%</w:t>
            </w:r>
          </w:p>
        </w:tc>
      </w:tr>
      <w:tr>
        <w:trPr>
          <w:trHeight w:val="404"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3.25%</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2.41%</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0.84%</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6,212,867.07</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23.51%</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-23.51%</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研发投入总额占营业收入的比重较上年发生显著变化的原因</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line="439" w:lineRule="auto" w:before="0"/>
        <w:ind w:left="113" w:right="677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研发投入资本化率大幅变动的原因及其合理性说明</w:t>
      </w:r>
      <w:r>
        <w:rPr>
          <w:rFonts w:ascii="宋体" w:hAnsi="宋体" w:cs="宋体" w:eastAsia="宋体" w:hint="default"/>
          <w:sz w:val="18"/>
          <w:szCs w:val="18"/>
        </w:rPr>
      </w: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1,723,293,746.01</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1,256,648,575.83</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37.13%</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1,810,565,937.56</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972,272,106.84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86.22%</w:t>
            </w:r>
          </w:p>
        </w:tc>
      </w:tr>
      <w:tr>
        <w:trPr>
          <w:trHeight w:val="715"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-87,272,191.55</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284,376,468.99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-130.69%</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448,354,732.52</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275,544,274.98</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62.72%</w:t>
            </w:r>
          </w:p>
        </w:tc>
      </w:tr>
      <w:tr>
        <w:trPr>
          <w:trHeight w:val="404"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613,225,461.40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606,905,732.63</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w:t>
            </w:r>
          </w:p>
        </w:tc>
      </w:tr>
      <w:tr>
        <w:trPr>
          <w:trHeight w:val="713"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-164,870,728.88</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-331,361,457.65</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-50.24%</w:t>
            </w: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386,216,714.14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485,830,658.34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-20.50%</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483,724,305.50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274,921,512.86</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75.95%</w:t>
            </w:r>
          </w:p>
        </w:tc>
      </w:tr>
      <w:tr>
        <w:trPr>
          <w:trHeight w:val="715"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-97,507,591.36</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210,909,145.48</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-146.23%</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-341,635,697.43</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155,019,937.86</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-320.38%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8"/>
          <w:szCs w:val="28"/>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相关数据同比发生重大变动的主要影响因素说明</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386" w:lineRule="auto"/>
        <w:ind w:right="1193" w:firstLine="420"/>
        <w:jc w:val="both"/>
      </w:pPr>
      <w:r>
        <w:rPr>
          <w:spacing w:val="-2"/>
        </w:rPr>
        <w:t>经营活动产生的现金流量净额较上年同期下降</w:t>
      </w:r>
      <w:r>
        <w:rPr>
          <w:rFonts w:ascii="Times New Roman" w:hAnsi="Times New Roman" w:cs="Times New Roman" w:eastAsia="Times New Roman" w:hint="default"/>
          <w:spacing w:val="-2"/>
        </w:rPr>
        <w:t>130.69%</w:t>
      </w:r>
      <w:r>
        <w:rPr>
          <w:spacing w:val="-2"/>
        </w:rPr>
        <w:t>，主要是报告期购买商品、接受劳务支付的现</w:t>
      </w:r>
      <w:r>
        <w:rPr>
          <w:w w:val="100"/>
        </w:rPr>
        <w:t> </w:t>
      </w:r>
      <w:r>
        <w:rPr/>
        <w:t>金较上年同期增加，以及支付其他与经营活动有关的现金较上年同期增加。</w:t>
      </w:r>
    </w:p>
    <w:p>
      <w:pPr>
        <w:pStyle w:val="BodyText"/>
        <w:spacing w:line="386" w:lineRule="auto" w:before="106"/>
        <w:ind w:right="1128" w:firstLine="420"/>
        <w:jc w:val="both"/>
      </w:pPr>
      <w:r>
        <w:rPr>
          <w:spacing w:val="-3"/>
        </w:rPr>
        <w:t>投资活动产生的现金流量净额较上年同期下降</w:t>
      </w:r>
      <w:r>
        <w:rPr>
          <w:rFonts w:ascii="Times New Roman" w:hAnsi="Times New Roman" w:cs="Times New Roman" w:eastAsia="Times New Roman" w:hint="default"/>
          <w:spacing w:val="-3"/>
        </w:rPr>
        <w:t>50.24%</w:t>
      </w:r>
      <w:r>
        <w:rPr>
          <w:spacing w:val="-3"/>
        </w:rPr>
        <w:t>，主要是购建固定资产、无形资产和其他长期资</w:t>
      </w:r>
      <w:r>
        <w:rPr>
          <w:w w:val="100"/>
        </w:rPr>
        <w:t> </w:t>
      </w:r>
      <w:r>
        <w:rPr>
          <w:spacing w:val="-2"/>
        </w:rPr>
        <w:t>产支付的现金增加以及去年同期处置子公司及其他营业单位收到的现金净额</w:t>
      </w:r>
      <w:r>
        <w:rPr>
          <w:rFonts w:ascii="Times New Roman" w:hAnsi="Times New Roman" w:cs="Times New Roman" w:eastAsia="Times New Roman" w:hint="default"/>
          <w:spacing w:val="-2"/>
        </w:rPr>
        <w:t>10,237.57</w:t>
      </w:r>
      <w:r>
        <w:rPr>
          <w:spacing w:val="-2"/>
        </w:rPr>
        <w:t>万元，本报告期无此</w:t>
      </w:r>
      <w:r>
        <w:rPr>
          <w:spacing w:val="-36"/>
        </w:rPr>
        <w:t> </w:t>
      </w:r>
      <w:r>
        <w:rPr>
          <w:spacing w:val="-36"/>
        </w:rPr>
      </w:r>
      <w:r>
        <w:rPr/>
        <w:t>类现金流量。</w:t>
      </w:r>
    </w:p>
    <w:p>
      <w:pPr>
        <w:pStyle w:val="BodyText"/>
        <w:spacing w:line="386" w:lineRule="auto" w:before="106"/>
        <w:ind w:right="0" w:firstLine="336"/>
        <w:jc w:val="left"/>
      </w:pPr>
      <w:r>
        <w:rPr>
          <w:spacing w:val="-1"/>
        </w:rPr>
        <w:t>筹资活动产生的现金流量净额较上年同期下降</w:t>
      </w:r>
      <w:r>
        <w:rPr>
          <w:rFonts w:ascii="Times New Roman" w:hAnsi="Times New Roman" w:cs="Times New Roman" w:eastAsia="Times New Roman" w:hint="default"/>
          <w:spacing w:val="-1"/>
        </w:rPr>
        <w:t>146.23%</w:t>
      </w:r>
      <w:r>
        <w:rPr>
          <w:spacing w:val="-1"/>
        </w:rPr>
        <w:t>，主要报告期偿还债务支付的现金和分配股利、</w:t>
      </w:r>
      <w:r>
        <w:rPr>
          <w:w w:val="100"/>
        </w:rPr>
        <w:t> </w:t>
      </w:r>
      <w:r>
        <w:rPr/>
        <w:t>利润或偿付利息支付的现金较上年同期增加。</w:t>
      </w:r>
    </w:p>
    <w:p>
      <w:pPr>
        <w:spacing w:before="126"/>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报告期内公司经营活动产生的现金净流量与本年度净利润存在重大差异的原因说明</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24"/>
        <w:gridCol w:w="1916"/>
        <w:gridCol w:w="1623"/>
        <w:gridCol w:w="2254"/>
        <w:gridCol w:w="2254"/>
      </w:tblGrid>
      <w:tr>
        <w:trPr>
          <w:trHeight w:val="401" w:hRule="exact"/>
        </w:trPr>
        <w:tc>
          <w:tcPr>
            <w:tcW w:w="1524"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6" w:hRule="exact"/>
        </w:trPr>
        <w:tc>
          <w:tcPr>
            <w:tcW w:w="15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2,398,206.46</w:t>
            </w:r>
          </w:p>
        </w:tc>
        <w:tc>
          <w:tcPr>
            <w:tcW w:w="16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16.04%</w:t>
            </w:r>
          </w:p>
        </w:tc>
        <w:tc>
          <w:tcPr>
            <w:tcW w:w="225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5" w:right="158"/>
              <w:jc w:val="left"/>
              <w:rPr>
                <w:rFonts w:ascii="宋体" w:hAnsi="宋体" w:cs="宋体" w:eastAsia="宋体" w:hint="default"/>
                <w:sz w:val="18"/>
                <w:szCs w:val="18"/>
              </w:rPr>
            </w:pPr>
            <w:r>
              <w:rPr>
                <w:rFonts w:ascii="宋体" w:hAnsi="宋体" w:cs="宋体" w:eastAsia="宋体" w:hint="default"/>
                <w:sz w:val="18"/>
                <w:szCs w:val="18"/>
              </w:rPr>
              <w:t>主要是报告期购买理财产 品的收益。</w:t>
            </w:r>
          </w:p>
        </w:tc>
        <w:tc>
          <w:tcPr>
            <w:tcW w:w="22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49"/>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933734"/>
              <w:left w:val="single" w:sz="4" w:space="0" w:color="933734"/>
              <w:bottom w:val="single" w:sz="4" w:space="0" w:color="933734"/>
              <w:right w:val="single" w:sz="4" w:space="0" w:color="933734"/>
            </w:tcBorders>
          </w:tcPr>
          <w:p>
            <w:pPr/>
          </w:p>
        </w:tc>
        <w:tc>
          <w:tcPr>
            <w:tcW w:w="16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933734"/>
              <w:left w:val="single" w:sz="4" w:space="0" w:color="933734"/>
              <w:bottom w:val="single" w:sz="4" w:space="0" w:color="933734"/>
              <w:right w:val="single" w:sz="4" w:space="0" w:color="933734"/>
            </w:tcBorders>
          </w:tcPr>
          <w:p>
            <w:pPr/>
          </w:p>
        </w:tc>
        <w:tc>
          <w:tcPr>
            <w:tcW w:w="2254" w:type="dxa"/>
            <w:tcBorders>
              <w:top w:val="single" w:sz="4" w:space="0" w:color="933734"/>
              <w:left w:val="single" w:sz="4" w:space="0" w:color="933734"/>
              <w:bottom w:val="single" w:sz="4" w:space="0" w:color="933734"/>
              <w:right w:val="single" w:sz="4" w:space="0" w:color="933734"/>
            </w:tcBorders>
          </w:tcPr>
          <w:p>
            <w:pPr/>
          </w:p>
        </w:tc>
      </w:tr>
      <w:tr>
        <w:trPr>
          <w:trHeight w:val="1963" w:hRule="exact"/>
        </w:trPr>
        <w:tc>
          <w:tcPr>
            <w:tcW w:w="15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87,390,646.50</w:t>
            </w:r>
          </w:p>
        </w:tc>
        <w:tc>
          <w:tcPr>
            <w:tcW w:w="16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584.57%</w:t>
            </w:r>
          </w:p>
        </w:tc>
        <w:tc>
          <w:tcPr>
            <w:tcW w:w="225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5"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主要是存货跌价准备计提 的资产减值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24,021,373.27</w:t>
            </w:r>
          </w:p>
          <w:p>
            <w:pPr>
              <w:pStyle w:val="TableParagraph"/>
              <w:spacing w:line="316" w:lineRule="auto" w:before="1"/>
              <w:ind w:left="105" w:right="108"/>
              <w:jc w:val="left"/>
              <w:rPr>
                <w:rFonts w:ascii="宋体" w:hAnsi="宋体" w:cs="宋体" w:eastAsia="宋体" w:hint="default"/>
                <w:sz w:val="18"/>
                <w:szCs w:val="18"/>
              </w:rPr>
            </w:pPr>
            <w:r>
              <w:rPr>
                <w:rFonts w:ascii="宋体" w:hAnsi="宋体" w:cs="宋体" w:eastAsia="宋体" w:hint="default"/>
                <w:sz w:val="18"/>
                <w:szCs w:val="18"/>
              </w:rPr>
              <w:t>元、坏账准备计提的资产 减值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25,324,187.97 </w:t>
            </w:r>
            <w:r>
              <w:rPr>
                <w:rFonts w:ascii="宋体" w:hAnsi="宋体" w:cs="宋体" w:eastAsia="宋体" w:hint="default"/>
                <w:sz w:val="18"/>
                <w:szCs w:val="18"/>
              </w:rPr>
              <w:t>元、商</w:t>
            </w:r>
          </w:p>
          <w:p>
            <w:pPr>
              <w:pStyle w:val="TableParagraph"/>
              <w:spacing w:line="316" w:lineRule="auto"/>
              <w:ind w:left="105" w:right="158"/>
              <w:jc w:val="left"/>
              <w:rPr>
                <w:rFonts w:ascii="宋体" w:hAnsi="宋体" w:cs="宋体" w:eastAsia="宋体" w:hint="default"/>
                <w:sz w:val="18"/>
                <w:szCs w:val="18"/>
              </w:rPr>
            </w:pPr>
            <w:r>
              <w:rPr>
                <w:rFonts w:ascii="宋体" w:hAnsi="宋体" w:cs="宋体" w:eastAsia="宋体" w:hint="default"/>
                <w:sz w:val="18"/>
                <w:szCs w:val="18"/>
              </w:rPr>
              <w:t>誉减值准备计提的资产减 值 </w:t>
            </w:r>
            <w:r>
              <w:rPr>
                <w:rFonts w:ascii="Times New Roman" w:hAnsi="Times New Roman" w:cs="Times New Roman" w:eastAsia="Times New Roman" w:hint="default"/>
                <w:sz w:val="18"/>
                <w:szCs w:val="18"/>
              </w:rPr>
              <w:t>38,045,085.26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2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9"/>
              <w:jc w:val="both"/>
              <w:rPr>
                <w:rFonts w:ascii="宋体" w:hAnsi="宋体" w:cs="宋体" w:eastAsia="宋体" w:hint="default"/>
                <w:sz w:val="18"/>
                <w:szCs w:val="18"/>
              </w:rPr>
            </w:pPr>
            <w:r>
              <w:rPr>
                <w:rFonts w:ascii="宋体" w:hAnsi="宋体" w:cs="宋体" w:eastAsia="宋体" w:hint="default"/>
                <w:sz w:val="18"/>
                <w:szCs w:val="18"/>
              </w:rPr>
              <w:t>存货跌价准备和坏账准备 计提的资产减值具有可持 续性，商誉减值准备不具 有可持续性</w:t>
            </w:r>
          </w:p>
        </w:tc>
      </w:tr>
      <w:tr>
        <w:trPr>
          <w:trHeight w:val="713" w:hRule="exact"/>
        </w:trPr>
        <w:tc>
          <w:tcPr>
            <w:tcW w:w="15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4,832,564.00</w:t>
            </w:r>
          </w:p>
        </w:tc>
        <w:tc>
          <w:tcPr>
            <w:tcW w:w="16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32.33%</w:t>
            </w:r>
          </w:p>
        </w:tc>
        <w:tc>
          <w:tcPr>
            <w:tcW w:w="2254"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158"/>
              <w:jc w:val="left"/>
              <w:rPr>
                <w:rFonts w:ascii="宋体" w:hAnsi="宋体" w:cs="宋体" w:eastAsia="宋体" w:hint="default"/>
                <w:sz w:val="18"/>
                <w:szCs w:val="18"/>
              </w:rPr>
            </w:pPr>
            <w:r>
              <w:rPr>
                <w:rFonts w:ascii="宋体" w:hAnsi="宋体" w:cs="宋体" w:eastAsia="宋体" w:hint="default"/>
                <w:sz w:val="18"/>
                <w:szCs w:val="18"/>
              </w:rPr>
              <w:t>主要是报告期收到的政府 补助。</w:t>
            </w:r>
          </w:p>
        </w:tc>
        <w:tc>
          <w:tcPr>
            <w:tcW w:w="22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587,441.61</w:t>
            </w:r>
          </w:p>
        </w:tc>
        <w:tc>
          <w:tcPr>
            <w:tcW w:w="16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3.93%</w:t>
            </w:r>
          </w:p>
        </w:tc>
        <w:tc>
          <w:tcPr>
            <w:tcW w:w="225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58"/>
              <w:jc w:val="both"/>
              <w:rPr>
                <w:rFonts w:ascii="宋体" w:hAnsi="宋体" w:cs="宋体" w:eastAsia="宋体" w:hint="default"/>
                <w:sz w:val="18"/>
                <w:szCs w:val="18"/>
              </w:rPr>
            </w:pPr>
            <w:r>
              <w:rPr>
                <w:rFonts w:ascii="宋体" w:hAnsi="宋体" w:cs="宋体" w:eastAsia="宋体" w:hint="default"/>
                <w:sz w:val="18"/>
                <w:szCs w:val="18"/>
              </w:rPr>
              <w:t>主要是报告期对外捐赠、 违约金支出、处置固定资 产损失。</w:t>
            </w:r>
          </w:p>
        </w:tc>
        <w:tc>
          <w:tcPr>
            <w:tcW w:w="22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525"/>
        <w:gridCol w:w="900"/>
        <w:gridCol w:w="1412"/>
        <w:gridCol w:w="881"/>
        <w:gridCol w:w="809"/>
        <w:gridCol w:w="2880"/>
      </w:tblGrid>
      <w:tr>
        <w:trPr>
          <w:trHeight w:val="401" w:hRule="exact"/>
        </w:trPr>
        <w:tc>
          <w:tcPr>
            <w:tcW w:w="1368" w:type="dxa"/>
            <w:vMerge w:val="restart"/>
            <w:tcBorders>
              <w:top w:val="single" w:sz="4" w:space="0" w:color="933734"/>
              <w:left w:val="single" w:sz="4" w:space="0" w:color="933734"/>
              <w:right w:val="single" w:sz="4" w:space="0" w:color="933734"/>
            </w:tcBorders>
            <w:shd w:val="clear" w:color="auto" w:fill="E4B8B7"/>
          </w:tcPr>
          <w:p>
            <w:pPr/>
          </w:p>
        </w:tc>
        <w:tc>
          <w:tcPr>
            <w:tcW w:w="2425"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9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09"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9" w:right="128"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880"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9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933734"/>
              <w:bottom w:val="single" w:sz="4" w:space="0" w:color="933734"/>
              <w:right w:val="single" w:sz="4" w:space="0" w:color="933734"/>
            </w:tcBorders>
            <w:shd w:val="clear" w:color="auto" w:fill="E4B8B7"/>
          </w:tcPr>
          <w:p>
            <w:pPr/>
          </w:p>
        </w:tc>
        <w:tc>
          <w:tcPr>
            <w:tcW w:w="15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77" w:right="170"/>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65" w:right="16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09" w:type="dxa"/>
            <w:vMerge/>
            <w:tcBorders>
              <w:left w:val="single" w:sz="4" w:space="0" w:color="933734"/>
              <w:bottom w:val="single" w:sz="4" w:space="0" w:color="933734"/>
              <w:right w:val="single" w:sz="4" w:space="0" w:color="933734"/>
            </w:tcBorders>
            <w:shd w:val="clear" w:color="auto" w:fill="E4B8B7"/>
          </w:tcPr>
          <w:p>
            <w:pPr/>
          </w:p>
        </w:tc>
        <w:tc>
          <w:tcPr>
            <w:tcW w:w="2880" w:type="dxa"/>
            <w:vMerge/>
            <w:tcBorders>
              <w:left w:val="single" w:sz="4" w:space="0" w:color="933734"/>
              <w:bottom w:val="single" w:sz="4" w:space="0" w:color="933734"/>
              <w:right w:val="single" w:sz="4" w:space="0" w:color="933734"/>
            </w:tcBorders>
            <w:shd w:val="clear" w:color="auto" w:fill="E4B8B7"/>
          </w:tcPr>
          <w:p>
            <w:pPr/>
          </w:p>
        </w:tc>
      </w:tr>
      <w:tr>
        <w:trPr>
          <w:trHeight w:val="227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303,212,593.43</w:t>
            </w: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9.08%</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635,637,733.52</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18.80%</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-9.72%</w:t>
            </w:r>
          </w:p>
        </w:tc>
        <w:tc>
          <w:tcPr>
            <w:tcW w:w="2880"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63"/>
              <w:jc w:val="left"/>
              <w:rPr>
                <w:rFonts w:ascii="宋体" w:hAnsi="宋体" w:cs="宋体" w:eastAsia="宋体" w:hint="default"/>
                <w:sz w:val="18"/>
                <w:szCs w:val="18"/>
              </w:rPr>
            </w:pPr>
            <w:r>
              <w:rPr>
                <w:rFonts w:ascii="宋体" w:hAnsi="宋体" w:cs="宋体" w:eastAsia="宋体" w:hint="default"/>
                <w:sz w:val="18"/>
                <w:szCs w:val="18"/>
              </w:rPr>
              <w:t>主要是报告期公司营业规模扩大， </w:t>
            </w:r>
            <w:r>
              <w:rPr>
                <w:rFonts w:ascii="宋体" w:hAnsi="宋体" w:cs="宋体" w:eastAsia="宋体" w:hint="default"/>
                <w:spacing w:val="-3"/>
                <w:sz w:val="18"/>
                <w:szCs w:val="18"/>
              </w:rPr>
              <w:t>购买商品、接受劳务支付的现金增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加，支付其他与经营活动有关的现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金增加，购建固定资产、无形资产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和其他长期资产支付的现金增加， 以及公司偿还到期银行债务支付 的现金增加所致。</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354,451,925.69</w:t>
            </w: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10.62%</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199,313,294.73</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5.89%</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4.73%</w:t>
            </w:r>
          </w:p>
        </w:tc>
        <w:tc>
          <w:tcPr>
            <w:tcW w:w="288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3"/>
                <w:sz w:val="18"/>
                <w:szCs w:val="18"/>
              </w:rPr>
              <w:t>主要是报告期营业收入增加，应收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账款相应增加所致。</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447,350,697.51</w:t>
            </w: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13.40%</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383,340,806.02</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11.34%</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2.06%</w:t>
            </w:r>
          </w:p>
        </w:tc>
        <w:tc>
          <w:tcPr>
            <w:tcW w:w="288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3"/>
                <w:sz w:val="18"/>
                <w:szCs w:val="18"/>
              </w:rPr>
              <w:t>主要是报告期营业规模扩大，备货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相应增加所致。</w:t>
            </w:r>
          </w:p>
        </w:tc>
      </w:tr>
      <w:tr>
        <w:trPr>
          <w:trHeight w:val="1027"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462,380,063.52</w:t>
            </w: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13.85%</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28,768,013.11</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0.85%</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13.00%</w:t>
            </w:r>
          </w:p>
        </w:tc>
        <w:tc>
          <w:tcPr>
            <w:tcW w:w="288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z w:val="18"/>
                <w:szCs w:val="18"/>
              </w:rPr>
              <w:t>主要是报告期公司用于出租的房 </w:t>
            </w:r>
            <w:r>
              <w:rPr>
                <w:rFonts w:ascii="宋体" w:hAnsi="宋体" w:cs="宋体" w:eastAsia="宋体" w:hint="default"/>
                <w:spacing w:val="-3"/>
                <w:sz w:val="18"/>
                <w:szCs w:val="18"/>
              </w:rPr>
              <w:t>产增加，从固定资产科目转入投资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性房地产科目进行核算。</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25" w:type="dxa"/>
            <w:tcBorders>
              <w:top w:val="single" w:sz="4" w:space="0" w:color="933734"/>
              <w:left w:val="single" w:sz="4" w:space="0" w:color="933734"/>
              <w:bottom w:val="single" w:sz="4" w:space="0" w:color="933734"/>
              <w:right w:val="single" w:sz="4" w:space="0" w:color="933734"/>
            </w:tcBorders>
          </w:tcPr>
          <w:p>
            <w:pP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4" w:space="0" w:color="933734"/>
              <w:left w:val="single" w:sz="4" w:space="0" w:color="933734"/>
              <w:bottom w:val="single" w:sz="4" w:space="0" w:color="933734"/>
              <w:right w:val="single" w:sz="4" w:space="0" w:color="933734"/>
            </w:tcBorders>
          </w:tcPr>
          <w:p>
            <w:pP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8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334,176,580.65</w:t>
            </w: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10.01%</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503,903,338.04</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14.90%</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-4.89%</w:t>
            </w:r>
          </w:p>
        </w:tc>
        <w:tc>
          <w:tcPr>
            <w:tcW w:w="288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z w:val="18"/>
                <w:szCs w:val="18"/>
              </w:rPr>
              <w:t>主要是报告期公司用于出租的房 </w:t>
            </w:r>
            <w:r>
              <w:rPr>
                <w:rFonts w:ascii="宋体" w:hAnsi="宋体" w:cs="宋体" w:eastAsia="宋体" w:hint="default"/>
                <w:spacing w:val="-3"/>
                <w:sz w:val="18"/>
                <w:szCs w:val="18"/>
              </w:rPr>
              <w:t>产增加，从固定资产科目转入投资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性房地产科目进行核算。</w:t>
            </w:r>
          </w:p>
        </w:tc>
      </w:tr>
      <w:tr>
        <w:trPr>
          <w:trHeight w:val="1025"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55,591,820.02</w:t>
            </w: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1.66%</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271,216,976.10</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8.02%</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-6.36%</w:t>
            </w:r>
          </w:p>
        </w:tc>
        <w:tc>
          <w:tcPr>
            <w:tcW w:w="288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z w:val="18"/>
                <w:szCs w:val="18"/>
              </w:rPr>
              <w:t>主要是报告期公司部分总部大楼 </w:t>
            </w:r>
            <w:r>
              <w:rPr>
                <w:rFonts w:ascii="宋体" w:hAnsi="宋体" w:cs="宋体" w:eastAsia="宋体" w:hint="default"/>
                <w:spacing w:val="-3"/>
                <w:sz w:val="18"/>
                <w:szCs w:val="18"/>
              </w:rPr>
              <w:t>完工，达到可使用状态，结转至固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定资产科目核算。</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6.89%</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260,000,000.00</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7.69%</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-0.80%</w:t>
            </w:r>
          </w:p>
        </w:tc>
        <w:tc>
          <w:tcPr>
            <w:tcW w:w="288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43"/>
              <w:jc w:val="left"/>
              <w:rPr>
                <w:rFonts w:ascii="宋体" w:hAnsi="宋体" w:cs="宋体" w:eastAsia="宋体" w:hint="default"/>
                <w:sz w:val="18"/>
                <w:szCs w:val="18"/>
              </w:rPr>
            </w:pPr>
            <w:r>
              <w:rPr>
                <w:rFonts w:ascii="宋体" w:hAnsi="宋体" w:cs="宋体" w:eastAsia="宋体" w:hint="default"/>
                <w:sz w:val="18"/>
                <w:szCs w:val="18"/>
              </w:rPr>
              <w:t>主要是报告期短期银行借款减少 所致。</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244,621,187.79</w:t>
            </w:r>
          </w:p>
        </w:tc>
        <w:tc>
          <w:tcPr>
            <w:tcW w:w="9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7.33%</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313,784,063.44</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9.28%</w:t>
            </w:r>
          </w:p>
        </w:tc>
        <w:tc>
          <w:tcPr>
            <w:tcW w:w="8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w:t>
            </w:r>
          </w:p>
        </w:tc>
        <w:tc>
          <w:tcPr>
            <w:tcW w:w="2880"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243"/>
              <w:jc w:val="left"/>
              <w:rPr>
                <w:rFonts w:ascii="宋体" w:hAnsi="宋体" w:cs="宋体" w:eastAsia="宋体" w:hint="default"/>
                <w:sz w:val="18"/>
                <w:szCs w:val="18"/>
              </w:rPr>
            </w:pPr>
            <w:r>
              <w:rPr>
                <w:rFonts w:ascii="宋体" w:hAnsi="宋体" w:cs="宋体" w:eastAsia="宋体" w:hint="default"/>
                <w:sz w:val="18"/>
                <w:szCs w:val="18"/>
              </w:rPr>
              <w:t>主要是报告期长期银行借款减少 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0"/>
        <w:rPr>
          <w:rFonts w:ascii="宋体" w:hAnsi="宋体" w:cs="宋体" w:eastAsia="宋体" w:hint="default"/>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02"/>
        <w:gridCol w:w="994"/>
        <w:gridCol w:w="991"/>
        <w:gridCol w:w="1172"/>
        <w:gridCol w:w="1046"/>
        <w:gridCol w:w="1409"/>
        <w:gridCol w:w="979"/>
        <w:gridCol w:w="1280"/>
      </w:tblGrid>
      <w:tr>
        <w:trPr>
          <w:trHeight w:val="1025" w:hRule="exact"/>
        </w:trPr>
        <w:tc>
          <w:tcPr>
            <w:tcW w:w="17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29" w:right="131"/>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7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29" w:right="13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4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156"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40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9"/>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9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7" w:right="120"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28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7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72" w:type="dxa"/>
            <w:gridSpan w:val="7"/>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1649" w:hRule="exact"/>
        </w:trPr>
        <w:tc>
          <w:tcPr>
            <w:tcW w:w="17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7" w:lineRule="auto" w:before="49"/>
              <w:ind w:left="103"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6"/>
              <w:ind w:left="103" w:right="146"/>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9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w:t>
            </w:r>
          </w:p>
        </w:tc>
        <w:tc>
          <w:tcPr>
            <w:tcW w:w="991" w:type="dxa"/>
            <w:tcBorders>
              <w:top w:val="single" w:sz="4" w:space="0" w:color="933734"/>
              <w:left w:val="single" w:sz="4" w:space="0" w:color="933734"/>
              <w:bottom w:val="single" w:sz="4" w:space="0" w:color="933734"/>
              <w:right w:val="single" w:sz="4" w:space="0" w:color="933734"/>
            </w:tcBorders>
          </w:tcPr>
          <w:p>
            <w:pPr/>
          </w:p>
        </w:tc>
        <w:tc>
          <w:tcPr>
            <w:tcW w:w="1172" w:type="dxa"/>
            <w:tcBorders>
              <w:top w:val="single" w:sz="4" w:space="0" w:color="933734"/>
              <w:left w:val="single" w:sz="4" w:space="0" w:color="933734"/>
              <w:bottom w:val="single" w:sz="4" w:space="0" w:color="933734"/>
              <w:right w:val="single" w:sz="4" w:space="0" w:color="933734"/>
            </w:tcBorders>
          </w:tcPr>
          <w:p>
            <w:pPr/>
          </w:p>
        </w:tc>
        <w:tc>
          <w:tcPr>
            <w:tcW w:w="1046" w:type="dxa"/>
            <w:tcBorders>
              <w:top w:val="single" w:sz="4" w:space="0" w:color="933734"/>
              <w:left w:val="single" w:sz="4" w:space="0" w:color="933734"/>
              <w:bottom w:val="single" w:sz="4" w:space="0" w:color="933734"/>
              <w:right w:val="single" w:sz="4" w:space="0" w:color="933734"/>
            </w:tcBorders>
          </w:tcPr>
          <w:p>
            <w:pPr/>
          </w:p>
        </w:tc>
        <w:tc>
          <w:tcPr>
            <w:tcW w:w="14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44,343,908.71</w:t>
            </w:r>
          </w:p>
        </w:tc>
        <w:tc>
          <w:tcPr>
            <w:tcW w:w="9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22,000.00</w:t>
            </w:r>
          </w:p>
        </w:tc>
        <w:tc>
          <w:tcPr>
            <w:tcW w:w="12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44,343,908.71</w:t>
            </w:r>
          </w:p>
        </w:tc>
      </w:tr>
      <w:tr>
        <w:trPr>
          <w:trHeight w:val="403" w:hRule="exact"/>
        </w:trPr>
        <w:tc>
          <w:tcPr>
            <w:tcW w:w="17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9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22,000.00</w:t>
            </w:r>
          </w:p>
        </w:tc>
        <w:tc>
          <w:tcPr>
            <w:tcW w:w="991" w:type="dxa"/>
            <w:tcBorders>
              <w:top w:val="single" w:sz="4" w:space="0" w:color="933734"/>
              <w:left w:val="single" w:sz="4" w:space="0" w:color="933734"/>
              <w:bottom w:val="single" w:sz="4" w:space="0" w:color="933734"/>
              <w:right w:val="single" w:sz="4" w:space="0" w:color="933734"/>
            </w:tcBorders>
          </w:tcPr>
          <w:p>
            <w:pPr/>
          </w:p>
        </w:tc>
        <w:tc>
          <w:tcPr>
            <w:tcW w:w="1172" w:type="dxa"/>
            <w:tcBorders>
              <w:top w:val="single" w:sz="4" w:space="0" w:color="933734"/>
              <w:left w:val="single" w:sz="4" w:space="0" w:color="933734"/>
              <w:bottom w:val="single" w:sz="4" w:space="0" w:color="933734"/>
              <w:right w:val="single" w:sz="4" w:space="0" w:color="933734"/>
            </w:tcBorders>
          </w:tcPr>
          <w:p>
            <w:pPr/>
          </w:p>
        </w:tc>
        <w:tc>
          <w:tcPr>
            <w:tcW w:w="1046" w:type="dxa"/>
            <w:tcBorders>
              <w:top w:val="single" w:sz="4" w:space="0" w:color="933734"/>
              <w:left w:val="single" w:sz="4" w:space="0" w:color="933734"/>
              <w:bottom w:val="single" w:sz="4" w:space="0" w:color="933734"/>
              <w:right w:val="single" w:sz="4" w:space="0" w:color="933734"/>
            </w:tcBorders>
          </w:tcPr>
          <w:p>
            <w:pPr/>
          </w:p>
        </w:tc>
        <w:tc>
          <w:tcPr>
            <w:tcW w:w="14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44,343,908.71</w:t>
            </w:r>
          </w:p>
        </w:tc>
        <w:tc>
          <w:tcPr>
            <w:tcW w:w="9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22,000.00</w:t>
            </w:r>
          </w:p>
        </w:tc>
        <w:tc>
          <w:tcPr>
            <w:tcW w:w="12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44,343,908.71</w:t>
            </w:r>
          </w:p>
        </w:tc>
      </w:tr>
      <w:tr>
        <w:trPr>
          <w:trHeight w:val="401" w:hRule="exact"/>
        </w:trPr>
        <w:tc>
          <w:tcPr>
            <w:tcW w:w="17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933734"/>
              <w:left w:val="single" w:sz="4" w:space="0" w:color="933734"/>
              <w:bottom w:val="single" w:sz="4" w:space="0" w:color="933734"/>
              <w:right w:val="single" w:sz="4" w:space="0" w:color="933734"/>
            </w:tcBorders>
          </w:tcPr>
          <w:p>
            <w:pPr/>
          </w:p>
        </w:tc>
        <w:tc>
          <w:tcPr>
            <w:tcW w:w="1172" w:type="dxa"/>
            <w:tcBorders>
              <w:top w:val="single" w:sz="4" w:space="0" w:color="933734"/>
              <w:left w:val="single" w:sz="4" w:space="0" w:color="933734"/>
              <w:bottom w:val="single" w:sz="4" w:space="0" w:color="933734"/>
              <w:right w:val="single" w:sz="4" w:space="0" w:color="933734"/>
            </w:tcBorders>
          </w:tcPr>
          <w:p>
            <w:pPr/>
          </w:p>
        </w:tc>
        <w:tc>
          <w:tcPr>
            <w:tcW w:w="1046" w:type="dxa"/>
            <w:tcBorders>
              <w:top w:val="single" w:sz="4" w:space="0" w:color="933734"/>
              <w:left w:val="single" w:sz="4" w:space="0" w:color="933734"/>
              <w:bottom w:val="single" w:sz="4" w:space="0" w:color="933734"/>
              <w:right w:val="single" w:sz="4" w:space="0" w:color="933734"/>
            </w:tcBorders>
          </w:tcPr>
          <w:p>
            <w:pPr/>
          </w:p>
        </w:tc>
        <w:tc>
          <w:tcPr>
            <w:tcW w:w="14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2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报告期内公司主要资产计量属性是否发生重大变化</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2"/>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3425"/>
        <w:gridCol w:w="3075"/>
        <w:gridCol w:w="3157"/>
      </w:tblGrid>
      <w:tr>
        <w:trPr>
          <w:trHeight w:val="346" w:hRule="exact"/>
        </w:trPr>
        <w:tc>
          <w:tcPr>
            <w:tcW w:w="3425"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tabs>
                <w:tab w:pos="712" w:val="left" w:leader="none"/>
              </w:tabs>
              <w:spacing w:line="260" w:lineRule="exact"/>
              <w:ind w:left="11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075"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spacing w:line="275" w:lineRule="exact"/>
              <w:ind w:right="103"/>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2018-12-31</w:t>
            </w:r>
            <w:r>
              <w:rPr>
                <w:rFonts w:ascii="宋体" w:hAnsi="宋体" w:cs="宋体" w:eastAsia="宋体" w:hint="default"/>
                <w:w w:val="95"/>
                <w:sz w:val="20"/>
                <w:szCs w:val="20"/>
              </w:rPr>
              <w:t>账面价值</w:t>
            </w:r>
            <w:r>
              <w:rPr>
                <w:rFonts w:ascii="宋体" w:hAnsi="宋体" w:cs="宋体" w:eastAsia="宋体" w:hint="default"/>
                <w:sz w:val="20"/>
                <w:szCs w:val="20"/>
              </w:rPr>
            </w:r>
          </w:p>
        </w:tc>
        <w:tc>
          <w:tcPr>
            <w:tcW w:w="3157"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sz w:val="20"/>
                <w:szCs w:val="20"/>
              </w:rPr>
              <w:t>受限原因</w:t>
            </w:r>
          </w:p>
        </w:tc>
      </w:tr>
      <w:tr>
        <w:trPr>
          <w:trHeight w:val="378" w:hRule="exact"/>
        </w:trPr>
        <w:tc>
          <w:tcPr>
            <w:tcW w:w="3425"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spacing w:line="240" w:lineRule="auto" w:before="15"/>
              <w:ind w:left="110"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3075" w:type="dxa"/>
            <w:tcBorders>
              <w:top w:val="single" w:sz="11" w:space="0" w:color="E4B8B7"/>
              <w:left w:val="single" w:sz="6" w:space="0" w:color="800000"/>
              <w:bottom w:val="single" w:sz="6" w:space="0" w:color="800000"/>
              <w:right w:val="single" w:sz="6" w:space="0" w:color="800000"/>
            </w:tcBorders>
          </w:tcPr>
          <w:p>
            <w:pPr>
              <w:pStyle w:val="TableParagraph"/>
              <w:spacing w:line="240" w:lineRule="auto" w:before="55"/>
              <w:ind w:right="104"/>
              <w:jc w:val="right"/>
              <w:rPr>
                <w:rFonts w:ascii="Times New Roman" w:hAnsi="Times New Roman" w:cs="Times New Roman" w:eastAsia="Times New Roman" w:hint="default"/>
                <w:sz w:val="20"/>
                <w:szCs w:val="20"/>
              </w:rPr>
            </w:pPr>
            <w:r>
              <w:rPr>
                <w:rFonts w:ascii="Times New Roman"/>
                <w:spacing w:val="-1"/>
                <w:sz w:val="20"/>
              </w:rPr>
              <w:t>113,093,917.65</w:t>
            </w:r>
          </w:p>
        </w:tc>
        <w:tc>
          <w:tcPr>
            <w:tcW w:w="3157" w:type="dxa"/>
            <w:tcBorders>
              <w:top w:val="single" w:sz="11" w:space="0" w:color="E4B8B7"/>
              <w:left w:val="single" w:sz="6" w:space="0" w:color="800000"/>
              <w:bottom w:val="single" w:sz="6" w:space="0" w:color="800000"/>
              <w:right w:val="single" w:sz="6" w:space="0" w:color="8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sz w:val="20"/>
                <w:szCs w:val="20"/>
              </w:rPr>
              <w:t>抵押借款</w:t>
            </w:r>
          </w:p>
        </w:tc>
      </w:tr>
      <w:tr>
        <w:trPr>
          <w:trHeight w:val="377" w:hRule="exact"/>
        </w:trPr>
        <w:tc>
          <w:tcPr>
            <w:tcW w:w="3425"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spacing w:line="240" w:lineRule="auto" w:before="1"/>
              <w:ind w:left="110"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075"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318,769,185.96</w:t>
            </w:r>
            <w:r>
              <w:rPr>
                <w:rFonts w:ascii="Times New Roman"/>
                <w:sz w:val="20"/>
              </w:rPr>
            </w:r>
          </w:p>
        </w:tc>
        <w:tc>
          <w:tcPr>
            <w:tcW w:w="3157"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抵押借款</w:t>
            </w:r>
          </w:p>
        </w:tc>
      </w:tr>
      <w:tr>
        <w:trPr>
          <w:trHeight w:val="365" w:hRule="exact"/>
        </w:trPr>
        <w:tc>
          <w:tcPr>
            <w:tcW w:w="3425"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spacing w:line="240" w:lineRule="auto" w:before="4"/>
              <w:ind w:left="110"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3075"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spacing w:val="-1"/>
                <w:sz w:val="20"/>
              </w:rPr>
              <w:t>40,121,113.51</w:t>
            </w:r>
          </w:p>
        </w:tc>
        <w:tc>
          <w:tcPr>
            <w:tcW w:w="3157"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抵押借款</w:t>
            </w:r>
          </w:p>
        </w:tc>
      </w:tr>
      <w:tr>
        <w:trPr>
          <w:trHeight w:val="365" w:hRule="exact"/>
        </w:trPr>
        <w:tc>
          <w:tcPr>
            <w:tcW w:w="3425"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spacing w:line="240" w:lineRule="auto" w:before="4"/>
              <w:ind w:left="110"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075"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42,833,702.82</w:t>
            </w:r>
            <w:r>
              <w:rPr>
                <w:rFonts w:ascii="Times New Roman"/>
                <w:sz w:val="20"/>
              </w:rPr>
            </w:r>
          </w:p>
        </w:tc>
        <w:tc>
          <w:tcPr>
            <w:tcW w:w="3157"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抵押借款</w:t>
            </w:r>
          </w:p>
        </w:tc>
      </w:tr>
      <w:tr>
        <w:trPr>
          <w:trHeight w:val="362" w:hRule="exact"/>
        </w:trPr>
        <w:tc>
          <w:tcPr>
            <w:tcW w:w="3425"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spacing w:line="240" w:lineRule="auto" w:before="1"/>
              <w:ind w:left="110"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3075"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19,712,608.79</w:t>
            </w:r>
            <w:r>
              <w:rPr>
                <w:rFonts w:ascii="Times New Roman"/>
                <w:sz w:val="20"/>
              </w:rPr>
            </w:r>
          </w:p>
        </w:tc>
        <w:tc>
          <w:tcPr>
            <w:tcW w:w="3157"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保证金不可以随时支付</w:t>
            </w:r>
          </w:p>
        </w:tc>
      </w:tr>
      <w:tr>
        <w:trPr>
          <w:trHeight w:val="365" w:hRule="exact"/>
        </w:trPr>
        <w:tc>
          <w:tcPr>
            <w:tcW w:w="3425" w:type="dxa"/>
            <w:tcBorders>
              <w:top w:val="single" w:sz="6" w:space="0" w:color="800000"/>
              <w:left w:val="single" w:sz="6" w:space="0" w:color="800000"/>
              <w:bottom w:val="single" w:sz="6" w:space="0" w:color="800000"/>
              <w:right w:val="single" w:sz="6" w:space="0" w:color="800000"/>
            </w:tcBorders>
            <w:shd w:val="clear" w:color="auto" w:fill="E4B8B7"/>
          </w:tcPr>
          <w:p>
            <w:pPr>
              <w:pStyle w:val="TableParagraph"/>
              <w:tabs>
                <w:tab w:pos="712" w:val="left" w:leader="none"/>
              </w:tabs>
              <w:spacing w:line="240" w:lineRule="auto" w:before="4"/>
              <w:ind w:left="110"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075"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534,530,528.73</w:t>
            </w:r>
            <w:r>
              <w:rPr>
                <w:rFonts w:ascii="Times New Roman"/>
                <w:sz w:val="20"/>
              </w:rPr>
            </w:r>
          </w:p>
        </w:tc>
        <w:tc>
          <w:tcPr>
            <w:tcW w:w="3157" w:type="dxa"/>
            <w:tcBorders>
              <w:top w:val="single" w:sz="6" w:space="0" w:color="800000"/>
              <w:left w:val="single" w:sz="6" w:space="0" w:color="800000"/>
              <w:bottom w:val="single" w:sz="6" w:space="0" w:color="800000"/>
              <w:right w:val="single" w:sz="6" w:space="0" w:color="800000"/>
            </w:tcBorders>
          </w:tcPr>
          <w:p>
            <w:pPr>
              <w:pStyle w:val="TableParagraph"/>
              <w:spacing w:line="240" w:lineRule="auto" w:before="51"/>
              <w:ind w:left="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87"/>
        <w:gridCol w:w="896"/>
        <w:gridCol w:w="1090"/>
        <w:gridCol w:w="1179"/>
        <w:gridCol w:w="1193"/>
        <w:gridCol w:w="958"/>
        <w:gridCol w:w="955"/>
        <w:gridCol w:w="955"/>
        <w:gridCol w:w="958"/>
      </w:tblGrid>
      <w:tr>
        <w:trPr>
          <w:trHeight w:val="1025" w:hRule="exact"/>
        </w:trPr>
        <w:tc>
          <w:tcPr>
            <w:tcW w:w="13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2" w:right="171"/>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80" w:right="179"/>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34" w:right="13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1" w:right="13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111"/>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44,343,908.7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w:t>
            </w:r>
          </w:p>
        </w:tc>
        <w:tc>
          <w:tcPr>
            <w:tcW w:w="9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44,343,90</w:t>
            </w:r>
          </w:p>
          <w:p>
            <w:pPr>
              <w:pStyle w:val="TableParagraph"/>
              <w:spacing w:line="240" w:lineRule="auto" w:before="102"/>
              <w:ind w:left="527" w:right="0"/>
              <w:jc w:val="left"/>
              <w:rPr>
                <w:rFonts w:ascii="Times New Roman" w:hAnsi="Times New Roman" w:cs="Times New Roman" w:eastAsia="Times New Roman" w:hint="default"/>
                <w:sz w:val="18"/>
                <w:szCs w:val="18"/>
              </w:rPr>
            </w:pPr>
            <w:r>
              <w:rPr>
                <w:rFonts w:ascii="Times New Roman"/>
                <w:sz w:val="18"/>
              </w:rPr>
              <w:t>8.71</w:t>
            </w:r>
          </w:p>
        </w:tc>
        <w:tc>
          <w:tcPr>
            <w:tcW w:w="9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44,343,908.7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w:t>
            </w:r>
          </w:p>
        </w:tc>
        <w:tc>
          <w:tcPr>
            <w:tcW w:w="9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44,343,90</w:t>
            </w:r>
          </w:p>
          <w:p>
            <w:pPr>
              <w:pStyle w:val="TableParagraph"/>
              <w:spacing w:line="240" w:lineRule="auto" w:before="105"/>
              <w:ind w:left="527" w:right="0"/>
              <w:jc w:val="left"/>
              <w:rPr>
                <w:rFonts w:ascii="Times New Roman" w:hAnsi="Times New Roman" w:cs="Times New Roman" w:eastAsia="Times New Roman" w:hint="default"/>
                <w:sz w:val="18"/>
                <w:szCs w:val="18"/>
              </w:rPr>
            </w:pPr>
            <w:r>
              <w:rPr>
                <w:rFonts w:ascii="Times New Roman"/>
                <w:sz w:val="18"/>
              </w:rPr>
              <w:t>8.71</w:t>
            </w:r>
          </w:p>
        </w:tc>
        <w:tc>
          <w:tcPr>
            <w:tcW w:w="9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24"/>
        <w:gridCol w:w="960"/>
        <w:gridCol w:w="1069"/>
        <w:gridCol w:w="982"/>
        <w:gridCol w:w="1090"/>
        <w:gridCol w:w="821"/>
        <w:gridCol w:w="698"/>
        <w:gridCol w:w="713"/>
        <w:gridCol w:w="701"/>
        <w:gridCol w:w="1198"/>
        <w:gridCol w:w="710"/>
      </w:tblGrid>
      <w:tr>
        <w:trPr>
          <w:trHeight w:val="2585" w:hRule="exact"/>
        </w:trPr>
        <w:tc>
          <w:tcPr>
            <w:tcW w:w="6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27" w:right="125"/>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9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10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350" w:right="166"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98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27" w:right="122"/>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10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80" w:right="17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34" w:right="134"/>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6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5" w:right="161"/>
              <w:jc w:val="both"/>
              <w:rPr>
                <w:rFonts w:ascii="宋体" w:hAnsi="宋体" w:cs="宋体" w:eastAsia="宋体" w:hint="default"/>
                <w:sz w:val="18"/>
                <w:szCs w:val="18"/>
              </w:rPr>
            </w:pPr>
            <w:r>
              <w:rPr>
                <w:rFonts w:ascii="宋体" w:hAnsi="宋体" w:cs="宋体" w:eastAsia="宋体" w:hint="default"/>
                <w:sz w:val="18"/>
                <w:szCs w:val="18"/>
              </w:rPr>
              <w:t>累计 变更 用途 的募 集资 金总 额</w:t>
            </w:r>
          </w:p>
        </w:tc>
        <w:tc>
          <w:tcPr>
            <w:tcW w:w="7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72" w:right="170"/>
              <w:jc w:val="both"/>
              <w:rPr>
                <w:rFonts w:ascii="宋体" w:hAnsi="宋体" w:cs="宋体" w:eastAsia="宋体" w:hint="default"/>
                <w:sz w:val="18"/>
                <w:szCs w:val="18"/>
              </w:rPr>
            </w:pPr>
            <w:r>
              <w:rPr>
                <w:rFonts w:ascii="宋体" w:hAnsi="宋体" w:cs="宋体" w:eastAsia="宋体" w:hint="default"/>
                <w:sz w:val="18"/>
                <w:szCs w:val="18"/>
              </w:rPr>
              <w:t>累计 变更 用途 的募 集资 金总 额比 例</w:t>
            </w:r>
          </w:p>
        </w:tc>
        <w:tc>
          <w:tcPr>
            <w:tcW w:w="7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65" w:right="163"/>
              <w:jc w:val="both"/>
              <w:rPr>
                <w:rFonts w:ascii="宋体" w:hAnsi="宋体" w:cs="宋体" w:eastAsia="宋体" w:hint="default"/>
                <w:sz w:val="18"/>
                <w:szCs w:val="18"/>
              </w:rPr>
            </w:pPr>
            <w:r>
              <w:rPr>
                <w:rFonts w:ascii="宋体" w:hAnsi="宋体" w:cs="宋体" w:eastAsia="宋体" w:hint="default"/>
                <w:sz w:val="18"/>
                <w:szCs w:val="18"/>
              </w:rPr>
              <w:t>尚未 使用 募集 资金 总额</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43" w:right="142"/>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71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0" w:right="168"/>
              <w:jc w:val="both"/>
              <w:rPr>
                <w:rFonts w:ascii="宋体" w:hAnsi="宋体" w:cs="宋体" w:eastAsia="宋体" w:hint="default"/>
                <w:sz w:val="18"/>
                <w:szCs w:val="18"/>
              </w:rPr>
            </w:pPr>
            <w:r>
              <w:rPr>
                <w:rFonts w:ascii="宋体" w:hAnsi="宋体" w:cs="宋体" w:eastAsia="宋体" w:hint="default"/>
                <w:sz w:val="18"/>
                <w:szCs w:val="18"/>
              </w:rPr>
              <w:t>闲置 两年 以上 募集 资金 金额</w:t>
            </w:r>
          </w:p>
        </w:tc>
      </w:tr>
      <w:tr>
        <w:trPr>
          <w:trHeight w:val="715" w:hRule="exact"/>
        </w:trPr>
        <w:tc>
          <w:tcPr>
            <w:tcW w:w="6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sz w:val="18"/>
              </w:rPr>
              <w:t>2012</w:t>
            </w:r>
          </w:p>
        </w:tc>
        <w:tc>
          <w:tcPr>
            <w:tcW w:w="960"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2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10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64,894.05</w:t>
            </w:r>
          </w:p>
        </w:tc>
        <w:tc>
          <w:tcPr>
            <w:tcW w:w="98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1,588.15</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68,415.9</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521" w:hRule="exact"/>
        </w:trPr>
        <w:tc>
          <w:tcPr>
            <w:tcW w:w="6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sz w:val="18"/>
              </w:rPr>
              <w:t>2016</w:t>
            </w:r>
          </w:p>
        </w:tc>
        <w:tc>
          <w:tcPr>
            <w:tcW w:w="9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03" w:right="12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10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83,226.77</w:t>
            </w:r>
          </w:p>
        </w:tc>
        <w:tc>
          <w:tcPr>
            <w:tcW w:w="98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11,737.79</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83,226.77</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15.59</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83"/>
              <w:jc w:val="both"/>
              <w:rPr>
                <w:rFonts w:ascii="宋体" w:hAnsi="宋体" w:cs="宋体" w:eastAsia="宋体" w:hint="default"/>
                <w:sz w:val="18"/>
                <w:szCs w:val="18"/>
              </w:rPr>
            </w:pPr>
            <w:r>
              <w:rPr>
                <w:rFonts w:ascii="宋体" w:hAnsi="宋体" w:cs="宋体" w:eastAsia="宋体" w:hint="default"/>
                <w:sz w:val="18"/>
                <w:szCs w:val="18"/>
              </w:rPr>
              <w:t>存放于交通 银行股份有 限公司衡阳 分行、中国 工商银行股 份有限公司 广州经济技 术开发区支 行、澳门华 人银行股份 有限公司</w:t>
            </w:r>
          </w:p>
        </w:tc>
        <w:tc>
          <w:tcPr>
            <w:tcW w:w="71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45"/>
              <w:jc w:val="center"/>
              <w:rPr>
                <w:rFonts w:ascii="Times New Roman" w:hAnsi="Times New Roman" w:cs="Times New Roman" w:eastAsia="Times New Roman" w:hint="default"/>
                <w:sz w:val="18"/>
                <w:szCs w:val="18"/>
              </w:rPr>
            </w:pPr>
            <w:r>
              <w:rPr>
                <w:rFonts w:ascii="Times New Roman"/>
                <w:sz w:val="18"/>
              </w:rPr>
              <w:t>2017</w:t>
            </w:r>
          </w:p>
        </w:tc>
        <w:tc>
          <w:tcPr>
            <w:tcW w:w="9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0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23,000</w:t>
            </w:r>
          </w:p>
        </w:tc>
        <w:tc>
          <w:tcPr>
            <w:tcW w:w="98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21,352.39</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7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24"/>
        <w:gridCol w:w="960"/>
        <w:gridCol w:w="1069"/>
        <w:gridCol w:w="982"/>
        <w:gridCol w:w="1090"/>
        <w:gridCol w:w="821"/>
        <w:gridCol w:w="698"/>
        <w:gridCol w:w="713"/>
        <w:gridCol w:w="701"/>
        <w:gridCol w:w="1198"/>
        <w:gridCol w:w="710"/>
      </w:tblGrid>
      <w:tr>
        <w:trPr>
          <w:trHeight w:val="987" w:hRule="exact"/>
        </w:trPr>
        <w:tc>
          <w:tcPr>
            <w:tcW w:w="624" w:type="dxa"/>
            <w:tcBorders>
              <w:top w:val="single" w:sz="4" w:space="0" w:color="933734"/>
              <w:left w:val="single" w:sz="4" w:space="0" w:color="933734"/>
              <w:bottom w:val="single" w:sz="4" w:space="0" w:color="933734"/>
              <w:right w:val="single" w:sz="4" w:space="0" w:color="933734"/>
            </w:tcBorders>
          </w:tcPr>
          <w:p>
            <w:pPr/>
          </w:p>
        </w:tc>
        <w:tc>
          <w:tcPr>
            <w:tcW w:w="960"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8"/>
              <w:ind w:left="103" w:right="125"/>
              <w:jc w:val="both"/>
              <w:rPr>
                <w:rFonts w:ascii="宋体" w:hAnsi="宋体" w:cs="宋体" w:eastAsia="宋体" w:hint="default"/>
                <w:sz w:val="18"/>
                <w:szCs w:val="18"/>
              </w:rPr>
            </w:pPr>
            <w:r>
              <w:rPr>
                <w:rFonts w:ascii="宋体" w:hAnsi="宋体" w:cs="宋体" w:eastAsia="宋体" w:hint="default"/>
                <w:sz w:val="18"/>
                <w:szCs w:val="18"/>
              </w:rPr>
              <w:t>购买资产 并募集配 套资金</w:t>
            </w:r>
          </w:p>
        </w:tc>
        <w:tc>
          <w:tcPr>
            <w:tcW w:w="1069" w:type="dxa"/>
            <w:tcBorders>
              <w:top w:val="single" w:sz="4" w:space="0" w:color="933734"/>
              <w:left w:val="single" w:sz="4" w:space="0" w:color="933734"/>
              <w:bottom w:val="single" w:sz="4" w:space="0" w:color="933734"/>
              <w:right w:val="single" w:sz="4" w:space="0" w:color="933734"/>
            </w:tcBorders>
          </w:tcPr>
          <w:p>
            <w:pPr/>
          </w:p>
        </w:tc>
        <w:tc>
          <w:tcPr>
            <w:tcW w:w="982" w:type="dxa"/>
            <w:tcBorders>
              <w:top w:val="single" w:sz="4" w:space="0" w:color="933734"/>
              <w:left w:val="single" w:sz="4" w:space="0" w:color="933734"/>
              <w:bottom w:val="single" w:sz="4" w:space="0" w:color="933734"/>
              <w:right w:val="single" w:sz="4" w:space="0" w:color="933734"/>
            </w:tcBorders>
          </w:tcPr>
          <w:p>
            <w:pPr/>
          </w:p>
        </w:tc>
        <w:tc>
          <w:tcPr>
            <w:tcW w:w="1090" w:type="dxa"/>
            <w:tcBorders>
              <w:top w:val="single" w:sz="4" w:space="0" w:color="933734"/>
              <w:left w:val="single" w:sz="4" w:space="0" w:color="933734"/>
              <w:bottom w:val="single" w:sz="4" w:space="0" w:color="933734"/>
              <w:right w:val="single" w:sz="4" w:space="0" w:color="933734"/>
            </w:tcBorders>
          </w:tcPr>
          <w:p>
            <w:pPr/>
          </w:p>
        </w:tc>
        <w:tc>
          <w:tcPr>
            <w:tcW w:w="821" w:type="dxa"/>
            <w:tcBorders>
              <w:top w:val="single" w:sz="4" w:space="0" w:color="933734"/>
              <w:left w:val="single" w:sz="4" w:space="0" w:color="933734"/>
              <w:bottom w:val="single" w:sz="4" w:space="0" w:color="933734"/>
              <w:right w:val="single" w:sz="4" w:space="0" w:color="933734"/>
            </w:tcBorders>
          </w:tcPr>
          <w:p>
            <w:pPr/>
          </w:p>
        </w:tc>
        <w:tc>
          <w:tcPr>
            <w:tcW w:w="698" w:type="dxa"/>
            <w:tcBorders>
              <w:top w:val="single" w:sz="4" w:space="0" w:color="933734"/>
              <w:left w:val="single" w:sz="4" w:space="0" w:color="933734"/>
              <w:bottom w:val="single" w:sz="4" w:space="0" w:color="933734"/>
              <w:right w:val="single" w:sz="4" w:space="0" w:color="933734"/>
            </w:tcBorders>
          </w:tcPr>
          <w:p>
            <w:pPr/>
          </w:p>
        </w:tc>
        <w:tc>
          <w:tcPr>
            <w:tcW w:w="713" w:type="dxa"/>
            <w:tcBorders>
              <w:top w:val="single" w:sz="4" w:space="0" w:color="933734"/>
              <w:left w:val="single" w:sz="4" w:space="0" w:color="933734"/>
              <w:bottom w:val="single" w:sz="4" w:space="0" w:color="933734"/>
              <w:right w:val="single" w:sz="4" w:space="0" w:color="933734"/>
            </w:tcBorders>
          </w:tcPr>
          <w:p>
            <w:pPr/>
          </w:p>
        </w:tc>
        <w:tc>
          <w:tcPr>
            <w:tcW w:w="701"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71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6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171,120.82</w:t>
            </w:r>
          </w:p>
        </w:tc>
        <w:tc>
          <w:tcPr>
            <w:tcW w:w="98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13,344.94</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172,995.06</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0.00%</w:t>
            </w:r>
          </w:p>
        </w:tc>
        <w:tc>
          <w:tcPr>
            <w:tcW w:w="7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15.59</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1531" w:hRule="exact"/>
        </w:trPr>
        <w:tc>
          <w:tcPr>
            <w:tcW w:w="9566" w:type="dxa"/>
            <w:gridSpan w:val="11"/>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30"/>
                <w:sz w:val="18"/>
                <w:szCs w:val="18"/>
              </w:rPr>
              <w:t> </w:t>
            </w:r>
            <w:r>
              <w:rPr>
                <w:rFonts w:ascii="宋体" w:hAnsi="宋体" w:cs="宋体" w:eastAsia="宋体" w:hint="default"/>
                <w:sz w:val="18"/>
                <w:szCs w:val="18"/>
              </w:rPr>
              <w:t>首次公开发行募集资金使用基本情况</w:t>
            </w:r>
          </w:p>
          <w:p>
            <w:pPr>
              <w:pStyle w:val="TableParagraph"/>
              <w:tabs>
                <w:tab w:pos="8418" w:val="left" w:leader="none"/>
              </w:tabs>
              <w:spacing w:line="300" w:lineRule="auto" w:before="115"/>
              <w:ind w:left="103" w:right="99"/>
              <w:jc w:val="left"/>
              <w:rPr>
                <w:rFonts w:ascii="宋体" w:hAnsi="宋体" w:cs="宋体" w:eastAsia="宋体" w:hint="default"/>
                <w:sz w:val="18"/>
                <w:szCs w:val="18"/>
              </w:rPr>
            </w:pPr>
            <w:r>
              <w:rPr>
                <w:rFonts w:ascii="宋体" w:hAnsi="宋体" w:cs="宋体" w:eastAsia="宋体" w:hint="default"/>
                <w:spacing w:val="-10"/>
                <w:sz w:val="18"/>
                <w:szCs w:val="18"/>
              </w:rPr>
              <w:t>公司经中国证券监督管理委员会“证监许可【</w:t>
            </w:r>
            <w:r>
              <w:rPr>
                <w:rFonts w:ascii="Times New Roman" w:hAnsi="Times New Roman" w:cs="Times New Roman" w:eastAsia="Times New Roman" w:hint="default"/>
                <w:spacing w:val="-10"/>
                <w:sz w:val="18"/>
                <w:szCs w:val="18"/>
              </w:rPr>
              <w:t>2012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75</w:t>
            </w:r>
            <w:r>
              <w:rPr>
                <w:rFonts w:ascii="Times New Roman" w:hAnsi="Times New Roman" w:cs="Times New Roman" w:eastAsia="Times New Roman" w:hint="default"/>
                <w:spacing w:val="15"/>
                <w:sz w:val="18"/>
                <w:szCs w:val="18"/>
              </w:rPr>
              <w:t> </w:t>
            </w:r>
            <w:r>
              <w:rPr>
                <w:rFonts w:ascii="宋体" w:hAnsi="宋体" w:cs="宋体" w:eastAsia="宋体" w:hint="default"/>
                <w:spacing w:val="-11"/>
                <w:w w:val="99"/>
                <w:sz w:val="18"/>
                <w:szCs w:val="18"/>
              </w:rPr>
              <w:t>号”文核准，公司向社会公众公开发行人民币普通股（</w:t>
            </w:r>
            <w:r>
              <w:rPr>
                <w:rFonts w:ascii="Times New Roman" w:hAnsi="Times New Roman" w:cs="Times New Roman" w:eastAsia="Times New Roman" w:hint="default"/>
                <w:spacing w:val="-11"/>
                <w:w w:val="99"/>
                <w:sz w:val="18"/>
                <w:szCs w:val="18"/>
              </w:rPr>
              <w:t>A</w:t>
            </w:r>
            <w:r>
              <w:rPr>
                <w:rFonts w:ascii="Times New Roman" w:hAnsi="Times New Roman" w:cs="Times New Roman" w:eastAsia="Times New Roman" w:hint="default"/>
                <w:spacing w:val="10"/>
                <w:w w:val="99"/>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2,500,000</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12"/>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pacing w:val="-9"/>
                <w:sz w:val="18"/>
                <w:szCs w:val="18"/>
              </w:rPr>
              <w:t>元，每股发行价格为 </w:t>
            </w:r>
            <w:r>
              <w:rPr>
                <w:rFonts w:ascii="Times New Roman" w:hAnsi="Times New Roman" w:cs="Times New Roman" w:eastAsia="Times New Roman" w:hint="default"/>
                <w:sz w:val="18"/>
                <w:szCs w:val="18"/>
              </w:rPr>
              <w:t>27.80 </w:t>
            </w:r>
            <w:r>
              <w:rPr>
                <w:rFonts w:ascii="宋体" w:hAnsi="宋体" w:cs="宋体" w:eastAsia="宋体" w:hint="default"/>
                <w:spacing w:val="-18"/>
                <w:sz w:val="18"/>
                <w:szCs w:val="18"/>
              </w:rPr>
              <w:t>元。截至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6"/>
                <w:sz w:val="18"/>
                <w:szCs w:val="18"/>
              </w:rPr>
              <w:t> </w:t>
            </w:r>
            <w:r>
              <w:rPr>
                <w:rFonts w:ascii="宋体" w:hAnsi="宋体" w:cs="宋体" w:eastAsia="宋体" w:hint="default"/>
                <w:spacing w:val="-6"/>
                <w:sz w:val="18"/>
                <w:szCs w:val="18"/>
              </w:rPr>
              <w:t>日止，公司募集资金总额为人民币</w:t>
              <w:tab/>
            </w:r>
            <w:r>
              <w:rPr>
                <w:rFonts w:ascii="Times New Roman" w:hAnsi="Times New Roman" w:cs="Times New Roman" w:eastAsia="Times New Roman" w:hint="default"/>
                <w:sz w:val="18"/>
                <w:szCs w:val="18"/>
              </w:rPr>
              <w:t>69,500,000.00 </w:t>
            </w:r>
            <w:r>
              <w:rPr>
                <w:rFonts w:ascii="宋体" w:hAnsi="宋体" w:cs="宋体" w:eastAsia="宋体" w:hint="default"/>
                <w:sz w:val="18"/>
                <w:szCs w:val="18"/>
              </w:rPr>
              <w:t>元，扣除发行费用人民币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46,059,499.41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648,940,500.59,</w:t>
            </w:r>
            <w:r>
              <w:rPr>
                <w:rFonts w:ascii="宋体" w:hAnsi="宋体" w:cs="宋体" w:eastAsia="宋体" w:hint="default"/>
                <w:sz w:val="18"/>
                <w:szCs w:val="18"/>
              </w:rPr>
              <w:t>元，其中新增股本人民币 </w:t>
            </w:r>
            <w:r>
              <w:rPr>
                <w:rFonts w:ascii="Times New Roman" w:hAnsi="Times New Roman" w:cs="Times New Roman" w:eastAsia="Times New Roman" w:hint="default"/>
                <w:sz w:val="18"/>
                <w:szCs w:val="18"/>
              </w:rPr>
              <w:t>25,000,000.00 </w:t>
            </w:r>
            <w:r>
              <w:rPr>
                <w:rFonts w:ascii="宋体" w:hAnsi="宋体" w:cs="宋体" w:eastAsia="宋体" w:hint="default"/>
                <w:sz w:val="18"/>
                <w:szCs w:val="18"/>
              </w:rPr>
              <w:t>元，股本溢价人民币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623,940,500.59,</w:t>
            </w:r>
            <w:r>
              <w:rPr>
                <w:rFonts w:ascii="宋体" w:hAnsi="宋体" w:cs="宋体" w:eastAsia="宋体" w:hint="default"/>
                <w:sz w:val="18"/>
                <w:szCs w:val="18"/>
              </w:rPr>
              <w:t>元。</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648,940,500.59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668,277,537.22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元，累计发生利息收</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35,237,395.98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元，累计发生手续费支出为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18,867.79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元，节余资金转出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15,881,491.56 </w:t>
            </w:r>
            <w:r>
              <w:rPr>
                <w:rFonts w:ascii="宋体" w:hAnsi="宋体" w:cs="宋体" w:eastAsia="宋体" w:hint="default"/>
                <w:sz w:val="18"/>
                <w:szCs w:val="18"/>
              </w:rPr>
              <w:t>元，募集资金账户余额为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300" w:lineRule="auto" w:before="103"/>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日，经公司第四届董事会第六次会议和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年第三次临时股东大会审议通过，上述募集资金已全 部使用完毕并已注销相关募集资金专项账户。</w:t>
            </w:r>
          </w:p>
          <w:p>
            <w:pPr>
              <w:pStyle w:val="TableParagraph"/>
              <w:spacing w:line="360" w:lineRule="auto" w:before="70"/>
              <w:ind w:left="103" w:right="11"/>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30"/>
                <w:sz w:val="18"/>
                <w:szCs w:val="18"/>
              </w:rPr>
              <w:t> </w:t>
            </w:r>
            <w:r>
              <w:rPr>
                <w:rFonts w:ascii="宋体" w:hAnsi="宋体" w:cs="宋体" w:eastAsia="宋体" w:hint="default"/>
                <w:sz w:val="18"/>
                <w:szCs w:val="18"/>
              </w:rPr>
              <w:t>非公开发行募集资金使用基本情况</w:t>
            </w:r>
            <w:r>
              <w:rPr>
                <w:rFonts w:ascii="宋体" w:hAnsi="宋体" w:cs="宋体" w:eastAsia="宋体" w:hint="default"/>
                <w:sz w:val="18"/>
                <w:szCs w:val="18"/>
              </w:rPr>
              <w:t> </w:t>
            </w:r>
            <w:r>
              <w:rPr>
                <w:rFonts w:ascii="宋体" w:hAnsi="宋体" w:cs="宋体" w:eastAsia="宋体" w:hint="default"/>
                <w:spacing w:val="-2"/>
                <w:sz w:val="18"/>
                <w:szCs w:val="18"/>
              </w:rPr>
              <w:t>公司经中国证券监督管理委员会《关于核准摩登大道时尚集团股份有限公司非公开发行股票的批复》（证监许可【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p>
          <w:p>
            <w:pPr>
              <w:pStyle w:val="TableParagraph"/>
              <w:spacing w:line="21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
                <w:sz w:val="18"/>
                <w:szCs w:val="18"/>
              </w:rPr>
              <w:t>）</w:t>
            </w:r>
            <w:r>
              <w:rPr>
                <w:rFonts w:ascii="宋体" w:hAnsi="宋体" w:cs="宋体" w:eastAsia="宋体" w:hint="default"/>
                <w:sz w:val="18"/>
                <w:szCs w:val="18"/>
              </w:rPr>
              <w:t>核准</w:t>
            </w:r>
            <w:r>
              <w:rPr>
                <w:rFonts w:ascii="宋体" w:hAnsi="宋体" w:cs="宋体" w:eastAsia="宋体" w:hint="default"/>
                <w:spacing w:val="-3"/>
                <w:sz w:val="18"/>
                <w:szCs w:val="18"/>
              </w:rPr>
              <w:t>，</w:t>
            </w:r>
            <w:r>
              <w:rPr>
                <w:rFonts w:ascii="宋体" w:hAnsi="宋体" w:cs="宋体" w:eastAsia="宋体" w:hint="default"/>
                <w:sz w:val="18"/>
                <w:szCs w:val="18"/>
              </w:rPr>
              <w:t>以非公开发行股票的方式向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名特定投资</w:t>
            </w:r>
            <w:r>
              <w:rPr>
                <w:rFonts w:ascii="宋体" w:hAnsi="宋体" w:cs="宋体" w:eastAsia="宋体" w:hint="default"/>
                <w:spacing w:val="-3"/>
                <w:sz w:val="18"/>
                <w:szCs w:val="18"/>
              </w:rPr>
              <w:t>者</w:t>
            </w:r>
            <w:r>
              <w:rPr>
                <w:rFonts w:ascii="宋体" w:hAnsi="宋体" w:cs="宋体" w:eastAsia="宋体" w:hint="default"/>
                <w:sz w:val="18"/>
                <w:szCs w:val="18"/>
              </w:rPr>
              <w:t>发行了</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股人民币</w:t>
            </w:r>
            <w:r>
              <w:rPr>
                <w:rFonts w:ascii="宋体" w:hAnsi="宋体" w:cs="宋体" w:eastAsia="宋体" w:hint="default"/>
                <w:spacing w:val="-3"/>
                <w:sz w:val="18"/>
                <w:szCs w:val="18"/>
              </w:rPr>
              <w:t>普</w:t>
            </w:r>
            <w:r>
              <w:rPr>
                <w:rFonts w:ascii="宋体" w:hAnsi="宋体" w:cs="宋体" w:eastAsia="宋体" w:hint="default"/>
                <w:sz w:val="18"/>
                <w:szCs w:val="18"/>
              </w:rPr>
              <w:t>通</w:t>
            </w:r>
            <w:r>
              <w:rPr>
                <w:rFonts w:ascii="宋体" w:hAnsi="宋体" w:cs="宋体" w:eastAsia="宋体" w:hint="default"/>
                <w:spacing w:val="-3"/>
                <w:sz w:val="18"/>
                <w:szCs w:val="18"/>
              </w:rPr>
              <w:t>股</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股</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发行价格</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851,559,796.39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5"/>
                <w:sz w:val="18"/>
                <w:szCs w:val="18"/>
              </w:rPr>
              <w:t>，</w:t>
            </w:r>
            <w:r>
              <w:rPr>
                <w:rFonts w:ascii="宋体" w:hAnsi="宋体" w:cs="宋体" w:eastAsia="宋体" w:hint="default"/>
                <w:sz w:val="18"/>
                <w:szCs w:val="18"/>
              </w:rPr>
              <w:t>保荐人</w:t>
            </w:r>
            <w:r>
              <w:rPr>
                <w:rFonts w:ascii="宋体" w:hAnsi="宋体" w:cs="宋体" w:eastAsia="宋体" w:hint="default"/>
                <w:spacing w:val="-3"/>
                <w:sz w:val="18"/>
                <w:szCs w:val="18"/>
              </w:rPr>
              <w:t>恒</w:t>
            </w:r>
            <w:r>
              <w:rPr>
                <w:rFonts w:ascii="宋体" w:hAnsi="宋体" w:cs="宋体" w:eastAsia="宋体" w:hint="default"/>
                <w:sz w:val="18"/>
                <w:szCs w:val="18"/>
              </w:rPr>
              <w:t>泰长财证券有限责任公</w:t>
            </w:r>
            <w:r>
              <w:rPr>
                <w:rFonts w:ascii="宋体" w:hAnsi="宋体" w:cs="宋体" w:eastAsia="宋体" w:hint="default"/>
                <w:spacing w:val="-15"/>
                <w:sz w:val="18"/>
                <w:szCs w:val="18"/>
              </w:rPr>
              <w:t>司</w:t>
            </w:r>
            <w:r>
              <w:rPr>
                <w:rFonts w:ascii="宋体" w:hAnsi="宋体" w:cs="宋体" w:eastAsia="宋体" w:hint="default"/>
                <w:sz w:val="18"/>
                <w:szCs w:val="18"/>
              </w:rPr>
              <w:t>（以下简</w:t>
            </w:r>
            <w:r>
              <w:rPr>
                <w:rFonts w:ascii="宋体" w:hAnsi="宋体" w:cs="宋体" w:eastAsia="宋体" w:hint="default"/>
                <w:spacing w:val="-15"/>
                <w:sz w:val="18"/>
                <w:szCs w:val="18"/>
              </w:rPr>
              <w:t>称</w:t>
            </w:r>
            <w:r>
              <w:rPr>
                <w:rFonts w:ascii="宋体" w:hAnsi="宋体" w:cs="宋体" w:eastAsia="宋体" w:hint="default"/>
                <w:sz w:val="18"/>
                <w:szCs w:val="18"/>
              </w:rPr>
              <w:t>“恒泰长财</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将上述</w:t>
            </w:r>
            <w:r>
              <w:rPr>
                <w:rFonts w:ascii="宋体" w:hAnsi="宋体" w:cs="宋体" w:eastAsia="宋体" w:hint="default"/>
                <w:spacing w:val="2"/>
                <w:sz w:val="18"/>
                <w:szCs w:val="18"/>
              </w:rPr>
              <w:t>认</w:t>
            </w:r>
            <w:r>
              <w:rPr>
                <w:rFonts w:ascii="宋体" w:hAnsi="宋体" w:cs="宋体" w:eastAsia="宋体" w:hint="default"/>
                <w:spacing w:val="1"/>
                <w:sz w:val="18"/>
                <w:szCs w:val="18"/>
              </w:rPr>
              <w:t>购</w:t>
            </w:r>
            <w:r>
              <w:rPr>
                <w:rFonts w:ascii="宋体" w:hAnsi="宋体" w:cs="宋体" w:eastAsia="宋体" w:hint="default"/>
                <w:sz w:val="18"/>
                <w:szCs w:val="18"/>
              </w:rPr>
              <w:t>款项扣除承销保荐费后的余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838,559,796.39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元划至公司指定的本次募集资金专户内。</w:t>
            </w:r>
          </w:p>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w:t>
            </w:r>
            <w:r>
              <w:rPr>
                <w:rFonts w:ascii="宋体" w:hAnsi="宋体" w:cs="宋体" w:eastAsia="宋体" w:hint="default"/>
                <w:sz w:val="18"/>
                <w:szCs w:val="18"/>
              </w:rPr>
              <w:t>根据广东</w:t>
            </w:r>
            <w:r>
              <w:rPr>
                <w:rFonts w:ascii="宋体" w:hAnsi="宋体" w:cs="宋体" w:eastAsia="宋体" w:hint="default"/>
                <w:spacing w:val="-3"/>
                <w:sz w:val="18"/>
                <w:szCs w:val="18"/>
              </w:rPr>
              <w:t>正</w:t>
            </w:r>
            <w:r>
              <w:rPr>
                <w:rFonts w:ascii="宋体" w:hAnsi="宋体" w:cs="宋体" w:eastAsia="宋体" w:hint="default"/>
                <w:sz w:val="18"/>
                <w:szCs w:val="18"/>
              </w:rPr>
              <w:t>中珠江会计师事务</w:t>
            </w:r>
            <w:r>
              <w:rPr>
                <w:rFonts w:ascii="宋体" w:hAnsi="宋体" w:cs="宋体" w:eastAsia="宋体" w:hint="default"/>
                <w:spacing w:val="-65"/>
                <w:sz w:val="18"/>
                <w:szCs w:val="18"/>
              </w:rPr>
              <w:t>所</w:t>
            </w:r>
            <w:r>
              <w:rPr>
                <w:rFonts w:ascii="宋体" w:hAnsi="宋体" w:cs="宋体" w:eastAsia="宋体" w:hint="default"/>
                <w:sz w:val="18"/>
                <w:szCs w:val="18"/>
              </w:rPr>
              <w:t>（特殊普通合伙</w:t>
            </w:r>
            <w:r>
              <w:rPr>
                <w:rFonts w:ascii="宋体" w:hAnsi="宋体" w:cs="宋体" w:eastAsia="宋体" w:hint="default"/>
                <w:spacing w:val="-65"/>
                <w:sz w:val="18"/>
                <w:szCs w:val="18"/>
              </w:rPr>
              <w:t>）</w:t>
            </w:r>
            <w:r>
              <w:rPr>
                <w:rFonts w:ascii="宋体" w:hAnsi="宋体" w:cs="宋体" w:eastAsia="宋体" w:hint="default"/>
                <w:sz w:val="18"/>
                <w:szCs w:val="18"/>
              </w:rPr>
              <w:t>出具</w:t>
            </w:r>
            <w:r>
              <w:rPr>
                <w:rFonts w:ascii="宋体" w:hAnsi="宋体" w:cs="宋体" w:eastAsia="宋体" w:hint="default"/>
                <w:spacing w:val="-65"/>
                <w:sz w:val="18"/>
                <w:szCs w:val="18"/>
              </w:rPr>
              <w:t>的</w:t>
            </w:r>
            <w:r>
              <w:rPr>
                <w:rFonts w:ascii="宋体" w:hAnsi="宋体" w:cs="宋体" w:eastAsia="宋体" w:hint="default"/>
                <w:sz w:val="18"/>
                <w:szCs w:val="18"/>
              </w:rPr>
              <w:t>《验资报告</w:t>
            </w:r>
            <w:r>
              <w:rPr>
                <w:rFonts w:ascii="宋体" w:hAnsi="宋体" w:cs="宋体" w:eastAsia="宋体" w:hint="default"/>
                <w:spacing w:val="-157"/>
                <w:sz w:val="18"/>
                <w:szCs w:val="18"/>
              </w:rPr>
              <w:t>》</w:t>
            </w:r>
            <w:r>
              <w:rPr>
                <w:rFonts w:ascii="宋体" w:hAnsi="宋体" w:cs="宋体" w:eastAsia="宋体" w:hint="default"/>
                <w:sz w:val="18"/>
                <w:szCs w:val="18"/>
              </w:rPr>
              <w:t>（广会验</w:t>
            </w:r>
            <w:r>
              <w:rPr>
                <w:rFonts w:ascii="宋体" w:hAnsi="宋体" w:cs="宋体" w:eastAsia="宋体" w:hint="default"/>
                <w:spacing w:val="-65"/>
                <w:sz w:val="18"/>
                <w:szCs w:val="18"/>
              </w:rPr>
              <w:t>字</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16</w:t>
            </w:r>
            <w:r>
              <w:rPr>
                <w:rFonts w:ascii="宋体" w:hAnsi="宋体" w:cs="宋体" w:eastAsia="宋体" w:hint="default"/>
                <w:spacing w:val="-65"/>
                <w:sz w:val="18"/>
                <w:szCs w:val="18"/>
              </w:rPr>
              <w:t>】</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号）记录，截至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号止，发行人实际发行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89,921,837 </w:t>
            </w:r>
            <w:r>
              <w:rPr>
                <w:rFonts w:ascii="宋体" w:hAnsi="宋体" w:cs="宋体" w:eastAsia="宋体" w:hint="default"/>
                <w:sz w:val="18"/>
                <w:szCs w:val="18"/>
              </w:rPr>
              <w:t>股，募集资金总额合计为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851,559,796.39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元，扣除承</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销保荐费和公司为发行而支付的其他有关的费用（律师费、信息披露费等</w:t>
            </w:r>
            <w:r>
              <w:rPr>
                <w:rFonts w:ascii="宋体" w:hAnsi="宋体" w:cs="宋体" w:eastAsia="宋体" w:hint="default"/>
                <w:spacing w:val="-92"/>
                <w:sz w:val="18"/>
                <w:szCs w:val="18"/>
              </w:rPr>
              <w:t>）</w:t>
            </w:r>
            <w:r>
              <w:rPr>
                <w:rFonts w:ascii="宋体" w:hAnsi="宋体" w:cs="宋体" w:eastAsia="宋体" w:hint="default"/>
                <w:sz w:val="18"/>
                <w:szCs w:val="18"/>
              </w:rPr>
              <w:t>，合计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元（含税）后，发行人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832,267,666.65 </w:t>
            </w:r>
            <w:r>
              <w:rPr>
                <w:rFonts w:ascii="宋体" w:hAnsi="宋体" w:cs="宋体" w:eastAsia="宋体" w:hint="default"/>
                <w:sz w:val="18"/>
                <w:szCs w:val="18"/>
              </w:rPr>
              <w:t>元。</w:t>
            </w: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832,267,666.65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832,267,666.65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元，累计发生利息收入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1,661,402.89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元，累计发生手续费支出为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40,074.83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元，累计节余资金转出为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1,465,452.63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元，募集资金账户余额为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155,875.43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38" w:lineRule="auto" w:before="103"/>
              <w:ind w:left="103" w:right="7"/>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30"/>
                <w:sz w:val="18"/>
                <w:szCs w:val="18"/>
              </w:rPr>
              <w:t> </w:t>
            </w:r>
            <w:r>
              <w:rPr>
                <w:rFonts w:ascii="宋体" w:hAnsi="宋体" w:cs="宋体" w:eastAsia="宋体" w:hint="default"/>
                <w:sz w:val="18"/>
                <w:szCs w:val="18"/>
              </w:rPr>
              <w:t>发行股份购买资产并募集配套资金募集资金使用基本情况</w:t>
            </w:r>
            <w:r>
              <w:rPr>
                <w:rFonts w:ascii="宋体" w:hAnsi="宋体" w:cs="宋体" w:eastAsia="宋体" w:hint="default"/>
                <w:sz w:val="18"/>
                <w:szCs w:val="18"/>
              </w:rPr>
              <w:t> </w:t>
            </w:r>
            <w:r>
              <w:rPr>
                <w:rFonts w:ascii="宋体" w:hAnsi="宋体" w:cs="宋体" w:eastAsia="宋体" w:hint="default"/>
                <w:spacing w:val="-2"/>
                <w:sz w:val="18"/>
                <w:szCs w:val="18"/>
              </w:rPr>
              <w:t>摩登大道时尚集团股份有限公司（以下简称“公司”）经中国证券监督管理委员会《关于核准摩登大道时尚集团股份有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限公司向颜庆华等发行股份购买资产并募集配套资金的批复》（证监许可【</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330</w:t>
            </w:r>
            <w:r>
              <w:rPr>
                <w:rFonts w:ascii="Times New Roman" w:hAnsi="Times New Roman" w:cs="Times New Roman" w:eastAsia="Times New Roman" w:hint="default"/>
                <w:spacing w:val="41"/>
                <w:sz w:val="18"/>
                <w:szCs w:val="18"/>
              </w:rPr>
              <w:t> </w:t>
            </w:r>
            <w:r>
              <w:rPr>
                <w:rFonts w:ascii="宋体" w:hAnsi="宋体" w:cs="宋体" w:eastAsia="宋体" w:hint="default"/>
                <w:spacing w:val="-2"/>
                <w:sz w:val="18"/>
                <w:szCs w:val="18"/>
              </w:rPr>
              <w:t>号）核准，以非公开发行股票方式</w:t>
            </w:r>
          </w:p>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向上海庞增投资管理中心（有限合伙）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庞增添益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号私募投资基金发行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14,640,356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股，每股发行价格为人民币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本次募集资金总额为人民币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229,999,992.76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5"/>
                <w:sz w:val="18"/>
                <w:szCs w:val="18"/>
              </w:rPr>
              <w:t>，</w:t>
            </w:r>
            <w:r>
              <w:rPr>
                <w:rFonts w:ascii="宋体" w:hAnsi="宋体" w:cs="宋体" w:eastAsia="宋体" w:hint="default"/>
                <w:sz w:val="18"/>
                <w:szCs w:val="18"/>
              </w:rPr>
              <w:t>保荐人</w:t>
            </w:r>
            <w:r>
              <w:rPr>
                <w:rFonts w:ascii="宋体" w:hAnsi="宋体" w:cs="宋体" w:eastAsia="宋体" w:hint="default"/>
                <w:spacing w:val="-3"/>
                <w:sz w:val="18"/>
                <w:szCs w:val="18"/>
              </w:rPr>
              <w:t>广</w:t>
            </w:r>
            <w:r>
              <w:rPr>
                <w:rFonts w:ascii="宋体" w:hAnsi="宋体" w:cs="宋体" w:eastAsia="宋体" w:hint="default"/>
                <w:sz w:val="18"/>
                <w:szCs w:val="18"/>
              </w:rPr>
              <w:t>发证券股份有限公</w:t>
            </w:r>
            <w:r>
              <w:rPr>
                <w:rFonts w:ascii="宋体" w:hAnsi="宋体" w:cs="宋体" w:eastAsia="宋体" w:hint="default"/>
                <w:spacing w:val="-15"/>
                <w:sz w:val="18"/>
                <w:szCs w:val="18"/>
              </w:rPr>
              <w:t>司</w:t>
            </w:r>
            <w:r>
              <w:rPr>
                <w:rFonts w:ascii="宋体" w:hAnsi="宋体" w:cs="宋体" w:eastAsia="宋体" w:hint="default"/>
                <w:sz w:val="18"/>
                <w:szCs w:val="18"/>
              </w:rPr>
              <w:t>（以下简</w:t>
            </w:r>
            <w:r>
              <w:rPr>
                <w:rFonts w:ascii="宋体" w:hAnsi="宋体" w:cs="宋体" w:eastAsia="宋体" w:hint="default"/>
                <w:spacing w:val="-15"/>
                <w:sz w:val="18"/>
                <w:szCs w:val="18"/>
              </w:rPr>
              <w:t>称</w:t>
            </w:r>
            <w:r>
              <w:rPr>
                <w:rFonts w:ascii="宋体" w:hAnsi="宋体" w:cs="宋体" w:eastAsia="宋体" w:hint="default"/>
                <w:sz w:val="18"/>
                <w:szCs w:val="18"/>
              </w:rPr>
              <w:t>“广发证券</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将上述认购</w:t>
            </w:r>
            <w:r>
              <w:rPr>
                <w:rFonts w:ascii="宋体" w:hAnsi="宋体" w:cs="宋体" w:eastAsia="宋体" w:hint="default"/>
                <w:spacing w:val="2"/>
                <w:sz w:val="18"/>
                <w:szCs w:val="18"/>
              </w:rPr>
              <w:t>款</w:t>
            </w:r>
            <w:r>
              <w:rPr>
                <w:rFonts w:ascii="宋体" w:hAnsi="宋体" w:cs="宋体" w:eastAsia="宋体" w:hint="default"/>
                <w:sz w:val="18"/>
                <w:szCs w:val="18"/>
              </w:rPr>
              <w:t>项扣除承销及保荐费后的余额</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214,999,992.76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元划入至公司本次指定的募集资金专户内。</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53"/>
                <w:sz w:val="18"/>
                <w:szCs w:val="18"/>
              </w:rPr>
              <w:t>，</w:t>
            </w:r>
            <w:r>
              <w:rPr>
                <w:rFonts w:ascii="宋体" w:hAnsi="宋体" w:cs="宋体" w:eastAsia="宋体" w:hint="default"/>
                <w:sz w:val="18"/>
                <w:szCs w:val="18"/>
              </w:rPr>
              <w:t>根据广东</w:t>
            </w:r>
            <w:r>
              <w:rPr>
                <w:rFonts w:ascii="宋体" w:hAnsi="宋体" w:cs="宋体" w:eastAsia="宋体" w:hint="default"/>
                <w:spacing w:val="-3"/>
                <w:sz w:val="18"/>
                <w:szCs w:val="18"/>
              </w:rPr>
              <w:t>正</w:t>
            </w:r>
            <w:r>
              <w:rPr>
                <w:rFonts w:ascii="宋体" w:hAnsi="宋体" w:cs="宋体" w:eastAsia="宋体" w:hint="default"/>
                <w:sz w:val="18"/>
                <w:szCs w:val="18"/>
              </w:rPr>
              <w:t>中珠江会计师事务</w:t>
            </w:r>
            <w:r>
              <w:rPr>
                <w:rFonts w:ascii="宋体" w:hAnsi="宋体" w:cs="宋体" w:eastAsia="宋体" w:hint="default"/>
                <w:spacing w:val="-53"/>
                <w:sz w:val="18"/>
                <w:szCs w:val="18"/>
              </w:rPr>
              <w:t>所</w:t>
            </w:r>
            <w:r>
              <w:rPr>
                <w:rFonts w:ascii="宋体" w:hAnsi="宋体" w:cs="宋体" w:eastAsia="宋体" w:hint="default"/>
                <w:sz w:val="18"/>
                <w:szCs w:val="18"/>
              </w:rPr>
              <w:t>（特殊普通合伙</w:t>
            </w:r>
            <w:r>
              <w:rPr>
                <w:rFonts w:ascii="宋体" w:hAnsi="宋体" w:cs="宋体" w:eastAsia="宋体" w:hint="default"/>
                <w:spacing w:val="-53"/>
                <w:sz w:val="18"/>
                <w:szCs w:val="18"/>
              </w:rPr>
              <w:t>）</w:t>
            </w:r>
            <w:r>
              <w:rPr>
                <w:rFonts w:ascii="宋体" w:hAnsi="宋体" w:cs="宋体" w:eastAsia="宋体" w:hint="default"/>
                <w:sz w:val="18"/>
                <w:szCs w:val="18"/>
              </w:rPr>
              <w:t>出具</w:t>
            </w:r>
            <w:r>
              <w:rPr>
                <w:rFonts w:ascii="宋体" w:hAnsi="宋体" w:cs="宋体" w:eastAsia="宋体" w:hint="default"/>
                <w:spacing w:val="-53"/>
                <w:sz w:val="18"/>
                <w:szCs w:val="18"/>
              </w:rPr>
              <w:t>的</w:t>
            </w:r>
            <w:r>
              <w:rPr>
                <w:rFonts w:ascii="宋体" w:hAnsi="宋体" w:cs="宋体" w:eastAsia="宋体" w:hint="default"/>
                <w:sz w:val="18"/>
                <w:szCs w:val="18"/>
              </w:rPr>
              <w:t>《验资报告</w:t>
            </w:r>
            <w:r>
              <w:rPr>
                <w:rFonts w:ascii="宋体" w:hAnsi="宋体" w:cs="宋体" w:eastAsia="宋体" w:hint="default"/>
                <w:spacing w:val="-144"/>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广</w:t>
            </w:r>
            <w:r>
              <w:rPr>
                <w:rFonts w:ascii="宋体" w:hAnsi="宋体" w:cs="宋体" w:eastAsia="宋体" w:hint="default"/>
                <w:sz w:val="18"/>
                <w:szCs w:val="18"/>
              </w:rPr>
              <w:t>会验</w:t>
            </w:r>
            <w:r>
              <w:rPr>
                <w:rFonts w:ascii="宋体" w:hAnsi="宋体" w:cs="宋体" w:eastAsia="宋体" w:hint="default"/>
                <w:spacing w:val="-53"/>
                <w:sz w:val="18"/>
                <w:szCs w:val="18"/>
              </w:rPr>
              <w:t>字</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53"/>
                <w:sz w:val="18"/>
                <w:szCs w:val="18"/>
              </w:rPr>
              <w:t>】</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1"/>
                <w:sz w:val="18"/>
                <w:szCs w:val="18"/>
              </w:rPr>
              <w:t>160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号）记录，截至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229,999,992.76 </w:t>
            </w:r>
            <w:r>
              <w:rPr>
                <w:rFonts w:ascii="宋体" w:hAnsi="宋体" w:cs="宋体" w:eastAsia="宋体" w:hint="default"/>
                <w:sz w:val="18"/>
                <w:szCs w:val="18"/>
              </w:rPr>
              <w:t>元，扣除各项发行费用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17,523,866.70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，实际募集资金净</w:t>
            </w:r>
            <w:r>
              <w:rPr>
                <w:rFonts w:ascii="宋体" w:hAnsi="宋体" w:cs="宋体" w:eastAsia="宋体" w:hint="default"/>
                <w:spacing w:val="2"/>
                <w:sz w:val="18"/>
                <w:szCs w:val="18"/>
              </w:rPr>
              <w:t>额</w:t>
            </w:r>
            <w:r>
              <w:rPr>
                <w:rFonts w:ascii="宋体" w:hAnsi="宋体" w:cs="宋体" w:eastAsia="宋体" w:hint="default"/>
                <w:sz w:val="18"/>
                <w:szCs w:val="18"/>
              </w:rPr>
              <w:t>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日，累计已使用募集资金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213,523,866.70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元，累计发生利息收入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140,038.10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元，累计发生手续费支</w:t>
            </w:r>
          </w:p>
          <w:p>
            <w:pPr>
              <w:pStyle w:val="TableParagraph"/>
              <w:spacing w:line="300" w:lineRule="auto" w:before="63"/>
              <w:ind w:left="103" w:right="178"/>
              <w:jc w:val="left"/>
              <w:rPr>
                <w:rFonts w:ascii="宋体" w:hAnsi="宋体" w:cs="宋体" w:eastAsia="宋体" w:hint="default"/>
                <w:sz w:val="18"/>
                <w:szCs w:val="18"/>
              </w:rPr>
            </w:pPr>
            <w:r>
              <w:rPr>
                <w:rFonts w:ascii="宋体" w:hAnsi="宋体" w:cs="宋体" w:eastAsia="宋体" w:hint="default"/>
                <w:sz w:val="18"/>
                <w:szCs w:val="18"/>
              </w:rPr>
              <w:t>出为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元，累计节余资金转出为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16,616,161.36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元。经公司第四届董事会第六次会议审议 通过，上述募集资金已全部使用完毕并已注销相关募集资金专项账户。</w:t>
            </w:r>
          </w:p>
        </w:tc>
      </w:tr>
    </w:tbl>
    <w:p>
      <w:pPr>
        <w:spacing w:after="0" w:line="30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0"/>
        <w:rPr>
          <w:rFonts w:ascii="Times New Roman" w:hAnsi="Times New Roman" w:cs="Times New Roman" w:eastAsia="Times New Roman"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03"/>
        <w:gridCol w:w="691"/>
        <w:gridCol w:w="1090"/>
        <w:gridCol w:w="1020"/>
        <w:gridCol w:w="992"/>
        <w:gridCol w:w="1128"/>
        <w:gridCol w:w="932"/>
        <w:gridCol w:w="521"/>
        <w:gridCol w:w="919"/>
        <w:gridCol w:w="600"/>
        <w:gridCol w:w="619"/>
      </w:tblGrid>
      <w:tr>
        <w:trPr>
          <w:trHeight w:val="4147"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5" w:right="105"/>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6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131" w:right="12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10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79" w:right="178"/>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2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29" w:right="12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9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29" w:right="13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38" w:lineRule="auto"/>
              <w:ind w:left="110" w:right="10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9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77" w:right="171"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9" w:lineRule="exact"/>
              <w:ind w:left="13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5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65" w:right="163"/>
              <w:jc w:val="both"/>
              <w:rPr>
                <w:rFonts w:ascii="宋体" w:hAnsi="宋体" w:cs="宋体" w:eastAsia="宋体" w:hint="default"/>
                <w:sz w:val="18"/>
                <w:szCs w:val="18"/>
              </w:rPr>
            </w:pPr>
            <w:r>
              <w:rPr>
                <w:rFonts w:ascii="宋体" w:hAnsi="宋体" w:cs="宋体" w:eastAsia="宋体" w:hint="default"/>
                <w:sz w:val="18"/>
                <w:szCs w:val="18"/>
              </w:rPr>
              <w:t>项 目 达 到 预 定 可 使 用 状 态 日 期</w:t>
            </w:r>
          </w:p>
        </w:tc>
        <w:tc>
          <w:tcPr>
            <w:tcW w:w="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4" w:right="182"/>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6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115" w:right="11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124" w:right="122"/>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816" w:type="dxa"/>
            <w:gridSpan w:val="11"/>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时尚买手店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37,505.79</w:t>
            </w: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37,505.79</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11,737.8</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37,505.79</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521"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-928.71</w:t>
            </w:r>
          </w:p>
        </w:tc>
        <w:tc>
          <w:tcPr>
            <w:tcW w:w="6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6" w:hRule="exact"/>
        </w:trPr>
        <w:tc>
          <w:tcPr>
            <w:tcW w:w="1303" w:type="dxa"/>
            <w:tcBorders>
              <w:top w:val="single" w:sz="4" w:space="0" w:color="933734"/>
              <w:left w:val="single" w:sz="4" w:space="0" w:color="933734"/>
              <w:bottom w:val="single" w:sz="4" w:space="0" w:color="933734"/>
              <w:right w:val="single" w:sz="4" w:space="0" w:color="933734"/>
            </w:tcBorders>
          </w:tcPr>
          <w:p>
            <w:pPr>
              <w:pStyle w:val="TableParagraph"/>
              <w:spacing w:line="336"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意大利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pacing w:val="-3"/>
                <w:sz w:val="18"/>
                <w:szCs w:val="18"/>
              </w:rPr>
              <w:t>S.P.A.51%</w:t>
            </w:r>
            <w:r>
              <w:rPr>
                <w:rFonts w:ascii="宋体" w:hAnsi="宋体" w:cs="宋体" w:eastAsia="宋体" w:hint="default"/>
                <w:spacing w:val="-3"/>
                <w:sz w:val="18"/>
                <w:szCs w:val="18"/>
              </w:rPr>
              <w:t>股</w:t>
            </w:r>
          </w:p>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权收购及</w:t>
            </w:r>
          </w:p>
          <w:p>
            <w:pPr>
              <w:pStyle w:val="TableParagraph"/>
              <w:spacing w:line="307" w:lineRule="auto" w:before="118"/>
              <w:ind w:left="10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DirkBikkembe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rgs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品牌营销 网络建设项目</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30,720.98</w:t>
            </w: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30,720.98</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30,720.98</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521"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-1,858.94</w:t>
            </w:r>
          </w:p>
        </w:tc>
        <w:tc>
          <w:tcPr>
            <w:tcW w:w="6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偿还银行贷款</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521"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
        </w:tc>
        <w:tc>
          <w:tcPr>
            <w:tcW w:w="60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25"/>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03"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08"/>
              <w:jc w:val="left"/>
              <w:rPr>
                <w:rFonts w:ascii="宋体" w:hAnsi="宋体" w:cs="宋体" w:eastAsia="宋体" w:hint="default"/>
                <w:sz w:val="18"/>
                <w:szCs w:val="18"/>
              </w:rPr>
            </w:pPr>
            <w:r>
              <w:rPr>
                <w:rFonts w:ascii="宋体" w:hAnsi="宋体" w:cs="宋体" w:eastAsia="宋体" w:hint="default"/>
                <w:sz w:val="18"/>
                <w:szCs w:val="18"/>
              </w:rPr>
              <w:t>支付本次交易 的现金对价</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19,600</w:t>
            </w: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19,600</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19,600</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521"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6,895.73</w:t>
            </w:r>
          </w:p>
        </w:tc>
        <w:tc>
          <w:tcPr>
            <w:tcW w:w="6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0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支付本次交易 相关费用</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3,400</w:t>
            </w: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3,400</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1,752.39</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51.54%</w:t>
            </w:r>
          </w:p>
        </w:tc>
        <w:tc>
          <w:tcPr>
            <w:tcW w:w="521"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
        </w:tc>
        <w:tc>
          <w:tcPr>
            <w:tcW w:w="60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25"/>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2"/>
              <w:ind w:left="103" w:right="108"/>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6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106,226.77</w:t>
            </w: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106,226.7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7</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11,756.8</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104,579.16</w:t>
            </w:r>
          </w:p>
        </w:tc>
        <w:tc>
          <w:tcPr>
            <w:tcW w:w="9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4,108.08</w:t>
            </w:r>
          </w:p>
        </w:tc>
        <w:tc>
          <w:tcPr>
            <w:tcW w:w="6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3"/>
              <w:jc w:val="right"/>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816" w:type="dxa"/>
            <w:gridSpan w:val="11"/>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339" w:hRule="exact"/>
        </w:trPr>
        <w:tc>
          <w:tcPr>
            <w:tcW w:w="1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科学城</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CANUDILO</w:t>
            </w:r>
          </w:p>
          <w:p>
            <w:pPr>
              <w:pStyle w:val="TableParagraph"/>
              <w:spacing w:line="316" w:lineRule="auto" w:before="63"/>
              <w:ind w:left="103" w:right="108"/>
              <w:jc w:val="left"/>
              <w:rPr>
                <w:rFonts w:ascii="宋体" w:hAnsi="宋体" w:cs="宋体" w:eastAsia="宋体" w:hint="default"/>
                <w:sz w:val="18"/>
                <w:szCs w:val="18"/>
              </w:rPr>
            </w:pPr>
            <w:r>
              <w:rPr>
                <w:rFonts w:ascii="宋体" w:hAnsi="宋体" w:cs="宋体" w:eastAsia="宋体" w:hint="default"/>
                <w:sz w:val="18"/>
                <w:szCs w:val="18"/>
              </w:rPr>
              <w:t>“跨界”艺术 中心</w:t>
            </w:r>
          </w:p>
        </w:tc>
        <w:tc>
          <w:tcPr>
            <w:tcW w:w="691" w:type="dxa"/>
            <w:tcBorders>
              <w:top w:val="single" w:sz="4" w:space="0" w:color="933734"/>
              <w:left w:val="single" w:sz="4" w:space="0" w:color="933734"/>
              <w:bottom w:val="single" w:sz="4" w:space="0" w:color="933734"/>
              <w:right w:val="single" w:sz="4" w:space="0" w:color="933734"/>
            </w:tcBorders>
          </w:tcPr>
          <w:p>
            <w:pPr/>
          </w:p>
        </w:tc>
        <w:tc>
          <w:tcPr>
            <w:tcW w:w="1090" w:type="dxa"/>
            <w:tcBorders>
              <w:top w:val="single" w:sz="4" w:space="0" w:color="933734"/>
              <w:left w:val="single" w:sz="4" w:space="0" w:color="933734"/>
              <w:bottom w:val="single" w:sz="4" w:space="0" w:color="933734"/>
              <w:right w:val="single" w:sz="4" w:space="0" w:color="933734"/>
            </w:tcBorders>
          </w:tcPr>
          <w:p>
            <w:pP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992" w:type="dxa"/>
            <w:tcBorders>
              <w:top w:val="single" w:sz="4" w:space="0" w:color="933734"/>
              <w:left w:val="single" w:sz="4" w:space="0" w:color="933734"/>
              <w:bottom w:val="single" w:sz="4" w:space="0" w:color="933734"/>
              <w:right w:val="single" w:sz="4" w:space="0" w:color="933734"/>
            </w:tcBorders>
          </w:tcPr>
          <w:p>
            <w:pP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521"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
        </w:tc>
        <w:tc>
          <w:tcPr>
            <w:tcW w:w="600" w:type="dxa"/>
            <w:tcBorders>
              <w:top w:val="single" w:sz="4" w:space="0" w:color="933734"/>
              <w:left w:val="single" w:sz="4" w:space="0" w:color="933734"/>
              <w:bottom w:val="single" w:sz="4" w:space="0" w:color="933734"/>
              <w:right w:val="single" w:sz="4" w:space="0" w:color="933734"/>
            </w:tcBorders>
          </w:tcPr>
          <w:p>
            <w:pPr/>
          </w:p>
        </w:tc>
        <w:tc>
          <w:tcPr>
            <w:tcW w:w="619"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8"/>
              <w:ind w:right="108"/>
              <w:jc w:val="right"/>
              <w:rPr>
                <w:rFonts w:ascii="宋体" w:hAnsi="宋体" w:cs="宋体" w:eastAsia="宋体" w:hint="default"/>
                <w:sz w:val="18"/>
                <w:szCs w:val="18"/>
              </w:rPr>
            </w:pPr>
            <w:r>
              <w:rPr>
                <w:rFonts w:ascii="宋体" w:hAnsi="宋体" w:cs="宋体" w:eastAsia="宋体" w:hint="default"/>
                <w:sz w:val="18"/>
                <w:szCs w:val="18"/>
              </w:rPr>
              <w:t>归还银行贷款</w:t>
            </w:r>
          </w:p>
        </w:tc>
        <w:tc>
          <w:tcPr>
            <w:tcW w:w="6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933734"/>
              <w:left w:val="single" w:sz="4" w:space="0" w:color="933734"/>
              <w:bottom w:val="single" w:sz="4" w:space="0" w:color="933734"/>
              <w:right w:val="single" w:sz="4" w:space="0" w:color="933734"/>
            </w:tcBorders>
          </w:tcPr>
          <w:p>
            <w:pP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16,000</w:t>
            </w:r>
          </w:p>
        </w:tc>
        <w:tc>
          <w:tcPr>
            <w:tcW w:w="992" w:type="dxa"/>
            <w:tcBorders>
              <w:top w:val="single" w:sz="4" w:space="0" w:color="933734"/>
              <w:left w:val="single" w:sz="4" w:space="0" w:color="933734"/>
              <w:bottom w:val="single" w:sz="4" w:space="0" w:color="933734"/>
              <w:right w:val="single" w:sz="4" w:space="0" w:color="933734"/>
            </w:tcBorders>
          </w:tcPr>
          <w:p>
            <w:pP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16,000</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100.00%</w:t>
            </w:r>
          </w:p>
        </w:tc>
        <w:tc>
          <w:tcPr>
            <w:tcW w:w="5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233"/>
              <w:jc w:val="right"/>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3"/>
        <w:gridCol w:w="691"/>
        <w:gridCol w:w="1090"/>
        <w:gridCol w:w="1020"/>
        <w:gridCol w:w="992"/>
        <w:gridCol w:w="1128"/>
        <w:gridCol w:w="932"/>
        <w:gridCol w:w="521"/>
        <w:gridCol w:w="919"/>
        <w:gridCol w:w="600"/>
        <w:gridCol w:w="619"/>
      </w:tblGrid>
      <w:tr>
        <w:trPr>
          <w:trHeight w:val="363"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1"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090" w:type="dxa"/>
            <w:tcBorders>
              <w:top w:val="single" w:sz="4" w:space="0" w:color="933734"/>
              <w:left w:val="single" w:sz="4" w:space="0" w:color="933734"/>
              <w:bottom w:val="single" w:sz="4" w:space="0" w:color="933734"/>
              <w:right w:val="single" w:sz="4" w:space="0" w:color="933734"/>
            </w:tcBorders>
          </w:tcPr>
          <w:p>
            <w:pPr/>
          </w:p>
        </w:tc>
        <w:tc>
          <w:tcPr>
            <w:tcW w:w="1020"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
        </w:tc>
        <w:tc>
          <w:tcPr>
            <w:tcW w:w="1128" w:type="dxa"/>
            <w:tcBorders>
              <w:top w:val="single" w:sz="4" w:space="0" w:color="933734"/>
              <w:left w:val="single" w:sz="4" w:space="0" w:color="933734"/>
              <w:bottom w:val="single" w:sz="4" w:space="0" w:color="933734"/>
              <w:right w:val="single" w:sz="4" w:space="0" w:color="933734"/>
            </w:tcBorders>
          </w:tcPr>
          <w:p>
            <w:pPr/>
          </w:p>
        </w:tc>
        <w:tc>
          <w:tcPr>
            <w:tcW w:w="932" w:type="dxa"/>
            <w:tcBorders>
              <w:top w:val="single" w:sz="4" w:space="0" w:color="933734"/>
              <w:left w:val="single" w:sz="4" w:space="0" w:color="933734"/>
              <w:bottom w:val="single" w:sz="4" w:space="0" w:color="933734"/>
              <w:right w:val="single" w:sz="4" w:space="0" w:color="933734"/>
            </w:tcBorders>
          </w:tcPr>
          <w:p>
            <w:pPr/>
          </w:p>
        </w:tc>
        <w:tc>
          <w:tcPr>
            <w:tcW w:w="521"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919"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6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619"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713"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933734"/>
              <w:left w:val="single" w:sz="4" w:space="0" w:color="933734"/>
              <w:bottom w:val="single" w:sz="4" w:space="0" w:color="933734"/>
              <w:right w:val="single" w:sz="4" w:space="0" w:color="933734"/>
            </w:tcBorders>
          </w:tcPr>
          <w:p>
            <w:pP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9,588.15</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1,588.15</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9,588.15</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5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超募资金投向 小计</w:t>
            </w:r>
          </w:p>
        </w:tc>
        <w:tc>
          <w:tcPr>
            <w:tcW w:w="6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933734"/>
              <w:left w:val="single" w:sz="4" w:space="0" w:color="933734"/>
              <w:bottom w:val="single" w:sz="4" w:space="0" w:color="933734"/>
              <w:right w:val="single" w:sz="4" w:space="0" w:color="933734"/>
            </w:tcBorders>
          </w:tcPr>
          <w:p>
            <w:pP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28,588.15</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1,588.15</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28,588.15</w:t>
            </w:r>
          </w:p>
        </w:tc>
        <w:tc>
          <w:tcPr>
            <w:tcW w:w="9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933734"/>
              <w:left w:val="single" w:sz="4" w:space="0" w:color="933734"/>
              <w:bottom w:val="single" w:sz="4" w:space="0" w:color="933734"/>
              <w:right w:val="single" w:sz="4" w:space="0" w:color="933734"/>
            </w:tcBorders>
          </w:tcPr>
          <w:p>
            <w:pPr/>
          </w:p>
        </w:tc>
        <w:tc>
          <w:tcPr>
            <w:tcW w:w="6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106,226.77</w:t>
            </w:r>
          </w:p>
        </w:tc>
        <w:tc>
          <w:tcPr>
            <w:tcW w:w="102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134,814.9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13,344.95</w:t>
            </w:r>
          </w:p>
        </w:tc>
        <w:tc>
          <w:tcPr>
            <w:tcW w:w="11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133,167.31</w:t>
            </w:r>
          </w:p>
        </w:tc>
        <w:tc>
          <w:tcPr>
            <w:tcW w:w="9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4,108.08</w:t>
            </w:r>
          </w:p>
        </w:tc>
        <w:tc>
          <w:tcPr>
            <w:tcW w:w="6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2043"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103" w:right="108"/>
              <w:jc w:val="both"/>
              <w:rPr>
                <w:rFonts w:ascii="宋体" w:hAnsi="宋体" w:cs="宋体" w:eastAsia="宋体" w:hint="default"/>
                <w:sz w:val="18"/>
                <w:szCs w:val="18"/>
              </w:rPr>
            </w:pPr>
            <w:r>
              <w:rPr>
                <w:rFonts w:ascii="宋体" w:hAnsi="宋体" w:cs="宋体" w:eastAsia="宋体" w:hint="default"/>
                <w:sz w:val="18"/>
                <w:szCs w:val="18"/>
              </w:rPr>
              <w:t>未达到计划进 度或预计收益 的情况和原因</w:t>
            </w:r>
          </w:p>
          <w:p>
            <w:pPr>
              <w:pStyle w:val="TableParagraph"/>
              <w:spacing w:line="319" w:lineRule="auto" w:before="19"/>
              <w:ind w:left="103" w:right="288"/>
              <w:jc w:val="left"/>
              <w:rPr>
                <w:rFonts w:ascii="宋体" w:hAnsi="宋体" w:cs="宋体" w:eastAsia="宋体" w:hint="default"/>
                <w:sz w:val="18"/>
                <w:szCs w:val="18"/>
              </w:rPr>
            </w:pPr>
            <w:r>
              <w:rPr>
                <w:rFonts w:ascii="宋体" w:hAnsi="宋体" w:cs="宋体" w:eastAsia="宋体" w:hint="default"/>
                <w:sz w:val="18"/>
                <w:szCs w:val="18"/>
              </w:rPr>
              <w:t>（分具体项 目）</w:t>
            </w:r>
          </w:p>
        </w:tc>
        <w:tc>
          <w:tcPr>
            <w:tcW w:w="8512" w:type="dxa"/>
            <w:gridSpan w:val="10"/>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日公司募投项目经营情况如下：</w:t>
            </w:r>
          </w:p>
          <w:p>
            <w:pPr>
              <w:pStyle w:val="TableParagraph"/>
              <w:spacing w:line="300" w:lineRule="auto" w:before="103"/>
              <w:ind w:left="105"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、时尚买手店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项目：报告期实现净利</w:t>
            </w:r>
            <w:r>
              <w:rPr>
                <w:rFonts w:ascii="Times New Roman" w:hAnsi="Times New Roman" w:cs="Times New Roman" w:eastAsia="Times New Roman" w:hint="default"/>
                <w:sz w:val="18"/>
                <w:szCs w:val="18"/>
              </w:rPr>
              <w:t>-928.71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万元。业绩不达预期的主要原因是：</w:t>
            </w:r>
            <w:r>
              <w:rPr>
                <w:rFonts w:ascii="Times New Roman" w:hAnsi="Times New Roman" w:cs="Times New Roman" w:eastAsia="Times New Roman" w:hint="default"/>
                <w:spacing w:val="-3"/>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项目业绩有所 增长，但仍不达预期，且各项经营成本费用不减，导致项目亏损。</w:t>
            </w:r>
          </w:p>
          <w:p>
            <w:pPr>
              <w:pStyle w:val="TableParagraph"/>
              <w:spacing w:line="300" w:lineRule="auto" w:before="70"/>
              <w:ind w:left="10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、意大利</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S.P.A.51%</w:t>
            </w:r>
            <w:r>
              <w:rPr>
                <w:rFonts w:ascii="宋体" w:hAnsi="宋体" w:cs="宋体" w:eastAsia="宋体" w:hint="default"/>
                <w:sz w:val="18"/>
                <w:szCs w:val="18"/>
              </w:rPr>
              <w:t>股权收购及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DirkBikkembergs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品牌营销网络建设项目：报告期归属于上市公 司股东的净利润</w:t>
            </w:r>
            <w:r>
              <w:rPr>
                <w:rFonts w:ascii="Times New Roman" w:hAnsi="Times New Roman" w:cs="Times New Roman" w:eastAsia="Times New Roman" w:hint="default"/>
                <w:sz w:val="18"/>
                <w:szCs w:val="18"/>
              </w:rPr>
              <w:t>-1,858.94 </w:t>
            </w:r>
            <w:r>
              <w:rPr>
                <w:rFonts w:ascii="宋体" w:hAnsi="宋体" w:cs="宋体" w:eastAsia="宋体" w:hint="default"/>
                <w:sz w:val="18"/>
                <w:szCs w:val="18"/>
              </w:rPr>
              <w:t>万元。业绩不达预期的主要原因是：受其鞋类产品授权商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ZEIS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集团陷入财困境 的影响，在营业收入下滑以及市场投入增加的双重压力下，导致项目亏损。</w:t>
            </w:r>
          </w:p>
        </w:tc>
      </w:tr>
      <w:tr>
        <w:trPr>
          <w:trHeight w:val="1027" w:hRule="exact"/>
        </w:trPr>
        <w:tc>
          <w:tcPr>
            <w:tcW w:w="1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08"/>
              <w:jc w:val="both"/>
              <w:rPr>
                <w:rFonts w:ascii="宋体" w:hAnsi="宋体" w:cs="宋体" w:eastAsia="宋体" w:hint="default"/>
                <w:sz w:val="18"/>
                <w:szCs w:val="18"/>
              </w:rPr>
            </w:pPr>
            <w:r>
              <w:rPr>
                <w:rFonts w:ascii="宋体" w:hAnsi="宋体" w:cs="宋体" w:eastAsia="宋体" w:hint="default"/>
                <w:sz w:val="18"/>
                <w:szCs w:val="18"/>
              </w:rPr>
              <w:t>项目可行性发 生重大变化的 情况说明</w:t>
            </w:r>
          </w:p>
        </w:tc>
        <w:tc>
          <w:tcPr>
            <w:tcW w:w="8512" w:type="dxa"/>
            <w:gridSpan w:val="10"/>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0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103" w:right="108"/>
              <w:jc w:val="both"/>
              <w:rPr>
                <w:rFonts w:ascii="宋体" w:hAnsi="宋体" w:cs="宋体" w:eastAsia="宋体" w:hint="default"/>
                <w:sz w:val="18"/>
                <w:szCs w:val="18"/>
              </w:rPr>
            </w:pPr>
            <w:r>
              <w:rPr>
                <w:rFonts w:ascii="宋体" w:hAnsi="宋体" w:cs="宋体" w:eastAsia="宋体" w:hint="default"/>
                <w:sz w:val="18"/>
                <w:szCs w:val="18"/>
              </w:rPr>
              <w:t>超募资金的金 额、用途及使 用进展情况</w:t>
            </w:r>
          </w:p>
        </w:tc>
        <w:tc>
          <w:tcPr>
            <w:tcW w:w="8512" w:type="dxa"/>
            <w:gridSpan w:val="10"/>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820" w:hRule="exact"/>
        </w:trPr>
        <w:tc>
          <w:tcPr>
            <w:tcW w:w="1303" w:type="dxa"/>
            <w:vMerge/>
            <w:tcBorders>
              <w:left w:val="single" w:sz="4" w:space="0" w:color="933734"/>
              <w:bottom w:val="single" w:sz="4" w:space="0" w:color="933734"/>
              <w:right w:val="single" w:sz="4" w:space="0" w:color="933734"/>
            </w:tcBorders>
            <w:shd w:val="clear" w:color="auto" w:fill="E4B8B7"/>
          </w:tcPr>
          <w:p>
            <w:pPr/>
          </w:p>
        </w:tc>
        <w:tc>
          <w:tcPr>
            <w:tcW w:w="8512" w:type="dxa"/>
            <w:gridSpan w:val="10"/>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公司超募资金共计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26,931.58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万元，其中，已批准使用项目如下：</w:t>
            </w:r>
          </w:p>
          <w:p>
            <w:pPr>
              <w:pStyle w:val="TableParagraph"/>
              <w:spacing w:line="300" w:lineRule="auto" w:before="103"/>
              <w:ind w:left="105"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日公司第二届董事会第五次会议及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 会审议通过，使用超募资金人民币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万元用于建设科学城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CANUDILO</w:t>
            </w:r>
            <w:r>
              <w:rPr>
                <w:rFonts w:ascii="宋体" w:hAnsi="宋体" w:cs="宋体" w:eastAsia="宋体" w:hint="default"/>
                <w:sz w:val="18"/>
                <w:szCs w:val="18"/>
              </w:rPr>
              <w:t>“跨界”艺术中心。</w:t>
            </w:r>
          </w:p>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日公司第二届董事会第十二次会议及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通过，使用超募资金人民币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8,000.00 </w:t>
            </w:r>
            <w:r>
              <w:rPr>
                <w:rFonts w:ascii="宋体" w:hAnsi="宋体" w:cs="宋体" w:eastAsia="宋体" w:hint="default"/>
                <w:sz w:val="18"/>
                <w:szCs w:val="18"/>
              </w:rPr>
              <w:t>万元用于归还银行借款。上述款项已于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月份支付。</w:t>
            </w:r>
          </w:p>
          <w:p>
            <w:pPr>
              <w:pStyle w:val="TableParagraph"/>
              <w:spacing w:line="240" w:lineRule="auto" w:before="103"/>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届董事会第十九次会议及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w:t>
            </w:r>
            <w:r>
              <w:rPr>
                <w:rFonts w:ascii="宋体" w:hAnsi="宋体" w:cs="宋体" w:eastAsia="宋体" w:hint="default"/>
                <w:spacing w:val="-3"/>
                <w:sz w:val="18"/>
                <w:szCs w:val="18"/>
              </w:rPr>
              <w:t>度</w:t>
            </w:r>
            <w:r>
              <w:rPr>
                <w:rFonts w:ascii="宋体" w:hAnsi="宋体" w:cs="宋体" w:eastAsia="宋体" w:hint="default"/>
                <w:sz w:val="18"/>
                <w:szCs w:val="18"/>
              </w:rPr>
              <w:t>股东大会审议</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通过，使用超募资金人民币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8,000.00 </w:t>
            </w:r>
            <w:r>
              <w:rPr>
                <w:rFonts w:ascii="宋体" w:hAnsi="宋体" w:cs="宋体" w:eastAsia="宋体" w:hint="default"/>
                <w:sz w:val="18"/>
                <w:szCs w:val="18"/>
              </w:rPr>
              <w:t>万元用于归还银行借款。上述款项已于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月份归还银行借款。</w:t>
            </w:r>
          </w:p>
          <w:p>
            <w:pPr>
              <w:pStyle w:val="TableParagraph"/>
              <w:spacing w:line="240" w:lineRule="auto" w:before="103"/>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77"/>
                <w:sz w:val="18"/>
                <w:szCs w:val="18"/>
              </w:rPr>
              <w:t>、</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三届董事会第二次会议及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r>
              <w:rPr>
                <w:rFonts w:ascii="宋体" w:hAnsi="宋体" w:cs="宋体" w:eastAsia="宋体" w:hint="default"/>
                <w:spacing w:val="-3"/>
                <w:sz w:val="18"/>
                <w:szCs w:val="18"/>
              </w:rPr>
              <w:t>股</w:t>
            </w:r>
            <w:r>
              <w:rPr>
                <w:rFonts w:ascii="宋体" w:hAnsi="宋体" w:cs="宋体" w:eastAsia="宋体" w:hint="default"/>
                <w:sz w:val="18"/>
                <w:szCs w:val="18"/>
              </w:rPr>
              <w:t>东大会审议通</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过，公司使用超募资金人民币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93,794,016.71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元（受审批日与实施日利息结算影响，以转入自有资金账户当</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日实际金额为准）暂时性补充流动资金，使用期限不超过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个月，并将于使用期届满前将前述资金全部归</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还至募集资金专户。上述款项已于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月从募集资金专户划入公司银行一般户，暂时用于补充流动资</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万元至募集资金专户，剩余资金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13,794,016.71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日已归还。</w:t>
            </w:r>
          </w:p>
          <w:p>
            <w:pPr>
              <w:pStyle w:val="TableParagraph"/>
              <w:spacing w:line="240" w:lineRule="auto" w:before="10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日公司第三届董事会第五次会议及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w:t>
            </w:r>
          </w:p>
          <w:p>
            <w:pPr>
              <w:pStyle w:val="TableParagraph"/>
              <w:spacing w:line="300" w:lineRule="auto" w:before="63"/>
              <w:ind w:left="105" w:right="99"/>
              <w:jc w:val="left"/>
              <w:rPr>
                <w:rFonts w:ascii="宋体" w:hAnsi="宋体" w:cs="宋体" w:eastAsia="宋体" w:hint="default"/>
                <w:sz w:val="18"/>
                <w:szCs w:val="18"/>
              </w:rPr>
            </w:pPr>
            <w:r>
              <w:rPr>
                <w:rFonts w:ascii="宋体" w:hAnsi="宋体" w:cs="宋体" w:eastAsia="宋体" w:hint="default"/>
                <w:sz w:val="18"/>
                <w:szCs w:val="18"/>
              </w:rPr>
              <w:t>会审议通过，使用超募资金</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万元永久补充流动资金。上述款项于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日从募集资金专 户划入公司银行一般户。</w:t>
            </w:r>
          </w:p>
          <w:p>
            <w:pPr>
              <w:pStyle w:val="TableParagraph"/>
              <w:spacing w:line="240" w:lineRule="auto" w:before="7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日第三届董事会第十次会议审议通过，使用剩余超募资金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15,710,000.00 </w:t>
            </w:r>
            <w:r>
              <w:rPr>
                <w:rFonts w:ascii="宋体" w:hAnsi="宋体" w:cs="宋体" w:eastAsia="宋体" w:hint="default"/>
                <w:sz w:val="18"/>
                <w:szCs w:val="18"/>
              </w:rPr>
              <w:t>元暂时补充</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流动资金，使用期限不超过</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个月。此次暂时补充流动资金业经保荐人恒泰长财核查并无异议（相关内容</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日在巨潮资讯网披露的《恒泰长财证券有限责任公司关于摩登大道时尚集团股</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份有限公司使用超募资金暂时补充流动资金事项的核查意见</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上述资金已于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从</w:t>
            </w:r>
            <w:r>
              <w:rPr>
                <w:rFonts w:ascii="宋体" w:hAnsi="宋体" w:cs="宋体" w:eastAsia="宋体" w:hint="default"/>
                <w:sz w:val="18"/>
                <w:szCs w:val="18"/>
              </w:rPr>
              <w:t>募集资金账户</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划入公司银行一般户。公司于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日已将上述用于暂时补充流动资金的超募资金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15,710,000.00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元归还至相应的募集资金专用账户。</w:t>
            </w:r>
          </w:p>
          <w:p>
            <w:pPr>
              <w:pStyle w:val="TableParagraph"/>
              <w:spacing w:line="240" w:lineRule="auto" w:before="117"/>
              <w:ind w:left="105"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7</w:t>
            </w:r>
            <w:r>
              <w:rPr>
                <w:rFonts w:ascii="宋体" w:hAnsi="宋体" w:cs="宋体" w:eastAsia="宋体" w:hint="default"/>
                <w:spacing w:val="-23"/>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日第四届董事会第六次会议及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过，使用超募资金余额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15,853,328.46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元用于永久补充流动资金（受审批日与实施日利息结算影响，具体以</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02"/>
        <w:gridCol w:w="8512"/>
      </w:tblGrid>
      <w:tr>
        <w:trPr>
          <w:trHeight w:val="1337" w:hRule="exact"/>
        </w:trPr>
        <w:tc>
          <w:tcPr>
            <w:tcW w:w="1302"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审批完成后永久补充流动资金实施日募集资金专户转入自有资金账户的实际金额为准</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述款项已于</w:t>
            </w:r>
          </w:p>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月从募集资金专户划入公司银行一般户，用于永久补充流动资金。</w:t>
            </w:r>
          </w:p>
          <w:p>
            <w:pPr>
              <w:pStyle w:val="TableParagraph"/>
              <w:spacing w:line="300" w:lineRule="auto" w:before="103"/>
              <w:ind w:left="105"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日，剩余超募资金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元。公司超募资金全部使用完毕并已注销相关募集资金专 项账户。</w:t>
            </w:r>
          </w:p>
        </w:tc>
      </w:tr>
      <w:tr>
        <w:trPr>
          <w:trHeight w:val="403" w:hRule="exact"/>
        </w:trPr>
        <w:tc>
          <w:tcPr>
            <w:tcW w:w="1302" w:type="dxa"/>
            <w:vMerge w:val="restart"/>
            <w:tcBorders>
              <w:top w:val="single" w:sz="4" w:space="0" w:color="933734"/>
              <w:left w:val="single" w:sz="4" w:space="0" w:color="933734"/>
              <w:right w:val="single" w:sz="4" w:space="0" w:color="933734"/>
            </w:tcBorders>
            <w:shd w:val="clear" w:color="auto" w:fill="E4B8B7"/>
          </w:tcPr>
          <w:p>
            <w:pPr>
              <w:pStyle w:val="TableParagraph"/>
              <w:spacing w:line="316" w:lineRule="auto" w:before="140"/>
              <w:ind w:left="102" w:right="108"/>
              <w:jc w:val="both"/>
              <w:rPr>
                <w:rFonts w:ascii="宋体" w:hAnsi="宋体" w:cs="宋体" w:eastAsia="宋体" w:hint="default"/>
                <w:sz w:val="18"/>
                <w:szCs w:val="18"/>
              </w:rPr>
            </w:pPr>
            <w:r>
              <w:rPr>
                <w:rFonts w:ascii="宋体" w:hAnsi="宋体" w:cs="宋体" w:eastAsia="宋体" w:hint="default"/>
                <w:sz w:val="18"/>
                <w:szCs w:val="18"/>
              </w:rPr>
              <w:t>募集资金投资 项目实施地点 变更情况</w:t>
            </w: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302" w:type="dxa"/>
            <w:vMerge/>
            <w:tcBorders>
              <w:left w:val="single" w:sz="4" w:space="0" w:color="933734"/>
              <w:right w:val="single" w:sz="4" w:space="0" w:color="933734"/>
            </w:tcBorders>
            <w:shd w:val="clear" w:color="auto" w:fill="E4B8B7"/>
          </w:tcPr>
          <w:p>
            <w:pPr/>
          </w:p>
        </w:tc>
        <w:tc>
          <w:tcPr>
            <w:tcW w:w="8512"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302" w:type="dxa"/>
            <w:vMerge/>
            <w:tcBorders>
              <w:left w:val="single" w:sz="4" w:space="0" w:color="933734"/>
              <w:bottom w:val="single" w:sz="4" w:space="0" w:color="933734"/>
              <w:right w:val="single" w:sz="4" w:space="0" w:color="933734"/>
            </w:tcBorders>
            <w:shd w:val="clear" w:color="auto" w:fill="E4B8B7"/>
          </w:tcPr>
          <w:p>
            <w:pPr/>
          </w:p>
        </w:tc>
        <w:tc>
          <w:tcPr>
            <w:tcW w:w="8512"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30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102" w:right="108"/>
              <w:jc w:val="both"/>
              <w:rPr>
                <w:rFonts w:ascii="宋体" w:hAnsi="宋体" w:cs="宋体" w:eastAsia="宋体" w:hint="default"/>
                <w:sz w:val="18"/>
                <w:szCs w:val="18"/>
              </w:rPr>
            </w:pPr>
            <w:r>
              <w:rPr>
                <w:rFonts w:ascii="宋体" w:hAnsi="宋体" w:cs="宋体" w:eastAsia="宋体" w:hint="default"/>
                <w:sz w:val="18"/>
                <w:szCs w:val="18"/>
              </w:rPr>
              <w:t>募集资金投资 项目实施方式 调整情况</w:t>
            </w: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302" w:type="dxa"/>
            <w:vMerge/>
            <w:tcBorders>
              <w:left w:val="single" w:sz="4" w:space="0" w:color="933734"/>
              <w:right w:val="single" w:sz="4" w:space="0" w:color="933734"/>
            </w:tcBorders>
            <w:shd w:val="clear" w:color="auto" w:fill="E4B8B7"/>
          </w:tcPr>
          <w:p>
            <w:pP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314" w:hRule="exact"/>
        </w:trPr>
        <w:tc>
          <w:tcPr>
            <w:tcW w:w="1302" w:type="dxa"/>
            <w:vMerge/>
            <w:tcBorders>
              <w:left w:val="single" w:sz="4" w:space="0" w:color="933734"/>
              <w:bottom w:val="single" w:sz="4" w:space="0" w:color="933734"/>
              <w:right w:val="single" w:sz="4" w:space="0" w:color="933734"/>
            </w:tcBorders>
            <w:shd w:val="clear" w:color="auto" w:fill="E4B8B7"/>
          </w:tcPr>
          <w:p>
            <w:pP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both"/>
              <w:rPr>
                <w:rFonts w:ascii="宋体" w:hAnsi="宋体" w:cs="宋体" w:eastAsia="宋体" w:hint="default"/>
                <w:sz w:val="18"/>
                <w:szCs w:val="18"/>
              </w:rPr>
            </w:pPr>
            <w:r>
              <w:rPr>
                <w:rFonts w:ascii="宋体" w:hAnsi="宋体" w:cs="宋体" w:eastAsia="宋体" w:hint="default"/>
                <w:sz w:val="18"/>
                <w:szCs w:val="18"/>
              </w:rPr>
              <w:t>（一）非公开发行股票项目</w:t>
            </w:r>
          </w:p>
          <w:p>
            <w:pPr>
              <w:pStyle w:val="TableParagraph"/>
              <w:spacing w:line="300" w:lineRule="auto" w:before="115"/>
              <w:ind w:left="105"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日，公司分别召开了第三届董事会第二十四次会议和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时股东大会，会议分别审议并通过了《关于调整时尚买手店</w:t>
            </w:r>
            <w:r>
              <w:rPr>
                <w:rFonts w:ascii="宋体" w:hAnsi="宋体" w:cs="宋体" w:eastAsia="宋体" w:hint="default"/>
                <w:spacing w:val="-39"/>
                <w:sz w:val="18"/>
                <w:szCs w:val="18"/>
              </w:rPr>
              <w:t> </w:t>
            </w:r>
            <w:r>
              <w:rPr>
                <w:rFonts w:ascii="Times New Roman" w:hAnsi="Times New Roman" w:cs="Times New Roman" w:eastAsia="Times New Roman" w:hint="default"/>
                <w:w w:val="99"/>
                <w:sz w:val="18"/>
                <w:szCs w:val="18"/>
              </w:rPr>
              <w:t>O2O</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6"/>
                <w:sz w:val="18"/>
                <w:szCs w:val="18"/>
              </w:rPr>
              <w:t>项目相关事项的议案》，同意公司调整时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尚买手店</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项目的实施方式及投资构成并延长项目建设期，具体为：线上销售渠道由自有电商平台调整 </w:t>
            </w:r>
            <w:r>
              <w:rPr>
                <w:rFonts w:ascii="宋体" w:hAnsi="宋体" w:cs="宋体" w:eastAsia="宋体" w:hint="default"/>
                <w:spacing w:val="-2"/>
                <w:sz w:val="18"/>
                <w:szCs w:val="18"/>
              </w:rPr>
              <w:t>为“自有电商平台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第三方电商平台”，同时基于线上销售渠道运营模式由自有电商平台调整为“自有电商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第三方电商平台”，且目前阶段自有电商平台主体部分已基本搭建完成，将原项目投资构成中的部分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工程等支出转为主要用于品牌推广及商品备货，并延长项目建设期至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日。</w:t>
            </w:r>
            <w:r>
              <w:rPr>
                <w:rFonts w:ascii="宋体" w:hAnsi="宋体" w:cs="宋体" w:eastAsia="宋体" w:hint="default"/>
                <w:sz w:val="18"/>
                <w:szCs w:val="18"/>
              </w:rPr>
            </w:r>
          </w:p>
        </w:tc>
      </w:tr>
      <w:tr>
        <w:trPr>
          <w:trHeight w:val="403" w:hRule="exact"/>
        </w:trPr>
        <w:tc>
          <w:tcPr>
            <w:tcW w:w="130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2" w:right="108"/>
              <w:jc w:val="both"/>
              <w:rPr>
                <w:rFonts w:ascii="宋体" w:hAnsi="宋体" w:cs="宋体" w:eastAsia="宋体" w:hint="default"/>
                <w:sz w:val="18"/>
                <w:szCs w:val="18"/>
              </w:rPr>
            </w:pPr>
            <w:r>
              <w:rPr>
                <w:rFonts w:ascii="宋体" w:hAnsi="宋体" w:cs="宋体" w:eastAsia="宋体" w:hint="default"/>
                <w:sz w:val="18"/>
                <w:szCs w:val="18"/>
              </w:rPr>
              <w:t>募集资金投资 项目先期投入 及置换情况</w:t>
            </w: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26" w:hRule="exact"/>
        </w:trPr>
        <w:tc>
          <w:tcPr>
            <w:tcW w:w="1302" w:type="dxa"/>
            <w:vMerge/>
            <w:tcBorders>
              <w:left w:val="single" w:sz="4" w:space="0" w:color="933734"/>
              <w:bottom w:val="single" w:sz="4" w:space="0" w:color="933734"/>
              <w:right w:val="single" w:sz="4" w:space="0" w:color="933734"/>
            </w:tcBorders>
            <w:shd w:val="clear" w:color="auto" w:fill="E4B8B7"/>
          </w:tcPr>
          <w:p>
            <w:pP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（一）非公开发行股票项目</w:t>
            </w:r>
          </w:p>
          <w:p>
            <w:pPr>
              <w:pStyle w:val="TableParagraph"/>
              <w:spacing w:line="300" w:lineRule="auto" w:before="115"/>
              <w:ind w:left="105" w:right="96"/>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日，公司以募集资金置换预先已投入募投项目的总额为人民币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422,130,396.76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元，具</w:t>
            </w:r>
            <w:r>
              <w:rPr>
                <w:rFonts w:ascii="宋体" w:hAnsi="宋体" w:cs="宋体" w:eastAsia="宋体" w:hint="default"/>
                <w:sz w:val="18"/>
                <w:szCs w:val="18"/>
              </w:rPr>
              <w:t> 体情况如下：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、时尚买手店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116,390,364.98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、意大利</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S.P.A.51%</w:t>
            </w:r>
            <w:r>
              <w:rPr>
                <w:rFonts w:ascii="宋体" w:hAnsi="宋体" w:cs="宋体" w:eastAsia="宋体" w:hint="default"/>
                <w:sz w:val="18"/>
                <w:szCs w:val="18"/>
              </w:rPr>
              <w:t>股权收购及 </w:t>
            </w:r>
            <w:r>
              <w:rPr>
                <w:rFonts w:ascii="Times New Roman" w:hAnsi="Times New Roman" w:cs="Times New Roman" w:eastAsia="Times New Roman" w:hint="default"/>
                <w:sz w:val="18"/>
                <w:szCs w:val="18"/>
              </w:rPr>
              <w:t>DirkBikkembergs </w:t>
            </w:r>
            <w:r>
              <w:rPr>
                <w:rFonts w:ascii="宋体" w:hAnsi="宋体" w:cs="宋体" w:eastAsia="宋体" w:hint="default"/>
                <w:sz w:val="18"/>
                <w:szCs w:val="18"/>
              </w:rPr>
              <w:t>品牌营销网络建设项目</w:t>
            </w:r>
            <w:r>
              <w:rPr>
                <w:rFonts w:ascii="Times New Roman" w:hAnsi="Times New Roman" w:cs="Times New Roman" w:eastAsia="Times New Roman" w:hint="default"/>
                <w:sz w:val="18"/>
                <w:szCs w:val="18"/>
              </w:rPr>
              <w:t>:305,740,031.78</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元。本公司第三届董事会第十四次会议审议通过了</w:t>
            </w:r>
          </w:p>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《关于使用募集资金置换已预先投入募集资金投资项目自筹资金的议案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，同意公司使用</w:t>
            </w:r>
            <w:r>
              <w:rPr>
                <w:rFonts w:ascii="宋体" w:hAnsi="宋体" w:cs="宋体" w:eastAsia="宋体" w:hint="default"/>
                <w:spacing w:val="2"/>
                <w:sz w:val="18"/>
                <w:szCs w:val="18"/>
              </w:rPr>
              <w:t>募</w:t>
            </w:r>
            <w:r>
              <w:rPr>
                <w:rFonts w:ascii="宋体" w:hAnsi="宋体" w:cs="宋体" w:eastAsia="宋体" w:hint="default"/>
                <w:sz w:val="18"/>
                <w:szCs w:val="18"/>
              </w:rPr>
              <w:t>集资金人民币</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422,130,396.76 </w:t>
            </w:r>
            <w:r>
              <w:rPr>
                <w:rFonts w:ascii="宋体" w:hAnsi="宋体" w:cs="宋体" w:eastAsia="宋体" w:hint="default"/>
                <w:sz w:val="18"/>
                <w:szCs w:val="18"/>
              </w:rPr>
              <w:t>元置换已预先投入募投项目的自有资金；相关内容和程序符合《上市公司监管指引第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4" w:lineRule="auto" w:before="63"/>
              <w:ind w:left="105"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上市公司募集资金管理和使用的监管要求</w:t>
            </w:r>
            <w:r>
              <w:rPr>
                <w:rFonts w:ascii="宋体" w:hAnsi="宋体" w:cs="宋体" w:eastAsia="宋体" w:hint="default"/>
                <w:spacing w:val="-92"/>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《深圳证券</w:t>
            </w:r>
            <w:r>
              <w:rPr>
                <w:rFonts w:ascii="宋体" w:hAnsi="宋体" w:cs="宋体" w:eastAsia="宋体" w:hint="default"/>
                <w:spacing w:val="2"/>
                <w:sz w:val="18"/>
                <w:szCs w:val="18"/>
              </w:rPr>
              <w:t>交</w:t>
            </w:r>
            <w:r>
              <w:rPr>
                <w:rFonts w:ascii="宋体" w:hAnsi="宋体" w:cs="宋体" w:eastAsia="宋体" w:hint="default"/>
                <w:sz w:val="18"/>
                <w:szCs w:val="18"/>
              </w:rPr>
              <w:t>易所中小企业板上市公司规范运作指</w:t>
            </w:r>
            <w:r>
              <w:rPr>
                <w:rFonts w:ascii="宋体" w:hAnsi="宋体" w:cs="宋体" w:eastAsia="宋体" w:hint="default"/>
                <w:spacing w:val="-85"/>
                <w:sz w:val="18"/>
                <w:szCs w:val="18"/>
              </w:rPr>
              <w:t>引</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》等相关法律、法规</w:t>
            </w:r>
            <w:r>
              <w:rPr>
                <w:rFonts w:ascii="宋体" w:hAnsi="宋体" w:cs="宋体" w:eastAsia="宋体" w:hint="default"/>
                <w:spacing w:val="2"/>
                <w:sz w:val="18"/>
                <w:szCs w:val="18"/>
              </w:rPr>
              <w:t>和</w:t>
            </w:r>
            <w:r>
              <w:rPr>
                <w:rFonts w:ascii="宋体" w:hAnsi="宋体" w:cs="宋体" w:eastAsia="宋体" w:hint="default"/>
                <w:sz w:val="18"/>
                <w:szCs w:val="18"/>
              </w:rPr>
              <w:t>规范性文件的要求，不存在变相改变募集资金投向、损害股东利益的情形。</w:t>
            </w:r>
            <w:r>
              <w:rPr>
                <w:rFonts w:ascii="宋体" w:hAnsi="宋体" w:cs="宋体" w:eastAsia="宋体" w:hint="default"/>
                <w:sz w:val="18"/>
                <w:szCs w:val="18"/>
              </w:rPr>
              <w:t> 并经独立董事</w:t>
            </w:r>
            <w:r>
              <w:rPr>
                <w:rFonts w:ascii="宋体" w:hAnsi="宋体" w:cs="宋体" w:eastAsia="宋体" w:hint="default"/>
                <w:spacing w:val="-13"/>
                <w:sz w:val="18"/>
                <w:szCs w:val="18"/>
              </w:rPr>
              <w:t>、</w:t>
            </w:r>
            <w:r>
              <w:rPr>
                <w:rFonts w:ascii="宋体" w:hAnsi="宋体" w:cs="宋体" w:eastAsia="宋体" w:hint="default"/>
                <w:sz w:val="18"/>
                <w:szCs w:val="18"/>
              </w:rPr>
              <w:t>监事会以及持续监督机构核查同意后予以披</w:t>
            </w:r>
            <w:r>
              <w:rPr>
                <w:rFonts w:ascii="宋体" w:hAnsi="宋体" w:cs="宋体" w:eastAsia="宋体" w:hint="default"/>
                <w:spacing w:val="-13"/>
                <w:sz w:val="18"/>
                <w:szCs w:val="18"/>
              </w:rPr>
              <w:t>露</w:t>
            </w:r>
            <w:r>
              <w:rPr>
                <w:rFonts w:ascii="宋体" w:hAnsi="宋体" w:cs="宋体" w:eastAsia="宋体" w:hint="default"/>
                <w:sz w:val="18"/>
                <w:szCs w:val="18"/>
              </w:rPr>
              <w:t>（公告编号</w:t>
            </w:r>
            <w:r>
              <w:rPr>
                <w:rFonts w:ascii="宋体" w:hAnsi="宋体" w:cs="宋体" w:eastAsia="宋体" w:hint="default"/>
                <w:spacing w:val="-1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73</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上述情况业经广东</w:t>
            </w:r>
            <w:r>
              <w:rPr>
                <w:rFonts w:ascii="宋体" w:hAnsi="宋体" w:cs="宋体" w:eastAsia="宋体" w:hint="default"/>
                <w:sz w:val="18"/>
                <w:szCs w:val="18"/>
              </w:rPr>
              <w:t> 正中珠江会计师事务所（特殊普通合伙）审核并出具“广会所专字</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z w:val="18"/>
                <w:szCs w:val="18"/>
              </w:rPr>
              <w:t>6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《关于摩登</w:t>
            </w:r>
            <w:r>
              <w:rPr>
                <w:rFonts w:ascii="宋体" w:hAnsi="宋体" w:cs="宋体" w:eastAsia="宋体" w:hint="default"/>
                <w:sz w:val="18"/>
                <w:szCs w:val="18"/>
              </w:rPr>
              <w:t> 大道时尚集团股份有限公司以自筹资金预先投入非公开发行股票募集资金投资项目的鉴证报告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（二）发行股份购买资产并募集配套资金项目</w:t>
            </w:r>
          </w:p>
          <w:p>
            <w:pPr>
              <w:pStyle w:val="TableParagraph"/>
              <w:spacing w:line="304" w:lineRule="auto" w:before="115"/>
              <w:ind w:left="105" w:right="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日，公司以募集资金置换预先已投入募投项目的总额为人民币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52,013,103.99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元，具 体情况如下：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、支付本次交易的现金对价：</w:t>
            </w:r>
            <w:r>
              <w:rPr>
                <w:rFonts w:ascii="Times New Roman" w:hAnsi="Times New Roman" w:cs="Times New Roman" w:eastAsia="Times New Roman" w:hint="default"/>
                <w:sz w:val="18"/>
                <w:szCs w:val="18"/>
              </w:rPr>
              <w:t>50,000,000.00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、支付本次交易相关费用</w:t>
            </w:r>
            <w:r>
              <w:rPr>
                <w:rFonts w:ascii="Times New Roman" w:hAnsi="Times New Roman" w:cs="Times New Roman" w:eastAsia="Times New Roman" w:hint="default"/>
                <w:sz w:val="18"/>
                <w:szCs w:val="18"/>
              </w:rPr>
              <w:t>:2,013,103.99</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 第三届董事会第二十五次会议和第三届监事会第二十次会议审议通过了《关于使用募集资金置换预先投入 </w:t>
            </w:r>
            <w:r>
              <w:rPr>
                <w:rFonts w:ascii="宋体" w:hAnsi="宋体" w:cs="宋体" w:eastAsia="宋体" w:hint="default"/>
                <w:spacing w:val="-5"/>
                <w:sz w:val="18"/>
                <w:szCs w:val="18"/>
              </w:rPr>
              <w:t>的议案》，同意公司使用募集资金人民币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52,013,103.99</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元置换已预先投入募投项目的自有资金。上述情况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w w:val="99"/>
                <w:sz w:val="18"/>
                <w:szCs w:val="18"/>
              </w:rPr>
              <w:t>业经广东正中珠江会计师事务所（特殊普通合伙）审核并出具“广会专字</w:t>
            </w:r>
            <w:r>
              <w:rPr>
                <w:rFonts w:ascii="Times New Roman" w:hAnsi="Times New Roman" w:cs="Times New Roman" w:eastAsia="Times New Roman" w:hint="default"/>
                <w:spacing w:val="-1"/>
                <w:w w:val="99"/>
                <w:sz w:val="18"/>
                <w:szCs w:val="18"/>
              </w:rPr>
              <w:t>[2017]G16038540150</w:t>
            </w:r>
            <w:r>
              <w:rPr>
                <w:rFonts w:ascii="Times New Roman" w:hAnsi="Times New Roman" w:cs="Times New Roman" w:eastAsia="Times New Roman" w:hint="default"/>
                <w:w w:val="99"/>
                <w:sz w:val="18"/>
                <w:szCs w:val="18"/>
              </w:rPr>
              <w:t> </w:t>
            </w:r>
            <w:r>
              <w:rPr>
                <w:rFonts w:ascii="宋体" w:hAnsi="宋体" w:cs="宋体" w:eastAsia="宋体" w:hint="default"/>
                <w:spacing w:val="-36"/>
                <w:sz w:val="18"/>
                <w:szCs w:val="18"/>
              </w:rPr>
              <w:t>号”《</w:t>
            </w:r>
            <w:r>
              <w:rPr>
                <w:rFonts w:ascii="宋体" w:hAnsi="宋体" w:cs="宋体" w:eastAsia="宋体" w:hint="default"/>
                <w:spacing w:val="3"/>
                <w:sz w:val="18"/>
                <w:szCs w:val="18"/>
              </w:rPr>
              <w:t> </w:t>
            </w:r>
            <w:r>
              <w:rPr>
                <w:rFonts w:ascii="宋体" w:hAnsi="宋体" w:cs="宋体" w:eastAsia="宋体" w:hint="default"/>
                <w:sz w:val="18"/>
                <w:szCs w:val="18"/>
              </w:rPr>
              <w:t>关于</w:t>
            </w:r>
            <w:r>
              <w:rPr>
                <w:rFonts w:ascii="宋体" w:hAnsi="宋体" w:cs="宋体" w:eastAsia="宋体" w:hint="default"/>
                <w:sz w:val="18"/>
                <w:szCs w:val="18"/>
              </w:rPr>
              <w:t> </w:t>
            </w:r>
            <w:r>
              <w:rPr>
                <w:rFonts w:ascii="宋体" w:hAnsi="宋体" w:cs="宋体" w:eastAsia="宋体" w:hint="default"/>
                <w:spacing w:val="-3"/>
                <w:sz w:val="18"/>
                <w:szCs w:val="18"/>
              </w:rPr>
              <w:t>摩登大道时尚集团股份有限公司使用募集资金置换预先投入的鉴证报告》。</w:t>
            </w:r>
          </w:p>
        </w:tc>
      </w:tr>
      <w:tr>
        <w:trPr>
          <w:trHeight w:val="1027" w:hRule="exact"/>
        </w:trPr>
        <w:tc>
          <w:tcPr>
            <w:tcW w:w="13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08"/>
              <w:jc w:val="both"/>
              <w:rPr>
                <w:rFonts w:ascii="宋体" w:hAnsi="宋体" w:cs="宋体" w:eastAsia="宋体" w:hint="default"/>
                <w:sz w:val="18"/>
                <w:szCs w:val="18"/>
              </w:rPr>
            </w:pPr>
            <w:r>
              <w:rPr>
                <w:rFonts w:ascii="宋体" w:hAnsi="宋体" w:cs="宋体" w:eastAsia="宋体" w:hint="default"/>
                <w:sz w:val="18"/>
                <w:szCs w:val="18"/>
              </w:rPr>
              <w:t>用闲置募集资 金暂时补充流 动资金情况</w:t>
            </w: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302" w:type="dxa"/>
            <w:vMerge w:val="restart"/>
            <w:tcBorders>
              <w:top w:val="single" w:sz="4" w:space="0" w:color="933734"/>
              <w:left w:val="single" w:sz="4" w:space="0" w:color="933734"/>
              <w:right w:val="single" w:sz="4" w:space="0" w:color="933734"/>
            </w:tcBorders>
            <w:shd w:val="clear" w:color="auto" w:fill="E4B8B7"/>
          </w:tcPr>
          <w:p>
            <w:pPr>
              <w:pStyle w:val="TableParagraph"/>
              <w:spacing w:line="316" w:lineRule="auto" w:before="49"/>
              <w:ind w:left="102" w:right="108"/>
              <w:jc w:val="both"/>
              <w:rPr>
                <w:rFonts w:ascii="宋体" w:hAnsi="宋体" w:cs="宋体" w:eastAsia="宋体" w:hint="default"/>
                <w:sz w:val="18"/>
                <w:szCs w:val="18"/>
              </w:rPr>
            </w:pPr>
            <w:r>
              <w:rPr>
                <w:rFonts w:ascii="宋体" w:hAnsi="宋体" w:cs="宋体" w:eastAsia="宋体" w:hint="default"/>
                <w:sz w:val="18"/>
                <w:szCs w:val="18"/>
              </w:rPr>
              <w:t>项目实施出现 募集资金结余 的金额及原因</w:t>
            </w: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302" w:type="dxa"/>
            <w:vMerge/>
            <w:tcBorders>
              <w:left w:val="single" w:sz="4" w:space="0" w:color="933734"/>
              <w:bottom w:val="single" w:sz="4" w:space="0" w:color="933734"/>
              <w:right w:val="single" w:sz="4" w:space="0" w:color="933734"/>
            </w:tcBorders>
            <w:shd w:val="clear" w:color="auto" w:fill="E4B8B7"/>
          </w:tcPr>
          <w:p>
            <w:pP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61"/>
              <w:ind w:left="105" w:right="0"/>
              <w:jc w:val="left"/>
              <w:rPr>
                <w:rFonts w:ascii="宋体" w:hAnsi="宋体" w:cs="宋体" w:eastAsia="宋体" w:hint="default"/>
                <w:sz w:val="18"/>
                <w:szCs w:val="18"/>
              </w:rPr>
            </w:pPr>
            <w:r>
              <w:rPr>
                <w:rFonts w:ascii="宋体" w:hAnsi="宋体" w:cs="宋体" w:eastAsia="宋体" w:hint="default"/>
                <w:sz w:val="18"/>
                <w:szCs w:val="18"/>
              </w:rPr>
              <w:t>非公开发行票项目</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02"/>
        <w:gridCol w:w="8512"/>
      </w:tblGrid>
      <w:tr>
        <w:trPr>
          <w:trHeight w:val="2938" w:hRule="exact"/>
        </w:trPr>
        <w:tc>
          <w:tcPr>
            <w:tcW w:w="1302"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日，公司第四届董事会第六次会议审议通过同意公司将节余募集资金（包括利息收入）</w:t>
            </w:r>
          </w:p>
          <w:p>
            <w:pPr>
              <w:pStyle w:val="TableParagraph"/>
              <w:spacing w:line="300" w:lineRule="auto" w:before="63"/>
              <w:ind w:left="105" w:right="10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1,620,280.38</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元用于永久补充流动资金（受审批日与实施日利息结算影响，具体以审批完成后永久补充流动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资金实施日募集资金专户转入自有资金账户的实际金额为准）。募集资金结余的原因为：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、募集资金存放</w:t>
            </w:r>
            <w:r>
              <w:rPr>
                <w:rFonts w:ascii="宋体" w:hAnsi="宋体" w:cs="宋体" w:eastAsia="宋体" w:hint="default"/>
                <w:spacing w:val="-83"/>
                <w:sz w:val="18"/>
                <w:szCs w:val="18"/>
              </w:rPr>
              <w:t> </w:t>
            </w:r>
            <w:r>
              <w:rPr>
                <w:rFonts w:ascii="宋体" w:hAnsi="宋体" w:cs="宋体" w:eastAsia="宋体" w:hint="default"/>
                <w:sz w:val="18"/>
                <w:szCs w:val="18"/>
              </w:rPr>
              <w:t>期间产生利息收入；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、公司在项目实施过程中，严格审批募集资金的支出。</w:t>
            </w:r>
          </w:p>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募集配套资金项目</w:t>
            </w:r>
          </w:p>
          <w:p>
            <w:pPr>
              <w:pStyle w:val="TableParagraph"/>
              <w:spacing w:line="240" w:lineRule="auto" w:before="115"/>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日，公司第四届董事会第六次会议审议通过同意公司将节余募集资金（包括利息收入）</w:t>
            </w:r>
          </w:p>
          <w:p>
            <w:pPr>
              <w:pStyle w:val="TableParagraph"/>
              <w:spacing w:line="300" w:lineRule="auto" w:before="63"/>
              <w:ind w:left="105" w:right="111"/>
              <w:jc w:val="both"/>
              <w:rPr>
                <w:rFonts w:ascii="宋体" w:hAnsi="宋体" w:cs="宋体" w:eastAsia="宋体" w:hint="default"/>
                <w:sz w:val="18"/>
                <w:szCs w:val="18"/>
              </w:rPr>
            </w:pPr>
            <w:r>
              <w:rPr>
                <w:rFonts w:ascii="Times New Roman" w:hAnsi="Times New Roman" w:cs="Times New Roman" w:eastAsia="Times New Roman" w:hint="default"/>
                <w:sz w:val="18"/>
                <w:szCs w:val="18"/>
              </w:rPr>
              <w:t>16,598,124.61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元用于永久补充流动资金（受审批日与实施日利息结算影响，具体以审批完成后永久补充流 </w:t>
            </w:r>
            <w:r>
              <w:rPr>
                <w:rFonts w:ascii="宋体" w:hAnsi="宋体" w:cs="宋体" w:eastAsia="宋体" w:hint="default"/>
                <w:spacing w:val="-2"/>
                <w:sz w:val="18"/>
                <w:szCs w:val="18"/>
              </w:rPr>
              <w:t>动资金实施日募集资金专户转入自有资金账户的实际金额为准）。募集资金结余的原因为：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、募集资金存</w:t>
            </w:r>
            <w:r>
              <w:rPr>
                <w:rFonts w:ascii="宋体" w:hAnsi="宋体" w:cs="宋体" w:eastAsia="宋体" w:hint="default"/>
                <w:spacing w:val="-83"/>
                <w:sz w:val="18"/>
                <w:szCs w:val="18"/>
              </w:rPr>
              <w:t> </w:t>
            </w:r>
            <w:r>
              <w:rPr>
                <w:rFonts w:ascii="宋体" w:hAnsi="宋体" w:cs="宋体" w:eastAsia="宋体" w:hint="default"/>
                <w:sz w:val="18"/>
                <w:szCs w:val="18"/>
              </w:rPr>
              <w:t>放期间产生利息收入；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、公司在项目实施过程中，严格审批募集资金的支出。</w:t>
            </w:r>
          </w:p>
        </w:tc>
      </w:tr>
      <w:tr>
        <w:trPr>
          <w:trHeight w:val="1066" w:hRule="exact"/>
        </w:trPr>
        <w:tc>
          <w:tcPr>
            <w:tcW w:w="13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70"/>
              <w:ind w:left="102" w:right="108"/>
              <w:jc w:val="both"/>
              <w:rPr>
                <w:rFonts w:ascii="宋体" w:hAnsi="宋体" w:cs="宋体" w:eastAsia="宋体" w:hint="default"/>
                <w:sz w:val="18"/>
                <w:szCs w:val="18"/>
              </w:rPr>
            </w:pPr>
            <w:r>
              <w:rPr>
                <w:rFonts w:ascii="宋体" w:hAnsi="宋体" w:cs="宋体" w:eastAsia="宋体" w:hint="default"/>
                <w:sz w:val="18"/>
                <w:szCs w:val="18"/>
              </w:rPr>
              <w:t>尚未使用的募 集资金用途及 去向</w:t>
            </w: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（一）非公开发行股票项目</w:t>
            </w:r>
          </w:p>
          <w:p>
            <w:pPr>
              <w:pStyle w:val="TableParagraph"/>
              <w:spacing w:line="240" w:lineRule="auto" w:before="117"/>
              <w:ind w:left="105"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日，由于部分资金未能及时转出补充流动资金，公司非公开发行募集资金专户余额为</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155,875.43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元。截至本公告日，有关募集资金余额已全部转出补充流动资金并完成销户手续。</w:t>
            </w:r>
          </w:p>
        </w:tc>
      </w:tr>
      <w:tr>
        <w:trPr>
          <w:trHeight w:val="1339" w:hRule="exact"/>
        </w:trPr>
        <w:tc>
          <w:tcPr>
            <w:tcW w:w="13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08"/>
              <w:jc w:val="both"/>
              <w:rPr>
                <w:rFonts w:ascii="宋体" w:hAnsi="宋体" w:cs="宋体" w:eastAsia="宋体" w:hint="default"/>
                <w:sz w:val="18"/>
                <w:szCs w:val="18"/>
              </w:rPr>
            </w:pPr>
            <w:r>
              <w:rPr>
                <w:rFonts w:ascii="宋体" w:hAnsi="宋体" w:cs="宋体" w:eastAsia="宋体" w:hint="default"/>
                <w:sz w:val="18"/>
                <w:szCs w:val="18"/>
              </w:rPr>
              <w:t>募集资金使用 及披露中存在 的问题或其他 情况</w:t>
            </w:r>
          </w:p>
        </w:tc>
        <w:tc>
          <w:tcPr>
            <w:tcW w:w="85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公司募集资金使用及披露中不存在问题和其他情况。</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t>公司报告期不存在募集资金变更项目情况。</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t>公司报告期未出售重大资产。</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5"/>
          <w:szCs w:val="15"/>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主要子公司及对公司净利润影响达</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以上的参股公司情况</w:t>
      </w:r>
      <w:r>
        <w:rPr>
          <w:rFonts w:ascii="宋体" w:hAnsi="宋体" w:cs="宋体" w:eastAsia="宋体" w:hint="default"/>
          <w:sz w:val="18"/>
          <w:szCs w:val="18"/>
        </w:rPr>
      </w:r>
    </w:p>
    <w:p>
      <w:pPr>
        <w:spacing w:line="240" w:lineRule="auto" w:before="3"/>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2"/>
        <w:gridCol w:w="881"/>
        <w:gridCol w:w="1150"/>
        <w:gridCol w:w="1080"/>
        <w:gridCol w:w="1352"/>
        <w:gridCol w:w="917"/>
        <w:gridCol w:w="1045"/>
        <w:gridCol w:w="1044"/>
        <w:gridCol w:w="1047"/>
      </w:tblGrid>
      <w:tr>
        <w:trPr>
          <w:trHeight w:val="713" w:hRule="exact"/>
        </w:trPr>
        <w:tc>
          <w:tcPr>
            <w:tcW w:w="105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47" w:right="161"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15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9"/>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8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5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1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10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0"/>
              <w:ind w:right="116"/>
              <w:jc w:val="center"/>
              <w:rPr>
                <w:rFonts w:ascii="宋体" w:hAnsi="宋体" w:cs="宋体" w:eastAsia="宋体" w:hint="default"/>
                <w:sz w:val="18"/>
                <w:szCs w:val="18"/>
              </w:rPr>
            </w:pPr>
            <w:r>
              <w:rPr>
                <w:rFonts w:ascii="宋体" w:hAnsi="宋体" w:cs="宋体" w:eastAsia="宋体" w:hint="default"/>
                <w:sz w:val="18"/>
                <w:szCs w:val="18"/>
              </w:rPr>
              <w:t>广州狮丹</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z w:val="18"/>
                <w:szCs w:val="18"/>
              </w:rPr>
              <w:t>批发零售业</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209,089,254.41</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70" w:right="0"/>
              <w:jc w:val="center"/>
              <w:rPr>
                <w:rFonts w:ascii="Times New Roman" w:hAnsi="Times New Roman" w:cs="Times New Roman" w:eastAsia="Times New Roman" w:hint="default"/>
                <w:sz w:val="18"/>
                <w:szCs w:val="18"/>
              </w:rPr>
            </w:pPr>
            <w:r>
              <w:rPr>
                <w:rFonts w:ascii="Times New Roman"/>
                <w:sz w:val="18"/>
              </w:rPr>
              <w:t>22,485,5</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19" w:right="0"/>
              <w:jc w:val="left"/>
              <w:rPr>
                <w:rFonts w:ascii="Times New Roman" w:hAnsi="Times New Roman" w:cs="Times New Roman" w:eastAsia="Times New Roman" w:hint="default"/>
                <w:sz w:val="18"/>
                <w:szCs w:val="18"/>
              </w:rPr>
            </w:pPr>
            <w:r>
              <w:rPr>
                <w:rFonts w:ascii="Times New Roman"/>
                <w:sz w:val="18"/>
              </w:rPr>
              <w:t>99,003,441</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63" w:right="0"/>
              <w:jc w:val="center"/>
              <w:rPr>
                <w:rFonts w:ascii="Times New Roman" w:hAnsi="Times New Roman" w:cs="Times New Roman" w:eastAsia="Times New Roman" w:hint="default"/>
                <w:sz w:val="18"/>
                <w:szCs w:val="18"/>
              </w:rPr>
            </w:pPr>
            <w:r>
              <w:rPr>
                <w:rFonts w:ascii="Times New Roman"/>
                <w:sz w:val="18"/>
              </w:rPr>
              <w:t>3,064,462.</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70" w:right="0"/>
              <w:jc w:val="center"/>
              <w:rPr>
                <w:rFonts w:ascii="Times New Roman" w:hAnsi="Times New Roman" w:cs="Times New Roman" w:eastAsia="Times New Roman" w:hint="default"/>
                <w:sz w:val="18"/>
                <w:szCs w:val="18"/>
              </w:rPr>
            </w:pPr>
            <w:r>
              <w:rPr>
                <w:rFonts w:ascii="Times New Roman"/>
                <w:sz w:val="18"/>
              </w:rPr>
              <w:t>4,527,243.</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54"/>
        <w:gridCol w:w="881"/>
        <w:gridCol w:w="1150"/>
        <w:gridCol w:w="1080"/>
        <w:gridCol w:w="1352"/>
        <w:gridCol w:w="917"/>
        <w:gridCol w:w="1045"/>
        <w:gridCol w:w="1044"/>
        <w:gridCol w:w="1047"/>
      </w:tblGrid>
      <w:tr>
        <w:trPr>
          <w:trHeight w:val="675"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贸易有限 公司</w:t>
            </w:r>
          </w:p>
        </w:tc>
        <w:tc>
          <w:tcPr>
            <w:tcW w:w="881" w:type="dxa"/>
            <w:tcBorders>
              <w:top w:val="single" w:sz="4" w:space="0" w:color="933734"/>
              <w:left w:val="single" w:sz="4" w:space="0" w:color="933734"/>
              <w:bottom w:val="single" w:sz="4" w:space="0" w:color="933734"/>
              <w:right w:val="single" w:sz="4" w:space="0" w:color="933734"/>
            </w:tcBorders>
          </w:tcPr>
          <w:p>
            <w:pPr/>
          </w:p>
        </w:tc>
        <w:tc>
          <w:tcPr>
            <w:tcW w:w="1150" w:type="dxa"/>
            <w:tcBorders>
              <w:top w:val="single" w:sz="4" w:space="0" w:color="933734"/>
              <w:left w:val="single" w:sz="4" w:space="0" w:color="933734"/>
              <w:bottom w:val="single" w:sz="4" w:space="0" w:color="933734"/>
              <w:right w:val="single" w:sz="4" w:space="0" w:color="933734"/>
            </w:tcBorders>
          </w:tcPr>
          <w:p>
            <w:pPr/>
          </w:p>
        </w:tc>
        <w:tc>
          <w:tcPr>
            <w:tcW w:w="1080" w:type="dxa"/>
            <w:tcBorders>
              <w:top w:val="single" w:sz="4" w:space="0" w:color="933734"/>
              <w:left w:val="single" w:sz="4" w:space="0" w:color="933734"/>
              <w:bottom w:val="single" w:sz="4" w:space="0" w:color="933734"/>
              <w:right w:val="single" w:sz="4" w:space="0" w:color="933734"/>
            </w:tcBorders>
          </w:tcPr>
          <w:p>
            <w:pPr/>
          </w:p>
        </w:tc>
        <w:tc>
          <w:tcPr>
            <w:tcW w:w="1352" w:type="dxa"/>
            <w:tcBorders>
              <w:top w:val="single" w:sz="4" w:space="0" w:color="933734"/>
              <w:left w:val="single" w:sz="4" w:space="0" w:color="933734"/>
              <w:bottom w:val="single" w:sz="4" w:space="0" w:color="933734"/>
              <w:right w:val="single" w:sz="4" w:space="0" w:color="933734"/>
            </w:tcBorders>
          </w:tcPr>
          <w:p>
            <w:pP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Times New Roman"/>
                <w:sz w:val="18"/>
              </w:rPr>
              <w:t>16.20</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.20</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54</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75</w:t>
            </w:r>
          </w:p>
        </w:tc>
      </w:tr>
      <w:tr>
        <w:trPr>
          <w:trHeight w:val="1337"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卡奴迪路 服饰股份</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pacing w:val="-13"/>
                <w:sz w:val="18"/>
                <w:szCs w:val="18"/>
              </w:rPr>
              <w:t>（香港）有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服饰批发</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HKD$2,00</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752,561,577.06</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17,533,6</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15.17</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20,230,086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-9,874,173.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57</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-9,873,410.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99</w:t>
            </w:r>
          </w:p>
        </w:tc>
      </w:tr>
      <w:tr>
        <w:trPr>
          <w:trHeight w:val="1027"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both"/>
              <w:rPr>
                <w:rFonts w:ascii="宋体" w:hAnsi="宋体" w:cs="宋体" w:eastAsia="宋体" w:hint="default"/>
                <w:sz w:val="18"/>
                <w:szCs w:val="18"/>
              </w:rPr>
            </w:pPr>
            <w:r>
              <w:rPr>
                <w:rFonts w:ascii="宋体" w:hAnsi="宋体" w:cs="宋体" w:eastAsia="宋体" w:hint="default"/>
                <w:sz w:val="18"/>
                <w:szCs w:val="18"/>
              </w:rPr>
              <w:t>卡奴迪路 国际有限 公司</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MOP$2.5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252,064,271.43</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-7,115,67</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7.78</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473,600,25</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5.54</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-5,815,164.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75</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-4,881,601.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82</w:t>
            </w:r>
          </w:p>
        </w:tc>
      </w:tr>
      <w:tr>
        <w:trPr>
          <w:trHeight w:val="1025"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218"/>
              <w:jc w:val="both"/>
              <w:rPr>
                <w:rFonts w:ascii="宋体" w:hAnsi="宋体" w:cs="宋体" w:eastAsia="宋体" w:hint="default"/>
                <w:sz w:val="18"/>
                <w:szCs w:val="18"/>
              </w:rPr>
            </w:pPr>
            <w:r>
              <w:rPr>
                <w:rFonts w:ascii="宋体" w:hAnsi="宋体" w:cs="宋体" w:eastAsia="宋体" w:hint="default"/>
                <w:sz w:val="18"/>
                <w:szCs w:val="18"/>
              </w:rPr>
              <w:t>山南卡奴 迪路商贸 有限公司</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35"/>
              <w:jc w:val="left"/>
              <w:rPr>
                <w:rFonts w:ascii="宋体" w:hAnsi="宋体" w:cs="宋体" w:eastAsia="宋体" w:hint="default"/>
                <w:sz w:val="18"/>
                <w:szCs w:val="18"/>
              </w:rPr>
            </w:pPr>
            <w:r>
              <w:rPr>
                <w:rFonts w:ascii="宋体" w:hAnsi="宋体" w:cs="宋体" w:eastAsia="宋体" w:hint="default"/>
                <w:sz w:val="18"/>
                <w:szCs w:val="18"/>
              </w:rPr>
              <w:t>批发和零售 贸易</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129,588,917.05</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112,489,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444.18</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84,230,035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.92</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42,451,993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.12</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36,907,371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.25</w:t>
            </w:r>
          </w:p>
        </w:tc>
      </w:tr>
      <w:tr>
        <w:trPr>
          <w:trHeight w:val="1339"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both"/>
              <w:rPr>
                <w:rFonts w:ascii="宋体" w:hAnsi="宋体" w:cs="宋体" w:eastAsia="宋体" w:hint="default"/>
                <w:sz w:val="18"/>
                <w:szCs w:val="18"/>
              </w:rPr>
            </w:pPr>
            <w:r>
              <w:rPr>
                <w:rFonts w:ascii="宋体" w:hAnsi="宋体" w:cs="宋体" w:eastAsia="宋体" w:hint="default"/>
                <w:sz w:val="18"/>
                <w:szCs w:val="18"/>
              </w:rPr>
              <w:t>广州连卡 福名品管 理有限公 司</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238,838,587.61</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-25,646,0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80.91</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38,046,595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.36</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4,649,728.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62</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2,834,943.</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31</w:t>
            </w:r>
          </w:p>
        </w:tc>
      </w:tr>
      <w:tr>
        <w:trPr>
          <w:trHeight w:val="1337"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both"/>
              <w:rPr>
                <w:rFonts w:ascii="宋体" w:hAnsi="宋体" w:cs="宋体" w:eastAsia="宋体" w:hint="default"/>
                <w:sz w:val="18"/>
                <w:szCs w:val="18"/>
              </w:rPr>
            </w:pPr>
            <w:r>
              <w:rPr>
                <w:rFonts w:ascii="宋体" w:hAnsi="宋体" w:cs="宋体" w:eastAsia="宋体" w:hint="default"/>
                <w:sz w:val="18"/>
                <w:szCs w:val="18"/>
              </w:rPr>
              <w:t>摩登大道 时尚电子 商务有限 公司</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32,056,257.11</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-9,544,36</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9.66</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10,324,437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.09</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-13,595,70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4.32</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-13,595,55</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8.90</w:t>
            </w:r>
          </w:p>
        </w:tc>
      </w:tr>
      <w:tr>
        <w:trPr>
          <w:trHeight w:val="715"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205"/>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35"/>
              <w:jc w:val="left"/>
              <w:rPr>
                <w:rFonts w:ascii="宋体" w:hAnsi="宋体" w:cs="宋体" w:eastAsia="宋体" w:hint="default"/>
                <w:sz w:val="18"/>
                <w:szCs w:val="18"/>
              </w:rPr>
            </w:pPr>
            <w:r>
              <w:rPr>
                <w:rFonts w:ascii="宋体" w:hAnsi="宋体" w:cs="宋体" w:eastAsia="宋体" w:hint="default"/>
                <w:sz w:val="18"/>
                <w:szCs w:val="18"/>
              </w:rPr>
              <w:t>品牌管理、 品牌授权</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EUR67497</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274,107,931.07</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176,322,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973.51</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33,616,998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.93</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-35,343,01</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2.44</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-34,165,85</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2.08</w:t>
            </w:r>
          </w:p>
        </w:tc>
      </w:tr>
      <w:tr>
        <w:trPr>
          <w:trHeight w:val="3834"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03" w:right="218"/>
              <w:jc w:val="both"/>
              <w:rPr>
                <w:rFonts w:ascii="宋体" w:hAnsi="宋体" w:cs="宋体" w:eastAsia="宋体" w:hint="default"/>
                <w:sz w:val="18"/>
                <w:szCs w:val="18"/>
              </w:rPr>
            </w:pPr>
            <w:r>
              <w:rPr>
                <w:rFonts w:ascii="宋体" w:hAnsi="宋体" w:cs="宋体" w:eastAsia="宋体" w:hint="default"/>
                <w:sz w:val="18"/>
                <w:szCs w:val="18"/>
              </w:rPr>
              <w:t>武汉悦然 心动网络 科技有限 公司</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35"/>
              <w:jc w:val="both"/>
              <w:rPr>
                <w:rFonts w:ascii="宋体" w:hAnsi="宋体" w:cs="宋体" w:eastAsia="宋体" w:hint="default"/>
                <w:sz w:val="18"/>
                <w:szCs w:val="18"/>
              </w:rPr>
            </w:pPr>
            <w:r>
              <w:rPr>
                <w:rFonts w:ascii="宋体" w:hAnsi="宋体" w:cs="宋体" w:eastAsia="宋体" w:hint="default"/>
                <w:sz w:val="18"/>
                <w:szCs w:val="18"/>
              </w:rPr>
              <w:t>网络技术、 信息技术领 域内的技术 开发、技术 咨询、技术 服务、技术 转让、计算 机及其它电 子产品软硬 件的开发及 销售；广告 发布。</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pacing w:val="-1"/>
                <w:sz w:val="18"/>
              </w:rPr>
              <w:t>218,525,136.09</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144,183,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716.60</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374,908,18</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1.89</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68,018,428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68,957,288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.00</w:t>
            </w:r>
          </w:p>
        </w:tc>
      </w:tr>
      <w:tr>
        <w:trPr>
          <w:trHeight w:val="1339" w:hRule="exact"/>
        </w:trPr>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美年电子 商贸（广 </w:t>
            </w:r>
            <w:r>
              <w:rPr>
                <w:rFonts w:ascii="宋体" w:hAnsi="宋体" w:cs="宋体" w:eastAsia="宋体" w:hint="default"/>
                <w:spacing w:val="-13"/>
                <w:sz w:val="18"/>
                <w:szCs w:val="18"/>
              </w:rPr>
              <w:t>州）有限公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35"/>
              <w:jc w:val="left"/>
              <w:rPr>
                <w:rFonts w:ascii="宋体" w:hAnsi="宋体" w:cs="宋体" w:eastAsia="宋体" w:hint="default"/>
                <w:sz w:val="18"/>
                <w:szCs w:val="18"/>
              </w:rPr>
            </w:pPr>
            <w:r>
              <w:rPr>
                <w:rFonts w:ascii="宋体" w:hAnsi="宋体" w:cs="宋体" w:eastAsia="宋体" w:hint="default"/>
                <w:sz w:val="18"/>
                <w:szCs w:val="18"/>
              </w:rPr>
              <w:t>珠宝配饰销 售</w:t>
            </w:r>
          </w:p>
        </w:tc>
        <w:tc>
          <w:tcPr>
            <w:tcW w:w="10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6,244,463.07</w:t>
            </w:r>
          </w:p>
        </w:tc>
        <w:tc>
          <w:tcPr>
            <w:tcW w:w="9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6,098,56</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0.17</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381,937.37</w:t>
            </w:r>
          </w:p>
        </w:tc>
        <w:tc>
          <w:tcPr>
            <w:tcW w:w="104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-3,683,853.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71</w:t>
            </w:r>
          </w:p>
        </w:tc>
        <w:tc>
          <w:tcPr>
            <w:tcW w:w="10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-3,901,439.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83</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广州伊韵电子商贸有限公司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135"/>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-2,773,524.8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元，占归属于上市 公司股东的净利润</w:t>
            </w:r>
            <w:r>
              <w:rPr>
                <w:rFonts w:ascii="Times New Roman" w:hAnsi="Times New Roman" w:cs="Times New Roman" w:eastAsia="Times New Roman" w:hint="default"/>
                <w:sz w:val="18"/>
                <w:szCs w:val="18"/>
              </w:rPr>
              <w:t>-9.96%.</w:t>
            </w:r>
          </w:p>
        </w:tc>
      </w:tr>
      <w:tr>
        <w:trPr>
          <w:trHeight w:val="71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骏优集团有限公司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-317,438.55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元，对公司本年度 业绩影响较小。</w:t>
            </w:r>
          </w:p>
        </w:tc>
      </w:tr>
      <w:tr>
        <w:trPr>
          <w:trHeight w:val="715"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美年电子商贸（广州）有限公司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-3,901,439.83</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元，占归属于上市</w:t>
            </w:r>
            <w:r>
              <w:rPr>
                <w:rFonts w:ascii="宋体" w:hAnsi="宋体" w:cs="宋体" w:eastAsia="宋体" w:hint="default"/>
                <w:sz w:val="18"/>
                <w:szCs w:val="18"/>
              </w:rPr>
              <w:t> 公司股东的净利润</w:t>
            </w:r>
            <w:r>
              <w:rPr>
                <w:rFonts w:ascii="Times New Roman" w:hAnsi="Times New Roman" w:cs="Times New Roman" w:eastAsia="Times New Roman" w:hint="default"/>
                <w:sz w:val="18"/>
                <w:szCs w:val="18"/>
              </w:rPr>
              <w:t>-14.01%.</w:t>
            </w:r>
          </w:p>
        </w:tc>
      </w:tr>
      <w:tr>
        <w:trPr>
          <w:trHeight w:val="71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广州美年科技有限公司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-1,809.51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元，对公司本年度业 绩影响较小。</w:t>
            </w:r>
          </w:p>
        </w:tc>
      </w:tr>
      <w:tr>
        <w:trPr>
          <w:trHeight w:val="716"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广州天美电子商贸有限公司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-4,413.46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元，对公司本年度业 绩影响较小。</w:t>
            </w:r>
          </w:p>
        </w:tc>
      </w:tr>
      <w:tr>
        <w:trPr>
          <w:trHeight w:val="71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广州摩登时尚鞋业有限公司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03"/>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10,875.97 </w:t>
            </w:r>
            <w:r>
              <w:rPr>
                <w:rFonts w:ascii="宋体" w:hAnsi="宋体" w:cs="宋体" w:eastAsia="宋体" w:hint="default"/>
                <w:sz w:val="18"/>
                <w:szCs w:val="18"/>
              </w:rPr>
              <w:t>元，对公司本年度业 绩影响较小。</w:t>
            </w:r>
          </w:p>
        </w:tc>
      </w:tr>
      <w:tr>
        <w:trPr>
          <w:trHeight w:val="715"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香港一方网络科技有限公司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103"/>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38,172.22 </w:t>
            </w:r>
            <w:r>
              <w:rPr>
                <w:rFonts w:ascii="宋体" w:hAnsi="宋体" w:cs="宋体" w:eastAsia="宋体" w:hint="default"/>
                <w:sz w:val="18"/>
                <w:szCs w:val="18"/>
              </w:rPr>
              <w:t>元，对公司本年度业 绩影响较小。</w:t>
            </w:r>
          </w:p>
        </w:tc>
      </w:tr>
      <w:tr>
        <w:trPr>
          <w:trHeight w:val="71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武汉乐玩互动网络科技有限公司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-298,935.21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元，对公司本年度 业绩影响较小。</w:t>
            </w:r>
          </w:p>
        </w:tc>
      </w:tr>
      <w:tr>
        <w:trPr>
          <w:trHeight w:val="715"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EBC,INC</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99"/>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元，对公司本年度业绩影响较</w:t>
            </w:r>
            <w:r>
              <w:rPr>
                <w:rFonts w:ascii="宋体" w:hAnsi="宋体" w:cs="宋体" w:eastAsia="宋体" w:hint="default"/>
                <w:sz w:val="18"/>
                <w:szCs w:val="18"/>
              </w:rPr>
              <w:t> 小。</w:t>
            </w:r>
          </w:p>
        </w:tc>
      </w:tr>
    </w:tbl>
    <w:p>
      <w:pPr>
        <w:spacing w:line="240" w:lineRule="auto" w:before="3"/>
        <w:rPr>
          <w:rFonts w:ascii="宋体" w:hAnsi="宋体" w:cs="宋体" w:eastAsia="宋体" w:hint="default"/>
          <w:sz w:val="15"/>
          <w:szCs w:val="15"/>
        </w:rPr>
      </w:pPr>
    </w:p>
    <w:p>
      <w:pPr>
        <w:spacing w:line="451" w:lineRule="auto" w:before="44"/>
        <w:ind w:left="113" w:right="1129"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报告期内，公司全资子公司广州狮丹贸易有限公司主营自有品牌的销售业务，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年度实现营业收入</w:t>
      </w:r>
      <w:r>
        <w:rPr>
          <w:rFonts w:ascii="Times New Roman" w:hAnsi="Times New Roman" w:cs="Times New Roman" w:eastAsia="Times New Roman" w:hint="default"/>
          <w:sz w:val="18"/>
          <w:szCs w:val="18"/>
        </w:rPr>
        <w:t>99,003,441.20 </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99,880,963.52</w:t>
      </w:r>
      <w:r>
        <w:rPr>
          <w:rFonts w:ascii="宋体" w:hAnsi="宋体" w:cs="宋体" w:eastAsia="宋体" w:hint="default"/>
          <w:sz w:val="18"/>
          <w:szCs w:val="18"/>
        </w:rPr>
        <w:t>元下降</w:t>
      </w:r>
      <w:r>
        <w:rPr>
          <w:rFonts w:ascii="Times New Roman" w:hAnsi="Times New Roman" w:cs="Times New Roman" w:eastAsia="Times New Roman" w:hint="default"/>
          <w:sz w:val="18"/>
          <w:szCs w:val="18"/>
        </w:rPr>
        <w:t>0.88%</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4,527,243.75</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-17,691,830.55</w:t>
      </w:r>
      <w:r>
        <w:rPr>
          <w:rFonts w:ascii="宋体" w:hAnsi="宋体" w:cs="宋体" w:eastAsia="宋体" w:hint="default"/>
          <w:sz w:val="18"/>
          <w:szCs w:val="18"/>
        </w:rPr>
        <w:t>元增长</w:t>
      </w:r>
      <w:r>
        <w:rPr>
          <w:rFonts w:ascii="Times New Roman" w:hAnsi="Times New Roman" w:cs="Times New Roman" w:eastAsia="Times New Roman" w:hint="default"/>
          <w:sz w:val="18"/>
          <w:szCs w:val="18"/>
        </w:rPr>
        <w:t>125.59%</w:t>
      </w:r>
      <w:r>
        <w:rPr>
          <w:rFonts w:ascii="宋体" w:hAnsi="宋体" w:cs="宋体" w:eastAsia="宋体" w:hint="default"/>
          <w:sz w:val="18"/>
          <w:szCs w:val="18"/>
        </w:rPr>
        <w:t>，主要是报告期服务费</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收入占比上升，营业成本较上年减少所致。</w:t>
      </w:r>
    </w:p>
    <w:p>
      <w:pPr>
        <w:spacing w:line="240" w:lineRule="auto" w:before="8"/>
        <w:rPr>
          <w:rFonts w:ascii="宋体" w:hAnsi="宋体" w:cs="宋体" w:eastAsia="宋体" w:hint="default"/>
          <w:sz w:val="17"/>
          <w:szCs w:val="17"/>
        </w:rPr>
      </w:pPr>
    </w:p>
    <w:p>
      <w:pPr>
        <w:spacing w:line="451" w:lineRule="auto" w:before="0"/>
        <w:ind w:left="113" w:right="1044" w:firstLine="4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报告期内，公司全资子公司卡奴迪路服饰股份（香港）有限公司主要负责港澳地区自有品牌</w:t>
      </w:r>
      <w:r>
        <w:rPr>
          <w:rFonts w:ascii="Times New Roman" w:hAnsi="Times New Roman" w:cs="Times New Roman" w:eastAsia="Times New Roman" w:hint="default"/>
          <w:spacing w:val="-4"/>
          <w:sz w:val="18"/>
          <w:szCs w:val="18"/>
        </w:rPr>
        <w:t>CANUDILO</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CANUDILO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z w:val="18"/>
          <w:szCs w:val="18"/>
        </w:rPr>
        <w:t>HOLIDAYS</w:t>
      </w:r>
      <w:r>
        <w:rPr>
          <w:rFonts w:ascii="宋体" w:hAnsi="宋体" w:cs="宋体" w:eastAsia="宋体" w:hint="default"/>
          <w:sz w:val="18"/>
          <w:szCs w:val="18"/>
        </w:rPr>
        <w:t>经营，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年度实现营业收入</w:t>
      </w:r>
      <w:r>
        <w:rPr>
          <w:rFonts w:ascii="Times New Roman" w:hAnsi="Times New Roman" w:cs="Times New Roman" w:eastAsia="Times New Roman" w:hint="default"/>
          <w:sz w:val="18"/>
          <w:szCs w:val="18"/>
        </w:rPr>
        <w:t>20,230,086.51</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13,737,324.83</w:t>
      </w:r>
      <w:r>
        <w:rPr>
          <w:rFonts w:ascii="宋体" w:hAnsi="宋体" w:cs="宋体" w:eastAsia="宋体" w:hint="default"/>
          <w:sz w:val="18"/>
          <w:szCs w:val="18"/>
        </w:rPr>
        <w:t>元上升</w:t>
      </w:r>
      <w:r>
        <w:rPr>
          <w:rFonts w:ascii="Times New Roman" w:hAnsi="Times New Roman" w:cs="Times New Roman" w:eastAsia="Times New Roman" w:hint="default"/>
          <w:sz w:val="18"/>
          <w:szCs w:val="18"/>
        </w:rPr>
        <w:t>47.26%</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-9,873,410.99</w:t>
      </w:r>
      <w:r>
        <w:rPr>
          <w:rFonts w:ascii="宋体" w:hAnsi="宋体" w:cs="宋体" w:eastAsia="宋体" w:hint="default"/>
          <w:sz w:val="18"/>
          <w:szCs w:val="18"/>
        </w:rPr>
        <w:t>元，</w:t>
      </w:r>
      <w:r>
        <w:rPr>
          <w:rFonts w:ascii="宋体" w:hAnsi="宋体" w:cs="宋体" w:eastAsia="宋体" w:hint="default"/>
          <w:spacing w:val="-3"/>
          <w:sz w:val="18"/>
          <w:szCs w:val="18"/>
        </w:rPr>
        <w:t> </w:t>
      </w:r>
      <w:r>
        <w:rPr>
          <w:rFonts w:ascii="宋体" w:hAnsi="宋体" w:cs="宋体" w:eastAsia="宋体" w:hint="default"/>
          <w:sz w:val="18"/>
          <w:szCs w:val="18"/>
        </w:rPr>
        <w:t>较上年</w:t>
      </w:r>
      <w:r>
        <w:rPr>
          <w:rFonts w:ascii="Times New Roman" w:hAnsi="Times New Roman" w:cs="Times New Roman" w:eastAsia="Times New Roman" w:hint="default"/>
          <w:sz w:val="18"/>
          <w:szCs w:val="18"/>
        </w:rPr>
        <w:t>-1,706,759.62</w:t>
      </w:r>
      <w:r>
        <w:rPr>
          <w:rFonts w:ascii="宋体" w:hAnsi="宋体" w:cs="宋体" w:eastAsia="宋体" w:hint="default"/>
          <w:sz w:val="18"/>
          <w:szCs w:val="18"/>
        </w:rPr>
        <w:t>元下降</w:t>
      </w:r>
      <w:r>
        <w:rPr>
          <w:rFonts w:ascii="Times New Roman" w:hAnsi="Times New Roman" w:cs="Times New Roman" w:eastAsia="Times New Roman" w:hint="default"/>
          <w:sz w:val="18"/>
          <w:szCs w:val="18"/>
        </w:rPr>
        <w:t>478.49%%</w:t>
      </w:r>
      <w:r>
        <w:rPr>
          <w:rFonts w:ascii="宋体" w:hAnsi="宋体" w:cs="宋体" w:eastAsia="宋体" w:hint="default"/>
          <w:sz w:val="18"/>
          <w:szCs w:val="18"/>
        </w:rPr>
        <w:t>，主要是报告期计提向母公司借款的利息，利息支出较上年增加</w:t>
      </w:r>
      <w:r>
        <w:rPr>
          <w:rFonts w:ascii="Times New Roman" w:hAnsi="Times New Roman" w:cs="Times New Roman" w:eastAsia="Times New Roman" w:hint="default"/>
          <w:sz w:val="18"/>
          <w:szCs w:val="18"/>
        </w:rPr>
        <w:t>10,831,040.00</w:t>
      </w:r>
      <w:r>
        <w:rPr>
          <w:rFonts w:ascii="宋体" w:hAnsi="宋体" w:cs="宋体" w:eastAsia="宋体" w:hint="default"/>
          <w:sz w:val="18"/>
          <w:szCs w:val="18"/>
        </w:rPr>
        <w:t>元所致。</w:t>
      </w:r>
    </w:p>
    <w:p>
      <w:pPr>
        <w:spacing w:line="240" w:lineRule="auto" w:before="3"/>
        <w:rPr>
          <w:rFonts w:ascii="宋体" w:hAnsi="宋体" w:cs="宋体" w:eastAsia="宋体" w:hint="default"/>
          <w:sz w:val="15"/>
          <w:szCs w:val="15"/>
        </w:rPr>
      </w:pPr>
    </w:p>
    <w:p>
      <w:pPr>
        <w:spacing w:line="451" w:lineRule="auto" w:before="0"/>
        <w:ind w:left="113" w:right="1130"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pacing w:val="13"/>
          <w:sz w:val="18"/>
          <w:szCs w:val="18"/>
        </w:rPr>
        <w:t>报告期内，</w:t>
      </w:r>
      <w:r>
        <w:rPr>
          <w:rFonts w:ascii="宋体" w:hAnsi="宋体" w:cs="宋体" w:eastAsia="宋体" w:hint="default"/>
          <w:spacing w:val="-66"/>
          <w:sz w:val="18"/>
          <w:szCs w:val="18"/>
        </w:rPr>
        <w:t> </w:t>
      </w:r>
      <w:r>
        <w:rPr>
          <w:rFonts w:ascii="宋体" w:hAnsi="宋体" w:cs="宋体" w:eastAsia="宋体" w:hint="default"/>
          <w:spacing w:val="16"/>
          <w:sz w:val="18"/>
          <w:szCs w:val="18"/>
        </w:rPr>
        <w:t>公司全资子公司卡奴迪路国际有限公司主要负责澳门地区自有品牌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CANUDILO</w:t>
      </w:r>
      <w:r>
        <w:rPr>
          <w:rFonts w:ascii="宋体" w:hAnsi="宋体" w:cs="宋体" w:eastAsia="宋体" w:hint="default"/>
          <w:sz w:val="18"/>
          <w:szCs w:val="18"/>
        </w:rPr>
        <w:t>和</w:t>
      </w:r>
      <w:r>
        <w:rPr>
          <w:rFonts w:ascii="Times New Roman" w:hAnsi="Times New Roman" w:cs="Times New Roman" w:eastAsia="Times New Roman" w:hint="default"/>
          <w:sz w:val="18"/>
          <w:szCs w:val="18"/>
        </w:rPr>
        <w:t>CANUDILO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HOLIDAYS</w:t>
      </w:r>
      <w:r>
        <w:rPr>
          <w:rFonts w:ascii="宋体" w:hAnsi="宋体" w:cs="宋体" w:eastAsia="宋体" w:hint="default"/>
          <w:sz w:val="18"/>
          <w:szCs w:val="18"/>
        </w:rPr>
        <w:t>店铺、代理品牌店铺的经营，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年度实现营业收入</w:t>
      </w:r>
      <w:r>
        <w:rPr>
          <w:rFonts w:ascii="Times New Roman" w:hAnsi="Times New Roman" w:cs="Times New Roman" w:eastAsia="Times New Roman" w:hint="default"/>
          <w:sz w:val="18"/>
          <w:szCs w:val="18"/>
        </w:rPr>
        <w:t>473,600,255.54</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198,093,635.07</w:t>
      </w:r>
      <w:r>
        <w:rPr>
          <w:rFonts w:ascii="宋体" w:hAnsi="宋体" w:cs="宋体" w:eastAsia="宋体" w:hint="default"/>
          <w:sz w:val="18"/>
          <w:szCs w:val="18"/>
        </w:rPr>
        <w:t>元上升</w:t>
      </w:r>
      <w:r>
        <w:rPr>
          <w:rFonts w:ascii="Times New Roman" w:hAnsi="Times New Roman" w:cs="Times New Roman" w:eastAsia="Times New Roman" w:hint="default"/>
          <w:sz w:val="18"/>
          <w:szCs w:val="18"/>
        </w:rPr>
        <w:t>139.08%</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-4,881,601.82</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-22,050,881.88</w:t>
      </w:r>
      <w:r>
        <w:rPr>
          <w:rFonts w:ascii="宋体" w:hAnsi="宋体" w:cs="宋体" w:eastAsia="宋体" w:hint="default"/>
          <w:sz w:val="18"/>
          <w:szCs w:val="18"/>
        </w:rPr>
        <w:t>元上升</w:t>
      </w:r>
      <w:r>
        <w:rPr>
          <w:rFonts w:ascii="Times New Roman" w:hAnsi="Times New Roman" w:cs="Times New Roman" w:eastAsia="Times New Roman" w:hint="default"/>
          <w:sz w:val="18"/>
          <w:szCs w:val="18"/>
        </w:rPr>
        <w:t>77.86%</w:t>
      </w:r>
      <w:r>
        <w:rPr>
          <w:rFonts w:ascii="宋体" w:hAnsi="宋体" w:cs="宋体" w:eastAsia="宋体" w:hint="default"/>
          <w:sz w:val="18"/>
          <w:szCs w:val="18"/>
        </w:rPr>
        <w:t>，主要是报告期的营业毛利较上年增加</w:t>
      </w:r>
      <w:r>
        <w:rPr>
          <w:rFonts w:ascii="Times New Roman" w:hAnsi="Times New Roman" w:cs="Times New Roman" w:eastAsia="Times New Roman" w:hint="default"/>
          <w:sz w:val="18"/>
          <w:szCs w:val="18"/>
        </w:rPr>
        <w:t>34,936,344.95</w:t>
      </w:r>
      <w:r>
        <w:rPr>
          <w:rFonts w:ascii="宋体" w:hAnsi="宋体" w:cs="宋体" w:eastAsia="宋体" w:hint="default"/>
          <w:sz w:val="18"/>
          <w:szCs w:val="18"/>
        </w:rPr>
        <w:t>元所致。</w:t>
      </w:r>
    </w:p>
    <w:p>
      <w:pPr>
        <w:spacing w:line="240" w:lineRule="auto" w:before="3"/>
        <w:rPr>
          <w:rFonts w:ascii="宋体" w:hAnsi="宋体" w:cs="宋体" w:eastAsia="宋体" w:hint="default"/>
          <w:sz w:val="15"/>
          <w:szCs w:val="15"/>
        </w:rPr>
      </w:pPr>
    </w:p>
    <w:p>
      <w:pPr>
        <w:spacing w:before="0"/>
        <w:ind w:left="5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8"/>
          <w:sz w:val="18"/>
          <w:szCs w:val="18"/>
        </w:rPr>
        <w:t> </w:t>
      </w:r>
      <w:r>
        <w:rPr>
          <w:rFonts w:ascii="宋体" w:hAnsi="宋体" w:cs="宋体" w:eastAsia="宋体" w:hint="default"/>
          <w:spacing w:val="12"/>
          <w:sz w:val="18"/>
          <w:szCs w:val="18"/>
        </w:rPr>
        <w:t>报告期内，</w:t>
      </w:r>
      <w:r>
        <w:rPr>
          <w:rFonts w:ascii="宋体" w:hAnsi="宋体" w:cs="宋体" w:eastAsia="宋体" w:hint="default"/>
          <w:spacing w:val="-73"/>
          <w:sz w:val="18"/>
          <w:szCs w:val="18"/>
        </w:rPr>
        <w:t> </w:t>
      </w:r>
      <w:r>
        <w:rPr>
          <w:rFonts w:ascii="宋体" w:hAnsi="宋体" w:cs="宋体" w:eastAsia="宋体" w:hint="default"/>
          <w:spacing w:val="14"/>
          <w:sz w:val="18"/>
          <w:szCs w:val="18"/>
        </w:rPr>
        <w:t>公司全资子公司山南卡奴迪路商贸有限公司主要公司的团购定制业务，</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年度实现营业收入</w:t>
      </w:r>
    </w:p>
    <w:p>
      <w:pPr>
        <w:spacing w:line="240" w:lineRule="auto" w:before="9"/>
        <w:rPr>
          <w:rFonts w:ascii="宋体" w:hAnsi="宋体" w:cs="宋体" w:eastAsia="宋体" w:hint="default"/>
          <w:sz w:val="16"/>
          <w:szCs w:val="16"/>
        </w:rPr>
      </w:pPr>
    </w:p>
    <w:p>
      <w:pPr>
        <w:spacing w:before="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84,230,035.92</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44,283,616.40</w:t>
      </w:r>
      <w:r>
        <w:rPr>
          <w:rFonts w:ascii="宋体" w:hAnsi="宋体" w:cs="宋体" w:eastAsia="宋体" w:hint="default"/>
          <w:sz w:val="18"/>
          <w:szCs w:val="18"/>
        </w:rPr>
        <w:t>元上升</w:t>
      </w:r>
      <w:r>
        <w:rPr>
          <w:rFonts w:ascii="Times New Roman" w:hAnsi="Times New Roman" w:cs="Times New Roman" w:eastAsia="Times New Roman" w:hint="default"/>
          <w:sz w:val="18"/>
          <w:szCs w:val="18"/>
        </w:rPr>
        <w:t>90.21%</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36,907,371.25</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14,201,907.83</w:t>
      </w:r>
      <w:r>
        <w:rPr>
          <w:rFonts w:ascii="宋体" w:hAnsi="宋体" w:cs="宋体" w:eastAsia="宋体" w:hint="default"/>
          <w:sz w:val="18"/>
          <w:szCs w:val="18"/>
        </w:rPr>
        <w:t>元上升</w:t>
      </w:r>
      <w:r>
        <w:rPr>
          <w:rFonts w:ascii="Times New Roman" w:hAnsi="Times New Roman" w:cs="Times New Roman" w:eastAsia="Times New Roman" w:hint="default"/>
          <w:sz w:val="18"/>
          <w:szCs w:val="18"/>
        </w:rPr>
        <w:t>159.88%</w:t>
      </w:r>
      <w:r>
        <w:rPr>
          <w:rFonts w:ascii="宋体" w:hAnsi="宋体" w:cs="宋体" w:eastAsia="宋体" w:hint="default"/>
          <w:sz w:val="18"/>
          <w:szCs w:val="18"/>
        </w:rPr>
        <w:t>，主要是</w:t>
      </w:r>
    </w:p>
    <w:p>
      <w:pPr>
        <w:spacing w:line="240" w:lineRule="auto" w:before="9"/>
        <w:rPr>
          <w:rFonts w:ascii="宋体" w:hAnsi="宋体" w:cs="宋体" w:eastAsia="宋体" w:hint="default"/>
          <w:sz w:val="16"/>
          <w:szCs w:val="1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报告期营业毛利较上年增加</w:t>
      </w:r>
      <w:r>
        <w:rPr>
          <w:rFonts w:ascii="Times New Roman" w:hAnsi="Times New Roman" w:cs="Times New Roman" w:eastAsia="Times New Roman" w:hint="default"/>
          <w:sz w:val="18"/>
          <w:szCs w:val="18"/>
        </w:rPr>
        <w:t>20,503,075.54</w:t>
      </w:r>
      <w:r>
        <w:rPr>
          <w:rFonts w:ascii="宋体" w:hAnsi="宋体" w:cs="宋体" w:eastAsia="宋体" w:hint="default"/>
          <w:sz w:val="18"/>
          <w:szCs w:val="18"/>
        </w:rPr>
        <w:t>元，资产减值损失较上年减少</w:t>
      </w:r>
      <w:r>
        <w:rPr>
          <w:rFonts w:ascii="Times New Roman" w:hAnsi="Times New Roman" w:cs="Times New Roman" w:eastAsia="Times New Roman" w:hint="default"/>
          <w:sz w:val="18"/>
          <w:szCs w:val="18"/>
        </w:rPr>
        <w:t>5,332,118.03</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before="139"/>
        <w:ind w:left="533" w:right="0" w:firstLine="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报告期内，公司全资子公司广州连卡福名品管理有限公司主要负责境内</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01MEN</w:t>
      </w:r>
      <w:r>
        <w:rPr>
          <w:rFonts w:ascii="宋体" w:hAnsi="宋体" w:cs="宋体" w:eastAsia="宋体" w:hint="default"/>
          <w:spacing w:val="5"/>
          <w:sz w:val="18"/>
          <w:szCs w:val="18"/>
        </w:rPr>
        <w:t>店铺经营，</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年实现营业收入</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8"/>
          <w:szCs w:val="28"/>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38,046,595.36</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23,448,566.68</w:t>
      </w:r>
      <w:r>
        <w:rPr>
          <w:rFonts w:ascii="宋体" w:hAnsi="宋体" w:cs="宋体" w:eastAsia="宋体" w:hint="default"/>
          <w:sz w:val="18"/>
          <w:szCs w:val="18"/>
        </w:rPr>
        <w:t>元上升</w:t>
      </w:r>
      <w:r>
        <w:rPr>
          <w:rFonts w:ascii="Times New Roman" w:hAnsi="Times New Roman" w:cs="Times New Roman" w:eastAsia="Times New Roman" w:hint="default"/>
          <w:sz w:val="18"/>
          <w:szCs w:val="18"/>
        </w:rPr>
        <w:t>62.26%</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2,834,943.31</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-2,700,921.13</w:t>
      </w:r>
      <w:r>
        <w:rPr>
          <w:rFonts w:ascii="宋体" w:hAnsi="宋体" w:cs="宋体" w:eastAsia="宋体" w:hint="default"/>
          <w:sz w:val="18"/>
          <w:szCs w:val="18"/>
        </w:rPr>
        <w:t>元上升</w:t>
      </w:r>
      <w:r>
        <w:rPr>
          <w:rFonts w:ascii="Times New Roman" w:hAnsi="Times New Roman" w:cs="Times New Roman" w:eastAsia="Times New Roman" w:hint="default"/>
          <w:sz w:val="18"/>
          <w:szCs w:val="18"/>
        </w:rPr>
        <w:t>204.96%</w:t>
      </w:r>
      <w:r>
        <w:rPr>
          <w:rFonts w:ascii="宋体" w:hAnsi="宋体" w:cs="宋体" w:eastAsia="宋体" w:hint="default"/>
          <w:sz w:val="18"/>
          <w:szCs w:val="18"/>
        </w:rPr>
        <w:t>，主要是报</w:t>
      </w:r>
    </w:p>
    <w:p>
      <w:pPr>
        <w:spacing w:line="240" w:lineRule="auto" w:before="10"/>
        <w:rPr>
          <w:rFonts w:ascii="宋体" w:hAnsi="宋体" w:cs="宋体" w:eastAsia="宋体" w:hint="default"/>
          <w:sz w:val="16"/>
          <w:szCs w:val="1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告期的营业毛利较上年增加</w:t>
      </w:r>
      <w:r>
        <w:rPr>
          <w:rFonts w:ascii="Times New Roman" w:hAnsi="Times New Roman" w:cs="Times New Roman" w:eastAsia="Times New Roman" w:hint="default"/>
          <w:sz w:val="18"/>
          <w:szCs w:val="18"/>
        </w:rPr>
        <w:t>10,095,819.87</w:t>
      </w:r>
      <w:r>
        <w:rPr>
          <w:rFonts w:ascii="宋体" w:hAnsi="宋体" w:cs="宋体" w:eastAsia="宋体" w:hint="default"/>
          <w:sz w:val="18"/>
          <w:szCs w:val="18"/>
        </w:rPr>
        <w:t>元所致。</w:t>
      </w:r>
    </w:p>
    <w:p>
      <w:pPr>
        <w:spacing w:line="240" w:lineRule="auto" w:before="0"/>
        <w:rPr>
          <w:rFonts w:ascii="宋体" w:hAnsi="宋体" w:cs="宋体" w:eastAsia="宋体" w:hint="default"/>
          <w:sz w:val="18"/>
          <w:szCs w:val="18"/>
        </w:rPr>
      </w:pPr>
    </w:p>
    <w:p>
      <w:pPr>
        <w:spacing w:before="139"/>
        <w:ind w:left="533"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报告期内，公司全资子公司摩登大道时尚电子商务有限公司主要负责公司的线上销售业务，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年实现营业收入</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p>
    <w:p>
      <w:pPr>
        <w:spacing w:before="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10,324,437.09</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1,293,316.87</w:t>
      </w:r>
      <w:r>
        <w:rPr>
          <w:rFonts w:ascii="宋体" w:hAnsi="宋体" w:cs="宋体" w:eastAsia="宋体" w:hint="default"/>
          <w:sz w:val="18"/>
          <w:szCs w:val="18"/>
        </w:rPr>
        <w:t>元上升</w:t>
      </w:r>
      <w:r>
        <w:rPr>
          <w:rFonts w:ascii="Times New Roman" w:hAnsi="Times New Roman" w:cs="Times New Roman" w:eastAsia="Times New Roman" w:hint="default"/>
          <w:sz w:val="18"/>
          <w:szCs w:val="18"/>
        </w:rPr>
        <w:t>698.29%</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-13,595,558.90</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-12,525,187.86</w:t>
      </w:r>
      <w:r>
        <w:rPr>
          <w:rFonts w:ascii="宋体" w:hAnsi="宋体" w:cs="宋体" w:eastAsia="宋体" w:hint="default"/>
          <w:sz w:val="18"/>
          <w:szCs w:val="18"/>
        </w:rPr>
        <w:t>元下降</w:t>
      </w:r>
      <w:r>
        <w:rPr>
          <w:rFonts w:ascii="Times New Roman" w:hAnsi="Times New Roman" w:cs="Times New Roman" w:eastAsia="Times New Roman" w:hint="default"/>
          <w:sz w:val="18"/>
          <w:szCs w:val="18"/>
        </w:rPr>
        <w:t>8.55%</w:t>
      </w:r>
      <w:r>
        <w:rPr>
          <w:rFonts w:ascii="宋体" w:hAnsi="宋体" w:cs="宋体" w:eastAsia="宋体" w:hint="default"/>
          <w:sz w:val="18"/>
          <w:szCs w:val="18"/>
        </w:rPr>
        <w:t>，主要是</w:t>
      </w:r>
    </w:p>
    <w:p>
      <w:pPr>
        <w:spacing w:line="240" w:lineRule="auto" w:before="9"/>
        <w:rPr>
          <w:rFonts w:ascii="宋体" w:hAnsi="宋体" w:cs="宋体" w:eastAsia="宋体" w:hint="default"/>
          <w:sz w:val="16"/>
          <w:szCs w:val="1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报告期管理费用较上年同期增加</w:t>
      </w:r>
      <w:r>
        <w:rPr>
          <w:rFonts w:ascii="Times New Roman" w:hAnsi="Times New Roman" w:cs="Times New Roman" w:eastAsia="Times New Roman" w:hint="default"/>
          <w:sz w:val="18"/>
          <w:szCs w:val="18"/>
        </w:rPr>
        <w:t>4,387,908.34</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451" w:lineRule="auto" w:before="139"/>
        <w:ind w:left="113" w:right="1132"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报告期内，公司控股子公司</w:t>
      </w:r>
      <w:r>
        <w:rPr>
          <w:rFonts w:ascii="Times New Roman" w:hAnsi="Times New Roman" w:cs="Times New Roman" w:eastAsia="Times New Roman" w:hint="default"/>
          <w:sz w:val="18"/>
          <w:szCs w:val="18"/>
        </w:rPr>
        <w:t>LEVITAS </w:t>
      </w:r>
      <w:r>
        <w:rPr>
          <w:rFonts w:ascii="Times New Roman" w:hAnsi="Times New Roman" w:cs="Times New Roman" w:eastAsia="Times New Roman" w:hint="default"/>
          <w:spacing w:val="-4"/>
          <w:sz w:val="18"/>
          <w:szCs w:val="18"/>
        </w:rPr>
        <w:t>S.P.A. </w:t>
      </w:r>
      <w:r>
        <w:rPr>
          <w:rFonts w:ascii="Times New Roman" w:hAnsi="Times New Roman" w:cs="Times New Roman" w:eastAsia="Times New Roman" w:hint="default"/>
          <w:sz w:val="18"/>
          <w:szCs w:val="18"/>
        </w:rPr>
        <w:t>DB</w:t>
      </w:r>
      <w:r>
        <w:rPr>
          <w:rFonts w:ascii="宋体" w:hAnsi="宋体" w:cs="宋体" w:eastAsia="宋体" w:hint="default"/>
          <w:sz w:val="18"/>
          <w:szCs w:val="18"/>
        </w:rPr>
        <w:t>品牌持有者，主要从事时尚品牌</w:t>
      </w:r>
      <w:r>
        <w:rPr>
          <w:rFonts w:ascii="Times New Roman" w:hAnsi="Times New Roman" w:cs="Times New Roman" w:eastAsia="Times New Roman" w:hint="default"/>
          <w:sz w:val="18"/>
          <w:szCs w:val="18"/>
        </w:rPr>
        <w:t>Dirk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Bikkembergs</w:t>
      </w:r>
      <w:r>
        <w:rPr>
          <w:rFonts w:ascii="宋体" w:hAnsi="宋体" w:cs="宋体" w:eastAsia="宋体" w:hint="default"/>
          <w:sz w:val="18"/>
          <w:szCs w:val="18"/>
        </w:rPr>
        <w:t>的设计、品牌推广 </w:t>
      </w:r>
      <w:r>
        <w:rPr>
          <w:rFonts w:ascii="宋体" w:hAnsi="宋体" w:cs="宋体" w:eastAsia="宋体" w:hint="default"/>
          <w:spacing w:val="-8"/>
          <w:sz w:val="18"/>
          <w:szCs w:val="18"/>
        </w:rPr>
        <w:t>及授权，经营范围覆盖欧洲、中东、美国及远东、大中华区等市场。</w:t>
      </w: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年度实现营业收入</w:t>
      </w:r>
      <w:r>
        <w:rPr>
          <w:rFonts w:ascii="Times New Roman" w:hAnsi="Times New Roman" w:cs="Times New Roman" w:eastAsia="Times New Roman" w:hint="default"/>
          <w:spacing w:val="-8"/>
          <w:sz w:val="18"/>
          <w:szCs w:val="18"/>
        </w:rPr>
        <w:t>33,616,998.93</w:t>
      </w:r>
      <w:r>
        <w:rPr>
          <w:rFonts w:ascii="宋体" w:hAnsi="宋体" w:cs="宋体" w:eastAsia="宋体" w:hint="default"/>
          <w:spacing w:val="-8"/>
          <w:sz w:val="18"/>
          <w:szCs w:val="18"/>
        </w:rPr>
        <w:t>元，较上年</w:t>
      </w:r>
      <w:r>
        <w:rPr>
          <w:rFonts w:ascii="Times New Roman" w:hAnsi="Times New Roman" w:cs="Times New Roman" w:eastAsia="Times New Roman" w:hint="default"/>
          <w:spacing w:val="-8"/>
          <w:sz w:val="18"/>
          <w:szCs w:val="18"/>
        </w:rPr>
        <w:t>48,459,941.24</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r>
      <w:r>
        <w:rPr>
          <w:rFonts w:ascii="宋体" w:hAnsi="宋体" w:cs="宋体" w:eastAsia="宋体" w:hint="default"/>
          <w:sz w:val="18"/>
          <w:szCs w:val="18"/>
        </w:rPr>
        <w:t>元下降</w:t>
      </w:r>
      <w:r>
        <w:rPr>
          <w:rFonts w:ascii="Times New Roman" w:hAnsi="Times New Roman" w:cs="Times New Roman" w:eastAsia="Times New Roman" w:hint="default"/>
          <w:sz w:val="18"/>
          <w:szCs w:val="18"/>
        </w:rPr>
        <w:t>30.63%</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-34,165,852.08</w:t>
      </w:r>
      <w:r>
        <w:rPr>
          <w:rFonts w:ascii="宋体" w:hAnsi="宋体" w:cs="宋体" w:eastAsia="宋体" w:hint="default"/>
          <w:sz w:val="18"/>
          <w:szCs w:val="18"/>
        </w:rPr>
        <w:t>元，较上年</w:t>
      </w:r>
      <w:r>
        <w:rPr>
          <w:rFonts w:ascii="Times New Roman" w:hAnsi="Times New Roman" w:cs="Times New Roman" w:eastAsia="Times New Roman" w:hint="default"/>
          <w:sz w:val="18"/>
          <w:szCs w:val="18"/>
        </w:rPr>
        <w:t>-27,788,806.72</w:t>
      </w:r>
      <w:r>
        <w:rPr>
          <w:rFonts w:ascii="宋体" w:hAnsi="宋体" w:cs="宋体" w:eastAsia="宋体" w:hint="default"/>
          <w:sz w:val="18"/>
          <w:szCs w:val="18"/>
        </w:rPr>
        <w:t>元下降</w:t>
      </w:r>
      <w:r>
        <w:rPr>
          <w:rFonts w:ascii="Times New Roman" w:hAnsi="Times New Roman" w:cs="Times New Roman" w:eastAsia="Times New Roman" w:hint="default"/>
          <w:sz w:val="18"/>
          <w:szCs w:val="18"/>
        </w:rPr>
        <w:t>22.95%</w:t>
      </w:r>
      <w:r>
        <w:rPr>
          <w:rFonts w:ascii="宋体" w:hAnsi="宋体" w:cs="宋体" w:eastAsia="宋体" w:hint="default"/>
          <w:sz w:val="18"/>
          <w:szCs w:val="18"/>
        </w:rPr>
        <w:t>，主要是报告期内公司的控股子公司</w:t>
      </w:r>
      <w:r>
        <w:rPr>
          <w:rFonts w:ascii="Times New Roman" w:hAnsi="Times New Roman" w:cs="Times New Roman" w:eastAsia="Times New Roman" w:hint="default"/>
          <w:sz w:val="18"/>
          <w:szCs w:val="18"/>
        </w:rPr>
        <w:t>LEVITAS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S.P.A.</w:t>
      </w:r>
      <w:r>
        <w:rPr>
          <w:rFonts w:ascii="宋体" w:hAnsi="宋体" w:cs="宋体" w:eastAsia="宋体" w:hint="default"/>
          <w:sz w:val="18"/>
          <w:szCs w:val="18"/>
        </w:rPr>
        <w:t>意大利鞋类品牌授权商</w:t>
      </w:r>
      <w:r>
        <w:rPr>
          <w:rFonts w:ascii="Times New Roman" w:hAnsi="Times New Roman" w:cs="Times New Roman" w:eastAsia="Times New Roman" w:hint="default"/>
          <w:sz w:val="18"/>
          <w:szCs w:val="18"/>
        </w:rPr>
        <w:t>ZEIS</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集团陷入财务困境，导致整个</w:t>
      </w:r>
      <w:r>
        <w:rPr>
          <w:rFonts w:ascii="Times New Roman" w:hAnsi="Times New Roman" w:cs="Times New Roman" w:eastAsia="Times New Roman" w:hint="default"/>
          <w:sz w:val="18"/>
          <w:szCs w:val="18"/>
        </w:rPr>
        <w:t>DB</w:t>
      </w:r>
      <w:r>
        <w:rPr>
          <w:rFonts w:ascii="宋体" w:hAnsi="宋体" w:cs="宋体" w:eastAsia="宋体" w:hint="default"/>
          <w:sz w:val="18"/>
          <w:szCs w:val="18"/>
        </w:rPr>
        <w:t>品牌的鞋类货品生产与供应出现问题，直接影响了报告 </w:t>
      </w:r>
      <w:r>
        <w:rPr>
          <w:rFonts w:ascii="宋体" w:hAnsi="宋体" w:cs="宋体" w:eastAsia="宋体" w:hint="default"/>
          <w:spacing w:val="-1"/>
          <w:sz w:val="18"/>
          <w:szCs w:val="18"/>
        </w:rPr>
        <w:t>期内</w:t>
      </w:r>
      <w:r>
        <w:rPr>
          <w:rFonts w:ascii="Times New Roman" w:hAnsi="Times New Roman" w:cs="Times New Roman" w:eastAsia="Times New Roman" w:hint="default"/>
          <w:spacing w:val="-1"/>
          <w:sz w:val="18"/>
          <w:szCs w:val="18"/>
        </w:rPr>
        <w:t>DB</w:t>
      </w:r>
      <w:r>
        <w:rPr>
          <w:rFonts w:ascii="宋体" w:hAnsi="宋体" w:cs="宋体" w:eastAsia="宋体" w:hint="default"/>
          <w:spacing w:val="-1"/>
          <w:sz w:val="18"/>
          <w:szCs w:val="18"/>
        </w:rPr>
        <w:t>品牌货品的市场销售，从而导致报告期内</w:t>
      </w:r>
      <w:r>
        <w:rPr>
          <w:rFonts w:ascii="Times New Roman" w:hAnsi="Times New Roman" w:cs="Times New Roman" w:eastAsia="Times New Roman" w:hint="default"/>
          <w:spacing w:val="-1"/>
          <w:sz w:val="18"/>
          <w:szCs w:val="18"/>
        </w:rPr>
        <w:t>LEVITAS</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1"/>
          <w:sz w:val="18"/>
          <w:szCs w:val="18"/>
        </w:rPr>
        <w:t>S.P.A.</w:t>
      </w:r>
      <w:r>
        <w:rPr>
          <w:rFonts w:ascii="宋体" w:hAnsi="宋体" w:cs="宋体" w:eastAsia="宋体" w:hint="default"/>
          <w:spacing w:val="-1"/>
          <w:sz w:val="18"/>
          <w:szCs w:val="18"/>
        </w:rPr>
        <w:t>营业收入下滑，营业毛利较上年减少</w:t>
      </w:r>
      <w:r>
        <w:rPr>
          <w:rFonts w:ascii="Times New Roman" w:hAnsi="Times New Roman" w:cs="Times New Roman" w:eastAsia="Times New Roman" w:hint="default"/>
          <w:spacing w:val="-1"/>
          <w:sz w:val="18"/>
          <w:szCs w:val="18"/>
        </w:rPr>
        <w:t>8,721,352.54</w:t>
      </w:r>
      <w:r>
        <w:rPr>
          <w:rFonts w:ascii="宋体" w:hAnsi="宋体" w:cs="宋体" w:eastAsia="宋体" w:hint="default"/>
          <w:spacing w:val="-1"/>
          <w:sz w:val="18"/>
          <w:szCs w:val="18"/>
        </w:rPr>
        <w:t>元。</w:t>
      </w:r>
    </w:p>
    <w:p>
      <w:pPr>
        <w:spacing w:line="240" w:lineRule="auto" w:before="3"/>
        <w:rPr>
          <w:rFonts w:ascii="宋体" w:hAnsi="宋体" w:cs="宋体" w:eastAsia="宋体" w:hint="default"/>
          <w:sz w:val="15"/>
          <w:szCs w:val="15"/>
        </w:rPr>
      </w:pPr>
    </w:p>
    <w:p>
      <w:pPr>
        <w:spacing w:line="463" w:lineRule="auto" w:before="0"/>
        <w:ind w:left="113" w:right="1125"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报告期，公司全资子公司武汉悦然心动网络科技有限公司公司及其子、孙公司（武汉威震天网络科技有限公司、武 </w:t>
      </w:r>
      <w:r>
        <w:rPr>
          <w:rFonts w:ascii="宋体" w:hAnsi="宋体" w:cs="宋体" w:eastAsia="宋体" w:hint="default"/>
          <w:spacing w:val="-2"/>
          <w:sz w:val="18"/>
          <w:szCs w:val="18"/>
        </w:rPr>
        <w:t>汉乐享无限网络科技有限公司、霍尔果斯欢乐无限网络科技有限公司、香港威震天网络科技有限公司、香港悦然心动网络科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技有限公司、香港欢乐无限网络科技有限公司、香港乐享无限网络科技有限公司、香港一方网络科技有限公司、武汉乐玩互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动网络科技有限公司、山南快乐无限网络科技有限公司）主营网络技术、信息技术领域内的技术开发、技术咨询、技术服务、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技术转让、计算机及其它电子产品软硬件的开发及销售；广告发布。</w:t>
      </w:r>
      <w:r>
        <w:rPr>
          <w:rFonts w:ascii="宋体" w:hAnsi="宋体" w:cs="宋体" w:eastAsia="宋体" w:hint="default"/>
          <w:spacing w:val="-69"/>
          <w:sz w:val="18"/>
          <w:szCs w:val="18"/>
        </w:rPr>
        <w:t> </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年武汉悦然心动及其子公司共实现营业收入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1"/>
          <w:sz w:val="18"/>
          <w:szCs w:val="18"/>
        </w:rPr>
        <w:t>374,908,181.89</w:t>
      </w:r>
      <w:r>
        <w:rPr>
          <w:rFonts w:ascii="宋体" w:hAnsi="宋体" w:cs="宋体" w:eastAsia="宋体" w:hint="default"/>
          <w:spacing w:val="-1"/>
          <w:sz w:val="18"/>
          <w:szCs w:val="18"/>
        </w:rPr>
        <w:t>元，较上年纳入合并范围</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营业收入</w:t>
      </w:r>
      <w:r>
        <w:rPr>
          <w:rFonts w:ascii="Times New Roman" w:hAnsi="Times New Roman" w:cs="Times New Roman" w:eastAsia="Times New Roman" w:hint="default"/>
          <w:spacing w:val="-1"/>
          <w:sz w:val="18"/>
          <w:szCs w:val="18"/>
        </w:rPr>
        <w:t>89,070,500.53</w:t>
      </w:r>
      <w:r>
        <w:rPr>
          <w:rFonts w:ascii="宋体" w:hAnsi="宋体" w:cs="宋体" w:eastAsia="宋体" w:hint="default"/>
          <w:spacing w:val="-1"/>
          <w:sz w:val="18"/>
          <w:szCs w:val="18"/>
        </w:rPr>
        <w:t>元上升</w:t>
      </w:r>
      <w:r>
        <w:rPr>
          <w:rFonts w:ascii="Times New Roman" w:hAnsi="Times New Roman" w:cs="Times New Roman" w:eastAsia="Times New Roman" w:hint="default"/>
          <w:spacing w:val="-1"/>
          <w:sz w:val="18"/>
          <w:szCs w:val="18"/>
        </w:rPr>
        <w:t>320.91%</w:t>
      </w:r>
      <w:r>
        <w:rPr>
          <w:rFonts w:ascii="宋体" w:hAnsi="宋体" w:cs="宋体" w:eastAsia="宋体" w:hint="default"/>
          <w:spacing w:val="-1"/>
          <w:sz w:val="18"/>
          <w:szCs w:val="18"/>
        </w:rPr>
        <w:t>；净利润</w:t>
      </w:r>
      <w:r>
        <w:rPr>
          <w:rFonts w:ascii="Times New Roman" w:hAnsi="Times New Roman" w:cs="Times New Roman" w:eastAsia="Times New Roman" w:hint="default"/>
          <w:spacing w:val="-1"/>
          <w:sz w:val="18"/>
          <w:szCs w:val="18"/>
        </w:rPr>
        <w:t>68,957,288.00</w:t>
      </w:r>
      <w:r>
        <w:rPr>
          <w:rFonts w:ascii="宋体" w:hAnsi="宋体" w:cs="宋体" w:eastAsia="宋体" w:hint="default"/>
          <w:spacing w:val="-1"/>
          <w:sz w:val="18"/>
          <w:szCs w:val="18"/>
        </w:rPr>
        <w:t>元，较上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年纳入合并范围（</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5-12</w:t>
      </w:r>
      <w:r>
        <w:rPr>
          <w:rFonts w:ascii="宋体" w:hAnsi="宋体" w:cs="宋体" w:eastAsia="宋体" w:hint="default"/>
          <w:spacing w:val="-1"/>
          <w:sz w:val="18"/>
          <w:szCs w:val="18"/>
        </w:rPr>
        <w:t>月）净利润</w:t>
      </w:r>
      <w:r>
        <w:rPr>
          <w:rFonts w:ascii="Times New Roman" w:hAnsi="Times New Roman" w:cs="Times New Roman" w:eastAsia="Times New Roman" w:hint="default"/>
          <w:spacing w:val="-1"/>
          <w:sz w:val="18"/>
          <w:szCs w:val="18"/>
        </w:rPr>
        <w:t>46,263,526.04</w:t>
      </w:r>
      <w:r>
        <w:rPr>
          <w:rFonts w:ascii="宋体" w:hAnsi="宋体" w:cs="宋体" w:eastAsia="宋体" w:hint="default"/>
          <w:spacing w:val="-1"/>
          <w:sz w:val="18"/>
          <w:szCs w:val="18"/>
        </w:rPr>
        <w:t>上升</w:t>
      </w:r>
      <w:r>
        <w:rPr>
          <w:rFonts w:ascii="Times New Roman" w:hAnsi="Times New Roman" w:cs="Times New Roman" w:eastAsia="Times New Roman" w:hint="default"/>
          <w:spacing w:val="-1"/>
          <w:sz w:val="18"/>
          <w:szCs w:val="18"/>
        </w:rPr>
        <w:t>49.05%</w:t>
      </w:r>
      <w:r>
        <w:rPr>
          <w:rFonts w:ascii="宋体" w:hAnsi="宋体" w:cs="宋体" w:eastAsia="宋体" w:hint="default"/>
          <w:spacing w:val="-1"/>
          <w:sz w:val="18"/>
          <w:szCs w:val="18"/>
        </w:rPr>
        <w:t>，主要是报告期武汉悦然心动顺应海外移动互联网发展趋</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4"/>
          <w:sz w:val="18"/>
          <w:szCs w:val="18"/>
        </w:rPr>
        <w:t>势，加大广告投放力度获取高质量用户，并实现流量变现，扩大了市场占有率，营业毛利较上年同期纳入合并范围增加</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Times New Roman" w:hAnsi="Times New Roman" w:cs="Times New Roman" w:eastAsia="Times New Roman" w:hint="default"/>
          <w:sz w:val="18"/>
          <w:szCs w:val="18"/>
        </w:rPr>
        <w:t>33,612,070.18</w:t>
      </w:r>
      <w:r>
        <w:rPr>
          <w:rFonts w:ascii="宋体" w:hAnsi="宋体" w:cs="宋体" w:eastAsia="宋体" w:hint="default"/>
          <w:sz w:val="18"/>
          <w:szCs w:val="18"/>
        </w:rPr>
        <w:t>元；以及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年加大了研发投入，研发费用较上年纳入合并范围增加</w:t>
      </w:r>
      <w:r>
        <w:rPr>
          <w:rFonts w:ascii="Times New Roman" w:hAnsi="Times New Roman" w:cs="Times New Roman" w:eastAsia="Times New Roman" w:hint="default"/>
          <w:sz w:val="18"/>
          <w:szCs w:val="18"/>
        </w:rPr>
        <w:t>24,546,335.48</w:t>
      </w:r>
      <w:r>
        <w:rPr>
          <w:rFonts w:ascii="宋体" w:hAnsi="宋体" w:cs="宋体" w:eastAsia="宋体" w:hint="default"/>
          <w:sz w:val="18"/>
          <w:szCs w:val="18"/>
        </w:rPr>
        <w:t>元；财务费用较上年纳入合 并范围减少</w:t>
      </w:r>
      <w:r>
        <w:rPr>
          <w:rFonts w:ascii="Times New Roman" w:hAnsi="Times New Roman" w:cs="Times New Roman" w:eastAsia="Times New Roman" w:hint="default"/>
          <w:sz w:val="18"/>
          <w:szCs w:val="18"/>
        </w:rPr>
        <w:t>12,941,542.92</w:t>
      </w:r>
      <w:r>
        <w:rPr>
          <w:rFonts w:ascii="宋体" w:hAnsi="宋体" w:cs="宋体" w:eastAsia="宋体" w:hint="default"/>
          <w:sz w:val="18"/>
          <w:szCs w:val="18"/>
        </w:rPr>
        <w:t>元，财务费用的减少主要是汇率变动引起的汇兑收益较上年纳入合并范围增加</w:t>
      </w:r>
      <w:r>
        <w:rPr>
          <w:rFonts w:ascii="Times New Roman" w:hAnsi="Times New Roman" w:cs="Times New Roman" w:eastAsia="Times New Roman" w:hint="default"/>
          <w:sz w:val="18"/>
          <w:szCs w:val="18"/>
        </w:rPr>
        <w:t>12,549,049.77</w:t>
      </w:r>
      <w:r>
        <w:rPr>
          <w:rFonts w:ascii="宋体" w:hAnsi="宋体" w:cs="宋体" w:eastAsia="宋体" w:hint="default"/>
          <w:sz w:val="18"/>
          <w:szCs w:val="18"/>
        </w:rPr>
        <w:t>元。</w:t>
      </w:r>
    </w:p>
    <w:p>
      <w:pPr>
        <w:spacing w:line="240" w:lineRule="auto" w:before="6"/>
        <w:rPr>
          <w:rFonts w:ascii="宋体" w:hAnsi="宋体" w:cs="宋体" w:eastAsia="宋体" w:hint="default"/>
          <w:sz w:val="14"/>
          <w:szCs w:val="14"/>
        </w:rPr>
      </w:pPr>
    </w:p>
    <w:p>
      <w:pPr>
        <w:spacing w:line="451" w:lineRule="auto" w:before="0"/>
        <w:ind w:left="113" w:right="1130"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报告期，公司新设控股子公司美年电子商贸（广州）有限公司，主要经营珠宝配饰类产品的销售业务。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年实现 营业收入</w:t>
      </w:r>
      <w:r>
        <w:rPr>
          <w:rFonts w:ascii="Times New Roman" w:hAnsi="Times New Roman" w:cs="Times New Roman" w:eastAsia="Times New Roman" w:hint="default"/>
          <w:sz w:val="18"/>
          <w:szCs w:val="18"/>
        </w:rPr>
        <w:t>381,937.37</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-3,901,439.83</w:t>
      </w:r>
      <w:r>
        <w:rPr>
          <w:rFonts w:ascii="宋体" w:hAnsi="宋体" w:cs="宋体" w:eastAsia="宋体" w:hint="default"/>
          <w:sz w:val="18"/>
          <w:szCs w:val="18"/>
        </w:rPr>
        <w:t>元，亏损的主要原因是该公司运营的品类尚处于培育期，门店开设前期投入较</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大所致。</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33" w:right="0"/>
        <w:jc w:val="left"/>
      </w:pPr>
      <w:r>
        <w:rPr>
          <w:rFonts w:ascii="Times New Roman" w:hAnsi="Times New Roman" w:cs="Times New Roman" w:eastAsia="Times New Roman" w:hint="default"/>
        </w:rPr>
        <w:t>2018</w:t>
      </w:r>
      <w:r>
        <w:rPr/>
        <w:t>年，公司以“新零售平台”作为公司</w:t>
      </w:r>
      <w:r>
        <w:rPr>
          <w:rFonts w:ascii="Times New Roman" w:hAnsi="Times New Roman" w:cs="Times New Roman" w:eastAsia="Times New Roman" w:hint="default"/>
        </w:rPr>
        <w:t>2018-2020</w:t>
      </w:r>
      <w:r>
        <w:rPr/>
        <w:t>年的发展战略。我们回顾零售业的传统竞争格局，</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1126"/>
        <w:jc w:val="both"/>
      </w:pPr>
      <w:r>
        <w:rPr>
          <w:spacing w:val="-2"/>
        </w:rPr>
        <w:t>目前仍以商品同质化、价格大战、成本领先为导向，但新一轮的科技革命正为零售商带来新思路：关注顾</w:t>
      </w:r>
      <w:r>
        <w:rPr>
          <w:spacing w:val="-50"/>
        </w:rPr>
        <w:t> </w:t>
      </w:r>
      <w:r>
        <w:rPr>
          <w:spacing w:val="-50"/>
        </w:rPr>
      </w:r>
      <w:r>
        <w:rPr>
          <w:spacing w:val="-2"/>
        </w:rPr>
        <w:t>客体验、提高回头率与转化率、强调服务增值、跨界合作、线上线下互动等新的盈利点。这一思路正在不</w:t>
      </w:r>
      <w:r>
        <w:rPr>
          <w:spacing w:val="-43"/>
        </w:rPr>
        <w:t> </w:t>
      </w:r>
      <w:r>
        <w:rPr>
          <w:spacing w:val="-43"/>
        </w:rPr>
      </w:r>
      <w:r>
        <w:rPr/>
        <w:t>断颠覆传统竞争格局，也必然最终彻底打破现有的局势。</w:t>
      </w:r>
    </w:p>
    <w:p>
      <w:pPr>
        <w:pStyle w:val="BodyText"/>
        <w:spacing w:line="400" w:lineRule="auto" w:before="87"/>
        <w:ind w:right="1126" w:firstLine="420"/>
        <w:jc w:val="both"/>
      </w:pPr>
      <w:r>
        <w:rPr>
          <w:spacing w:val="-2"/>
        </w:rPr>
        <w:t>因此，在科技和互联网的“新时代”下，公司依靠自身具备的全球化视野和全球化思维、强大供应链</w:t>
      </w:r>
      <w:r>
        <w:rPr>
          <w:w w:val="100"/>
        </w:rPr>
        <w:t> </w:t>
      </w:r>
      <w:r>
        <w:rPr>
          <w:spacing w:val="-2"/>
        </w:rPr>
        <w:t>和科技创新新动力以及紧跟全球时尚潮流的发展趋势等优势，高度重视自身、合作伙伴、第三方平台资源</w:t>
      </w:r>
      <w:r>
        <w:rPr>
          <w:spacing w:val="-44"/>
        </w:rPr>
        <w:t> </w:t>
      </w:r>
      <w:r>
        <w:rPr>
          <w:spacing w:val="-44"/>
        </w:rPr>
      </w:r>
      <w:r>
        <w:rPr>
          <w:spacing w:val="-3"/>
        </w:rPr>
        <w:t>及大数据资产，并加以充分利用，包括供应链资源、运营数据、行业数据、</w:t>
      </w:r>
      <w:r>
        <w:rPr>
          <w:rFonts w:ascii="Times New Roman" w:hAnsi="Times New Roman" w:cs="Times New Roman" w:eastAsia="Times New Roman" w:hint="default"/>
          <w:spacing w:val="-3"/>
        </w:rPr>
        <w:t>CRM</w:t>
      </w:r>
      <w:r>
        <w:rPr>
          <w:spacing w:val="-3"/>
        </w:rPr>
        <w:t>顾客数据、社交媒体粉丝</w:t>
      </w:r>
      <w:r>
        <w:rPr>
          <w:spacing w:val="-47"/>
        </w:rPr>
        <w:t> </w:t>
      </w:r>
      <w:r>
        <w:rPr>
          <w:spacing w:val="-47"/>
        </w:rPr>
      </w:r>
      <w:r>
        <w:rPr>
          <w:spacing w:val="-2"/>
        </w:rPr>
        <w:t>数据等。逐步整合、不断扩大、有效积累并结构化上述供应链资源与大数据资产，通过分析不断挖掘资源</w:t>
      </w:r>
    </w:p>
    <w:p>
      <w:pPr>
        <w:pStyle w:val="BodyText"/>
        <w:spacing w:line="417" w:lineRule="auto" w:before="52"/>
        <w:ind w:left="533" w:right="0" w:hanging="420"/>
        <w:jc w:val="left"/>
      </w:pPr>
      <w:r>
        <w:rPr>
          <w:rFonts w:ascii="Times New Roman" w:hAnsi="Times New Roman" w:cs="Times New Roman" w:eastAsia="Times New Roman" w:hint="default"/>
        </w:rPr>
        <w:t>/</w:t>
      </w:r>
      <w:r>
        <w:rPr/>
        <w:t>数据价值，最终转化为用户价值、公司价值和社会价值。</w:t>
      </w:r>
      <w:r>
        <w:rPr>
          <w:w w:val="100"/>
        </w:rPr>
        <w:t> </w:t>
      </w:r>
      <w:r>
        <w:rPr>
          <w:spacing w:val="-2"/>
        </w:rPr>
        <w:t>公司在新零售平台战略背景下，不断整合更多的资源、吸纳更多的专业人才，通过新的经营模式，不</w:t>
      </w:r>
    </w:p>
    <w:p>
      <w:pPr>
        <w:pStyle w:val="BodyText"/>
        <w:spacing w:line="240" w:lineRule="auto" w:before="37"/>
        <w:ind w:right="0"/>
        <w:jc w:val="both"/>
      </w:pPr>
      <w:r>
        <w:rPr/>
        <w:t>断开辟公司新的业绩增长点。</w:t>
      </w:r>
      <w:r>
        <w:rPr>
          <w:rFonts w:ascii="Times New Roman" w:hAnsi="Times New Roman" w:cs="Times New Roman" w:eastAsia="Times New Roman" w:hint="default"/>
        </w:rPr>
        <w:t>2019</w:t>
      </w:r>
      <w:r>
        <w:rPr/>
        <w:t>年，公司的经营重心主要体现以下几方面：</w:t>
      </w:r>
    </w:p>
    <w:p>
      <w:pPr>
        <w:spacing w:line="240" w:lineRule="auto" w:before="9"/>
        <w:rPr>
          <w:rFonts w:ascii="宋体" w:hAnsi="宋体" w:cs="宋体" w:eastAsia="宋体" w:hint="default"/>
          <w:sz w:val="16"/>
          <w:szCs w:val="16"/>
        </w:rPr>
      </w:pPr>
    </w:p>
    <w:p>
      <w:pPr>
        <w:pStyle w:val="BodyText"/>
        <w:spacing w:line="444" w:lineRule="auto"/>
        <w:ind w:left="533" w:right="0" w:hanging="106"/>
        <w:jc w:val="left"/>
      </w:pPr>
      <w:r>
        <w:rPr/>
        <w:t>（一）强化公司核心竞争力，增强公司品牌差异化和影响力。</w:t>
      </w:r>
      <w:r>
        <w:rPr>
          <w:w w:val="100"/>
        </w:rPr>
        <w:t> </w:t>
      </w:r>
      <w:r>
        <w:rPr>
          <w:spacing w:val="-2"/>
        </w:rPr>
        <w:t>公司继续整合上下游供应链资源，快速形成规模，利用供应链优势与品牌方、渠道平台建立战略业务</w:t>
      </w:r>
    </w:p>
    <w:p>
      <w:pPr>
        <w:pStyle w:val="BodyText"/>
        <w:spacing w:line="396" w:lineRule="auto" w:before="14"/>
        <w:ind w:right="1126"/>
        <w:jc w:val="left"/>
      </w:pPr>
      <w:r>
        <w:rPr>
          <w:spacing w:val="-3"/>
        </w:rPr>
        <w:t>合作关系。加大</w:t>
      </w:r>
      <w:r>
        <w:rPr>
          <w:rFonts w:ascii="Times New Roman" w:hAnsi="Times New Roman" w:cs="Times New Roman" w:eastAsia="Times New Roman" w:hint="default"/>
          <w:spacing w:val="-3"/>
        </w:rPr>
        <w:t>CANUDILO</w:t>
      </w:r>
      <w:r>
        <w:rPr>
          <w:spacing w:val="-3"/>
        </w:rPr>
        <w:t>研发，与知名设计师以及个人</w:t>
      </w:r>
      <w:r>
        <w:rPr>
          <w:rFonts w:ascii="Times New Roman" w:hAnsi="Times New Roman" w:cs="Times New Roman" w:eastAsia="Times New Roman" w:hint="default"/>
          <w:spacing w:val="-3"/>
        </w:rPr>
        <w:t>IP</w:t>
      </w:r>
      <w:r>
        <w:rPr>
          <w:spacing w:val="-3"/>
        </w:rPr>
        <w:t>合作，提升产品设计，通过各种新媒体、形象</w:t>
      </w:r>
      <w:r>
        <w:rPr>
          <w:spacing w:val="-15"/>
        </w:rPr>
        <w:t> </w:t>
      </w:r>
      <w:r>
        <w:rPr>
          <w:spacing w:val="-15"/>
        </w:rPr>
      </w:r>
      <w:r>
        <w:rPr>
          <w:spacing w:val="-2"/>
        </w:rPr>
        <w:t>代言人以及时装周等活动增强宣传力度，加强市场调研，优化线下门店选址、产品布局、价格带分布，提</w:t>
      </w:r>
      <w:r>
        <w:rPr>
          <w:spacing w:val="-43"/>
        </w:rPr>
        <w:t> </w:t>
      </w:r>
      <w:r>
        <w:rPr>
          <w:spacing w:val="-43"/>
        </w:rPr>
      </w:r>
      <w:r>
        <w:rPr/>
        <w:t>升品牌影响力及盈利能力。进一步明确</w:t>
      </w:r>
      <w:r>
        <w:rPr>
          <w:rFonts w:ascii="Times New Roman" w:hAnsi="Times New Roman" w:cs="Times New Roman" w:eastAsia="Times New Roman" w:hint="default"/>
        </w:rPr>
        <w:t>CANUDILO H </w:t>
      </w:r>
      <w:r>
        <w:rPr>
          <w:rFonts w:ascii="Times New Roman" w:hAnsi="Times New Roman" w:cs="Times New Roman" w:eastAsia="Times New Roman" w:hint="default"/>
          <w:spacing w:val="-3"/>
        </w:rPr>
        <w:t>HOLIDAYS</w:t>
      </w:r>
      <w:r>
        <w:rPr>
          <w:spacing w:val="-3"/>
        </w:rPr>
        <w:t>更加年轻化、时尚化的产品定位，将熊</w:t>
      </w:r>
      <w:r>
        <w:rPr>
          <w:spacing w:val="-65"/>
        </w:rPr>
        <w:t> </w:t>
      </w:r>
      <w:r>
        <w:rPr>
          <w:spacing w:val="-65"/>
        </w:rPr>
      </w:r>
      <w:r>
        <w:rPr>
          <w:spacing w:val="-3"/>
        </w:rPr>
        <w:t>猫元素与潮流元素结合，与</w:t>
      </w:r>
      <w:r>
        <w:rPr>
          <w:rFonts w:ascii="Times New Roman" w:hAnsi="Times New Roman" w:cs="Times New Roman" w:eastAsia="Times New Roman" w:hint="default"/>
          <w:spacing w:val="-3"/>
        </w:rPr>
        <w:t>CANUDILO</w:t>
      </w:r>
      <w:r>
        <w:rPr>
          <w:spacing w:val="-3"/>
        </w:rPr>
        <w:t>差异化，覆盖不同人群及价格带，在渠道上结合线上线下资源探索</w:t>
      </w:r>
      <w:r>
        <w:rPr>
          <w:spacing w:val="-39"/>
        </w:rPr>
        <w:t> </w:t>
      </w:r>
      <w:r>
        <w:rPr>
          <w:spacing w:val="-39"/>
        </w:rPr>
      </w:r>
      <w:r>
        <w:rPr>
          <w:spacing w:val="-2"/>
        </w:rPr>
        <w:t>新零售模式，强化线上线下间的纽带，并用扎实的数据价值和运营经验为客户创造价值，从而强化公司核</w:t>
      </w:r>
      <w:r>
        <w:rPr>
          <w:spacing w:val="-42"/>
        </w:rPr>
        <w:t> </w:t>
      </w:r>
      <w:r>
        <w:rPr>
          <w:spacing w:val="-42"/>
        </w:rPr>
      </w:r>
      <w:r>
        <w:rPr/>
        <w:t>心竞争力。</w:t>
      </w:r>
    </w:p>
    <w:p>
      <w:pPr>
        <w:pStyle w:val="BodyText"/>
        <w:spacing w:line="444" w:lineRule="auto" w:before="95"/>
        <w:ind w:left="533" w:right="0" w:hanging="106"/>
        <w:jc w:val="left"/>
      </w:pPr>
      <w:r>
        <w:rPr/>
        <w:t>（二）线上线下多业务条线协同发展，构建更全面的时尚集团</w:t>
      </w:r>
      <w:r>
        <w:rPr>
          <w:w w:val="100"/>
        </w:rPr>
        <w:t> </w:t>
      </w:r>
      <w:r>
        <w:rPr>
          <w:spacing w:val="-2"/>
        </w:rPr>
        <w:t>公司继续在香化美妆、时尚箱包等品类深耕全渠道经营。在新消费增长为驱动的零售变革下，香化美</w:t>
      </w:r>
    </w:p>
    <w:p>
      <w:pPr>
        <w:pStyle w:val="BodyText"/>
        <w:spacing w:line="408" w:lineRule="auto" w:before="14"/>
        <w:ind w:right="1126"/>
        <w:jc w:val="both"/>
      </w:pPr>
      <w:r>
        <w:rPr>
          <w:spacing w:val="-2"/>
        </w:rPr>
        <w:t>妆、箱包在互联网零售领域仍保持较快的增长势头，公司在保证原有传统业务创新前提下，夯实现有渠道</w:t>
      </w:r>
      <w:r>
        <w:rPr>
          <w:spacing w:val="-44"/>
        </w:rPr>
        <w:t> </w:t>
      </w:r>
      <w:r>
        <w:rPr>
          <w:spacing w:val="-44"/>
        </w:rPr>
      </w:r>
      <w:r>
        <w:rPr>
          <w:spacing w:val="-2"/>
        </w:rPr>
        <w:t>的基础，提升线上渠道的运营能力，引进更多优质品牌与线上运营服务商，力图将香化美妆、箱包业务发</w:t>
      </w:r>
      <w:r>
        <w:rPr>
          <w:spacing w:val="-50"/>
        </w:rPr>
        <w:t> </w:t>
      </w:r>
      <w:r>
        <w:rPr>
          <w:spacing w:val="-50"/>
        </w:rPr>
      </w:r>
      <w:r>
        <w:rPr>
          <w:spacing w:val="-2"/>
        </w:rPr>
        <w:t>展成为与自有服装品牌体量相当的业务条线，促进收入构成多元化，抵御单一行业风险的同时，完整时尚</w:t>
      </w:r>
      <w:r>
        <w:rPr>
          <w:spacing w:val="-43"/>
        </w:rPr>
        <w:t> </w:t>
      </w:r>
      <w:r>
        <w:rPr>
          <w:spacing w:val="-43"/>
        </w:rPr>
      </w:r>
      <w:r>
        <w:rPr/>
        <w:t>集团的形象。</w:t>
      </w:r>
    </w:p>
    <w:p>
      <w:pPr>
        <w:pStyle w:val="BodyText"/>
        <w:spacing w:line="441" w:lineRule="auto" w:before="87"/>
        <w:ind w:left="533" w:right="0" w:hanging="106"/>
        <w:jc w:val="left"/>
      </w:pPr>
      <w:r>
        <w:rPr/>
        <w:t>（三）布局时尚科技，探索新零售业务</w:t>
      </w:r>
      <w:r>
        <w:rPr>
          <w:w w:val="100"/>
        </w:rPr>
        <w:t> </w:t>
      </w:r>
      <w:r>
        <w:rPr>
          <w:spacing w:val="-2"/>
        </w:rPr>
        <w:t>悦然心动等科技和互联网板块将积极地进行市场研判，基于原有业务优势，积极开辟新的收入和利润</w:t>
      </w:r>
    </w:p>
    <w:p>
      <w:pPr>
        <w:pStyle w:val="BodyText"/>
        <w:spacing w:line="408" w:lineRule="auto" w:before="16"/>
        <w:ind w:right="1131"/>
        <w:jc w:val="both"/>
      </w:pPr>
      <w:r>
        <w:rPr>
          <w:spacing w:val="-2"/>
        </w:rPr>
        <w:t>来源、积极调整产品构成和市场策略。预期在休闲游戏、社交辅助工具等方面继续突破，为集团获取新的</w:t>
      </w:r>
      <w:r>
        <w:rPr>
          <w:spacing w:val="-50"/>
        </w:rPr>
        <w:t> </w:t>
      </w:r>
      <w:r>
        <w:rPr>
          <w:spacing w:val="-50"/>
        </w:rPr>
      </w:r>
      <w:r>
        <w:rPr/>
        <w:t>收入和利润支撑，并储备对科技和互联网的深层次认识，为下阶段与零售的融合蓄力。</w:t>
      </w:r>
    </w:p>
    <w:p>
      <w:pPr>
        <w:pStyle w:val="BodyText"/>
        <w:spacing w:line="240" w:lineRule="auto" w:before="87"/>
        <w:ind w:left="533" w:right="0"/>
        <w:jc w:val="left"/>
      </w:pPr>
      <w:r>
        <w:rPr>
          <w:spacing w:val="-4"/>
        </w:rPr>
        <w:t>同时，积极寻求可以与时尚融合的科技企业合作，包括</w:t>
      </w:r>
      <w:r>
        <w:rPr>
          <w:rFonts w:ascii="Times New Roman" w:hAnsi="Times New Roman" w:cs="Times New Roman" w:eastAsia="Times New Roman" w:hint="default"/>
          <w:spacing w:val="-4"/>
        </w:rPr>
        <w:t>AI</w:t>
      </w:r>
      <w:r>
        <w:rPr>
          <w:spacing w:val="-4"/>
        </w:rPr>
        <w:t>、大数据、</w:t>
      </w:r>
      <w:r>
        <w:rPr>
          <w:rFonts w:ascii="Times New Roman" w:hAnsi="Times New Roman" w:cs="Times New Roman" w:eastAsia="Times New Roman" w:hint="default"/>
          <w:spacing w:val="-4"/>
        </w:rPr>
        <w:t>VR</w:t>
      </w:r>
      <w:r>
        <w:rPr>
          <w:spacing w:val="-4"/>
        </w:rPr>
        <w:t>等，利用科技提升运营效率，</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0"/>
        <w:jc w:val="left"/>
      </w:pPr>
      <w:r>
        <w:rPr>
          <w:spacing w:val="-2"/>
        </w:rPr>
        <w:t>优化供应链，整合线下线上渠道，满足个性化需求，扩大传统业务的业务边界，提升业务上限，探索新零</w:t>
      </w:r>
      <w:r>
        <w:rPr>
          <w:spacing w:val="-43"/>
        </w:rPr>
        <w:t> </w:t>
      </w:r>
      <w:r>
        <w:rPr>
          <w:spacing w:val="-43"/>
        </w:rPr>
      </w:r>
      <w:r>
        <w:rPr/>
        <w:t>售业务模式。</w:t>
      </w:r>
    </w:p>
    <w:p>
      <w:pPr>
        <w:pStyle w:val="BodyText"/>
        <w:spacing w:line="240" w:lineRule="auto" w:before="87"/>
        <w:ind w:left="427" w:right="0"/>
        <w:jc w:val="left"/>
      </w:pPr>
      <w:r>
        <w:rPr/>
        <w:t>（四）横向与纵向的投资并购，整合细分行业龙头</w:t>
      </w:r>
    </w:p>
    <w:p>
      <w:pPr>
        <w:spacing w:line="240" w:lineRule="auto" w:before="9"/>
        <w:rPr>
          <w:rFonts w:ascii="宋体" w:hAnsi="宋体" w:cs="宋体" w:eastAsia="宋体" w:hint="default"/>
          <w:sz w:val="17"/>
          <w:szCs w:val="17"/>
        </w:rPr>
      </w:pPr>
    </w:p>
    <w:p>
      <w:pPr>
        <w:pStyle w:val="BodyText"/>
        <w:spacing w:line="403" w:lineRule="auto"/>
        <w:ind w:right="1126" w:firstLine="420"/>
        <w:jc w:val="both"/>
      </w:pPr>
      <w:r>
        <w:rPr>
          <w:rFonts w:ascii="Times New Roman" w:hAnsi="Times New Roman" w:cs="Times New Roman" w:eastAsia="Times New Roman" w:hint="default"/>
          <w:spacing w:val="-2"/>
        </w:rPr>
        <w:t>2019</w:t>
      </w:r>
      <w:r>
        <w:rPr>
          <w:spacing w:val="-2"/>
        </w:rPr>
        <w:t>年，公司将力争通过并购对资源进行整合，继续寻求供应链、品牌方、电商运营方向的投资、并</w:t>
      </w:r>
      <w:r>
        <w:rPr>
          <w:w w:val="100"/>
        </w:rPr>
        <w:t> </w:t>
      </w:r>
      <w:r>
        <w:rPr>
          <w:spacing w:val="-2"/>
        </w:rPr>
        <w:t>购标的，横向上，可以通过投资并购某一定位或某一类别的服装、香化美妆以及箱包企业，从而整合出该</w:t>
      </w:r>
      <w:r>
        <w:rPr>
          <w:spacing w:val="-47"/>
        </w:rPr>
        <w:t> </w:t>
      </w:r>
      <w:r>
        <w:rPr>
          <w:spacing w:val="-47"/>
        </w:rPr>
      </w:r>
      <w:r>
        <w:rPr>
          <w:spacing w:val="-2"/>
        </w:rPr>
        <w:t>细分行业龙头企业，一方面可以提升企业知名度，另一方面可以提升行业地位以及盈利空间；纵向上，通</w:t>
      </w:r>
      <w:r>
        <w:rPr>
          <w:spacing w:val="-47"/>
        </w:rPr>
        <w:t> </w:t>
      </w:r>
      <w:r>
        <w:rPr>
          <w:spacing w:val="-47"/>
        </w:rPr>
      </w:r>
      <w:r>
        <w:rPr>
          <w:spacing w:val="-2"/>
        </w:rPr>
        <w:t>过运营商、经销商、服务商等供应链上下游的投资并购，提升运营效率，降低运营成本，深化全渠道运营</w:t>
      </w:r>
      <w:r>
        <w:rPr>
          <w:spacing w:val="-43"/>
        </w:rPr>
        <w:t> </w:t>
      </w:r>
      <w:r>
        <w:rPr>
          <w:spacing w:val="-43"/>
        </w:rPr>
      </w:r>
      <w:r>
        <w:rPr/>
        <w:t>能力。</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79"/>
        <w:gridCol w:w="2177"/>
        <w:gridCol w:w="2177"/>
        <w:gridCol w:w="3037"/>
      </w:tblGrid>
      <w:tr>
        <w:trPr>
          <w:trHeight w:val="403" w:hRule="exact"/>
        </w:trPr>
        <w:tc>
          <w:tcPr>
            <w:tcW w:w="21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5" w:hRule="exact"/>
        </w:trPr>
        <w:tc>
          <w:tcPr>
            <w:tcW w:w="21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41"/>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 详情可参阅《投资者关系活动记录 </w:t>
            </w:r>
            <w:r>
              <w:rPr>
                <w:rFonts w:ascii="宋体" w:hAnsi="宋体" w:cs="宋体" w:eastAsia="宋体" w:hint="default"/>
                <w:spacing w:val="-7"/>
                <w:sz w:val="18"/>
                <w:szCs w:val="18"/>
              </w:rPr>
              <w:t>表》（编号：</w:t>
            </w:r>
            <w:r>
              <w:rPr>
                <w:rFonts w:ascii="Times New Roman" w:hAnsi="Times New Roman" w:cs="Times New Roman" w:eastAsia="Times New Roman" w:hint="default"/>
                <w:spacing w:val="-7"/>
                <w:sz w:val="18"/>
                <w:szCs w:val="18"/>
              </w:rPr>
              <w:t>2018-001</w:t>
            </w:r>
            <w:r>
              <w:rPr>
                <w:rFonts w:ascii="宋体" w:hAnsi="宋体" w:cs="宋体" w:eastAsia="宋体" w:hint="default"/>
                <w:spacing w:val="-7"/>
                <w:sz w:val="18"/>
                <w:szCs w:val="18"/>
              </w:rPr>
              <w:t>）</w:t>
            </w:r>
          </w:p>
        </w:tc>
      </w:tr>
      <w:tr>
        <w:trPr>
          <w:trHeight w:val="1028" w:hRule="exact"/>
        </w:trPr>
        <w:tc>
          <w:tcPr>
            <w:tcW w:w="21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41"/>
              <w:jc w:val="left"/>
              <w:rPr>
                <w:rFonts w:ascii="宋体" w:hAnsi="宋体" w:cs="宋体" w:eastAsia="宋体" w:hint="default"/>
                <w:sz w:val="18"/>
                <w:szCs w:val="18"/>
              </w:rPr>
            </w:pPr>
            <w:r>
              <w:rPr>
                <w:rFonts w:ascii="宋体" w:hAnsi="宋体" w:cs="宋体" w:eastAsia="宋体" w:hint="default"/>
                <w:sz w:val="18"/>
                <w:szCs w:val="18"/>
              </w:rPr>
              <w:t>了解公司基本经营状况及竞争优势， 详情可参阅《投资者关系活动记录 </w:t>
            </w:r>
            <w:r>
              <w:rPr>
                <w:rFonts w:ascii="宋体" w:hAnsi="宋体" w:cs="宋体" w:eastAsia="宋体" w:hint="default"/>
                <w:spacing w:val="-7"/>
                <w:sz w:val="18"/>
                <w:szCs w:val="18"/>
              </w:rPr>
              <w:t>表》（编号：</w:t>
            </w:r>
            <w:r>
              <w:rPr>
                <w:rFonts w:ascii="Times New Roman" w:hAnsi="Times New Roman" w:cs="Times New Roman" w:eastAsia="Times New Roman" w:hint="default"/>
                <w:spacing w:val="-7"/>
                <w:sz w:val="18"/>
                <w:szCs w:val="18"/>
              </w:rPr>
              <w:t>2018-002</w:t>
            </w:r>
            <w:r>
              <w:rPr>
                <w:rFonts w:ascii="宋体" w:hAnsi="宋体" w:cs="宋体" w:eastAsia="宋体" w:hint="default"/>
                <w:spacing w:val="-7"/>
                <w:sz w:val="18"/>
                <w:szCs w:val="18"/>
              </w:rPr>
              <w:t>）</w:t>
            </w:r>
          </w:p>
        </w:tc>
      </w:tr>
    </w:tbl>
    <w:p>
      <w:pPr>
        <w:spacing w:after="0" w:line="319"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625" w:right="4640"/>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32"/>
          <w:szCs w:val="32"/>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b/>
          <w:bCs/>
          <w:sz w:val="18"/>
          <w:szCs w:val="18"/>
        </w:rPr>
        <w:t>报告期内普通股利润分配政策，特别是现金分红政策的制定、执行或调整情况</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4"/>
          <w:szCs w:val="14"/>
        </w:rPr>
      </w:pPr>
    </w:p>
    <w:p>
      <w:pPr>
        <w:spacing w:line="444" w:lineRule="auto" w:before="0"/>
        <w:ind w:left="533" w:right="1123" w:hanging="420"/>
        <w:jc w:val="left"/>
        <w:rPr>
          <w:rFonts w:ascii="Times New Roman" w:hAnsi="Times New Roman" w:cs="Times New Roman" w:eastAsia="Times New Roman" w:hint="default"/>
          <w:sz w:val="21"/>
          <w:szCs w:val="21"/>
        </w:rPr>
      </w:pPr>
      <w:r>
        <w:rPr>
          <w:rFonts w:ascii="宋体" w:hAnsi="宋体" w:cs="宋体" w:eastAsia="宋体" w:hint="default"/>
          <w:b/>
          <w:bCs/>
          <w:w w:val="99"/>
          <w:sz w:val="18"/>
          <w:szCs w:val="18"/>
        </w:rPr>
        <w:t>公司近</w:t>
      </w:r>
      <w:r>
        <w:rPr>
          <w:rFonts w:ascii="宋体" w:hAnsi="宋体" w:cs="宋体" w:eastAsia="宋体" w:hint="default"/>
          <w:b/>
          <w:bCs/>
          <w:spacing w:val="-45"/>
          <w:w w:val="99"/>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pacing w:val="-2"/>
          <w:w w:val="99"/>
          <w:sz w:val="18"/>
          <w:szCs w:val="18"/>
        </w:rPr>
        <w:t>年（包括本报告期）的普通股股利分配方案（预案）、资本公积金转增股本方案（预案）情况</w:t>
      </w:r>
      <w:r>
        <w:rPr>
          <w:rFonts w:ascii="宋体" w:hAnsi="宋体" w:cs="宋体" w:eastAsia="宋体" w:hint="default"/>
          <w:b/>
          <w:bCs/>
          <w:spacing w:val="-74"/>
          <w:w w:val="99"/>
          <w:sz w:val="18"/>
          <w:szCs w:val="18"/>
        </w:rPr>
        <w:t> </w:t>
      </w:r>
      <w:r>
        <w:rPr>
          <w:rFonts w:ascii="宋体" w:hAnsi="宋体" w:cs="宋体" w:eastAsia="宋体" w:hint="default"/>
          <w:b/>
          <w:bCs/>
          <w:spacing w:val="-74"/>
          <w:w w:val="99"/>
          <w:sz w:val="18"/>
          <w:szCs w:val="18"/>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、公司第三届董事会第二十一次会议审议通过</w:t>
      </w: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年度拟不进行利润分配的议案：</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经广东正中珠江会计师事务所（特殊普通合伙）出具的标准无保留意见的广会审字</w:t>
      </w:r>
      <w:r>
        <w:rPr>
          <w:rFonts w:ascii="Times New Roman" w:hAnsi="Times New Roman" w:cs="Times New Roman" w:eastAsia="Times New Roman" w:hint="default"/>
          <w:spacing w:val="-5"/>
          <w:w w:val="100"/>
          <w:sz w:val="21"/>
          <w:szCs w:val="21"/>
        </w:rPr>
        <w:t>[2017]G16041470033</w:t>
      </w:r>
    </w:p>
    <w:p>
      <w:pPr>
        <w:pStyle w:val="BodyText"/>
        <w:spacing w:line="270" w:lineRule="exact"/>
        <w:ind w:right="0"/>
        <w:jc w:val="both"/>
      </w:pPr>
      <w:r>
        <w:rPr/>
        <w:t>号《审计报告》确认，公司</w:t>
      </w:r>
      <w:r>
        <w:rPr>
          <w:rFonts w:ascii="Times New Roman" w:hAnsi="Times New Roman" w:cs="Times New Roman" w:eastAsia="Times New Roman" w:hint="default"/>
        </w:rPr>
        <w:t>2016</w:t>
      </w:r>
      <w:r>
        <w:rPr/>
        <w:t>年度合并报表实现归属于母公司所有者的净利润为</w:t>
      </w:r>
      <w:r>
        <w:rPr>
          <w:rFonts w:ascii="Times New Roman" w:hAnsi="Times New Roman" w:cs="Times New Roman" w:eastAsia="Times New Roman" w:hint="default"/>
        </w:rPr>
        <w:t>-286,905,549.37</w:t>
      </w:r>
      <w:r>
        <w:rPr/>
        <w:t>元，根</w:t>
      </w:r>
    </w:p>
    <w:p>
      <w:pPr>
        <w:pStyle w:val="BodyText"/>
        <w:spacing w:line="386" w:lineRule="auto" w:before="177"/>
        <w:ind w:right="1129"/>
        <w:jc w:val="both"/>
      </w:pPr>
      <w:r>
        <w:rPr/>
        <w:t>据《公司法》和《公司章程》的有关规定，按母公司</w:t>
      </w:r>
      <w:r>
        <w:rPr>
          <w:rFonts w:ascii="Times New Roman" w:hAnsi="Times New Roman" w:cs="Times New Roman" w:eastAsia="Times New Roman" w:hint="default"/>
        </w:rPr>
        <w:t>2016</w:t>
      </w:r>
      <w:r>
        <w:rPr/>
        <w:t>年度实现的净利润</w:t>
      </w:r>
      <w:r>
        <w:rPr>
          <w:rFonts w:ascii="Times New Roman" w:hAnsi="Times New Roman" w:cs="Times New Roman" w:eastAsia="Times New Roman" w:hint="default"/>
        </w:rPr>
        <w:t>16,320,716.43</w:t>
      </w:r>
      <w:r>
        <w:rPr/>
        <w:t>元提取</w:t>
      </w:r>
      <w:r>
        <w:rPr>
          <w:rFonts w:ascii="Times New Roman" w:hAnsi="Times New Roman" w:cs="Times New Roman" w:eastAsia="Times New Roman" w:hint="default"/>
        </w:rPr>
        <w:t>10%</w:t>
      </w:r>
      <w:r>
        <w:rPr/>
        <w:t>法定</w:t>
      </w:r>
      <w:r>
        <w:rPr>
          <w:spacing w:val="-45"/>
        </w:rPr>
        <w:t> </w:t>
      </w:r>
      <w:r>
        <w:rPr>
          <w:spacing w:val="16"/>
        </w:rPr>
        <w:t>盈余公积金</w:t>
      </w:r>
      <w:r>
        <w:rPr>
          <w:spacing w:val="-76"/>
        </w:rPr>
        <w:t> </w:t>
      </w:r>
      <w:r>
        <w:rPr>
          <w:rFonts w:ascii="Times New Roman" w:hAnsi="Times New Roman" w:cs="Times New Roman" w:eastAsia="Times New Roman" w:hint="default"/>
        </w:rPr>
        <w:t>1,632,071.64</w:t>
      </w:r>
      <w:r>
        <w:rPr>
          <w:rFonts w:ascii="Times New Roman" w:hAnsi="Times New Roman" w:cs="Times New Roman" w:eastAsia="Times New Roman" w:hint="default"/>
          <w:spacing w:val="-25"/>
        </w:rPr>
        <w:t> </w:t>
      </w:r>
      <w:r>
        <w:rPr>
          <w:spacing w:val="10"/>
        </w:rPr>
        <w:t>元，</w:t>
      </w:r>
      <w:r>
        <w:rPr>
          <w:spacing w:val="-78"/>
        </w:rPr>
        <w:t> </w:t>
      </w:r>
      <w:r>
        <w:rPr>
          <w:spacing w:val="18"/>
        </w:rPr>
        <w:t>加上年初未分配利润</w:t>
      </w:r>
      <w:r>
        <w:rPr>
          <w:spacing w:val="-72"/>
        </w:rPr>
        <w:t> </w:t>
      </w:r>
      <w:r>
        <w:rPr>
          <w:rFonts w:ascii="Times New Roman" w:hAnsi="Times New Roman" w:cs="Times New Roman" w:eastAsia="Times New Roman" w:hint="default"/>
        </w:rPr>
        <w:t>427,776,977.25</w:t>
      </w:r>
      <w:r>
        <w:rPr>
          <w:rFonts w:ascii="Times New Roman" w:hAnsi="Times New Roman" w:cs="Times New Roman" w:eastAsia="Times New Roman" w:hint="default"/>
          <w:spacing w:val="-26"/>
        </w:rPr>
        <w:t> </w:t>
      </w:r>
      <w:r>
        <w:rPr>
          <w:spacing w:val="15"/>
        </w:rPr>
        <w:t>元，减去</w:t>
      </w:r>
      <w:r>
        <w:rPr>
          <w:spacing w:val="-7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spacing w:val="18"/>
        </w:rPr>
        <w:t>年度分配的现金红利</w:t>
      </w:r>
      <w:r>
        <w:rPr>
          <w:spacing w:val="-97"/>
        </w:rPr>
        <w:t> </w:t>
      </w:r>
      <w:r>
        <w:rPr>
          <w:spacing w:val="-97"/>
        </w:rPr>
      </w:r>
      <w:r>
        <w:rPr>
          <w:rFonts w:ascii="Times New Roman" w:hAnsi="Times New Roman" w:cs="Times New Roman" w:eastAsia="Times New Roman" w:hint="default"/>
        </w:rPr>
        <w:t>22,000,000.00</w:t>
      </w:r>
      <w:r>
        <w:rPr/>
        <w:t>元，</w:t>
      </w:r>
      <w:r>
        <w:rPr>
          <w:rFonts w:ascii="Times New Roman" w:hAnsi="Times New Roman" w:cs="Times New Roman" w:eastAsia="Times New Roman" w:hint="default"/>
        </w:rPr>
        <w:t>2016</w:t>
      </w:r>
      <w:r>
        <w:rPr/>
        <w:t>年度公司实际可供分配利润为</w:t>
      </w:r>
      <w:r>
        <w:rPr>
          <w:rFonts w:ascii="Times New Roman" w:hAnsi="Times New Roman" w:cs="Times New Roman" w:eastAsia="Times New Roman" w:hint="default"/>
        </w:rPr>
        <w:t>117,239,356.24</w:t>
      </w:r>
      <w:r>
        <w:rPr/>
        <w:t>元，全额结转下一年度。</w:t>
      </w:r>
    </w:p>
    <w:p>
      <w:pPr>
        <w:pStyle w:val="BodyText"/>
        <w:spacing w:line="386" w:lineRule="auto" w:before="74"/>
        <w:ind w:right="1128" w:firstLine="420"/>
        <w:jc w:val="both"/>
      </w:pPr>
      <w:r>
        <w:rPr>
          <w:spacing w:val="-3"/>
          <w:w w:val="100"/>
        </w:rPr>
        <w:t>依据《公司章程》及《股东分红回报规划》（</w:t>
      </w:r>
      <w:r>
        <w:rPr>
          <w:rFonts w:ascii="Times New Roman" w:hAnsi="Times New Roman" w:cs="Times New Roman" w:eastAsia="Times New Roman" w:hint="default"/>
          <w:spacing w:val="-3"/>
          <w:w w:val="100"/>
        </w:rPr>
        <w:t>2015-2017</w:t>
      </w:r>
      <w:r>
        <w:rPr>
          <w:spacing w:val="-3"/>
          <w:w w:val="100"/>
        </w:rPr>
        <w:t>年度）的相关规定，公司拟定</w:t>
      </w:r>
      <w:r>
        <w:rPr>
          <w:rFonts w:ascii="Times New Roman" w:hAnsi="Times New Roman" w:cs="Times New Roman" w:eastAsia="Times New Roman" w:hint="default"/>
          <w:spacing w:val="-3"/>
          <w:w w:val="100"/>
        </w:rPr>
        <w:t>2016</w:t>
      </w:r>
      <w:r>
        <w:rPr>
          <w:spacing w:val="-3"/>
          <w:w w:val="100"/>
        </w:rPr>
        <w:t>年度不派发</w:t>
      </w:r>
      <w:r>
        <w:rPr>
          <w:w w:val="100"/>
        </w:rPr>
        <w:t> </w:t>
      </w:r>
      <w:r>
        <w:rPr/>
        <w:t>现金红利、不送红股、不以资本公积金转增股本。</w:t>
      </w:r>
    </w:p>
    <w:p>
      <w:pPr>
        <w:spacing w:line="420" w:lineRule="auto" w:before="106"/>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、公司第四届第三次会议审议通过</w:t>
      </w: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年度利润分配预案：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年合并归属于母公司股东的净利润为</w:t>
      </w:r>
      <w:r>
        <w:rPr>
          <w:rFonts w:ascii="Times New Roman" w:hAnsi="Times New Roman" w:cs="Times New Roman" w:eastAsia="Times New Roman" w:hint="default"/>
          <w:spacing w:val="-2"/>
          <w:sz w:val="21"/>
          <w:szCs w:val="21"/>
        </w:rPr>
        <w:t>134,681,024.91</w:t>
      </w:r>
      <w:r>
        <w:rPr>
          <w:rFonts w:ascii="宋体" w:hAnsi="宋体" w:cs="宋体" w:eastAsia="宋体" w:hint="default"/>
          <w:spacing w:val="-2"/>
          <w:sz w:val="21"/>
          <w:szCs w:val="21"/>
        </w:rPr>
        <w:t>元，加年初未分配利润</w:t>
      </w:r>
      <w:r>
        <w:rPr>
          <w:rFonts w:ascii="Times New Roman" w:hAnsi="Times New Roman" w:cs="Times New Roman" w:eastAsia="Times New Roman" w:hint="default"/>
          <w:spacing w:val="-2"/>
          <w:sz w:val="21"/>
          <w:szCs w:val="21"/>
        </w:rPr>
        <w:t>117,239,356.24</w:t>
      </w:r>
      <w:r>
        <w:rPr>
          <w:rFonts w:ascii="宋体" w:hAnsi="宋体" w:cs="宋体" w:eastAsia="宋体" w:hint="default"/>
          <w:spacing w:val="-2"/>
          <w:sz w:val="21"/>
          <w:szCs w:val="21"/>
        </w:rPr>
        <w:t>元，</w:t>
      </w:r>
      <w:r>
        <w:rPr>
          <w:rFonts w:ascii="宋体" w:hAnsi="宋体" w:cs="宋体" w:eastAsia="宋体" w:hint="default"/>
          <w:sz w:val="21"/>
          <w:szCs w:val="21"/>
        </w:rPr>
      </w:r>
    </w:p>
    <w:p>
      <w:pPr>
        <w:pStyle w:val="BodyText"/>
        <w:spacing w:line="386" w:lineRule="auto" w:before="3"/>
        <w:ind w:right="1128"/>
        <w:jc w:val="both"/>
      </w:pPr>
      <w:r>
        <w:rPr/>
        <w:t>减去</w:t>
      </w:r>
      <w:r>
        <w:rPr>
          <w:rFonts w:ascii="Times New Roman" w:hAnsi="Times New Roman" w:cs="Times New Roman" w:eastAsia="Times New Roman" w:hint="default"/>
        </w:rPr>
        <w:t>2017</w:t>
      </w:r>
      <w:r>
        <w:rPr/>
        <w:t>年度提取法定盈余公积</w:t>
      </w:r>
      <w:r>
        <w:rPr>
          <w:rFonts w:ascii="Times New Roman" w:hAnsi="Times New Roman" w:cs="Times New Roman" w:eastAsia="Times New Roman" w:hint="default"/>
        </w:rPr>
        <w:t>6,383,411.04</w:t>
      </w:r>
      <w:r>
        <w:rPr/>
        <w:t>元，</w:t>
      </w:r>
      <w:r>
        <w:rPr>
          <w:rFonts w:ascii="Times New Roman" w:hAnsi="Times New Roman" w:cs="Times New Roman" w:eastAsia="Times New Roman" w:hint="default"/>
        </w:rPr>
        <w:t>2017</w:t>
      </w:r>
      <w:r>
        <w:rPr/>
        <w:t>年末合并未分配利润为</w:t>
      </w:r>
      <w:r>
        <w:rPr>
          <w:rFonts w:ascii="Times New Roman" w:hAnsi="Times New Roman" w:cs="Times New Roman" w:eastAsia="Times New Roman" w:hint="default"/>
        </w:rPr>
        <w:t>245,536,970.11</w:t>
      </w:r>
      <w:r>
        <w:rPr/>
        <w:t>元。</w:t>
      </w:r>
      <w:r>
        <w:rPr>
          <w:rFonts w:ascii="Times New Roman" w:hAnsi="Times New Roman" w:cs="Times New Roman" w:eastAsia="Times New Roman" w:hint="default"/>
        </w:rPr>
        <w:t>2017</w:t>
      </w:r>
      <w:r>
        <w:rPr/>
        <w:t>年末</w:t>
      </w:r>
      <w:r>
        <w:rPr>
          <w:spacing w:val="-34"/>
        </w:rPr>
        <w:t> </w:t>
      </w:r>
      <w:r>
        <w:rPr>
          <w:spacing w:val="-3"/>
        </w:rPr>
        <w:t>母公司未分配利润为</w:t>
      </w:r>
      <w:r>
        <w:rPr>
          <w:rFonts w:ascii="Times New Roman" w:hAnsi="Times New Roman" w:cs="Times New Roman" w:eastAsia="Times New Roman" w:hint="default"/>
          <w:spacing w:val="-3"/>
        </w:rPr>
        <w:t>407,670,490.21</w:t>
      </w:r>
      <w:r>
        <w:rPr>
          <w:spacing w:val="-3"/>
        </w:rPr>
        <w:t>元。根据深圳证券交易所的相关规则，按照母公司和合并未分配利润孰</w:t>
      </w:r>
      <w:r>
        <w:rPr>
          <w:spacing w:val="-27"/>
        </w:rPr>
        <w:t> </w:t>
      </w:r>
      <w:r>
        <w:rPr>
          <w:spacing w:val="-27"/>
        </w:rPr>
      </w:r>
      <w:r>
        <w:rPr/>
        <w:t>低原则，</w:t>
      </w:r>
      <w:r>
        <w:rPr>
          <w:rFonts w:ascii="Times New Roman" w:hAnsi="Times New Roman" w:cs="Times New Roman" w:eastAsia="Times New Roman" w:hint="default"/>
        </w:rPr>
        <w:t>2017</w:t>
      </w:r>
      <w:r>
        <w:rPr/>
        <w:t>年度可供股东分配的利润确定为不超过</w:t>
      </w:r>
      <w:r>
        <w:rPr>
          <w:rFonts w:ascii="Times New Roman" w:hAnsi="Times New Roman" w:cs="Times New Roman" w:eastAsia="Times New Roman" w:hint="default"/>
        </w:rPr>
        <w:t>245,536,970.11</w:t>
      </w:r>
      <w:r>
        <w:rPr/>
        <w:t>元。</w:t>
      </w:r>
    </w:p>
    <w:p>
      <w:pPr>
        <w:pStyle w:val="BodyText"/>
        <w:spacing w:line="386" w:lineRule="auto" w:before="74"/>
        <w:ind w:right="1127" w:firstLine="420"/>
        <w:jc w:val="both"/>
      </w:pPr>
      <w:r>
        <w:rPr>
          <w:spacing w:val="-2"/>
        </w:rPr>
        <w:t>综合公司发展状况和相关法律、法规要求，公司</w:t>
      </w:r>
      <w:r>
        <w:rPr>
          <w:rFonts w:ascii="Times New Roman" w:hAnsi="Times New Roman" w:cs="Times New Roman" w:eastAsia="Times New Roman" w:hint="default"/>
          <w:spacing w:val="-2"/>
        </w:rPr>
        <w:t>2017</w:t>
      </w:r>
      <w:r>
        <w:rPr>
          <w:spacing w:val="-2"/>
        </w:rPr>
        <w:t>年度利润分配预案如下：拟以截至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w w:val="100"/>
        </w:rPr>
        <w:t> </w:t>
      </w:r>
      <w:r>
        <w:rPr/>
        <w:t>日公司总股</w:t>
      </w:r>
      <w:r>
        <w:rPr>
          <w:rFonts w:ascii="Times New Roman" w:hAnsi="Times New Roman" w:cs="Times New Roman" w:eastAsia="Times New Roman" w:hint="default"/>
        </w:rPr>
        <w:t>445,324,903</w:t>
      </w:r>
      <w:r>
        <w:rPr/>
        <w:t>股为基数，以资本公积金向股权登记日登记在册的全体股东每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w:t>
      </w:r>
      <w:r>
        <w:rPr>
          <w:spacing w:val="-27"/>
        </w:rPr>
        <w:t> </w:t>
      </w:r>
      <w:r>
        <w:rPr>
          <w:spacing w:val="11"/>
        </w:rPr>
        <w:t>转增</w:t>
      </w:r>
      <w:r>
        <w:rPr>
          <w:spacing w:val="-76"/>
        </w:rPr>
        <w:t> </w:t>
      </w:r>
      <w:r>
        <w:rPr>
          <w:rFonts w:ascii="Times New Roman" w:hAnsi="Times New Roman" w:cs="Times New Roman" w:eastAsia="Times New Roman" w:hint="default"/>
        </w:rPr>
        <w:t>267,194,941</w:t>
      </w:r>
      <w:r>
        <w:rPr>
          <w:rFonts w:ascii="Times New Roman" w:hAnsi="Times New Roman" w:cs="Times New Roman" w:eastAsia="Times New Roman" w:hint="default"/>
          <w:spacing w:val="-26"/>
        </w:rPr>
        <w:t> </w:t>
      </w:r>
      <w:r>
        <w:rPr>
          <w:spacing w:val="11"/>
        </w:rPr>
        <w:t>股，</w:t>
      </w:r>
      <w:r>
        <w:rPr>
          <w:spacing w:val="-79"/>
        </w:rPr>
        <w:t> </w:t>
      </w:r>
      <w:r>
        <w:rPr>
          <w:spacing w:val="16"/>
        </w:rPr>
        <w:t>转增后公</w:t>
      </w:r>
      <w:r>
        <w:rPr>
          <w:spacing w:val="-76"/>
        </w:rPr>
        <w:t> </w:t>
      </w:r>
      <w:r>
        <w:rPr>
          <w:spacing w:val="18"/>
        </w:rPr>
        <w:t>司总股本将增</w:t>
      </w:r>
      <w:r>
        <w:rPr>
          <w:spacing w:val="-76"/>
        </w:rPr>
        <w:t> </w:t>
      </w:r>
      <w:r>
        <w:rPr>
          <w:spacing w:val="11"/>
        </w:rPr>
        <w:t>加至</w:t>
      </w:r>
      <w:r>
        <w:rPr>
          <w:spacing w:val="-72"/>
        </w:rPr>
        <w:t> </w:t>
      </w:r>
      <w:r>
        <w:rPr>
          <w:rFonts w:ascii="Times New Roman" w:hAnsi="Times New Roman" w:cs="Times New Roman" w:eastAsia="Times New Roman" w:hint="default"/>
        </w:rPr>
        <w:t>712,519,844</w:t>
      </w:r>
      <w:r>
        <w:rPr>
          <w:rFonts w:ascii="Times New Roman" w:hAnsi="Times New Roman" w:cs="Times New Roman" w:eastAsia="Times New Roman" w:hint="default"/>
          <w:spacing w:val="-24"/>
        </w:rPr>
        <w:t> </w:t>
      </w:r>
      <w:r>
        <w:rPr>
          <w:spacing w:val="17"/>
        </w:rPr>
        <w:t>股；拟以</w:t>
      </w:r>
      <w:r>
        <w:rPr>
          <w:spacing w:val="-7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spacing w:val="17"/>
        </w:rPr>
        <w:t>日公司总股</w:t>
      </w:r>
      <w:r>
        <w:rPr>
          <w:spacing w:val="-76"/>
        </w:rPr>
        <w:t> </w:t>
      </w:r>
      <w:r>
        <w:rPr/>
        <w:t>本</w:t>
      </w:r>
      <w:r>
        <w:rPr>
          <w:spacing w:val="-101"/>
        </w:rPr>
        <w:t> </w:t>
      </w:r>
      <w:r>
        <w:rPr>
          <w:spacing w:val="-101"/>
        </w:rPr>
      </w:r>
      <w:r>
        <w:rPr>
          <w:rFonts w:ascii="Times New Roman" w:hAnsi="Times New Roman" w:cs="Times New Roman" w:eastAsia="Times New Roman" w:hint="default"/>
          <w:spacing w:val="-1"/>
          <w:w w:val="100"/>
        </w:rPr>
        <w:t>445,324,903</w:t>
      </w:r>
      <w:r>
        <w:rPr>
          <w:rFonts w:ascii="Times New Roman" w:hAnsi="Times New Roman" w:cs="Times New Roman" w:eastAsia="Times New Roman" w:hint="default"/>
          <w:spacing w:val="-32"/>
          <w:w w:val="100"/>
        </w:rPr>
        <w:t> </w:t>
      </w:r>
      <w:r>
        <w:rPr>
          <w:spacing w:val="15"/>
          <w:w w:val="100"/>
        </w:rPr>
        <w:t>股为基数，</w:t>
      </w:r>
      <w:r>
        <w:rPr>
          <w:spacing w:val="-85"/>
          <w:w w:val="100"/>
        </w:rPr>
        <w:t> </w:t>
      </w:r>
      <w:r>
        <w:rPr>
          <w:spacing w:val="16"/>
          <w:w w:val="100"/>
        </w:rPr>
        <w:t>向全体股东每</w:t>
      </w:r>
      <w:r>
        <w:rPr>
          <w:spacing w:val="-82"/>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2"/>
          <w:w w:val="100"/>
        </w:rPr>
        <w:t> </w:t>
      </w:r>
      <w:r>
        <w:rPr>
          <w:spacing w:val="17"/>
          <w:w w:val="100"/>
        </w:rPr>
        <w:t>股派发现金股利人民币</w:t>
      </w:r>
      <w:r>
        <w:rPr>
          <w:spacing w:val="-80"/>
          <w:w w:val="100"/>
        </w:rPr>
        <w:t> </w:t>
      </w:r>
      <w:r>
        <w:rPr>
          <w:rFonts w:ascii="Times New Roman" w:hAnsi="Times New Roman" w:cs="Times New Roman" w:eastAsia="Times New Roman" w:hint="default"/>
          <w:spacing w:val="-1"/>
          <w:w w:val="100"/>
        </w:rPr>
        <w:t>0.15</w:t>
      </w:r>
      <w:r>
        <w:rPr>
          <w:rFonts w:ascii="Times New Roman" w:hAnsi="Times New Roman" w:cs="Times New Roman" w:eastAsia="Times New Roman" w:hint="default"/>
          <w:spacing w:val="-32"/>
          <w:w w:val="100"/>
        </w:rPr>
        <w:t> </w:t>
      </w:r>
      <w:r>
        <w:rPr>
          <w:spacing w:val="9"/>
          <w:w w:val="100"/>
        </w:rPr>
        <w:t>元（</w:t>
      </w:r>
      <w:r>
        <w:rPr>
          <w:spacing w:val="-85"/>
          <w:w w:val="100"/>
        </w:rPr>
        <w:t> </w:t>
      </w:r>
      <w:r>
        <w:rPr>
          <w:spacing w:val="9"/>
          <w:w w:val="100"/>
        </w:rPr>
        <w:t>含税</w:t>
      </w:r>
      <w:r>
        <w:rPr>
          <w:spacing w:val="-82"/>
          <w:w w:val="100"/>
        </w:rPr>
        <w:t> </w:t>
      </w:r>
      <w:r>
        <w:rPr>
          <w:spacing w:val="-44"/>
          <w:w w:val="100"/>
        </w:rPr>
        <w:t>），</w:t>
      </w:r>
      <w:r>
        <w:rPr>
          <w:spacing w:val="-85"/>
          <w:w w:val="100"/>
        </w:rPr>
        <w:t> </w:t>
      </w:r>
      <w:r>
        <w:rPr>
          <w:spacing w:val="16"/>
          <w:w w:val="100"/>
        </w:rPr>
        <w:t>共计派发现金股利</w:t>
      </w:r>
    </w:p>
    <w:p>
      <w:pPr>
        <w:pStyle w:val="BodyText"/>
        <w:spacing w:line="386" w:lineRule="auto" w:before="35"/>
        <w:ind w:right="1128"/>
        <w:jc w:val="both"/>
      </w:pPr>
      <w:r>
        <w:rPr>
          <w:rFonts w:ascii="Times New Roman" w:hAnsi="Times New Roman" w:cs="Times New Roman" w:eastAsia="Times New Roman" w:hint="default"/>
          <w:spacing w:val="-4"/>
          <w:w w:val="100"/>
        </w:rPr>
        <w:t>6,679,873.55</w:t>
      </w:r>
      <w:r>
        <w:rPr>
          <w:spacing w:val="-4"/>
          <w:w w:val="100"/>
        </w:rPr>
        <w:t>元（含税）。在公司实施上述利润分配预案后，公司可供分配利润尚余</w:t>
      </w:r>
      <w:r>
        <w:rPr>
          <w:rFonts w:ascii="Times New Roman" w:hAnsi="Times New Roman" w:cs="Times New Roman" w:eastAsia="Times New Roman" w:hint="default"/>
          <w:spacing w:val="-4"/>
          <w:w w:val="100"/>
        </w:rPr>
        <w:t>238,857,096.56</w:t>
      </w:r>
      <w:r>
        <w:rPr>
          <w:spacing w:val="-4"/>
          <w:w w:val="100"/>
        </w:rPr>
        <w:t>元，全额</w:t>
      </w:r>
      <w:r>
        <w:rPr>
          <w:spacing w:val="-57"/>
          <w:w w:val="100"/>
        </w:rPr>
        <w:t> </w:t>
      </w:r>
      <w:r>
        <w:rPr>
          <w:spacing w:val="-57"/>
          <w:w w:val="100"/>
        </w:rPr>
      </w:r>
      <w:r>
        <w:rPr/>
        <w:t>结转下一年度。</w:t>
      </w:r>
    </w:p>
    <w:p>
      <w:pPr>
        <w:spacing w:line="420" w:lineRule="auto" w:before="106"/>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、公司第四届董事会第十次会议审议通过</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年度利润分配预案：</w:t>
      </w:r>
      <w:r>
        <w:rPr>
          <w:rFonts w:ascii="宋体" w:hAnsi="宋体" w:cs="宋体" w:eastAsia="宋体" w:hint="default"/>
          <w:b/>
          <w:bCs/>
          <w:w w:val="100"/>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年合并归属于母公司股东的净利润为</w:t>
      </w:r>
      <w:r>
        <w:rPr>
          <w:rFonts w:ascii="Times New Roman" w:hAnsi="Times New Roman" w:cs="Times New Roman" w:eastAsia="Times New Roman" w:hint="default"/>
          <w:sz w:val="21"/>
          <w:szCs w:val="21"/>
        </w:rPr>
        <w:t>27,854,705.17</w:t>
      </w:r>
      <w:r>
        <w:rPr>
          <w:rFonts w:ascii="宋体" w:hAnsi="宋体" w:cs="宋体" w:eastAsia="宋体" w:hint="default"/>
          <w:sz w:val="21"/>
          <w:szCs w:val="21"/>
        </w:rPr>
        <w:t>元，加年初未分配利润</w:t>
      </w:r>
      <w:r>
        <w:rPr>
          <w:rFonts w:ascii="Times New Roman" w:hAnsi="Times New Roman" w:cs="Times New Roman" w:eastAsia="Times New Roman" w:hint="default"/>
          <w:sz w:val="21"/>
          <w:szCs w:val="21"/>
        </w:rPr>
        <w:t>245,536,970.11</w:t>
      </w:r>
      <w:r>
        <w:rPr>
          <w:rFonts w:ascii="宋体" w:hAnsi="宋体" w:cs="宋体" w:eastAsia="宋体" w:hint="default"/>
          <w:sz w:val="21"/>
          <w:szCs w:val="21"/>
        </w:rPr>
        <w:t>元，</w:t>
      </w:r>
    </w:p>
    <w:p>
      <w:pPr>
        <w:pStyle w:val="BodyText"/>
        <w:spacing w:line="240" w:lineRule="auto" w:before="3"/>
        <w:ind w:right="0"/>
        <w:jc w:val="both"/>
      </w:pPr>
      <w:r>
        <w:rPr/>
        <w:t>减去分配</w:t>
      </w:r>
      <w:r>
        <w:rPr>
          <w:rFonts w:ascii="Times New Roman" w:hAnsi="Times New Roman" w:cs="Times New Roman" w:eastAsia="Times New Roman" w:hint="default"/>
        </w:rPr>
        <w:t>2017</w:t>
      </w:r>
      <w:r>
        <w:rPr/>
        <w:t>年度的现金红利</w:t>
      </w:r>
      <w:r>
        <w:rPr>
          <w:rFonts w:ascii="Times New Roman" w:hAnsi="Times New Roman" w:cs="Times New Roman" w:eastAsia="Times New Roman" w:hint="default"/>
        </w:rPr>
        <w:t>6,679,873.55</w:t>
      </w:r>
      <w:r>
        <w:rPr/>
        <w:t>元，减去</w:t>
      </w:r>
      <w:r>
        <w:rPr>
          <w:rFonts w:ascii="Times New Roman" w:hAnsi="Times New Roman" w:cs="Times New Roman" w:eastAsia="Times New Roman" w:hint="default"/>
        </w:rPr>
        <w:t>2018</w:t>
      </w:r>
      <w:r>
        <w:rPr/>
        <w:t>年度提取法定盈余公积</w:t>
      </w:r>
      <w:r>
        <w:rPr>
          <w:rFonts w:ascii="Times New Roman" w:hAnsi="Times New Roman" w:cs="Times New Roman" w:eastAsia="Times New Roman" w:hint="default"/>
        </w:rPr>
        <w:t>7,494,074.00</w:t>
      </w:r>
      <w:r>
        <w:rPr/>
        <w:t>元，</w:t>
      </w:r>
      <w:r>
        <w:rPr>
          <w:rFonts w:ascii="Times New Roman" w:hAnsi="Times New Roman" w:cs="Times New Roman" w:eastAsia="Times New Roman" w:hint="default"/>
        </w:rPr>
        <w:t>2018</w:t>
      </w:r>
      <w:r>
        <w:rPr/>
        <w:t>年末</w:t>
      </w:r>
    </w:p>
    <w:p>
      <w:pPr>
        <w:spacing w:after="0" w:line="240"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right="1129"/>
        <w:jc w:val="both"/>
      </w:pPr>
      <w:r>
        <w:rPr/>
        <w:t>合并未分配利润为</w:t>
      </w:r>
      <w:r>
        <w:rPr>
          <w:rFonts w:ascii="Times New Roman" w:hAnsi="Times New Roman" w:cs="Times New Roman" w:eastAsia="Times New Roman" w:hint="default"/>
        </w:rPr>
        <w:t>259,217,729.39</w:t>
      </w:r>
      <w:r>
        <w:rPr/>
        <w:t>元。</w:t>
      </w:r>
      <w:r>
        <w:rPr>
          <w:rFonts w:ascii="Times New Roman" w:hAnsi="Times New Roman" w:cs="Times New Roman" w:eastAsia="Times New Roman" w:hint="default"/>
        </w:rPr>
        <w:t>2018</w:t>
      </w:r>
      <w:r>
        <w:rPr/>
        <w:t>年末母公司未分配利润为</w:t>
      </w:r>
      <w:r>
        <w:rPr>
          <w:rFonts w:ascii="Times New Roman" w:hAnsi="Times New Roman" w:cs="Times New Roman" w:eastAsia="Times New Roman" w:hint="default"/>
        </w:rPr>
        <w:t>468,437,284.35</w:t>
      </w:r>
      <w:r>
        <w:rPr/>
        <w:t>元。根据深圳证券交易</w:t>
      </w:r>
      <w:r>
        <w:rPr>
          <w:spacing w:val="-29"/>
        </w:rPr>
        <w:t> </w:t>
      </w:r>
      <w:r>
        <w:rPr>
          <w:spacing w:val="-29"/>
        </w:rPr>
      </w:r>
      <w:r>
        <w:rPr>
          <w:spacing w:val="5"/>
        </w:rPr>
        <w:t>所的相关规则，按照母公司和合并未分配利润孰低原则，</w:t>
      </w:r>
      <w:r>
        <w:rPr>
          <w:rFonts w:ascii="Times New Roman" w:hAnsi="Times New Roman" w:cs="Times New Roman" w:eastAsia="Times New Roman" w:hint="default"/>
          <w:spacing w:val="5"/>
        </w:rPr>
        <w:t>2018</w:t>
      </w:r>
      <w:r>
        <w:rPr>
          <w:spacing w:val="5"/>
        </w:rPr>
        <w:t>年度可供股东分配的利润确定为不超过</w:t>
      </w:r>
      <w:r>
        <w:rPr>
          <w:spacing w:val="33"/>
        </w:rPr>
        <w:t> </w:t>
      </w:r>
      <w:r>
        <w:rPr>
          <w:spacing w:val="33"/>
        </w:rPr>
      </w:r>
      <w:r>
        <w:rPr>
          <w:rFonts w:ascii="Times New Roman" w:hAnsi="Times New Roman" w:cs="Times New Roman" w:eastAsia="Times New Roman" w:hint="default"/>
        </w:rPr>
        <w:t>259,217,729.39</w:t>
      </w:r>
      <w:r>
        <w:rPr/>
        <w:t>元。</w:t>
      </w:r>
    </w:p>
    <w:p>
      <w:pPr>
        <w:pStyle w:val="BodyText"/>
        <w:spacing w:line="386" w:lineRule="auto" w:before="76"/>
        <w:ind w:right="0" w:firstLine="420"/>
        <w:jc w:val="left"/>
      </w:pPr>
      <w:r>
        <w:rPr>
          <w:w w:val="100"/>
        </w:rPr>
        <w:t>以</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8</w:t>
      </w:r>
      <w:r>
        <w:rPr>
          <w:w w:val="100"/>
        </w:rPr>
        <w:t>年</w:t>
      </w:r>
      <w:r>
        <w:rPr>
          <w:spacing w:val="-3"/>
          <w:w w:val="100"/>
        </w:rPr>
        <w:t>末</w:t>
      </w:r>
      <w:r>
        <w:rPr>
          <w:w w:val="100"/>
        </w:rPr>
        <w:t>公</w:t>
      </w:r>
      <w:r>
        <w:rPr>
          <w:spacing w:val="-3"/>
          <w:w w:val="100"/>
        </w:rPr>
        <w:t>司</w:t>
      </w:r>
      <w:r>
        <w:rPr>
          <w:w w:val="100"/>
        </w:rPr>
        <w:t>总</w:t>
      </w:r>
      <w:r>
        <w:rPr>
          <w:spacing w:val="-3"/>
          <w:w w:val="100"/>
        </w:rPr>
        <w:t>股</w:t>
      </w:r>
      <w:r>
        <w:rPr>
          <w:w w:val="100"/>
        </w:rPr>
        <w:t>本</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12</w:t>
      </w:r>
      <w:r>
        <w:rPr>
          <w:rFonts w:ascii="Times New Roman" w:hAnsi="Times New Roman" w:cs="Times New Roman" w:eastAsia="Times New Roman" w:hint="default"/>
          <w:w w:val="100"/>
        </w:rPr>
        <w:t>,519,8</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spacing w:val="-1"/>
          <w:w w:val="100"/>
        </w:rPr>
        <w:t>4</w:t>
      </w:r>
      <w:r>
        <w:rPr>
          <w:spacing w:val="-3"/>
          <w:w w:val="100"/>
        </w:rPr>
        <w:t>股</w:t>
      </w:r>
      <w:r>
        <w:rPr>
          <w:w w:val="100"/>
        </w:rPr>
        <w:t>为</w:t>
      </w:r>
      <w:r>
        <w:rPr>
          <w:spacing w:val="-3"/>
          <w:w w:val="100"/>
        </w:rPr>
        <w:t>基数</w:t>
      </w:r>
      <w:r>
        <w:rPr>
          <w:spacing w:val="-25"/>
          <w:w w:val="100"/>
        </w:rPr>
        <w:t>，</w:t>
      </w:r>
      <w:r>
        <w:rPr>
          <w:spacing w:val="-3"/>
          <w:w w:val="100"/>
        </w:rPr>
        <w:t>向</w:t>
      </w:r>
      <w:r>
        <w:rPr>
          <w:w w:val="100"/>
        </w:rPr>
        <w:t>全</w:t>
      </w:r>
      <w:r>
        <w:rPr>
          <w:spacing w:val="-3"/>
          <w:w w:val="100"/>
        </w:rPr>
        <w:t>体</w:t>
      </w:r>
      <w:r>
        <w:rPr>
          <w:w w:val="100"/>
        </w:rPr>
        <w:t>股东</w:t>
      </w:r>
      <w:r>
        <w:rPr>
          <w:spacing w:val="-3"/>
          <w:w w:val="100"/>
        </w:rPr>
        <w:t>每</w:t>
      </w:r>
      <w:r>
        <w:rPr>
          <w:rFonts w:ascii="Times New Roman" w:hAnsi="Times New Roman" w:cs="Times New Roman" w:eastAsia="Times New Roman" w:hint="default"/>
          <w:w w:val="100"/>
        </w:rPr>
        <w:t>10</w:t>
      </w:r>
      <w:r>
        <w:rPr>
          <w:spacing w:val="-3"/>
          <w:w w:val="100"/>
        </w:rPr>
        <w:t>股</w:t>
      </w:r>
      <w:r>
        <w:rPr>
          <w:w w:val="100"/>
        </w:rPr>
        <w:t>派</w:t>
      </w:r>
      <w:r>
        <w:rPr>
          <w:spacing w:val="-3"/>
          <w:w w:val="100"/>
        </w:rPr>
        <w:t>发</w:t>
      </w:r>
      <w:r>
        <w:rPr>
          <w:w w:val="100"/>
        </w:rPr>
        <w:t>现</w:t>
      </w:r>
      <w:r>
        <w:rPr>
          <w:spacing w:val="-2"/>
          <w:w w:val="100"/>
        </w:rPr>
        <w:t>金</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4</w:t>
      </w:r>
      <w:r>
        <w:rPr>
          <w:spacing w:val="-25"/>
          <w:w w:val="100"/>
        </w:rPr>
        <w:t>元</w:t>
      </w:r>
      <w:r>
        <w:rPr>
          <w:spacing w:val="-3"/>
          <w:w w:val="100"/>
        </w:rPr>
        <w:t>（</w:t>
      </w:r>
      <w:r>
        <w:rPr>
          <w:w w:val="100"/>
        </w:rPr>
        <w:t>含</w:t>
      </w:r>
      <w:r>
        <w:rPr>
          <w:spacing w:val="-3"/>
          <w:w w:val="100"/>
        </w:rPr>
        <w:t>税</w:t>
      </w:r>
      <w:r>
        <w:rPr>
          <w:spacing w:val="-106"/>
          <w:w w:val="100"/>
        </w:rPr>
        <w:t>）</w:t>
      </w:r>
      <w:r>
        <w:rPr>
          <w:spacing w:val="-27"/>
          <w:w w:val="100"/>
        </w:rPr>
        <w:t>，</w:t>
      </w:r>
      <w:r>
        <w:rPr>
          <w:w w:val="100"/>
        </w:rPr>
        <w:t>本</w:t>
      </w:r>
      <w:r>
        <w:rPr>
          <w:spacing w:val="-3"/>
          <w:w w:val="100"/>
        </w:rPr>
        <w:t>次</w:t>
      </w:r>
      <w:r>
        <w:rPr>
          <w:w w:val="100"/>
        </w:rPr>
        <w:t>利</w:t>
      </w:r>
      <w:r>
        <w:rPr>
          <w:spacing w:val="-3"/>
          <w:w w:val="100"/>
        </w:rPr>
        <w:t>润</w:t>
      </w:r>
      <w:r>
        <w:rPr>
          <w:w w:val="100"/>
        </w:rPr>
        <w:t>分</w:t>
      </w:r>
      <w:r>
        <w:rPr>
          <w:w w:val="100"/>
        </w:rPr>
        <w:t> 配</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0,07</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8</w:t>
      </w:r>
      <w:r>
        <w:rPr>
          <w:w w:val="100"/>
        </w:rPr>
        <w:t>元</w:t>
      </w:r>
      <w:r>
        <w:rPr>
          <w:spacing w:val="-3"/>
          <w:w w:val="100"/>
        </w:rPr>
        <w:t>（</w:t>
      </w:r>
      <w:r>
        <w:rPr>
          <w:w w:val="100"/>
        </w:rPr>
        <w:t>含税</w:t>
      </w:r>
      <w:r>
        <w:rPr>
          <w:spacing w:val="-108"/>
          <w:w w:val="100"/>
        </w:rPr>
        <w:t>）</w:t>
      </w:r>
      <w:r>
        <w:rPr>
          <w:w w:val="100"/>
        </w:rPr>
        <w:t>。</w:t>
      </w:r>
    </w:p>
    <w:p>
      <w:pPr>
        <w:spacing w:before="97"/>
        <w:ind w:left="113" w:right="0" w:firstLine="0"/>
        <w:jc w:val="both"/>
        <w:rPr>
          <w:rFonts w:ascii="宋体" w:hAnsi="宋体" w:cs="宋体" w:eastAsia="宋体" w:hint="default"/>
          <w:sz w:val="18"/>
          <w:szCs w:val="18"/>
        </w:rPr>
      </w:pPr>
      <w:r>
        <w:rPr>
          <w:rFonts w:ascii="宋体" w:hAnsi="宋体" w:cs="宋体" w:eastAsia="宋体" w:hint="default"/>
          <w:b/>
          <w:bCs/>
          <w:sz w:val="18"/>
          <w:szCs w:val="18"/>
        </w:rPr>
        <w:t>公司近三年（包括本报告期）普通股现金分红情况表</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03"/>
        <w:gridCol w:w="1181"/>
        <w:gridCol w:w="1430"/>
        <w:gridCol w:w="1068"/>
        <w:gridCol w:w="1198"/>
        <w:gridCol w:w="1196"/>
        <w:gridCol w:w="1195"/>
        <w:gridCol w:w="1198"/>
      </w:tblGrid>
      <w:tr>
        <w:trPr>
          <w:trHeight w:val="2585" w:hRule="exact"/>
        </w:trPr>
        <w:tc>
          <w:tcPr>
            <w:tcW w:w="11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134" w:right="135"/>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43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0" w:right="168"/>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0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70" w:right="166"/>
              <w:jc w:val="both"/>
              <w:rPr>
                <w:rFonts w:ascii="宋体" w:hAnsi="宋体" w:cs="宋体" w:eastAsia="宋体" w:hint="default"/>
                <w:sz w:val="18"/>
                <w:szCs w:val="18"/>
              </w:rPr>
            </w:pPr>
            <w:r>
              <w:rPr>
                <w:rFonts w:ascii="宋体" w:hAnsi="宋体" w:cs="宋体" w:eastAsia="宋体" w:hint="default"/>
                <w:sz w:val="18"/>
                <w:szCs w:val="18"/>
              </w:rPr>
              <w:t>现金分红 金额占合 并报表中 归属于上 市公司普 通股股东 的净利润 的比率</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3"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143" w:right="143"/>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41" w:right="142"/>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41"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43"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403" w:hRule="exact"/>
        </w:trPr>
        <w:tc>
          <w:tcPr>
            <w:tcW w:w="11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2,850,079.38</w:t>
            </w:r>
          </w:p>
        </w:tc>
        <w:tc>
          <w:tcPr>
            <w:tcW w:w="14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27,854,705.17</w:t>
            </w:r>
          </w:p>
        </w:tc>
        <w:tc>
          <w:tcPr>
            <w:tcW w:w="10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10.23%</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2,850,079.38</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10.23%</w:t>
            </w:r>
          </w:p>
        </w:tc>
      </w:tr>
      <w:tr>
        <w:trPr>
          <w:trHeight w:val="401" w:hRule="exact"/>
        </w:trPr>
        <w:tc>
          <w:tcPr>
            <w:tcW w:w="11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6,679,873.55</w:t>
            </w:r>
          </w:p>
        </w:tc>
        <w:tc>
          <w:tcPr>
            <w:tcW w:w="14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134,681,024.91</w:t>
            </w:r>
          </w:p>
        </w:tc>
        <w:tc>
          <w:tcPr>
            <w:tcW w:w="10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4.96%</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6,679,873.55</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4.96%</w:t>
            </w:r>
          </w:p>
        </w:tc>
      </w:tr>
      <w:tr>
        <w:trPr>
          <w:trHeight w:val="403" w:hRule="exact"/>
        </w:trPr>
        <w:tc>
          <w:tcPr>
            <w:tcW w:w="11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4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-286,905,549.37</w:t>
            </w:r>
          </w:p>
        </w:tc>
        <w:tc>
          <w:tcPr>
            <w:tcW w:w="10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二、本报告期利润分配及资本公积金转增股本预案情况</w:t>
      </w:r>
      <w:r>
        <w:rPr>
          <w:b w:val="0"/>
          <w:bCs w:val="0"/>
        </w:rPr>
      </w: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95"/>
        <w:gridCol w:w="5776"/>
      </w:tblGrid>
      <w:tr>
        <w:trPr>
          <w:trHeight w:val="403"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2"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712519844</w:t>
            </w:r>
          </w:p>
        </w:tc>
      </w:tr>
      <w:tr>
        <w:trPr>
          <w:trHeight w:val="404"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2,850,079.38</w:t>
            </w:r>
          </w:p>
        </w:tc>
      </w:tr>
      <w:tr>
        <w:trPr>
          <w:trHeight w:val="401"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6"/>
                <w:sz w:val="18"/>
                <w:szCs w:val="18"/>
              </w:rPr>
              <w:t>以其他方式（如回购股份）现金分红金额（元）</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2,850,079.38</w:t>
            </w:r>
          </w:p>
        </w:tc>
      </w:tr>
      <w:tr>
        <w:trPr>
          <w:trHeight w:val="401"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259,217,729.39</w:t>
            </w:r>
          </w:p>
        </w:tc>
      </w:tr>
      <w:tr>
        <w:trPr>
          <w:trHeight w:val="715" w:hRule="exact"/>
        </w:trPr>
        <w:tc>
          <w:tcPr>
            <w:tcW w:w="37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的比例</w:t>
            </w:r>
          </w:p>
        </w:tc>
        <w:tc>
          <w:tcPr>
            <w:tcW w:w="57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拟以</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司总股本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w:t>
            </w:r>
            <w:r>
              <w:rPr>
                <w:rFonts w:ascii="宋体" w:hAnsi="宋体" w:cs="宋体" w:eastAsia="宋体" w:hint="default"/>
                <w:spacing w:val="-3"/>
                <w:sz w:val="18"/>
                <w:szCs w:val="18"/>
              </w:rPr>
              <w:t>基</w:t>
            </w:r>
            <w:r>
              <w:rPr>
                <w:rFonts w:ascii="宋体" w:hAnsi="宋体" w:cs="宋体" w:eastAsia="宋体" w:hint="default"/>
                <w:sz w:val="18"/>
                <w:szCs w:val="18"/>
              </w:rPr>
              <w:t>数</w:t>
            </w:r>
            <w:r>
              <w:rPr>
                <w:rFonts w:ascii="宋体" w:hAnsi="宋体" w:cs="宋体" w:eastAsia="宋体" w:hint="default"/>
                <w:spacing w:val="-92"/>
                <w:sz w:val="18"/>
                <w:szCs w:val="18"/>
              </w:rPr>
              <w:t>，</w:t>
            </w:r>
            <w:r>
              <w:rPr>
                <w:rFonts w:ascii="宋体" w:hAnsi="宋体" w:cs="宋体" w:eastAsia="宋体" w:hint="default"/>
                <w:sz w:val="18"/>
                <w:szCs w:val="18"/>
              </w:rPr>
              <w:t>向全体股东每</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金股利人民币</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4  </w:t>
            </w:r>
            <w:r>
              <w:rPr>
                <w:rFonts w:ascii="宋体" w:hAnsi="宋体" w:cs="宋体" w:eastAsia="宋体" w:hint="default"/>
                <w:spacing w:val="-92"/>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60"/>
              <w:ind w:left="103" w:right="101"/>
              <w:jc w:val="left"/>
              <w:rPr>
                <w:rFonts w:ascii="宋体" w:hAnsi="宋体" w:cs="宋体" w:eastAsia="宋体" w:hint="default"/>
                <w:sz w:val="18"/>
                <w:szCs w:val="18"/>
              </w:rPr>
            </w:pPr>
            <w:r>
              <w:rPr>
                <w:rFonts w:ascii="宋体" w:hAnsi="宋体" w:cs="宋体" w:eastAsia="宋体" w:hint="default"/>
                <w:sz w:val="18"/>
                <w:szCs w:val="18"/>
              </w:rPr>
              <w:t>共计派发现金股利</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2,850,079.38</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元（含税）。在公司实施上述利润分配预案后，可供分配利润尚余</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256,367,650.01</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元，全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额结转下一年度。本次利润分配预案尚需提交股东大会审议批准后实施。</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6"/>
      </w:tblGrid>
      <w:tr>
        <w:trPr>
          <w:trHeight w:val="755" w:hRule="exact"/>
        </w:trPr>
        <w:tc>
          <w:tcPr>
            <w:tcW w:w="1276"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8"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10"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357" w:lineRule="auto" w:before="50"/>
              <w:ind w:left="170"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402"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316" w:lineRule="auto" w:before="70"/>
              <w:ind w:left="333" w:right="146"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1133"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36"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316" w:lineRule="auto" w:before="70"/>
              <w:ind w:left="134" w:right="13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401" w:hRule="exact"/>
        </w:trPr>
        <w:tc>
          <w:tcPr>
            <w:tcW w:w="1276"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8" w:type="dxa"/>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
        </w:tc>
        <w:tc>
          <w:tcPr>
            <w:tcW w:w="852" w:type="dxa"/>
            <w:tcBorders>
              <w:top w:val="single" w:sz="9" w:space="0" w:color="E4B8B7"/>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
        </w:tc>
        <w:tc>
          <w:tcPr>
            <w:tcW w:w="636" w:type="dxa"/>
            <w:tcBorders>
              <w:top w:val="single" w:sz="9" w:space="0" w:color="E4B8B7"/>
              <w:left w:val="single" w:sz="4" w:space="0" w:color="C00000"/>
              <w:bottom w:val="single" w:sz="4" w:space="0" w:color="C00000"/>
              <w:right w:val="single" w:sz="4" w:space="0" w:color="C00000"/>
            </w:tcBorders>
          </w:tcPr>
          <w:p>
            <w:pPr/>
          </w:p>
        </w:tc>
      </w:tr>
      <w:tr>
        <w:trPr>
          <w:trHeight w:val="1339" w:hRule="exact"/>
        </w:trPr>
        <w:tc>
          <w:tcPr>
            <w:tcW w:w="1276"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316" w:lineRule="auto" w:before="49"/>
              <w:ind w:left="102" w:right="26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558" w:type="dxa"/>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
        </w:tc>
        <w:tc>
          <w:tcPr>
            <w:tcW w:w="636" w:type="dxa"/>
            <w:tcBorders>
              <w:top w:val="single" w:sz="4" w:space="0" w:color="C00000"/>
              <w:left w:val="single" w:sz="4" w:space="0" w:color="C00000"/>
              <w:bottom w:val="single" w:sz="4" w:space="0" w:color="C00000"/>
              <w:right w:val="single" w:sz="4" w:space="0" w:color="C00000"/>
            </w:tcBorders>
          </w:tcPr>
          <w:p>
            <w:pPr/>
          </w:p>
        </w:tc>
      </w:tr>
      <w:tr>
        <w:trPr>
          <w:trHeight w:val="7659" w:hRule="exact"/>
        </w:trPr>
        <w:tc>
          <w:tcPr>
            <w:tcW w:w="1276"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16" w:lineRule="auto"/>
              <w:ind w:left="102" w:right="26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09" w:lineRule="auto"/>
              <w:ind w:left="103" w:right="9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 </w:t>
            </w:r>
            <w:r>
              <w:rPr>
                <w:rFonts w:ascii="宋体" w:hAnsi="宋体" w:cs="宋体" w:eastAsia="宋体" w:hint="default"/>
                <w:sz w:val="18"/>
                <w:szCs w:val="18"/>
              </w:rPr>
              <w:t>武汉悦然心动投 资管理中心（有 </w:t>
            </w:r>
            <w:r>
              <w:rPr>
                <w:rFonts w:ascii="宋体" w:hAnsi="宋体" w:cs="宋体" w:eastAsia="宋体" w:hint="default"/>
                <w:spacing w:val="-2"/>
                <w:sz w:val="18"/>
                <w:szCs w:val="18"/>
              </w:rPr>
              <w:t>限合伙）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颜庆华</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曾李青</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16" w:lineRule="auto"/>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pacing w:val="-3"/>
                <w:sz w:val="18"/>
                <w:szCs w:val="18"/>
              </w:rPr>
              <w:t>一、关于悦然心动历史上历次股权转让事</w:t>
            </w:r>
            <w:r>
              <w:rPr>
                <w:rFonts w:ascii="宋体" w:hAnsi="宋体" w:cs="宋体" w:eastAsia="宋体" w:hint="default"/>
                <w:sz w:val="18"/>
                <w:szCs w:val="18"/>
              </w:rPr>
              <w:t> </w:t>
            </w:r>
            <w:r>
              <w:rPr>
                <w:rFonts w:ascii="宋体" w:hAnsi="宋体" w:cs="宋体" w:eastAsia="宋体" w:hint="default"/>
                <w:spacing w:val="-3"/>
                <w:sz w:val="18"/>
                <w:szCs w:val="18"/>
              </w:rPr>
              <w:t>宜，本人承诺如因本人或本人控制的企业</w:t>
            </w:r>
            <w:r>
              <w:rPr>
                <w:rFonts w:ascii="宋体" w:hAnsi="宋体" w:cs="宋体" w:eastAsia="宋体" w:hint="default"/>
                <w:sz w:val="18"/>
                <w:szCs w:val="18"/>
              </w:rPr>
              <w:t> 未依照法律法规的规定或税务机关的要 </w:t>
            </w:r>
            <w:r>
              <w:rPr>
                <w:rFonts w:ascii="宋体" w:hAnsi="宋体" w:cs="宋体" w:eastAsia="宋体" w:hint="default"/>
                <w:spacing w:val="-3"/>
                <w:sz w:val="18"/>
                <w:szCs w:val="18"/>
              </w:rPr>
              <w:t>求缴纳相关税费、而发生被追缴相关税费</w:t>
            </w:r>
            <w:r>
              <w:rPr>
                <w:rFonts w:ascii="宋体" w:hAnsi="宋体" w:cs="宋体" w:eastAsia="宋体" w:hint="default"/>
                <w:sz w:val="18"/>
                <w:szCs w:val="18"/>
              </w:rPr>
              <w:t> 之情形，或导致悦然心动因此受到处罚 的，所有费用均由本人承担。</w:t>
            </w:r>
          </w:p>
          <w:p>
            <w:pPr>
              <w:pStyle w:val="TableParagraph"/>
              <w:spacing w:line="316" w:lineRule="auto" w:before="59"/>
              <w:ind w:left="103" w:right="99"/>
              <w:jc w:val="left"/>
              <w:rPr>
                <w:rFonts w:ascii="宋体" w:hAnsi="宋体" w:cs="宋体" w:eastAsia="宋体" w:hint="default"/>
                <w:sz w:val="18"/>
                <w:szCs w:val="18"/>
              </w:rPr>
            </w:pPr>
            <w:r>
              <w:rPr>
                <w:rFonts w:ascii="宋体" w:hAnsi="宋体" w:cs="宋体" w:eastAsia="宋体" w:hint="default"/>
                <w:spacing w:val="-3"/>
                <w:sz w:val="18"/>
                <w:szCs w:val="18"/>
              </w:rPr>
              <w:t>二、截至本承诺函出具之日，悦然心动及</w:t>
            </w:r>
            <w:r>
              <w:rPr>
                <w:rFonts w:ascii="宋体" w:hAnsi="宋体" w:cs="宋体" w:eastAsia="宋体" w:hint="default"/>
                <w:sz w:val="18"/>
                <w:szCs w:val="18"/>
              </w:rPr>
              <w:t> 其子公司已经取得生产经营活动所需的 </w:t>
            </w:r>
            <w:r>
              <w:rPr>
                <w:rFonts w:ascii="宋体" w:hAnsi="宋体" w:cs="宋体" w:eastAsia="宋体" w:hint="default"/>
                <w:spacing w:val="-3"/>
                <w:sz w:val="18"/>
                <w:szCs w:val="18"/>
              </w:rPr>
              <w:t>必要的全部经营资质、生产许可，如悦然</w:t>
            </w:r>
            <w:r>
              <w:rPr>
                <w:rFonts w:ascii="宋体" w:hAnsi="宋体" w:cs="宋体" w:eastAsia="宋体" w:hint="default"/>
                <w:sz w:val="18"/>
                <w:szCs w:val="18"/>
              </w:rPr>
              <w:t> 心动及其子公司因经营资质瑕疵收到处 </w:t>
            </w:r>
            <w:r>
              <w:rPr>
                <w:rFonts w:ascii="宋体" w:hAnsi="宋体" w:cs="宋体" w:eastAsia="宋体" w:hint="default"/>
                <w:spacing w:val="-3"/>
                <w:sz w:val="18"/>
                <w:szCs w:val="18"/>
              </w:rPr>
              <w:t>罚或遭受其他损失的，所有因此产生的费</w:t>
            </w:r>
            <w:r>
              <w:rPr>
                <w:rFonts w:ascii="宋体" w:hAnsi="宋体" w:cs="宋体" w:eastAsia="宋体" w:hint="default"/>
                <w:sz w:val="18"/>
                <w:szCs w:val="18"/>
              </w:rPr>
              <w:t> 用均由本人和其他股东共同承担。</w:t>
            </w:r>
          </w:p>
          <w:p>
            <w:pPr>
              <w:pStyle w:val="TableParagraph"/>
              <w:spacing w:line="316" w:lineRule="auto" w:before="59"/>
              <w:ind w:left="103" w:right="99"/>
              <w:jc w:val="left"/>
              <w:rPr>
                <w:rFonts w:ascii="宋体" w:hAnsi="宋体" w:cs="宋体" w:eastAsia="宋体" w:hint="default"/>
                <w:sz w:val="18"/>
                <w:szCs w:val="18"/>
              </w:rPr>
            </w:pPr>
            <w:r>
              <w:rPr>
                <w:rFonts w:ascii="宋体" w:hAnsi="宋体" w:cs="宋体" w:eastAsia="宋体" w:hint="default"/>
                <w:spacing w:val="-3"/>
                <w:sz w:val="18"/>
                <w:szCs w:val="18"/>
              </w:rPr>
              <w:t>三、悦然心动及其子公司历史上存在未取</w:t>
            </w:r>
            <w:r>
              <w:rPr>
                <w:rFonts w:ascii="宋体" w:hAnsi="宋体" w:cs="宋体" w:eastAsia="宋体" w:hint="default"/>
                <w:sz w:val="18"/>
                <w:szCs w:val="18"/>
              </w:rPr>
              <w:t> 得增值电信业务许可证或授权便开展相 </w:t>
            </w:r>
            <w:r>
              <w:rPr>
                <w:rFonts w:ascii="宋体" w:hAnsi="宋体" w:cs="宋体" w:eastAsia="宋体" w:hint="default"/>
                <w:spacing w:val="-3"/>
                <w:sz w:val="18"/>
                <w:szCs w:val="18"/>
              </w:rPr>
              <w:t>关增值电信业务活动的情形，本人承诺如</w:t>
            </w:r>
            <w:r>
              <w:rPr>
                <w:rFonts w:ascii="宋体" w:hAnsi="宋体" w:cs="宋体" w:eastAsia="宋体" w:hint="default"/>
                <w:sz w:val="18"/>
                <w:szCs w:val="18"/>
              </w:rPr>
              <w:t> 悦然心动及其子公司因历史上未取得前 述资质即开展经营活动而受到相关部门 </w:t>
            </w:r>
            <w:r>
              <w:rPr>
                <w:rFonts w:ascii="宋体" w:hAnsi="宋体" w:cs="宋体" w:eastAsia="宋体" w:hint="default"/>
                <w:spacing w:val="-3"/>
                <w:sz w:val="18"/>
                <w:szCs w:val="18"/>
              </w:rPr>
              <w:t>处罚或遭受其他损失的，或者给摩登大道</w:t>
            </w:r>
            <w:r>
              <w:rPr>
                <w:rFonts w:ascii="宋体" w:hAnsi="宋体" w:cs="宋体" w:eastAsia="宋体" w:hint="default"/>
                <w:sz w:val="18"/>
                <w:szCs w:val="18"/>
              </w:rPr>
              <w:t> </w:t>
            </w:r>
            <w:r>
              <w:rPr>
                <w:rFonts w:ascii="宋体" w:hAnsi="宋体" w:cs="宋体" w:eastAsia="宋体" w:hint="default"/>
                <w:spacing w:val="-3"/>
                <w:sz w:val="18"/>
                <w:szCs w:val="18"/>
              </w:rPr>
              <w:t>造成损失的，所有因此产生的费用均由本</w:t>
            </w:r>
            <w:r>
              <w:rPr>
                <w:rFonts w:ascii="宋体" w:hAnsi="宋体" w:cs="宋体" w:eastAsia="宋体" w:hint="default"/>
                <w:sz w:val="18"/>
                <w:szCs w:val="18"/>
              </w:rPr>
              <w:t> 人和其他股东共同承担。</w:t>
            </w:r>
          </w:p>
          <w:p>
            <w:pPr>
              <w:pStyle w:val="TableParagraph"/>
              <w:spacing w:line="316" w:lineRule="auto" w:before="57"/>
              <w:ind w:left="103" w:right="100"/>
              <w:jc w:val="left"/>
              <w:rPr>
                <w:rFonts w:ascii="宋体" w:hAnsi="宋体" w:cs="宋体" w:eastAsia="宋体" w:hint="default"/>
                <w:sz w:val="18"/>
                <w:szCs w:val="18"/>
              </w:rPr>
            </w:pPr>
            <w:r>
              <w:rPr>
                <w:rFonts w:ascii="宋体" w:hAnsi="宋体" w:cs="宋体" w:eastAsia="宋体" w:hint="default"/>
                <w:spacing w:val="-3"/>
                <w:sz w:val="18"/>
                <w:szCs w:val="18"/>
              </w:rPr>
              <w:t>四、悦然心动及其子公司现承租办公所在</w:t>
            </w:r>
            <w:r>
              <w:rPr>
                <w:rFonts w:ascii="宋体" w:hAnsi="宋体" w:cs="宋体" w:eastAsia="宋体" w:hint="default"/>
                <w:sz w:val="18"/>
                <w:szCs w:val="18"/>
              </w:rPr>
              <w:t> </w:t>
            </w:r>
            <w:r>
              <w:rPr>
                <w:rFonts w:ascii="宋体" w:hAnsi="宋体" w:cs="宋体" w:eastAsia="宋体" w:hint="default"/>
                <w:spacing w:val="-4"/>
                <w:sz w:val="18"/>
                <w:szCs w:val="18"/>
              </w:rPr>
              <w:t>房屋未办理租赁备案登记手续，本人承诺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若悦然心动及其子公司因未办理房屋租 </w:t>
            </w:r>
            <w:r>
              <w:rPr>
                <w:rFonts w:ascii="宋体" w:hAnsi="宋体" w:cs="宋体" w:eastAsia="宋体" w:hint="default"/>
                <w:spacing w:val="-4"/>
                <w:sz w:val="18"/>
                <w:szCs w:val="18"/>
              </w:rPr>
              <w:t>赁备案登记手续而被相关部门处罚的，或</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103" w:right="118"/>
              <w:jc w:val="both"/>
              <w:rPr>
                <w:rFonts w:ascii="宋体" w:hAnsi="宋体" w:cs="宋体" w:eastAsia="宋体" w:hint="default"/>
                <w:sz w:val="18"/>
                <w:szCs w:val="18"/>
              </w:rPr>
            </w:pPr>
            <w:r>
              <w:rPr>
                <w:rFonts w:ascii="宋体" w:hAnsi="宋体" w:cs="宋体" w:eastAsia="宋体" w:hint="default"/>
                <w:sz w:val="18"/>
                <w:szCs w:val="18"/>
              </w:rPr>
              <w:t>自本承诺函 签署之日起 有效</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6" w:lineRule="auto"/>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8"/>
      </w:tblGrid>
      <w:tr>
        <w:trPr>
          <w:trHeight w:val="4187" w:hRule="exact"/>
        </w:trPr>
        <w:tc>
          <w:tcPr>
            <w:tcW w:w="1276" w:type="dxa"/>
            <w:vMerge w:val="restart"/>
            <w:tcBorders>
              <w:top w:val="single" w:sz="4" w:space="0" w:color="C00000"/>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3" w:right="100"/>
              <w:jc w:val="left"/>
              <w:rPr>
                <w:rFonts w:ascii="宋体" w:hAnsi="宋体" w:cs="宋体" w:eastAsia="宋体" w:hint="default"/>
                <w:sz w:val="18"/>
                <w:szCs w:val="18"/>
              </w:rPr>
            </w:pPr>
            <w:r>
              <w:rPr>
                <w:rFonts w:ascii="宋体" w:hAnsi="宋体" w:cs="宋体" w:eastAsia="宋体" w:hint="default"/>
                <w:sz w:val="18"/>
                <w:szCs w:val="18"/>
              </w:rPr>
              <w:t>悦然心动及其子公司因此遭受任何其他 </w:t>
            </w:r>
            <w:r>
              <w:rPr>
                <w:rFonts w:ascii="宋体" w:hAnsi="宋体" w:cs="宋体" w:eastAsia="宋体" w:hint="default"/>
                <w:spacing w:val="-3"/>
                <w:sz w:val="18"/>
                <w:szCs w:val="18"/>
              </w:rPr>
              <w:t>经济损失的，所有因此产生的费用均由本</w:t>
            </w:r>
            <w:r>
              <w:rPr>
                <w:rFonts w:ascii="宋体" w:hAnsi="宋体" w:cs="宋体" w:eastAsia="宋体" w:hint="default"/>
                <w:sz w:val="18"/>
                <w:szCs w:val="18"/>
              </w:rPr>
              <w:t> 人和其他股东共同承担。</w:t>
            </w:r>
          </w:p>
          <w:p>
            <w:pPr>
              <w:pStyle w:val="TableParagraph"/>
              <w:spacing w:line="316" w:lineRule="auto" w:before="58"/>
              <w:ind w:left="103" w:right="100"/>
              <w:jc w:val="left"/>
              <w:rPr>
                <w:rFonts w:ascii="宋体" w:hAnsi="宋体" w:cs="宋体" w:eastAsia="宋体" w:hint="default"/>
                <w:sz w:val="18"/>
                <w:szCs w:val="18"/>
              </w:rPr>
            </w:pPr>
            <w:r>
              <w:rPr>
                <w:rFonts w:ascii="宋体" w:hAnsi="宋体" w:cs="宋体" w:eastAsia="宋体" w:hint="default"/>
                <w:spacing w:val="-3"/>
                <w:sz w:val="18"/>
                <w:szCs w:val="18"/>
              </w:rPr>
              <w:t>五、悦然心动设立香港悦然心动网络科技</w:t>
            </w:r>
            <w:r>
              <w:rPr>
                <w:rFonts w:ascii="宋体" w:hAnsi="宋体" w:cs="宋体" w:eastAsia="宋体" w:hint="default"/>
                <w:sz w:val="18"/>
                <w:szCs w:val="18"/>
              </w:rPr>
              <w:t> 有限公司时未及时办理境外投资的相关 </w:t>
            </w:r>
            <w:r>
              <w:rPr>
                <w:rFonts w:ascii="宋体" w:hAnsi="宋体" w:cs="宋体" w:eastAsia="宋体" w:hint="default"/>
                <w:spacing w:val="-3"/>
                <w:sz w:val="18"/>
                <w:szCs w:val="18"/>
              </w:rPr>
              <w:t>手续，如悦然心动或香港悦然心动网络科</w:t>
            </w:r>
            <w:r>
              <w:rPr>
                <w:rFonts w:ascii="宋体" w:hAnsi="宋体" w:cs="宋体" w:eastAsia="宋体" w:hint="default"/>
                <w:sz w:val="18"/>
                <w:szCs w:val="18"/>
              </w:rPr>
              <w:t> 技有限公司心动因此受到处罚或遭受其 </w:t>
            </w:r>
            <w:r>
              <w:rPr>
                <w:rFonts w:ascii="宋体" w:hAnsi="宋体" w:cs="宋体" w:eastAsia="宋体" w:hint="default"/>
                <w:spacing w:val="-3"/>
                <w:sz w:val="18"/>
                <w:szCs w:val="18"/>
              </w:rPr>
              <w:t>他损失的，所有因此产生的费用均由本人</w:t>
            </w:r>
            <w:r>
              <w:rPr>
                <w:rFonts w:ascii="宋体" w:hAnsi="宋体" w:cs="宋体" w:eastAsia="宋体" w:hint="default"/>
                <w:sz w:val="18"/>
                <w:szCs w:val="18"/>
              </w:rPr>
              <w:t> 和其他股东共同承担。</w:t>
            </w:r>
          </w:p>
          <w:p>
            <w:pPr>
              <w:pStyle w:val="TableParagraph"/>
              <w:spacing w:line="319" w:lineRule="auto" w:before="57"/>
              <w:ind w:left="103" w:right="48"/>
              <w:jc w:val="left"/>
              <w:rPr>
                <w:rFonts w:ascii="宋体" w:hAnsi="宋体" w:cs="宋体" w:eastAsia="宋体" w:hint="default"/>
                <w:sz w:val="18"/>
                <w:szCs w:val="18"/>
              </w:rPr>
            </w:pPr>
            <w:r>
              <w:rPr>
                <w:rFonts w:ascii="宋体" w:hAnsi="宋体" w:cs="宋体" w:eastAsia="宋体" w:hint="default"/>
                <w:spacing w:val="-3"/>
                <w:sz w:val="18"/>
                <w:szCs w:val="18"/>
              </w:rPr>
              <w:t>六、如悦然心动因违反相关平台政策或境</w:t>
            </w:r>
            <w:r>
              <w:rPr>
                <w:rFonts w:ascii="宋体" w:hAnsi="宋体" w:cs="宋体" w:eastAsia="宋体" w:hint="default"/>
                <w:sz w:val="18"/>
                <w:szCs w:val="18"/>
              </w:rPr>
              <w:t> 内外税收法规被处罚或遭受其他损失的， 所有因此产生的费用均由本人和其他股 东共同承担。</w:t>
            </w: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
        </w:tc>
        <w:tc>
          <w:tcPr>
            <w:tcW w:w="638" w:type="dxa"/>
            <w:tcBorders>
              <w:top w:val="single" w:sz="4" w:space="0" w:color="C00000"/>
              <w:left w:val="single" w:sz="4" w:space="0" w:color="C00000"/>
              <w:bottom w:val="single" w:sz="4" w:space="0" w:color="C00000"/>
              <w:right w:val="single" w:sz="4" w:space="0" w:color="C00000"/>
            </w:tcBorders>
          </w:tcPr>
          <w:p>
            <w:pPr/>
          </w:p>
        </w:tc>
      </w:tr>
      <w:tr>
        <w:trPr>
          <w:trHeight w:val="9500"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2"/>
              <w:ind w:left="103" w:right="134"/>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广州瑞丰 集团股份有限公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刘金 柱</w:t>
            </w:r>
            <w:r>
              <w:rPr>
                <w:rFonts w:ascii="Times New Roman" w:hAnsi="Times New Roman" w:cs="Times New Roman" w:eastAsia="Times New Roman" w:hint="default"/>
                <w:sz w:val="18"/>
                <w:szCs w:val="18"/>
              </w:rPr>
              <w:t>;</w:t>
            </w:r>
            <w:r>
              <w:rPr>
                <w:rFonts w:ascii="宋体" w:hAnsi="宋体" w:cs="宋体" w:eastAsia="宋体" w:hint="default"/>
                <w:sz w:val="18"/>
                <w:szCs w:val="18"/>
              </w:rPr>
              <w:t>武汉悦然心动 投资管理中心</w:t>
            </w:r>
          </w:p>
          <w:p>
            <w:pPr>
              <w:pStyle w:val="TableParagraph"/>
              <w:spacing w:line="300" w:lineRule="auto" w:before="28"/>
              <w:ind w:left="103" w:right="132"/>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颜 庆华</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（一）人员独立：</w:t>
            </w:r>
          </w:p>
          <w:p>
            <w:pPr>
              <w:pStyle w:val="TableParagraph"/>
              <w:spacing w:line="314" w:lineRule="auto" w:before="117"/>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保证摩登大道的总经理、副总经理、财 </w:t>
            </w:r>
            <w:r>
              <w:rPr>
                <w:rFonts w:ascii="宋体" w:hAnsi="宋体" w:cs="宋体" w:eastAsia="宋体" w:hint="default"/>
                <w:spacing w:val="-3"/>
                <w:sz w:val="18"/>
                <w:szCs w:val="18"/>
              </w:rPr>
              <w:t>务总监、董事会秘书等高级管理人员在摩</w:t>
            </w:r>
            <w:r>
              <w:rPr>
                <w:rFonts w:ascii="宋体" w:hAnsi="宋体" w:cs="宋体" w:eastAsia="宋体" w:hint="default"/>
                <w:sz w:val="18"/>
                <w:szCs w:val="18"/>
              </w:rPr>
              <w:t> </w:t>
            </w:r>
            <w:r>
              <w:rPr>
                <w:rFonts w:ascii="宋体" w:hAnsi="宋体" w:cs="宋体" w:eastAsia="宋体" w:hint="default"/>
                <w:spacing w:val="-3"/>
                <w:sz w:val="18"/>
                <w:szCs w:val="18"/>
              </w:rPr>
              <w:t>登大道专职工作，不在本人及本人控制的</w:t>
            </w:r>
            <w:r>
              <w:rPr>
                <w:rFonts w:ascii="宋体" w:hAnsi="宋体" w:cs="宋体" w:eastAsia="宋体" w:hint="default"/>
                <w:sz w:val="18"/>
                <w:szCs w:val="18"/>
              </w:rPr>
              <w:t> </w:t>
            </w:r>
            <w:r>
              <w:rPr>
                <w:rFonts w:ascii="宋体" w:hAnsi="宋体" w:cs="宋体" w:eastAsia="宋体" w:hint="default"/>
                <w:spacing w:val="-8"/>
                <w:sz w:val="18"/>
                <w:szCs w:val="18"/>
              </w:rPr>
              <w:t>企业（简称“关联企业”）中担任除董事、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监事以外的其他职务，且不在本人及本人</w:t>
            </w:r>
            <w:r>
              <w:rPr>
                <w:rFonts w:ascii="宋体" w:hAnsi="宋体" w:cs="宋体" w:eastAsia="宋体" w:hint="default"/>
                <w:sz w:val="18"/>
                <w:szCs w:val="18"/>
              </w:rPr>
              <w:t> 关联企业领薪。</w:t>
            </w:r>
          </w:p>
          <w:p>
            <w:pPr>
              <w:pStyle w:val="TableParagraph"/>
              <w:spacing w:line="309" w:lineRule="auto" w:before="59"/>
              <w:ind w:left="103" w:right="10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保证摩登大道（包括其子公司）的财务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人员独立，不在本人及本人关联企业中兼</w:t>
            </w:r>
            <w:r>
              <w:rPr>
                <w:rFonts w:ascii="宋体" w:hAnsi="宋体" w:cs="宋体" w:eastAsia="宋体" w:hint="default"/>
                <w:sz w:val="18"/>
                <w:szCs w:val="18"/>
              </w:rPr>
              <w:t> 职或领取报酬。</w:t>
            </w:r>
          </w:p>
          <w:p>
            <w:pPr>
              <w:pStyle w:val="TableParagraph"/>
              <w:spacing w:line="309" w:lineRule="auto" w:before="65"/>
              <w:ind w:left="103" w:right="10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保证摩登大道拥有完整独立的劳动、人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事及薪酬管理体系，该等体系和本人及本</w:t>
            </w:r>
            <w:r>
              <w:rPr>
                <w:rFonts w:ascii="宋体" w:hAnsi="宋体" w:cs="宋体" w:eastAsia="宋体" w:hint="default"/>
                <w:sz w:val="18"/>
                <w:szCs w:val="18"/>
              </w:rPr>
              <w:t> 人关联企业之间完全独立。</w:t>
            </w:r>
          </w:p>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（二）资产独立：</w:t>
            </w:r>
          </w:p>
          <w:p>
            <w:pPr>
              <w:pStyle w:val="TableParagraph"/>
              <w:spacing w:line="314" w:lineRule="auto" w:before="117"/>
              <w:ind w:left="10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保证摩登大道具有独立完整的资产，摩 登大道的资产全部能处于摩登大道的控 制之下，并为摩登大道独立拥有和运营。 保证本人及本人关联企业不以任何方式 违法违规占有摩登大道的资金、资产。</w:t>
            </w:r>
          </w:p>
          <w:p>
            <w:pPr>
              <w:pStyle w:val="TableParagraph"/>
              <w:spacing w:line="300" w:lineRule="auto" w:before="59"/>
              <w:ind w:left="103" w:right="27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保证不以摩登大道的资产为本人及本 人关联企业的债务提供担保。</w:t>
            </w:r>
          </w:p>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（三）财务独立：</w:t>
            </w:r>
          </w:p>
          <w:p>
            <w:pPr>
              <w:pStyle w:val="TableParagraph"/>
              <w:spacing w:line="300" w:lineRule="auto" w:before="117"/>
              <w:ind w:left="103" w:right="27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保证摩登大道建立独立的财务部门和 独立的财务核算体系。</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（四）机构独立：</w:t>
            </w:r>
          </w:p>
          <w:p>
            <w:pPr>
              <w:pStyle w:val="TableParagraph"/>
              <w:spacing w:line="300" w:lineRule="auto" w:before="117"/>
              <w:ind w:left="10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保证摩登大道建立健全股份公司法人 治理结构，拥有独立、完整的组织机构。</w:t>
            </w:r>
          </w:p>
          <w:p>
            <w:pPr>
              <w:pStyle w:val="TableParagraph"/>
              <w:spacing w:line="300" w:lineRule="auto" w:before="72"/>
              <w:ind w:left="103" w:right="9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保证摩登大道的股东大会、董事会、独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立董事、监事会、总经理等依照法律、法</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103" w:right="118"/>
              <w:jc w:val="left"/>
              <w:rPr>
                <w:rFonts w:ascii="宋体" w:hAnsi="宋体" w:cs="宋体" w:eastAsia="宋体" w:hint="default"/>
                <w:sz w:val="18"/>
                <w:szCs w:val="18"/>
              </w:rPr>
            </w:pPr>
            <w:r>
              <w:rPr>
                <w:rFonts w:ascii="宋体" w:hAnsi="宋体" w:cs="宋体" w:eastAsia="宋体" w:hint="default"/>
                <w:sz w:val="18"/>
                <w:szCs w:val="18"/>
              </w:rPr>
              <w:t>自承诺函签 署日之日起 持续有效， 直至承诺人 不再成为摩 登大道关联 方股东为 止。</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6" w:lineRule="auto"/>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8"/>
      </w:tblGrid>
      <w:tr>
        <w:trPr>
          <w:trHeight w:val="5555" w:hRule="exact"/>
        </w:trPr>
        <w:tc>
          <w:tcPr>
            <w:tcW w:w="1276" w:type="dxa"/>
            <w:vMerge w:val="restart"/>
            <w:tcBorders>
              <w:top w:val="single" w:sz="4" w:space="0" w:color="C00000"/>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2"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规和公司章程独立行使职权。</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．保证摩 </w:t>
            </w:r>
            <w:r>
              <w:rPr>
                <w:rFonts w:ascii="宋体" w:hAnsi="宋体" w:cs="宋体" w:eastAsia="宋体" w:hint="default"/>
                <w:spacing w:val="-3"/>
                <w:sz w:val="18"/>
                <w:szCs w:val="18"/>
              </w:rPr>
              <w:t>登大道拥有独立、完整的组织机构、与本</w:t>
            </w:r>
            <w:r>
              <w:rPr>
                <w:rFonts w:ascii="宋体" w:hAnsi="宋体" w:cs="宋体" w:eastAsia="宋体" w:hint="default"/>
                <w:sz w:val="18"/>
                <w:szCs w:val="18"/>
              </w:rPr>
              <w:t> 人及本人关联企业间不发生机构混同的 情形。</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（五）业务独立：</w:t>
            </w:r>
          </w:p>
          <w:p>
            <w:pPr>
              <w:pStyle w:val="TableParagraph"/>
              <w:spacing w:line="309" w:lineRule="auto" w:before="115"/>
              <w:ind w:left="10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保证摩登大道拥有独立开展经营活动 </w:t>
            </w:r>
            <w:r>
              <w:rPr>
                <w:rFonts w:ascii="宋体" w:hAnsi="宋体" w:cs="宋体" w:eastAsia="宋体" w:hint="default"/>
                <w:spacing w:val="-3"/>
                <w:sz w:val="18"/>
                <w:szCs w:val="18"/>
              </w:rPr>
              <w:t>的资产、人员、资质和能力，具有面向市</w:t>
            </w:r>
            <w:r>
              <w:rPr>
                <w:rFonts w:ascii="宋体" w:hAnsi="宋体" w:cs="宋体" w:eastAsia="宋体" w:hint="default"/>
                <w:sz w:val="18"/>
                <w:szCs w:val="18"/>
              </w:rPr>
              <w:t> 场独立自主持续经营的能力。</w:t>
            </w:r>
          </w:p>
          <w:p>
            <w:pPr>
              <w:pStyle w:val="TableParagraph"/>
              <w:spacing w:line="309" w:lineRule="auto" w:before="65"/>
              <w:ind w:left="10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．保证本人除通过合法程序行使股东权 </w:t>
            </w:r>
            <w:r>
              <w:rPr>
                <w:rFonts w:ascii="宋体" w:hAnsi="宋体" w:cs="宋体" w:eastAsia="宋体" w:hint="default"/>
                <w:spacing w:val="-3"/>
                <w:sz w:val="18"/>
                <w:szCs w:val="18"/>
              </w:rPr>
              <w:t>利之外，不对摩登大道的业务活动进行干</w:t>
            </w:r>
            <w:r>
              <w:rPr>
                <w:rFonts w:ascii="宋体" w:hAnsi="宋体" w:cs="宋体" w:eastAsia="宋体" w:hint="default"/>
                <w:sz w:val="18"/>
                <w:szCs w:val="18"/>
              </w:rPr>
              <w:t> 预。</w:t>
            </w:r>
          </w:p>
          <w:p>
            <w:pPr>
              <w:pStyle w:val="TableParagraph"/>
              <w:spacing w:line="312" w:lineRule="auto" w:before="65"/>
              <w:ind w:left="10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．保证尽量减少本人及本人关联企业与 </w:t>
            </w:r>
            <w:r>
              <w:rPr>
                <w:rFonts w:ascii="宋体" w:hAnsi="宋体" w:cs="宋体" w:eastAsia="宋体" w:hint="default"/>
                <w:spacing w:val="-3"/>
                <w:sz w:val="18"/>
                <w:szCs w:val="18"/>
              </w:rPr>
              <w:t>摩登大道的关联交易，无法避免的关联交</w:t>
            </w:r>
            <w:r>
              <w:rPr>
                <w:rFonts w:ascii="宋体" w:hAnsi="宋体" w:cs="宋体" w:eastAsia="宋体" w:hint="default"/>
                <w:sz w:val="18"/>
                <w:szCs w:val="18"/>
              </w:rPr>
              <w:t> </w:t>
            </w:r>
            <w:r>
              <w:rPr>
                <w:rFonts w:ascii="宋体" w:hAnsi="宋体" w:cs="宋体" w:eastAsia="宋体" w:hint="default"/>
                <w:spacing w:val="-4"/>
                <w:sz w:val="18"/>
                <w:szCs w:val="18"/>
              </w:rPr>
              <w:t>易则按照“公开、公平、公正”的原则依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法进行。</w:t>
            </w:r>
          </w:p>
          <w:p>
            <w:pPr>
              <w:pStyle w:val="TableParagraph"/>
              <w:spacing w:line="316" w:lineRule="auto" w:before="61"/>
              <w:ind w:left="103" w:right="100"/>
              <w:jc w:val="left"/>
              <w:rPr>
                <w:rFonts w:ascii="宋体" w:hAnsi="宋体" w:cs="宋体" w:eastAsia="宋体" w:hint="default"/>
                <w:sz w:val="18"/>
                <w:szCs w:val="18"/>
              </w:rPr>
            </w:pPr>
            <w:r>
              <w:rPr>
                <w:rFonts w:ascii="宋体" w:hAnsi="宋体" w:cs="宋体" w:eastAsia="宋体" w:hint="default"/>
                <w:spacing w:val="-3"/>
                <w:sz w:val="18"/>
                <w:szCs w:val="18"/>
              </w:rPr>
              <w:t>（六）保证摩登大道在其他方面与本人及</w:t>
            </w:r>
            <w:r>
              <w:rPr>
                <w:rFonts w:ascii="宋体" w:hAnsi="宋体" w:cs="宋体" w:eastAsia="宋体" w:hint="default"/>
                <w:sz w:val="18"/>
                <w:szCs w:val="18"/>
              </w:rPr>
              <w:t> 本人关联企业保持独立。</w:t>
            </w: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
        </w:tc>
        <w:tc>
          <w:tcPr>
            <w:tcW w:w="638" w:type="dxa"/>
            <w:tcBorders>
              <w:top w:val="single" w:sz="4" w:space="0" w:color="C00000"/>
              <w:left w:val="single" w:sz="4" w:space="0" w:color="C00000"/>
              <w:bottom w:val="single" w:sz="4" w:space="0" w:color="C00000"/>
              <w:right w:val="single" w:sz="4" w:space="0" w:color="C00000"/>
            </w:tcBorders>
          </w:tcPr>
          <w:p>
            <w:pPr/>
          </w:p>
        </w:tc>
      </w:tr>
      <w:tr>
        <w:trPr>
          <w:trHeight w:val="8204"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4" w:lineRule="auto"/>
              <w:ind w:left="103" w:right="134"/>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广州瑞丰 集团股份有限公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刘金 柱</w:t>
            </w:r>
            <w:r>
              <w:rPr>
                <w:rFonts w:ascii="Times New Roman" w:hAnsi="Times New Roman" w:cs="Times New Roman" w:eastAsia="Times New Roman" w:hint="default"/>
                <w:sz w:val="18"/>
                <w:szCs w:val="18"/>
              </w:rPr>
              <w:t>;</w:t>
            </w:r>
            <w:r>
              <w:rPr>
                <w:rFonts w:ascii="宋体" w:hAnsi="宋体" w:cs="宋体" w:eastAsia="宋体" w:hint="default"/>
                <w:sz w:val="18"/>
                <w:szCs w:val="18"/>
              </w:rPr>
              <w:t>翁武强</w:t>
            </w:r>
            <w:r>
              <w:rPr>
                <w:rFonts w:ascii="Times New Roman" w:hAnsi="Times New Roman" w:cs="Times New Roman" w:eastAsia="Times New Roman" w:hint="default"/>
                <w:sz w:val="18"/>
                <w:szCs w:val="18"/>
              </w:rPr>
              <w:t>;</w:t>
            </w:r>
            <w:r>
              <w:rPr>
                <w:rFonts w:ascii="宋体" w:hAnsi="宋体" w:cs="宋体" w:eastAsia="宋体" w:hint="default"/>
                <w:sz w:val="18"/>
                <w:szCs w:val="18"/>
              </w:rPr>
              <w:t>翁武 游</w:t>
            </w:r>
            <w:r>
              <w:rPr>
                <w:rFonts w:ascii="Times New Roman" w:hAnsi="Times New Roman" w:cs="Times New Roman" w:eastAsia="Times New Roman" w:hint="default"/>
                <w:sz w:val="18"/>
                <w:szCs w:val="18"/>
              </w:rPr>
              <w:t>;</w:t>
            </w:r>
            <w:r>
              <w:rPr>
                <w:rFonts w:ascii="宋体" w:hAnsi="宋体" w:cs="宋体" w:eastAsia="宋体" w:hint="default"/>
                <w:sz w:val="18"/>
                <w:szCs w:val="18"/>
              </w:rPr>
              <w:t>武汉悦然心动 投资管理中心</w:t>
            </w:r>
          </w:p>
          <w:p>
            <w:pPr>
              <w:pStyle w:val="TableParagraph"/>
              <w:spacing w:line="300" w:lineRule="auto" w:before="28"/>
              <w:ind w:left="103" w:right="132"/>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严 炎象</w:t>
            </w:r>
            <w:r>
              <w:rPr>
                <w:rFonts w:ascii="Times New Roman" w:hAnsi="Times New Roman" w:cs="Times New Roman" w:eastAsia="Times New Roman" w:hint="default"/>
                <w:sz w:val="18"/>
                <w:szCs w:val="18"/>
              </w:rPr>
              <w:t>;</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赵 威</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05" w:right="53"/>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21"/>
              <w:ind w:left="103"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、截至本承诺函签署之日，本人未直接 </w:t>
            </w:r>
            <w:r>
              <w:rPr>
                <w:rFonts w:ascii="宋体" w:hAnsi="宋体" w:cs="宋体" w:eastAsia="宋体" w:hint="default"/>
                <w:spacing w:val="-3"/>
                <w:sz w:val="18"/>
                <w:szCs w:val="18"/>
              </w:rPr>
              <w:t>或者间接的从事与摩登大道（包括摩登大</w:t>
            </w:r>
            <w:r>
              <w:rPr>
                <w:rFonts w:ascii="宋体" w:hAnsi="宋体" w:cs="宋体" w:eastAsia="宋体" w:hint="default"/>
                <w:sz w:val="18"/>
                <w:szCs w:val="18"/>
              </w:rPr>
              <w:t> </w:t>
            </w:r>
            <w:r>
              <w:rPr>
                <w:rFonts w:ascii="宋体" w:hAnsi="宋体" w:cs="宋体" w:eastAsia="宋体" w:hint="default"/>
                <w:spacing w:val="-3"/>
                <w:sz w:val="18"/>
                <w:szCs w:val="18"/>
              </w:rPr>
              <w:t>道的下属公司，下同）及悦然心动相竞争</w:t>
            </w:r>
            <w:r>
              <w:rPr>
                <w:rFonts w:ascii="宋体" w:hAnsi="宋体" w:cs="宋体" w:eastAsia="宋体" w:hint="default"/>
                <w:sz w:val="18"/>
                <w:szCs w:val="18"/>
              </w:rPr>
              <w:t> 的业务。</w:t>
            </w:r>
          </w:p>
          <w:p>
            <w:pPr>
              <w:pStyle w:val="TableParagraph"/>
              <w:spacing w:line="312" w:lineRule="auto" w:before="63"/>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、本人未来亦将不直接或间接的从事与 </w:t>
            </w:r>
            <w:r>
              <w:rPr>
                <w:rFonts w:ascii="宋体" w:hAnsi="宋体" w:cs="宋体" w:eastAsia="宋体" w:hint="default"/>
                <w:spacing w:val="-3"/>
                <w:sz w:val="18"/>
                <w:szCs w:val="18"/>
              </w:rPr>
              <w:t>摩登大道相竞争的业务，以避免与摩登大</w:t>
            </w:r>
            <w:r>
              <w:rPr>
                <w:rFonts w:ascii="宋体" w:hAnsi="宋体" w:cs="宋体" w:eastAsia="宋体" w:hint="default"/>
                <w:sz w:val="18"/>
                <w:szCs w:val="18"/>
              </w:rPr>
              <w:t> 道的生产经营构成可能的直接的或间接 的业务竞争；</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、如本人及本人拥有控制权的其他企业</w:t>
            </w:r>
          </w:p>
          <w:p>
            <w:pPr>
              <w:pStyle w:val="TableParagraph"/>
              <w:spacing w:line="319" w:lineRule="auto" w:before="63"/>
              <w:ind w:left="103" w:right="100"/>
              <w:jc w:val="left"/>
              <w:rPr>
                <w:rFonts w:ascii="宋体" w:hAnsi="宋体" w:cs="宋体" w:eastAsia="宋体" w:hint="default"/>
                <w:sz w:val="18"/>
                <w:szCs w:val="18"/>
              </w:rPr>
            </w:pPr>
            <w:r>
              <w:rPr>
                <w:rFonts w:ascii="宋体" w:hAnsi="宋体" w:cs="宋体" w:eastAsia="宋体" w:hint="default"/>
                <w:spacing w:val="-3"/>
                <w:sz w:val="18"/>
                <w:szCs w:val="18"/>
              </w:rPr>
              <w:t>（若有）有任何商业机会可从事或参与任</w:t>
            </w:r>
            <w:r>
              <w:rPr>
                <w:rFonts w:ascii="宋体" w:hAnsi="宋体" w:cs="宋体" w:eastAsia="宋体" w:hint="default"/>
                <w:sz w:val="18"/>
                <w:szCs w:val="18"/>
              </w:rPr>
              <w:t> 何可能与摩登大道的生产经营构成竞争 </w:t>
            </w:r>
            <w:r>
              <w:rPr>
                <w:rFonts w:ascii="宋体" w:hAnsi="宋体" w:cs="宋体" w:eastAsia="宋体" w:hint="default"/>
                <w:spacing w:val="-3"/>
                <w:sz w:val="18"/>
                <w:szCs w:val="18"/>
              </w:rPr>
              <w:t>的活动，则立即将上述商业机会书面通知</w:t>
            </w:r>
            <w:r>
              <w:rPr>
                <w:rFonts w:ascii="宋体" w:hAnsi="宋体" w:cs="宋体" w:eastAsia="宋体" w:hint="default"/>
                <w:sz w:val="18"/>
                <w:szCs w:val="18"/>
              </w:rPr>
              <w:t> </w:t>
            </w:r>
            <w:r>
              <w:rPr>
                <w:rFonts w:ascii="宋体" w:hAnsi="宋体" w:cs="宋体" w:eastAsia="宋体" w:hint="default"/>
                <w:spacing w:val="-3"/>
                <w:sz w:val="18"/>
                <w:szCs w:val="18"/>
              </w:rPr>
              <w:t>摩登大道，如在通知中所指定的合理期间</w:t>
            </w:r>
            <w:r>
              <w:rPr>
                <w:rFonts w:ascii="宋体" w:hAnsi="宋体" w:cs="宋体" w:eastAsia="宋体" w:hint="default"/>
                <w:sz w:val="18"/>
                <w:szCs w:val="18"/>
              </w:rPr>
              <w:t> </w:t>
            </w:r>
            <w:r>
              <w:rPr>
                <w:rFonts w:ascii="宋体" w:hAnsi="宋体" w:cs="宋体" w:eastAsia="宋体" w:hint="default"/>
                <w:spacing w:val="-3"/>
                <w:sz w:val="18"/>
                <w:szCs w:val="18"/>
              </w:rPr>
              <w:t>内，摩登大道书面作出愿意利用该商业机</w:t>
            </w:r>
            <w:r>
              <w:rPr>
                <w:rFonts w:ascii="宋体" w:hAnsi="宋体" w:cs="宋体" w:eastAsia="宋体" w:hint="default"/>
                <w:sz w:val="18"/>
                <w:szCs w:val="18"/>
              </w:rPr>
              <w:t> </w:t>
            </w:r>
            <w:r>
              <w:rPr>
                <w:rFonts w:ascii="宋体" w:hAnsi="宋体" w:cs="宋体" w:eastAsia="宋体" w:hint="default"/>
                <w:spacing w:val="-3"/>
                <w:sz w:val="18"/>
                <w:szCs w:val="18"/>
              </w:rPr>
              <w:t>会的肯定答复，则尽力将该商业机会优先</w:t>
            </w:r>
            <w:r>
              <w:rPr>
                <w:rFonts w:ascii="宋体" w:hAnsi="宋体" w:cs="宋体" w:eastAsia="宋体" w:hint="default"/>
                <w:sz w:val="18"/>
                <w:szCs w:val="18"/>
              </w:rPr>
              <w:t> 提供给摩登大道。</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自承诺函 签署之日起 生效，承诺 人在作为摩 登大道控股 股东期间内 持续有效且 不可变更或 撤销；</w:t>
            </w:r>
            <w:r>
              <w:rPr>
                <w:rFonts w:ascii="Times New Roman" w:hAnsi="Times New Roman" w:cs="Times New Roman" w:eastAsia="Times New Roman" w:hint="default"/>
                <w:sz w:val="18"/>
                <w:szCs w:val="18"/>
              </w:rPr>
              <w:t>2.</w:t>
            </w:r>
            <w:r>
              <w:rPr>
                <w:rFonts w:ascii="宋体" w:hAnsi="宋体" w:cs="宋体" w:eastAsia="宋体" w:hint="default"/>
                <w:sz w:val="18"/>
                <w:szCs w:val="18"/>
              </w:rPr>
              <w:t>自 承诺函签署 之日起生 效，承诺人 在作为摩登 大道实际控 制人期间内 持续有效且 不可变更或 撤销；</w:t>
            </w:r>
            <w:r>
              <w:rPr>
                <w:rFonts w:ascii="Times New Roman" w:hAnsi="Times New Roman" w:cs="Times New Roman" w:eastAsia="Times New Roman" w:hint="default"/>
                <w:sz w:val="18"/>
                <w:szCs w:val="18"/>
              </w:rPr>
              <w:t>3.</w:t>
            </w:r>
            <w:r>
              <w:rPr>
                <w:rFonts w:ascii="宋体" w:hAnsi="宋体" w:cs="宋体" w:eastAsia="宋体" w:hint="default"/>
                <w:sz w:val="18"/>
                <w:szCs w:val="18"/>
              </w:rPr>
              <w:t>自 承诺函签署 之日起生 效，承诺人 在作为摩登 大道股东期 间内持续有 效且不可变 更或撤销。</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6" w:lineRule="auto"/>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6"/>
      </w:tblGrid>
      <w:tr>
        <w:trPr>
          <w:trHeight w:val="5082" w:hRule="exact"/>
        </w:trPr>
        <w:tc>
          <w:tcPr>
            <w:tcW w:w="1276" w:type="dxa"/>
            <w:vMerge w:val="restart"/>
            <w:tcBorders>
              <w:top w:val="single" w:sz="4" w:space="0" w:color="C00000"/>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9"/>
              <w:ind w:left="103" w:right="99"/>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 </w:t>
            </w:r>
            <w:r>
              <w:rPr>
                <w:rFonts w:ascii="宋体" w:hAnsi="宋体" w:cs="宋体" w:eastAsia="宋体" w:hint="default"/>
                <w:sz w:val="18"/>
                <w:szCs w:val="18"/>
              </w:rPr>
              <w:t>武汉悦然心动投 资管理中心（有 </w:t>
            </w:r>
            <w:r>
              <w:rPr>
                <w:rFonts w:ascii="宋体" w:hAnsi="宋体" w:cs="宋体" w:eastAsia="宋体" w:hint="default"/>
                <w:spacing w:val="-2"/>
                <w:sz w:val="18"/>
                <w:szCs w:val="18"/>
              </w:rPr>
              <w:t>限合伙）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颜庆华</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赵威</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5" w:right="53"/>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pacing w:val="-13"/>
                <w:sz w:val="18"/>
                <w:szCs w:val="18"/>
              </w:rPr>
              <w:t>在本人（本企业）作为摩登大道的股东（或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是股东关联方）期间，本人（本企业）控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制的企业将尽量减少并规范与摩登大道 </w:t>
            </w:r>
            <w:r>
              <w:rPr>
                <w:rFonts w:ascii="宋体" w:hAnsi="宋体" w:cs="宋体" w:eastAsia="宋体" w:hint="default"/>
                <w:spacing w:val="-3"/>
                <w:sz w:val="18"/>
                <w:szCs w:val="18"/>
              </w:rPr>
              <w:t>及下属子公司的关联交易，不会利用自身</w:t>
            </w:r>
            <w:r>
              <w:rPr>
                <w:rFonts w:ascii="宋体" w:hAnsi="宋体" w:cs="宋体" w:eastAsia="宋体" w:hint="default"/>
                <w:sz w:val="18"/>
                <w:szCs w:val="18"/>
              </w:rPr>
              <w:t> 作为摩登大道股东的地位谋求与摩登大 道在业务合作等方面给予优于市场第三 </w:t>
            </w:r>
            <w:r>
              <w:rPr>
                <w:rFonts w:ascii="宋体" w:hAnsi="宋体" w:cs="宋体" w:eastAsia="宋体" w:hint="default"/>
                <w:spacing w:val="-3"/>
                <w:sz w:val="18"/>
                <w:szCs w:val="18"/>
              </w:rPr>
              <w:t>方的权利；不会利用自身作为摩登大道股</w:t>
            </w:r>
            <w:r>
              <w:rPr>
                <w:rFonts w:ascii="宋体" w:hAnsi="宋体" w:cs="宋体" w:eastAsia="宋体" w:hint="default"/>
                <w:sz w:val="18"/>
                <w:szCs w:val="18"/>
              </w:rPr>
              <w:t> 东的地位谋求与摩登大道达成交易的优 </w:t>
            </w:r>
            <w:r>
              <w:rPr>
                <w:rFonts w:ascii="宋体" w:hAnsi="宋体" w:cs="宋体" w:eastAsia="宋体" w:hint="default"/>
                <w:spacing w:val="-3"/>
                <w:sz w:val="18"/>
                <w:szCs w:val="18"/>
              </w:rPr>
              <w:t>先权利。若存在确有必要且不可避免的关</w:t>
            </w:r>
            <w:r>
              <w:rPr>
                <w:rFonts w:ascii="宋体" w:hAnsi="宋体" w:cs="宋体" w:eastAsia="宋体" w:hint="default"/>
                <w:sz w:val="18"/>
                <w:szCs w:val="18"/>
              </w:rPr>
              <w:t> </w:t>
            </w:r>
            <w:r>
              <w:rPr>
                <w:rFonts w:ascii="宋体" w:hAnsi="宋体" w:cs="宋体" w:eastAsia="宋体" w:hint="default"/>
                <w:spacing w:val="-3"/>
                <w:sz w:val="18"/>
                <w:szCs w:val="18"/>
              </w:rPr>
              <w:t>联交易，本人（本企业）控制的企业将与</w:t>
            </w:r>
            <w:r>
              <w:rPr>
                <w:rFonts w:ascii="宋体" w:hAnsi="宋体" w:cs="宋体" w:eastAsia="宋体" w:hint="default"/>
                <w:sz w:val="18"/>
                <w:szCs w:val="18"/>
              </w:rPr>
              <w:t> </w:t>
            </w:r>
            <w:r>
              <w:rPr>
                <w:rFonts w:ascii="宋体" w:hAnsi="宋体" w:cs="宋体" w:eastAsia="宋体" w:hint="default"/>
                <w:spacing w:val="-4"/>
                <w:sz w:val="18"/>
                <w:szCs w:val="18"/>
              </w:rPr>
              <w:t>摩登大道或下属子公司依法签订协议，履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行合法程序，并将按照有关法律、法规和</w:t>
            </w:r>
          </w:p>
          <w:p>
            <w:pPr>
              <w:pStyle w:val="TableParagraph"/>
              <w:spacing w:line="316" w:lineRule="auto" w:before="19"/>
              <w:ind w:left="103" w:right="48"/>
              <w:jc w:val="left"/>
              <w:rPr>
                <w:rFonts w:ascii="宋体" w:hAnsi="宋体" w:cs="宋体" w:eastAsia="宋体" w:hint="default"/>
                <w:sz w:val="18"/>
                <w:szCs w:val="18"/>
              </w:rPr>
            </w:pPr>
            <w:r>
              <w:rPr>
                <w:rFonts w:ascii="宋体" w:hAnsi="宋体" w:cs="宋体" w:eastAsia="宋体" w:hint="default"/>
                <w:spacing w:val="-5"/>
                <w:sz w:val="18"/>
                <w:szCs w:val="18"/>
              </w:rPr>
              <w:t>《上市规则》、摩登大道章程等有关规定</w:t>
            </w:r>
            <w:r>
              <w:rPr>
                <w:rFonts w:ascii="宋体" w:hAnsi="宋体" w:cs="宋体" w:eastAsia="宋体" w:hint="default"/>
                <w:sz w:val="18"/>
                <w:szCs w:val="18"/>
              </w:rPr>
              <w:t> 履行信息披露义务和办理有关内部决策、 </w:t>
            </w:r>
            <w:r>
              <w:rPr>
                <w:rFonts w:ascii="宋体" w:hAnsi="宋体" w:cs="宋体" w:eastAsia="宋体" w:hint="default"/>
                <w:spacing w:val="-3"/>
                <w:sz w:val="18"/>
                <w:szCs w:val="18"/>
              </w:rPr>
              <w:t>报批程序，保证不通过关联交易损害摩登</w:t>
            </w:r>
            <w:r>
              <w:rPr>
                <w:rFonts w:ascii="宋体" w:hAnsi="宋体" w:cs="宋体" w:eastAsia="宋体" w:hint="default"/>
                <w:sz w:val="18"/>
                <w:szCs w:val="18"/>
              </w:rPr>
              <w:t> 大道及摩登大道其他股东的合法权益。</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18"/>
              <w:jc w:val="both"/>
              <w:rPr>
                <w:rFonts w:ascii="宋体" w:hAnsi="宋体" w:cs="宋体" w:eastAsia="宋体" w:hint="default"/>
                <w:sz w:val="18"/>
                <w:szCs w:val="18"/>
              </w:rPr>
            </w:pPr>
            <w:r>
              <w:rPr>
                <w:rFonts w:ascii="宋体" w:hAnsi="宋体" w:cs="宋体" w:eastAsia="宋体" w:hint="default"/>
                <w:sz w:val="18"/>
                <w:szCs w:val="18"/>
              </w:rPr>
              <w:t>自资产重组 完成后，承 诺人作为摩 登大道的股 东（或是股 东关联方） 期间</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5516"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20"/>
              <w:ind w:left="103" w:right="122"/>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 </w:t>
            </w:r>
            <w:r>
              <w:rPr>
                <w:rFonts w:ascii="宋体" w:hAnsi="宋体" w:cs="宋体" w:eastAsia="宋体" w:hint="default"/>
                <w:sz w:val="18"/>
                <w:szCs w:val="18"/>
              </w:rPr>
              <w:t>武汉悦然心动投 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曾 李青</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5" w:right="233"/>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00" w:lineRule="auto" w:before="51"/>
              <w:ind w:left="103"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、承诺悦然心动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 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年度实现的净利润分别不低于 </w:t>
            </w:r>
            <w:r>
              <w:rPr>
                <w:rFonts w:ascii="Times New Roman" w:hAnsi="Times New Roman" w:cs="Times New Roman" w:eastAsia="Times New Roman" w:hint="default"/>
                <w:sz w:val="18"/>
                <w:szCs w:val="18"/>
              </w:rPr>
              <w:t>3,300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4,550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6,150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314" w:lineRule="auto" w:before="53"/>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、如在承诺期内，悦然心动截至当期期 末累计实现净利润数低于截至当期期末 </w:t>
            </w:r>
            <w:r>
              <w:rPr>
                <w:rFonts w:ascii="宋体" w:hAnsi="宋体" w:cs="宋体" w:eastAsia="宋体" w:hint="default"/>
                <w:spacing w:val="-3"/>
                <w:sz w:val="18"/>
                <w:szCs w:val="18"/>
              </w:rPr>
              <w:t>累计承诺净利润数的，承诺方应优先以通</w:t>
            </w:r>
            <w:r>
              <w:rPr>
                <w:rFonts w:ascii="宋体" w:hAnsi="宋体" w:cs="宋体" w:eastAsia="宋体" w:hint="default"/>
                <w:sz w:val="18"/>
                <w:szCs w:val="18"/>
              </w:rPr>
              <w:t> 过本次交易而取得的上市公司股份对上 </w:t>
            </w:r>
            <w:r>
              <w:rPr>
                <w:rFonts w:ascii="宋体" w:hAnsi="宋体" w:cs="宋体" w:eastAsia="宋体" w:hint="default"/>
                <w:spacing w:val="-3"/>
                <w:sz w:val="18"/>
                <w:szCs w:val="18"/>
              </w:rPr>
              <w:t>市公司进行补偿，股份补偿方式不足以补</w:t>
            </w:r>
            <w:r>
              <w:rPr>
                <w:rFonts w:ascii="宋体" w:hAnsi="宋体" w:cs="宋体" w:eastAsia="宋体" w:hint="default"/>
                <w:sz w:val="18"/>
                <w:szCs w:val="18"/>
              </w:rPr>
              <w:t> 偿的部分由承诺方以现金进行补偿；</w:t>
            </w:r>
          </w:p>
          <w:p>
            <w:pPr>
              <w:pStyle w:val="TableParagraph"/>
              <w:spacing w:line="314" w:lineRule="auto" w:before="61"/>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、如承诺方当年需向上市公司支付补偿 </w:t>
            </w:r>
            <w:r>
              <w:rPr>
                <w:rFonts w:ascii="宋体" w:hAnsi="宋体" w:cs="宋体" w:eastAsia="宋体" w:hint="default"/>
                <w:spacing w:val="-3"/>
                <w:sz w:val="18"/>
                <w:szCs w:val="18"/>
              </w:rPr>
              <w:t>的，则先以其因本次交易取得的尚未出售</w:t>
            </w:r>
            <w:r>
              <w:rPr>
                <w:rFonts w:ascii="宋体" w:hAnsi="宋体" w:cs="宋体" w:eastAsia="宋体" w:hint="default"/>
                <w:sz w:val="18"/>
                <w:szCs w:val="18"/>
              </w:rPr>
              <w:t> 的股份进行补偿，不足的部分以现金补 </w:t>
            </w:r>
            <w:r>
              <w:rPr>
                <w:rFonts w:ascii="宋体" w:hAnsi="宋体" w:cs="宋体" w:eastAsia="宋体" w:hint="default"/>
                <w:spacing w:val="-3"/>
                <w:sz w:val="18"/>
                <w:szCs w:val="18"/>
              </w:rPr>
              <w:t>偿。承诺方内部按各自在本次交易中获得</w:t>
            </w:r>
            <w:r>
              <w:rPr>
                <w:rFonts w:ascii="宋体" w:hAnsi="宋体" w:cs="宋体" w:eastAsia="宋体" w:hint="default"/>
                <w:sz w:val="18"/>
                <w:szCs w:val="18"/>
              </w:rPr>
              <w:t> 的交易对价占承诺方在本次交易所获总 对价的比例承担补偿责任；</w:t>
            </w:r>
          </w:p>
          <w:p>
            <w:pPr>
              <w:pStyle w:val="TableParagraph"/>
              <w:spacing w:line="300" w:lineRule="auto" w:before="59"/>
              <w:ind w:left="103"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、承诺方内部就其应承担的补偿事宜互 负连带责任。</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承诺期为</w:t>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300" w:lineRule="auto" w:before="63"/>
              <w:ind w:left="103" w:right="204"/>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3171"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04" w:lineRule="auto"/>
              <w:ind w:left="103" w:right="122"/>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 </w:t>
            </w:r>
            <w:r>
              <w:rPr>
                <w:rFonts w:ascii="宋体" w:hAnsi="宋体" w:cs="宋体" w:eastAsia="宋体" w:hint="default"/>
                <w:sz w:val="18"/>
                <w:szCs w:val="18"/>
              </w:rPr>
              <w:t>武汉悦然心动投 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曾 李青</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05" w:right="23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07" w:lineRule="auto" w:before="49"/>
              <w:ind w:left="103" w:right="132"/>
              <w:jc w:val="left"/>
              <w:rPr>
                <w:rFonts w:ascii="宋体" w:hAnsi="宋体" w:cs="宋体" w:eastAsia="宋体" w:hint="default"/>
                <w:sz w:val="18"/>
                <w:szCs w:val="18"/>
              </w:rPr>
            </w:pP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本人通过本次收购获得的摩登大 道新增股份自该等新增股份上市之日起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个月届满之日不得以任何方式进行 转让。</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个月法定锁定期限届满后，本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本人通过本次收购获得的摩登大道 新增股份按照下述安排分期解锁： 第一期：自新增股份上市之日起满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p>
            <w:pPr>
              <w:pStyle w:val="TableParagraph"/>
              <w:spacing w:line="309" w:lineRule="auto" w:before="7"/>
              <w:ind w:left="103" w:right="99"/>
              <w:jc w:val="both"/>
              <w:rPr>
                <w:rFonts w:ascii="宋体" w:hAnsi="宋体" w:cs="宋体" w:eastAsia="宋体" w:hint="default"/>
                <w:sz w:val="18"/>
                <w:szCs w:val="18"/>
              </w:rPr>
            </w:pPr>
            <w:r>
              <w:rPr>
                <w:rFonts w:ascii="宋体" w:hAnsi="宋体" w:cs="宋体" w:eastAsia="宋体" w:hint="default"/>
                <w:sz w:val="18"/>
                <w:szCs w:val="18"/>
              </w:rPr>
              <w:t>月且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年度对应的业绩补偿义务（如 </w:t>
            </w:r>
            <w:r>
              <w:rPr>
                <w:rFonts w:ascii="宋体" w:hAnsi="宋体" w:cs="宋体" w:eastAsia="宋体" w:hint="default"/>
                <w:spacing w:val="-3"/>
                <w:sz w:val="18"/>
                <w:szCs w:val="18"/>
              </w:rPr>
              <w:t>有）已履行完毕的，其本次取得的新增股</w:t>
            </w:r>
            <w:r>
              <w:rPr>
                <w:rFonts w:ascii="宋体" w:hAnsi="宋体" w:cs="宋体" w:eastAsia="宋体" w:hint="default"/>
                <w:sz w:val="18"/>
                <w:szCs w:val="18"/>
              </w:rPr>
              <w:t> 份中的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扣减前述因履行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309" w:lineRule="auto" w:before="49"/>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本次资产 重组新增股 份上市之日 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月届满之 日；</w:t>
            </w:r>
            <w:r>
              <w:rPr>
                <w:rFonts w:ascii="Times New Roman" w:hAnsi="Times New Roman" w:cs="Times New Roman" w:eastAsia="Times New Roman" w:hint="default"/>
                <w:sz w:val="18"/>
                <w:szCs w:val="18"/>
              </w:rPr>
              <w:t>2.</w:t>
            </w:r>
            <w:r>
              <w:rPr>
                <w:rFonts w:ascii="宋体" w:hAnsi="宋体" w:cs="宋体" w:eastAsia="宋体" w:hint="default"/>
                <w:sz w:val="18"/>
                <w:szCs w:val="18"/>
              </w:rPr>
              <w:t>上述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个月法 定锁定期限 届满起满</w:t>
            </w:r>
          </w:p>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24</w:t>
            </w:r>
            <w:r>
              <w:rPr>
                <w:rFonts w:ascii="Times New Roman" w:hAnsi="Times New Roman" w:cs="Times New Roman" w:eastAsia="Times New Roman" w:hint="default"/>
                <w:sz w:val="18"/>
                <w:szCs w:val="18"/>
              </w:rPr>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6" w:lineRule="auto"/>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6"/>
      </w:tblGrid>
      <w:tr>
        <w:trPr>
          <w:trHeight w:val="7619" w:hRule="exact"/>
        </w:trPr>
        <w:tc>
          <w:tcPr>
            <w:tcW w:w="1276" w:type="dxa"/>
            <w:vMerge w:val="restart"/>
            <w:tcBorders>
              <w:top w:val="single" w:sz="4" w:space="0" w:color="C00000"/>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38" w:lineRule="auto" w:before="8"/>
              <w:ind w:left="103" w:right="99"/>
              <w:jc w:val="left"/>
              <w:rPr>
                <w:rFonts w:ascii="宋体" w:hAnsi="宋体" w:cs="宋体" w:eastAsia="宋体" w:hint="default"/>
                <w:sz w:val="18"/>
                <w:szCs w:val="18"/>
              </w:rPr>
            </w:pPr>
            <w:r>
              <w:rPr>
                <w:rFonts w:ascii="宋体" w:hAnsi="宋体" w:cs="宋体" w:eastAsia="宋体" w:hint="default"/>
                <w:spacing w:val="-3"/>
                <w:sz w:val="18"/>
                <w:szCs w:val="18"/>
              </w:rPr>
              <w:t>应的补偿义务已补偿股份数量（如有）后</w:t>
            </w:r>
            <w:r>
              <w:rPr>
                <w:rFonts w:ascii="宋体" w:hAnsi="宋体" w:cs="宋体" w:eastAsia="宋体" w:hint="default"/>
                <w:sz w:val="18"/>
                <w:szCs w:val="18"/>
              </w:rPr>
              <w:t> 的剩余部分可解除锁定； 第二期：自新增股份上市之日起满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月且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年度对应的业绩补偿义务（如</w:t>
            </w:r>
          </w:p>
          <w:p>
            <w:pPr>
              <w:pStyle w:val="TableParagraph"/>
              <w:spacing w:line="312" w:lineRule="auto" w:before="63"/>
              <w:ind w:left="103" w:right="99"/>
              <w:jc w:val="both"/>
              <w:rPr>
                <w:rFonts w:ascii="宋体" w:hAnsi="宋体" w:cs="宋体" w:eastAsia="宋体" w:hint="default"/>
                <w:sz w:val="18"/>
                <w:szCs w:val="18"/>
              </w:rPr>
            </w:pPr>
            <w:r>
              <w:rPr>
                <w:rFonts w:ascii="宋体" w:hAnsi="宋体" w:cs="宋体" w:eastAsia="宋体" w:hint="default"/>
                <w:spacing w:val="-3"/>
                <w:sz w:val="18"/>
                <w:szCs w:val="18"/>
              </w:rPr>
              <w:t>有）已履行完毕的，其本次取得的新增股</w:t>
            </w:r>
            <w:r>
              <w:rPr>
                <w:rFonts w:ascii="宋体" w:hAnsi="宋体" w:cs="宋体" w:eastAsia="宋体" w:hint="default"/>
                <w:sz w:val="18"/>
                <w:szCs w:val="18"/>
              </w:rPr>
              <w:t> 份中的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扣减前述因履行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 </w:t>
            </w:r>
            <w:r>
              <w:rPr>
                <w:rFonts w:ascii="宋体" w:hAnsi="宋体" w:cs="宋体" w:eastAsia="宋体" w:hint="default"/>
                <w:spacing w:val="-3"/>
                <w:sz w:val="18"/>
                <w:szCs w:val="18"/>
              </w:rPr>
              <w:t>应的补偿义务已补偿股份数量（如有）后</w:t>
            </w:r>
            <w:r>
              <w:rPr>
                <w:rFonts w:ascii="宋体" w:hAnsi="宋体" w:cs="宋体" w:eastAsia="宋体" w:hint="default"/>
                <w:sz w:val="18"/>
                <w:szCs w:val="18"/>
              </w:rPr>
              <w:t> 的剩余部分可解除锁定；</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第三期：自新增股份上市之日起满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p>
            <w:pPr>
              <w:pStyle w:val="TableParagraph"/>
              <w:spacing w:line="312" w:lineRule="auto" w:before="63"/>
              <w:ind w:left="103"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月且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年度对应的补偿义务（如有） </w:t>
            </w:r>
            <w:r>
              <w:rPr>
                <w:rFonts w:ascii="宋体" w:hAnsi="宋体" w:cs="宋体" w:eastAsia="宋体" w:hint="default"/>
                <w:spacing w:val="-3"/>
                <w:sz w:val="18"/>
                <w:szCs w:val="18"/>
              </w:rPr>
              <w:t>已履行完毕的，其本次取得的新增股份中</w:t>
            </w:r>
            <w:r>
              <w:rPr>
                <w:rFonts w:ascii="宋体" w:hAnsi="宋体" w:cs="宋体" w:eastAsia="宋体" w:hint="default"/>
                <w:sz w:val="18"/>
                <w:szCs w:val="18"/>
              </w:rPr>
              <w:t>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扣减前述因履行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年度对应的 </w:t>
            </w:r>
            <w:r>
              <w:rPr>
                <w:rFonts w:ascii="宋体" w:hAnsi="宋体" w:cs="宋体" w:eastAsia="宋体" w:hint="default"/>
                <w:spacing w:val="-3"/>
                <w:sz w:val="18"/>
                <w:szCs w:val="18"/>
              </w:rPr>
              <w:t>补偿义务已补偿股份数量（如有）后的剩</w:t>
            </w:r>
            <w:r>
              <w:rPr>
                <w:rFonts w:ascii="宋体" w:hAnsi="宋体" w:cs="宋体" w:eastAsia="宋体" w:hint="default"/>
                <w:sz w:val="18"/>
                <w:szCs w:val="18"/>
              </w:rPr>
              <w:t> </w:t>
            </w:r>
            <w:r>
              <w:rPr>
                <w:rFonts w:ascii="宋体" w:hAnsi="宋体" w:cs="宋体" w:eastAsia="宋体" w:hint="default"/>
                <w:spacing w:val="-3"/>
                <w:sz w:val="18"/>
                <w:szCs w:val="18"/>
              </w:rPr>
              <w:t>余部分可解除锁定。第四期：自新增股份</w:t>
            </w:r>
            <w:r>
              <w:rPr>
                <w:rFonts w:ascii="宋体" w:hAnsi="宋体" w:cs="宋体" w:eastAsia="宋体" w:hint="default"/>
                <w:sz w:val="18"/>
                <w:szCs w:val="18"/>
              </w:rPr>
              <w:t> 上市之日起满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z w:val="18"/>
                <w:szCs w:val="18"/>
              </w:rPr>
            </w:r>
          </w:p>
          <w:p>
            <w:pPr>
              <w:pStyle w:val="TableParagraph"/>
              <w:spacing w:line="312" w:lineRule="auto" w:before="3"/>
              <w:ind w:left="103" w:right="10"/>
              <w:jc w:val="left"/>
              <w:rPr>
                <w:rFonts w:ascii="宋体" w:hAnsi="宋体" w:cs="宋体" w:eastAsia="宋体" w:hint="default"/>
                <w:sz w:val="18"/>
                <w:szCs w:val="18"/>
              </w:rPr>
            </w:pPr>
            <w:r>
              <w:rPr>
                <w:rFonts w:ascii="宋体" w:hAnsi="宋体" w:cs="宋体" w:eastAsia="宋体" w:hint="default"/>
                <w:sz w:val="18"/>
                <w:szCs w:val="18"/>
              </w:rPr>
              <w:t>年度及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年度对应的补偿义务（如有）</w:t>
            </w:r>
            <w:r>
              <w:rPr>
                <w:rFonts w:ascii="宋体" w:hAnsi="宋体" w:cs="宋体" w:eastAsia="宋体" w:hint="default"/>
                <w:sz w:val="18"/>
                <w:szCs w:val="18"/>
              </w:rPr>
              <w:t> </w:t>
            </w:r>
            <w:r>
              <w:rPr>
                <w:rFonts w:ascii="宋体" w:hAnsi="宋体" w:cs="宋体" w:eastAsia="宋体" w:hint="default"/>
                <w:spacing w:val="-3"/>
                <w:sz w:val="18"/>
                <w:szCs w:val="18"/>
              </w:rPr>
              <w:t>已履行完毕的，其本次取得的新增股份中</w:t>
            </w:r>
            <w:r>
              <w:rPr>
                <w:rFonts w:ascii="宋体" w:hAnsi="宋体" w:cs="宋体" w:eastAsia="宋体" w:hint="default"/>
                <w:sz w:val="18"/>
                <w:szCs w:val="18"/>
              </w:rPr>
              <w:t> </w:t>
            </w:r>
            <w:r>
              <w:rPr>
                <w:rFonts w:ascii="宋体" w:hAnsi="宋体" w:cs="宋体" w:eastAsia="宋体" w:hint="default"/>
                <w:spacing w:val="-4"/>
                <w:sz w:val="18"/>
                <w:szCs w:val="18"/>
              </w:rPr>
              <w:t>尚未解锁的剩余股份可解除锁定。在本协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议约定的补偿期内，如果悦然心动当年累</w:t>
            </w:r>
            <w:r>
              <w:rPr>
                <w:rFonts w:ascii="宋体" w:hAnsi="宋体" w:cs="宋体" w:eastAsia="宋体" w:hint="default"/>
                <w:sz w:val="18"/>
                <w:szCs w:val="18"/>
              </w:rPr>
              <w:t> 积实际实现的净利润不足承诺的累积应 实现的净利润的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，则本企业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 本次交易中取得的新增股份中尚未解除 锁定部分延长至新增股份上市之日起满</w:t>
            </w:r>
          </w:p>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个月后方可解除锁定。</w:t>
            </w: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307" w:lineRule="auto" w:before="8"/>
              <w:ind w:left="103" w:right="96"/>
              <w:jc w:val="left"/>
              <w:rPr>
                <w:rFonts w:ascii="宋体" w:hAnsi="宋体" w:cs="宋体" w:eastAsia="宋体" w:hint="default"/>
                <w:sz w:val="18"/>
                <w:szCs w:val="18"/>
              </w:rPr>
            </w:pP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月、</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r>
              <w:rPr>
                <w:rFonts w:ascii="Times New Roman" w:hAnsi="Times New Roman" w:cs="Times New Roman" w:eastAsia="Times New Roman" w:hint="default"/>
                <w:sz w:val="18"/>
                <w:szCs w:val="18"/>
              </w:rPr>
              <w:t>3.</w:t>
            </w:r>
            <w:r>
              <w:rPr>
                <w:rFonts w:ascii="宋体" w:hAnsi="宋体" w:cs="宋体" w:eastAsia="宋体" w:hint="default"/>
                <w:sz w:val="18"/>
                <w:szCs w:val="18"/>
              </w:rPr>
              <w:t>本次 资产重组新 增股份上市 之日起满</w:t>
            </w:r>
          </w:p>
          <w:p>
            <w:pPr>
              <w:pStyle w:val="TableParagraph"/>
              <w:spacing w:line="240" w:lineRule="auto" w:before="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tc>
        <w:tc>
          <w:tcPr>
            <w:tcW w:w="636" w:type="dxa"/>
            <w:tcBorders>
              <w:top w:val="single" w:sz="4" w:space="0" w:color="C00000"/>
              <w:left w:val="single" w:sz="4" w:space="0" w:color="C00000"/>
              <w:bottom w:val="single" w:sz="4" w:space="0" w:color="C00000"/>
              <w:right w:val="single" w:sz="4" w:space="0" w:color="C00000"/>
            </w:tcBorders>
          </w:tcPr>
          <w:p>
            <w:pPr/>
          </w:p>
        </w:tc>
      </w:tr>
      <w:tr>
        <w:trPr>
          <w:trHeight w:val="2587"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3" w:right="262"/>
              <w:jc w:val="left"/>
              <w:rPr>
                <w:rFonts w:ascii="宋体" w:hAnsi="宋体" w:cs="宋体" w:eastAsia="宋体" w:hint="default"/>
                <w:sz w:val="18"/>
                <w:szCs w:val="18"/>
              </w:rPr>
            </w:pPr>
            <w:r>
              <w:rPr>
                <w:rFonts w:ascii="宋体" w:hAnsi="宋体" w:cs="宋体" w:eastAsia="宋体" w:hint="default"/>
                <w:sz w:val="18"/>
                <w:szCs w:val="18"/>
              </w:rPr>
              <w:t>陈国兴</w:t>
            </w:r>
            <w:r>
              <w:rPr>
                <w:rFonts w:ascii="Times New Roman" w:hAnsi="Times New Roman" w:cs="Times New Roman" w:eastAsia="Times New Roman" w:hint="default"/>
                <w:sz w:val="18"/>
                <w:szCs w:val="18"/>
              </w:rPr>
              <w:t>;</w:t>
            </w:r>
            <w:r>
              <w:rPr>
                <w:rFonts w:ascii="宋体" w:hAnsi="宋体" w:cs="宋体" w:eastAsia="宋体" w:hint="default"/>
                <w:sz w:val="18"/>
                <w:szCs w:val="18"/>
              </w:rPr>
              <w:t>刘金柱</w:t>
            </w:r>
            <w:r>
              <w:rPr>
                <w:rFonts w:ascii="Times New Roman" w:hAnsi="Times New Roman" w:cs="Times New Roman" w:eastAsia="Times New Roman" w:hint="default"/>
                <w:sz w:val="18"/>
                <w:szCs w:val="18"/>
              </w:rPr>
              <w:t>; </w:t>
            </w:r>
            <w:r>
              <w:rPr>
                <w:rFonts w:ascii="宋体" w:hAnsi="宋体" w:cs="宋体" w:eastAsia="宋体" w:hint="default"/>
                <w:sz w:val="18"/>
                <w:szCs w:val="18"/>
              </w:rPr>
              <w:t>颜庆华</w:t>
            </w:r>
            <w:r>
              <w:rPr>
                <w:rFonts w:ascii="Times New Roman" w:hAnsi="Times New Roman" w:cs="Times New Roman" w:eastAsia="Times New Roman" w:hint="default"/>
                <w:sz w:val="18"/>
                <w:szCs w:val="18"/>
              </w:rPr>
              <w:t>;</w:t>
            </w:r>
            <w:r>
              <w:rPr>
                <w:rFonts w:ascii="宋体" w:hAnsi="宋体" w:cs="宋体" w:eastAsia="宋体" w:hint="default"/>
                <w:sz w:val="18"/>
                <w:szCs w:val="18"/>
              </w:rPr>
              <w:t>赵威</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pacing w:val="-3"/>
                <w:sz w:val="18"/>
                <w:szCs w:val="18"/>
              </w:rPr>
              <w:t>截至本声明与承诺作出之日，悦然心动及</w:t>
            </w:r>
            <w:r>
              <w:rPr>
                <w:rFonts w:ascii="宋体" w:hAnsi="宋体" w:cs="宋体" w:eastAsia="宋体" w:hint="default"/>
                <w:sz w:val="18"/>
                <w:szCs w:val="18"/>
              </w:rPr>
              <w:t> 其子公司不存在因违反中国大陆以外的 税收法规被立案调查、处罚或起诉的情 </w:t>
            </w:r>
            <w:r>
              <w:rPr>
                <w:rFonts w:ascii="宋体" w:hAnsi="宋体" w:cs="宋体" w:eastAsia="宋体" w:hint="default"/>
                <w:spacing w:val="-3"/>
                <w:sz w:val="18"/>
                <w:szCs w:val="18"/>
              </w:rPr>
              <w:t>况，如悦然心动及其子公司因违反中国大</w:t>
            </w:r>
            <w:r>
              <w:rPr>
                <w:rFonts w:ascii="宋体" w:hAnsi="宋体" w:cs="宋体" w:eastAsia="宋体" w:hint="default"/>
                <w:sz w:val="18"/>
                <w:szCs w:val="18"/>
              </w:rPr>
              <w:t> </w:t>
            </w:r>
            <w:r>
              <w:rPr>
                <w:rFonts w:ascii="宋体" w:hAnsi="宋体" w:cs="宋体" w:eastAsia="宋体" w:hint="default"/>
                <w:spacing w:val="-4"/>
                <w:sz w:val="18"/>
                <w:szCs w:val="18"/>
              </w:rPr>
              <w:t>陆以外的税收法规被立案调查、处罚或起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诉，或因此遭受其他损失的，所有因此产</w:t>
            </w:r>
            <w:r>
              <w:rPr>
                <w:rFonts w:ascii="宋体" w:hAnsi="宋体" w:cs="宋体" w:eastAsia="宋体" w:hint="default"/>
                <w:sz w:val="18"/>
                <w:szCs w:val="18"/>
              </w:rPr>
              <w:t> 生的费用均由本人及作出此承诺的悦然 心动股东共同承担。</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2273" w:hRule="exact"/>
        </w:trPr>
        <w:tc>
          <w:tcPr>
            <w:tcW w:w="1276" w:type="dxa"/>
            <w:vMerge w:val="restart"/>
            <w:tcBorders>
              <w:top w:val="single" w:sz="4" w:space="0" w:color="C00000"/>
              <w:left w:val="single" w:sz="4" w:space="0" w:color="C00000"/>
              <w:right w:val="single" w:sz="4" w:space="0" w:color="C00000"/>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102" w:right="26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翁武强</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5" w:right="233"/>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4" w:lineRule="auto" w:before="49"/>
              <w:ind w:left="103" w:right="99"/>
              <w:jc w:val="left"/>
              <w:rPr>
                <w:rFonts w:ascii="宋体" w:hAnsi="宋体" w:cs="宋体" w:eastAsia="宋体" w:hint="default"/>
                <w:sz w:val="18"/>
                <w:szCs w:val="18"/>
              </w:rPr>
            </w:pPr>
            <w:r>
              <w:rPr>
                <w:rFonts w:ascii="宋体" w:hAnsi="宋体" w:cs="宋体" w:eastAsia="宋体" w:hint="default"/>
                <w:spacing w:val="-3"/>
                <w:sz w:val="18"/>
                <w:szCs w:val="18"/>
              </w:rPr>
              <w:t>在担任董事、监事、高管任职期间每年转</w:t>
            </w:r>
            <w:r>
              <w:rPr>
                <w:rFonts w:ascii="宋体" w:hAnsi="宋体" w:cs="宋体" w:eastAsia="宋体" w:hint="default"/>
                <w:sz w:val="18"/>
                <w:szCs w:val="18"/>
              </w:rPr>
              <w:t> 让的股份不超过其所持有的公司股份总 数的</w:t>
            </w:r>
            <w:r>
              <w:rPr>
                <w:rFonts w:ascii="宋体" w:hAnsi="宋体" w:cs="宋体" w:eastAsia="宋体" w:hint="default"/>
                <w:spacing w:val="-3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；离职后六个月内，不转让其所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持有的公司股份；在申报离任六个月后的</w:t>
            </w:r>
            <w:r>
              <w:rPr>
                <w:rFonts w:ascii="宋体" w:hAnsi="宋体" w:cs="宋体" w:eastAsia="宋体" w:hint="default"/>
                <w:sz w:val="18"/>
                <w:szCs w:val="18"/>
              </w:rPr>
              <w:t> 十二月内通过证券交易所挂牌交易出售 发行人股票数量占其所持有发行人股票 总数的比例不超过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298"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翁武游</w:t>
            </w:r>
            <w:r>
              <w:rPr>
                <w:rFonts w:ascii="Times New Roman" w:hAnsi="Times New Roman" w:cs="Times New Roman" w:eastAsia="Times New Roman" w:hint="default"/>
                <w:sz w:val="18"/>
                <w:szCs w:val="18"/>
              </w:rPr>
              <w:t>;</w:t>
            </w:r>
            <w:r>
              <w:rPr>
                <w:rFonts w:ascii="宋体" w:hAnsi="宋体" w:cs="宋体" w:eastAsia="宋体" w:hint="default"/>
                <w:sz w:val="18"/>
                <w:szCs w:val="18"/>
              </w:rPr>
              <w:t>杨厚威</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5" w:right="233"/>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100"/>
              <w:jc w:val="left"/>
              <w:rPr>
                <w:rFonts w:ascii="宋体" w:hAnsi="宋体" w:cs="宋体" w:eastAsia="宋体" w:hint="default"/>
                <w:sz w:val="18"/>
                <w:szCs w:val="18"/>
              </w:rPr>
            </w:pPr>
            <w:r>
              <w:rPr>
                <w:rFonts w:ascii="宋体" w:hAnsi="宋体" w:cs="宋体" w:eastAsia="宋体" w:hint="default"/>
                <w:spacing w:val="-3"/>
                <w:sz w:val="18"/>
                <w:szCs w:val="18"/>
              </w:rPr>
              <w:t>离职后六个月内，不转让其所持有的公司</w:t>
            </w:r>
            <w:r>
              <w:rPr>
                <w:rFonts w:ascii="宋体" w:hAnsi="宋体" w:cs="宋体" w:eastAsia="宋体" w:hint="default"/>
                <w:sz w:val="18"/>
                <w:szCs w:val="18"/>
              </w:rPr>
              <w:t> </w:t>
            </w:r>
            <w:r>
              <w:rPr>
                <w:rFonts w:ascii="宋体" w:hAnsi="宋体" w:cs="宋体" w:eastAsia="宋体" w:hint="default"/>
                <w:spacing w:val="-3"/>
                <w:sz w:val="18"/>
                <w:szCs w:val="18"/>
              </w:rPr>
              <w:t>股份；在申报离任六个月后的十二月内通</w:t>
            </w:r>
            <w:r>
              <w:rPr>
                <w:rFonts w:ascii="宋体" w:hAnsi="宋体" w:cs="宋体" w:eastAsia="宋体" w:hint="default"/>
                <w:sz w:val="18"/>
                <w:szCs w:val="18"/>
              </w:rPr>
              <w:t> 过证券交易所挂牌交易出售发行人股票 数量占其所持有发行人股票总数的比例</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118"/>
              <w:jc w:val="both"/>
              <w:rPr>
                <w:rFonts w:ascii="宋体" w:hAnsi="宋体" w:cs="宋体" w:eastAsia="宋体" w:hint="default"/>
                <w:sz w:val="18"/>
                <w:szCs w:val="18"/>
              </w:rPr>
            </w:pPr>
            <w:r>
              <w:rPr>
                <w:rFonts w:ascii="宋体" w:hAnsi="宋体" w:cs="宋体" w:eastAsia="宋体" w:hint="default"/>
                <w:sz w:val="18"/>
                <w:szCs w:val="18"/>
              </w:rPr>
              <w:t>任职期间、 离职后六个 月内，申报 离任六个月</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已履 行完 毕</w:t>
            </w:r>
          </w:p>
        </w:tc>
      </w:tr>
    </w:tbl>
    <w:p>
      <w:pPr>
        <w:spacing w:after="0" w:line="316" w:lineRule="auto"/>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8"/>
      </w:tblGrid>
      <w:tr>
        <w:trPr>
          <w:trHeight w:val="675" w:hRule="exact"/>
        </w:trPr>
        <w:tc>
          <w:tcPr>
            <w:tcW w:w="1276" w:type="dxa"/>
            <w:vMerge w:val="restart"/>
            <w:tcBorders>
              <w:top w:val="single" w:sz="4" w:space="0" w:color="C00000"/>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3" w:right="118"/>
              <w:jc w:val="left"/>
              <w:rPr>
                <w:rFonts w:ascii="宋体" w:hAnsi="宋体" w:cs="宋体" w:eastAsia="宋体" w:hint="default"/>
                <w:sz w:val="18"/>
                <w:szCs w:val="18"/>
              </w:rPr>
            </w:pPr>
            <w:r>
              <w:rPr>
                <w:rFonts w:ascii="宋体" w:hAnsi="宋体" w:cs="宋体" w:eastAsia="宋体" w:hint="default"/>
                <w:sz w:val="18"/>
                <w:szCs w:val="18"/>
              </w:rPr>
              <w:t>后十二个月 内</w:t>
            </w:r>
          </w:p>
        </w:tc>
        <w:tc>
          <w:tcPr>
            <w:tcW w:w="638" w:type="dxa"/>
            <w:tcBorders>
              <w:top w:val="single" w:sz="4" w:space="0" w:color="C00000"/>
              <w:left w:val="single" w:sz="4" w:space="0" w:color="C00000"/>
              <w:bottom w:val="single" w:sz="4" w:space="0" w:color="C00000"/>
              <w:right w:val="single" w:sz="4" w:space="0" w:color="C00000"/>
            </w:tcBorders>
          </w:tcPr>
          <w:p>
            <w:pPr/>
          </w:p>
        </w:tc>
      </w:tr>
      <w:tr>
        <w:trPr>
          <w:trHeight w:val="3209"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183"/>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5" w:right="233"/>
              <w:jc w:val="left"/>
              <w:rPr>
                <w:rFonts w:ascii="宋体" w:hAnsi="宋体" w:cs="宋体" w:eastAsia="宋体" w:hint="default"/>
                <w:sz w:val="18"/>
                <w:szCs w:val="18"/>
              </w:rPr>
            </w:pPr>
            <w:r>
              <w:rPr>
                <w:rFonts w:ascii="宋体" w:hAnsi="宋体" w:cs="宋体" w:eastAsia="宋体" w:hint="default"/>
                <w:sz w:val="18"/>
                <w:szCs w:val="18"/>
              </w:rPr>
              <w:t>分红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48"/>
              <w:jc w:val="left"/>
              <w:rPr>
                <w:rFonts w:ascii="宋体" w:hAnsi="宋体" w:cs="宋体" w:eastAsia="宋体" w:hint="default"/>
                <w:sz w:val="18"/>
                <w:szCs w:val="18"/>
              </w:rPr>
            </w:pPr>
            <w:r>
              <w:rPr>
                <w:rFonts w:ascii="宋体" w:hAnsi="宋体" w:cs="宋体" w:eastAsia="宋体" w:hint="default"/>
                <w:spacing w:val="-4"/>
                <w:sz w:val="18"/>
                <w:szCs w:val="18"/>
              </w:rPr>
              <w:t>发行上市后的前三个会计年度，公司每年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以现金形式分配的利润不少于当年实现 </w:t>
            </w:r>
            <w:r>
              <w:rPr>
                <w:rFonts w:ascii="宋体" w:hAnsi="宋体" w:cs="宋体" w:eastAsia="宋体" w:hint="default"/>
                <w:spacing w:val="-4"/>
                <w:sz w:val="18"/>
                <w:szCs w:val="18"/>
              </w:rPr>
              <w:t>的可供分配利润的百分之三十；发行上市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三年后，公司可根据生产经营情况、投资</w:t>
            </w:r>
            <w:r>
              <w:rPr>
                <w:rFonts w:ascii="宋体" w:hAnsi="宋体" w:cs="宋体" w:eastAsia="宋体" w:hint="default"/>
                <w:sz w:val="18"/>
                <w:szCs w:val="18"/>
              </w:rPr>
              <w:t> 规划和长期发展的需要确定现金分红比 </w:t>
            </w:r>
            <w:r>
              <w:rPr>
                <w:rFonts w:ascii="宋体" w:hAnsi="宋体" w:cs="宋体" w:eastAsia="宋体" w:hint="default"/>
                <w:spacing w:val="-3"/>
                <w:sz w:val="18"/>
                <w:szCs w:val="18"/>
              </w:rPr>
              <w:t>例，但各年度以现金形式分配的利润不少</w:t>
            </w:r>
            <w:r>
              <w:rPr>
                <w:rFonts w:ascii="宋体" w:hAnsi="宋体" w:cs="宋体" w:eastAsia="宋体" w:hint="default"/>
                <w:sz w:val="18"/>
                <w:szCs w:val="18"/>
              </w:rPr>
              <w:t> 于当年实现的可供分配利润的百分之十； </w:t>
            </w:r>
            <w:r>
              <w:rPr>
                <w:rFonts w:ascii="宋体" w:hAnsi="宋体" w:cs="宋体" w:eastAsia="宋体" w:hint="default"/>
                <w:spacing w:val="-3"/>
                <w:sz w:val="18"/>
                <w:szCs w:val="18"/>
              </w:rPr>
              <w:t>同时，公司可以根据各年度的盈利及现金</w:t>
            </w:r>
            <w:r>
              <w:rPr>
                <w:rFonts w:ascii="宋体" w:hAnsi="宋体" w:cs="宋体" w:eastAsia="宋体" w:hint="default"/>
                <w:sz w:val="18"/>
                <w:szCs w:val="18"/>
              </w:rPr>
              <w:t> </w:t>
            </w:r>
            <w:r>
              <w:rPr>
                <w:rFonts w:ascii="宋体" w:hAnsi="宋体" w:cs="宋体" w:eastAsia="宋体" w:hint="default"/>
                <w:spacing w:val="-3"/>
                <w:sz w:val="18"/>
                <w:szCs w:val="18"/>
              </w:rPr>
              <w:t>流状况，在保证最低现金分红比例的前提</w:t>
            </w:r>
            <w:r>
              <w:rPr>
                <w:rFonts w:ascii="宋体" w:hAnsi="宋体" w:cs="宋体" w:eastAsia="宋体" w:hint="default"/>
                <w:sz w:val="18"/>
                <w:szCs w:val="18"/>
              </w:rPr>
              <w:t> 下，实施股票股利利润分配办法。</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8325"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103" w:right="183"/>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5" w:right="53"/>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自承诺函出具之日起，不以任何方式</w:t>
            </w:r>
          </w:p>
          <w:p>
            <w:pPr>
              <w:pStyle w:val="TableParagraph"/>
              <w:spacing w:line="316" w:lineRule="auto" w:before="63"/>
              <w:ind w:left="103" w:right="99"/>
              <w:jc w:val="both"/>
              <w:rPr>
                <w:rFonts w:ascii="宋体" w:hAnsi="宋体" w:cs="宋体" w:eastAsia="宋体" w:hint="default"/>
                <w:sz w:val="18"/>
                <w:szCs w:val="18"/>
              </w:rPr>
            </w:pPr>
            <w:r>
              <w:rPr>
                <w:rFonts w:ascii="宋体" w:hAnsi="宋体" w:cs="宋体" w:eastAsia="宋体" w:hint="default"/>
                <w:spacing w:val="-4"/>
                <w:sz w:val="18"/>
                <w:szCs w:val="18"/>
              </w:rPr>
              <w:t>（包括但不限于单独或与他人合作、直接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或间接）从事与本公司相同、相似或在任</w:t>
            </w:r>
            <w:r>
              <w:rPr>
                <w:rFonts w:ascii="宋体" w:hAnsi="宋体" w:cs="宋体" w:eastAsia="宋体" w:hint="default"/>
                <w:sz w:val="18"/>
                <w:szCs w:val="18"/>
              </w:rPr>
              <w:t> 何方面构成竞争的业务；</w:t>
            </w:r>
          </w:p>
          <w:p>
            <w:pPr>
              <w:pStyle w:val="TableParagraph"/>
              <w:spacing w:line="309" w:lineRule="auto" w:before="19"/>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不直接或间接投资控股于业务与本公 </w:t>
            </w:r>
            <w:r>
              <w:rPr>
                <w:rFonts w:ascii="宋体" w:hAnsi="宋体" w:cs="宋体" w:eastAsia="宋体" w:hint="default"/>
                <w:spacing w:val="-3"/>
                <w:sz w:val="18"/>
                <w:szCs w:val="18"/>
              </w:rPr>
              <w:t>司相同、类似或在任何方面构成竞争的公</w:t>
            </w:r>
            <w:r>
              <w:rPr>
                <w:rFonts w:ascii="宋体" w:hAnsi="宋体" w:cs="宋体" w:eastAsia="宋体" w:hint="default"/>
                <w:sz w:val="18"/>
                <w:szCs w:val="18"/>
              </w:rPr>
              <w:t> 司、企业或其他机构、组织；</w:t>
            </w:r>
          </w:p>
          <w:p>
            <w:pPr>
              <w:pStyle w:val="TableParagraph"/>
              <w:spacing w:line="312" w:lineRule="auto" w:before="65"/>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如瑞丰集团直接或间接参股的公司从 </w:t>
            </w:r>
            <w:r>
              <w:rPr>
                <w:rFonts w:ascii="宋体" w:hAnsi="宋体" w:cs="宋体" w:eastAsia="宋体" w:hint="default"/>
                <w:spacing w:val="-3"/>
                <w:sz w:val="18"/>
                <w:szCs w:val="18"/>
              </w:rPr>
              <w:t>事的业务与本公司有竞争，则瑞丰集团将</w:t>
            </w:r>
            <w:r>
              <w:rPr>
                <w:rFonts w:ascii="宋体" w:hAnsi="宋体" w:cs="宋体" w:eastAsia="宋体" w:hint="default"/>
                <w:sz w:val="18"/>
                <w:szCs w:val="18"/>
              </w:rPr>
              <w:t> 作为参股股东或促使瑞丰集团控制的参 股股东对此等事项实施否决权；</w:t>
            </w:r>
          </w:p>
          <w:p>
            <w:pPr>
              <w:pStyle w:val="TableParagraph"/>
              <w:spacing w:line="312" w:lineRule="auto" w:before="61"/>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如果未来瑞丰集团或其控制的其他企 业拟从事的新业务可能与本公司存在同 </w:t>
            </w:r>
            <w:r>
              <w:rPr>
                <w:rFonts w:ascii="宋体" w:hAnsi="宋体" w:cs="宋体" w:eastAsia="宋体" w:hint="default"/>
                <w:spacing w:val="-3"/>
                <w:sz w:val="18"/>
                <w:szCs w:val="18"/>
              </w:rPr>
              <w:t>业竞争，瑞丰集团将本着本公司优先的原</w:t>
            </w:r>
            <w:r>
              <w:rPr>
                <w:rFonts w:ascii="宋体" w:hAnsi="宋体" w:cs="宋体" w:eastAsia="宋体" w:hint="default"/>
                <w:sz w:val="18"/>
                <w:szCs w:val="18"/>
              </w:rPr>
              <w:t> 则与本公司协商解决；</w:t>
            </w:r>
          </w:p>
          <w:p>
            <w:pPr>
              <w:pStyle w:val="TableParagraph"/>
              <w:spacing w:line="316" w:lineRule="auto" w:before="63"/>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如瑞丰集团或其所控制的其他企业获 得的商业机会与本公司主营业务发生同 </w:t>
            </w:r>
            <w:r>
              <w:rPr>
                <w:rFonts w:ascii="宋体" w:hAnsi="宋体" w:cs="宋体" w:eastAsia="宋体" w:hint="default"/>
                <w:spacing w:val="-4"/>
                <w:sz w:val="18"/>
                <w:szCs w:val="18"/>
              </w:rPr>
              <w:t>业竞争或可能发生同业竞争的，瑞丰集团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承诺将上述商业机会通知本公司，在通知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中所指定的合理期间内，如本公司作出愿</w:t>
            </w:r>
            <w:r>
              <w:rPr>
                <w:rFonts w:ascii="宋体" w:hAnsi="宋体" w:cs="宋体" w:eastAsia="宋体" w:hint="default"/>
                <w:sz w:val="18"/>
                <w:szCs w:val="18"/>
              </w:rPr>
              <w:t> </w:t>
            </w:r>
            <w:r>
              <w:rPr>
                <w:rFonts w:ascii="宋体" w:hAnsi="宋体" w:cs="宋体" w:eastAsia="宋体" w:hint="default"/>
                <w:spacing w:val="-4"/>
                <w:sz w:val="18"/>
                <w:szCs w:val="18"/>
              </w:rPr>
              <w:t>意利用该商业机会的肯定答复，则瑞丰集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团及其控制的其他企业将放弃该商业机 </w:t>
            </w:r>
            <w:r>
              <w:rPr>
                <w:rFonts w:ascii="宋体" w:hAnsi="宋体" w:cs="宋体" w:eastAsia="宋体" w:hint="default"/>
                <w:spacing w:val="-3"/>
                <w:sz w:val="18"/>
                <w:szCs w:val="18"/>
              </w:rPr>
              <w:t>会，以确保本公司及其全体股东利益不受</w:t>
            </w:r>
            <w:r>
              <w:rPr>
                <w:rFonts w:ascii="宋体" w:hAnsi="宋体" w:cs="宋体" w:eastAsia="宋体" w:hint="default"/>
                <w:sz w:val="18"/>
                <w:szCs w:val="18"/>
              </w:rPr>
              <w:t> </w:t>
            </w:r>
            <w:r>
              <w:rPr>
                <w:rFonts w:ascii="宋体" w:hAnsi="宋体" w:cs="宋体" w:eastAsia="宋体" w:hint="default"/>
                <w:spacing w:val="-3"/>
                <w:sz w:val="18"/>
                <w:szCs w:val="18"/>
              </w:rPr>
              <w:t>损害。如因未履行上述承诺给本公司造成</w:t>
            </w:r>
            <w:r>
              <w:rPr>
                <w:rFonts w:ascii="宋体" w:hAnsi="宋体" w:cs="宋体" w:eastAsia="宋体" w:hint="default"/>
                <w:sz w:val="18"/>
                <w:szCs w:val="18"/>
              </w:rPr>
              <w:t> </w:t>
            </w:r>
            <w:r>
              <w:rPr>
                <w:rFonts w:ascii="宋体" w:hAnsi="宋体" w:cs="宋体" w:eastAsia="宋体" w:hint="default"/>
                <w:spacing w:val="-3"/>
                <w:sz w:val="18"/>
                <w:szCs w:val="18"/>
              </w:rPr>
              <w:t>损失的，瑞丰集团将赔偿本公司因此而遭</w:t>
            </w:r>
            <w:r>
              <w:rPr>
                <w:rFonts w:ascii="宋体" w:hAnsi="宋体" w:cs="宋体" w:eastAsia="宋体" w:hint="default"/>
                <w:sz w:val="18"/>
                <w:szCs w:val="18"/>
              </w:rPr>
              <w:t> 受的一切损失。</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649"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68"/>
              <w:ind w:left="105" w:right="53"/>
              <w:jc w:val="left"/>
              <w:rPr>
                <w:rFonts w:ascii="宋体" w:hAnsi="宋体" w:cs="宋体" w:eastAsia="宋体" w:hint="default"/>
                <w:sz w:val="18"/>
                <w:szCs w:val="18"/>
              </w:rPr>
            </w:pPr>
            <w:r>
              <w:rPr>
                <w:rFonts w:ascii="宋体" w:hAnsi="宋体" w:cs="宋体" w:eastAsia="宋体" w:hint="default"/>
                <w:sz w:val="18"/>
                <w:szCs w:val="18"/>
              </w:rPr>
              <w:t>关于 同业 竞争、 关联 交易、</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4" w:lineRule="auto" w:before="49"/>
              <w:ind w:left="10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自出具承诺函之日起，林永飞不以任 </w:t>
            </w:r>
            <w:r>
              <w:rPr>
                <w:rFonts w:ascii="宋体" w:hAnsi="宋体" w:cs="宋体" w:eastAsia="宋体" w:hint="default"/>
                <w:spacing w:val="-3"/>
                <w:sz w:val="18"/>
                <w:szCs w:val="18"/>
              </w:rPr>
              <w:t>何方式在中国境内、境外直接或间接从事</w:t>
            </w:r>
            <w:r>
              <w:rPr>
                <w:rFonts w:ascii="宋体" w:hAnsi="宋体" w:cs="宋体" w:eastAsia="宋体" w:hint="default"/>
                <w:sz w:val="18"/>
                <w:szCs w:val="18"/>
              </w:rPr>
              <w:t> </w:t>
            </w:r>
            <w:r>
              <w:rPr>
                <w:rFonts w:ascii="宋体" w:hAnsi="宋体" w:cs="宋体" w:eastAsia="宋体" w:hint="default"/>
                <w:spacing w:val="-3"/>
                <w:sz w:val="18"/>
                <w:szCs w:val="18"/>
              </w:rPr>
              <w:t>与本公司相同、相似或相近的，对本公司</w:t>
            </w:r>
            <w:r>
              <w:rPr>
                <w:rFonts w:ascii="宋体" w:hAnsi="宋体" w:cs="宋体" w:eastAsia="宋体" w:hint="default"/>
                <w:sz w:val="18"/>
                <w:szCs w:val="18"/>
              </w:rPr>
              <w:t> 业务在任何方面构成或可能构成直接或 间接竞争的任何业务及活动；</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6" w:lineRule="auto"/>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8"/>
      </w:tblGrid>
      <w:tr>
        <w:trPr>
          <w:trHeight w:val="6099" w:hRule="exact"/>
        </w:trPr>
        <w:tc>
          <w:tcPr>
            <w:tcW w:w="1276" w:type="dxa"/>
            <w:vMerge w:val="restart"/>
            <w:tcBorders>
              <w:top w:val="single" w:sz="4" w:space="0" w:color="C00000"/>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5" w:right="233"/>
              <w:jc w:val="both"/>
              <w:rPr>
                <w:rFonts w:ascii="宋体" w:hAnsi="宋体" w:cs="宋体" w:eastAsia="宋体" w:hint="default"/>
                <w:sz w:val="18"/>
                <w:szCs w:val="18"/>
              </w:rPr>
            </w:pPr>
            <w:r>
              <w:rPr>
                <w:rFonts w:ascii="宋体" w:hAnsi="宋体" w:cs="宋体" w:eastAsia="宋体" w:hint="default"/>
                <w:sz w:val="18"/>
                <w:szCs w:val="18"/>
              </w:rPr>
              <w:t>资金 占用 方面 的承 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4" w:lineRule="auto" w:before="8"/>
              <w:ind w:left="10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与林永飞有直接及间接控制关系的任 </w:t>
            </w:r>
            <w:r>
              <w:rPr>
                <w:rFonts w:ascii="宋体" w:hAnsi="宋体" w:cs="宋体" w:eastAsia="宋体" w:hint="default"/>
                <w:spacing w:val="-3"/>
                <w:sz w:val="18"/>
                <w:szCs w:val="18"/>
              </w:rPr>
              <w:t>何除本公司（含其子公司）以外的其他公</w:t>
            </w:r>
            <w:r>
              <w:rPr>
                <w:rFonts w:ascii="宋体" w:hAnsi="宋体" w:cs="宋体" w:eastAsia="宋体" w:hint="default"/>
                <w:sz w:val="18"/>
                <w:szCs w:val="18"/>
              </w:rPr>
              <w:t> </w:t>
            </w:r>
            <w:r>
              <w:rPr>
                <w:rFonts w:ascii="宋体" w:hAnsi="宋体" w:cs="宋体" w:eastAsia="宋体" w:hint="default"/>
                <w:spacing w:val="-3"/>
                <w:sz w:val="18"/>
                <w:szCs w:val="18"/>
              </w:rPr>
              <w:t>司亦不在中国境内、境外直接或间接地从</w:t>
            </w:r>
            <w:r>
              <w:rPr>
                <w:rFonts w:ascii="宋体" w:hAnsi="宋体" w:cs="宋体" w:eastAsia="宋体" w:hint="default"/>
                <w:sz w:val="18"/>
                <w:szCs w:val="18"/>
              </w:rPr>
              <w:t> 事或参与任何在商业上对本公司业务有 竞争或可能构成竞争的任何业务及活动；</w:t>
            </w:r>
          </w:p>
          <w:p>
            <w:pPr>
              <w:pStyle w:val="TableParagraph"/>
              <w:spacing w:line="312" w:lineRule="auto" w:before="61"/>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不以任何方式直接或间接投资于业务 </w:t>
            </w:r>
            <w:r>
              <w:rPr>
                <w:rFonts w:ascii="宋体" w:hAnsi="宋体" w:cs="宋体" w:eastAsia="宋体" w:hint="default"/>
                <w:spacing w:val="-3"/>
                <w:sz w:val="18"/>
                <w:szCs w:val="18"/>
              </w:rPr>
              <w:t>与本公司相同、相似或相近的或对本公司</w:t>
            </w:r>
            <w:r>
              <w:rPr>
                <w:rFonts w:ascii="宋体" w:hAnsi="宋体" w:cs="宋体" w:eastAsia="宋体" w:hint="default"/>
                <w:sz w:val="18"/>
                <w:szCs w:val="18"/>
              </w:rPr>
              <w:t> </w:t>
            </w:r>
            <w:r>
              <w:rPr>
                <w:rFonts w:ascii="宋体" w:hAnsi="宋体" w:cs="宋体" w:eastAsia="宋体" w:hint="default"/>
                <w:spacing w:val="-4"/>
                <w:sz w:val="18"/>
                <w:szCs w:val="18"/>
              </w:rPr>
              <w:t>业务在任何方面构成竞争的公司、企业或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其他机构、组织；</w:t>
            </w:r>
          </w:p>
          <w:p>
            <w:pPr>
              <w:pStyle w:val="TableParagraph"/>
              <w:spacing w:line="314" w:lineRule="auto" w:before="61"/>
              <w:ind w:left="10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不会向其他业务与本公司相同、相似 或相近的或对本公司业务在任何方面构 成竞争的公司、企业或其他机构、组织、 </w:t>
            </w:r>
            <w:r>
              <w:rPr>
                <w:rFonts w:ascii="宋体" w:hAnsi="宋体" w:cs="宋体" w:eastAsia="宋体" w:hint="default"/>
                <w:spacing w:val="-4"/>
                <w:sz w:val="18"/>
                <w:szCs w:val="18"/>
              </w:rPr>
              <w:t>个人提供专有技术或提供销售渠道、客户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信息等商业秘密。</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保证其直系亲属，包括配偶、父母及</w:t>
            </w:r>
          </w:p>
          <w:p>
            <w:pPr>
              <w:pStyle w:val="TableParagraph"/>
              <w:spacing w:line="312" w:lineRule="auto" w:before="63"/>
              <w:ind w:left="103" w:right="99"/>
              <w:jc w:val="both"/>
              <w:rPr>
                <w:rFonts w:ascii="宋体" w:hAnsi="宋体" w:cs="宋体" w:eastAsia="宋体" w:hint="default"/>
                <w:sz w:val="18"/>
                <w:szCs w:val="18"/>
              </w:rPr>
            </w:pPr>
            <w:r>
              <w:rPr>
                <w:rFonts w:ascii="宋体" w:hAnsi="宋体" w:cs="宋体" w:eastAsia="宋体" w:hint="default"/>
                <w:sz w:val="18"/>
                <w:szCs w:val="18"/>
              </w:rPr>
              <w:t>配偶的父母、年满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周岁的子女及其配 </w:t>
            </w:r>
            <w:r>
              <w:rPr>
                <w:rFonts w:ascii="宋体" w:hAnsi="宋体" w:cs="宋体" w:eastAsia="宋体" w:hint="default"/>
                <w:spacing w:val="-3"/>
                <w:sz w:val="18"/>
                <w:szCs w:val="18"/>
              </w:rPr>
              <w:t>偶等，也遵守以上承诺。如因未履行上述</w:t>
            </w:r>
            <w:r>
              <w:rPr>
                <w:rFonts w:ascii="宋体" w:hAnsi="宋体" w:cs="宋体" w:eastAsia="宋体" w:hint="default"/>
                <w:sz w:val="18"/>
                <w:szCs w:val="18"/>
              </w:rPr>
              <w:t> </w:t>
            </w:r>
            <w:r>
              <w:rPr>
                <w:rFonts w:ascii="宋体" w:hAnsi="宋体" w:cs="宋体" w:eastAsia="宋体" w:hint="default"/>
                <w:spacing w:val="-3"/>
                <w:sz w:val="18"/>
                <w:szCs w:val="18"/>
              </w:rPr>
              <w:t>承诺给本公司造成损失的，林永飞将赔偿</w:t>
            </w:r>
            <w:r>
              <w:rPr>
                <w:rFonts w:ascii="宋体" w:hAnsi="宋体" w:cs="宋体" w:eastAsia="宋体" w:hint="default"/>
                <w:sz w:val="18"/>
                <w:szCs w:val="18"/>
              </w:rPr>
              <w:t> 本公司因此而遭受的一切损失。</w:t>
            </w: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
        </w:tc>
        <w:tc>
          <w:tcPr>
            <w:tcW w:w="638" w:type="dxa"/>
            <w:tcBorders>
              <w:top w:val="single" w:sz="4" w:space="0" w:color="C00000"/>
              <w:left w:val="single" w:sz="4" w:space="0" w:color="C00000"/>
              <w:bottom w:val="single" w:sz="4" w:space="0" w:color="C00000"/>
              <w:right w:val="single" w:sz="4" w:space="0" w:color="C00000"/>
            </w:tcBorders>
          </w:tcPr>
          <w:p>
            <w:pPr/>
          </w:p>
        </w:tc>
      </w:tr>
      <w:tr>
        <w:trPr>
          <w:trHeight w:val="1961"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9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若因广州卡奴迪路服饰股份有限公司（以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下简称：卡奴迪路）或任何第三方对卡奴</w:t>
            </w:r>
            <w:r>
              <w:rPr>
                <w:rFonts w:ascii="宋体" w:hAnsi="宋体" w:cs="宋体" w:eastAsia="宋体" w:hint="default"/>
                <w:sz w:val="18"/>
                <w:szCs w:val="18"/>
              </w:rPr>
              <w:t> </w:t>
            </w:r>
            <w:r>
              <w:rPr>
                <w:rFonts w:ascii="宋体" w:hAnsi="宋体" w:cs="宋体" w:eastAsia="宋体" w:hint="default"/>
                <w:spacing w:val="-4"/>
                <w:sz w:val="18"/>
                <w:szCs w:val="18"/>
              </w:rPr>
              <w:t>迪路品牌或产品的虚假宣传行为，导致卡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奴迪路需承担的任何赔偿责任或产生任 </w:t>
            </w:r>
            <w:r>
              <w:rPr>
                <w:rFonts w:ascii="宋体" w:hAnsi="宋体" w:cs="宋体" w:eastAsia="宋体" w:hint="default"/>
                <w:spacing w:val="-3"/>
                <w:sz w:val="18"/>
                <w:szCs w:val="18"/>
              </w:rPr>
              <w:t>何损失，相关赔偿金及费用均由林永飞先</w:t>
            </w:r>
            <w:r>
              <w:rPr>
                <w:rFonts w:ascii="宋体" w:hAnsi="宋体" w:cs="宋体" w:eastAsia="宋体" w:hint="default"/>
                <w:sz w:val="18"/>
                <w:szCs w:val="18"/>
              </w:rPr>
              <w:t> 生全部承担，概与卡奴迪路无关。</w:t>
            </w:r>
            <w:r>
              <w:rPr>
                <w:rFonts w:ascii="Times New Roman" w:hAnsi="Times New Roman" w:cs="Times New Roman" w:eastAsia="Times New Roman" w:hint="default"/>
                <w:sz w:val="18"/>
                <w:szCs w:val="18"/>
              </w:rPr>
              <w:t>"</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4772"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30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东莞市长久创业 投资行（有限合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广州瑞德金 晟投资管理合伙 </w:t>
            </w:r>
            <w:r>
              <w:rPr>
                <w:rFonts w:ascii="宋体" w:hAnsi="宋体" w:cs="宋体" w:eastAsia="宋体" w:hint="default"/>
                <w:spacing w:val="-17"/>
                <w:sz w:val="18"/>
                <w:szCs w:val="18"/>
              </w:rPr>
              <w:t>企业（有限合伙）</w:t>
            </w:r>
            <w:r>
              <w:rPr>
                <w:rFonts w:ascii="Times New Roman" w:hAnsi="Times New Roman" w:cs="Times New Roman" w:eastAsia="Times New Roman" w:hint="default"/>
                <w:spacing w:val="-17"/>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何琳</w:t>
            </w:r>
            <w:r>
              <w:rPr>
                <w:rFonts w:ascii="Times New Roman" w:hAnsi="Times New Roman" w:cs="Times New Roman" w:eastAsia="Times New Roman" w:hint="default"/>
                <w:sz w:val="18"/>
                <w:szCs w:val="18"/>
              </w:rPr>
              <w:t>;</w:t>
            </w:r>
            <w:r>
              <w:rPr>
                <w:rFonts w:ascii="宋体" w:hAnsi="宋体" w:cs="宋体" w:eastAsia="宋体" w:hint="default"/>
                <w:sz w:val="18"/>
                <w:szCs w:val="18"/>
              </w:rPr>
              <w:t>胡卫红</w:t>
            </w:r>
            <w:r>
              <w:rPr>
                <w:rFonts w:ascii="Times New Roman" w:hAnsi="Times New Roman" w:cs="Times New Roman" w:eastAsia="Times New Roman" w:hint="default"/>
                <w:sz w:val="18"/>
                <w:szCs w:val="18"/>
              </w:rPr>
              <w:t>;</w:t>
            </w:r>
            <w:r>
              <w:rPr>
                <w:rFonts w:ascii="宋体" w:hAnsi="宋体" w:cs="宋体" w:eastAsia="宋体" w:hint="default"/>
                <w:sz w:val="18"/>
                <w:szCs w:val="18"/>
              </w:rPr>
              <w:t>江 德湖</w:t>
            </w:r>
            <w:r>
              <w:rPr>
                <w:rFonts w:ascii="Times New Roman" w:hAnsi="Times New Roman" w:cs="Times New Roman" w:eastAsia="Times New Roman" w:hint="default"/>
                <w:sz w:val="18"/>
                <w:szCs w:val="18"/>
              </w:rPr>
              <w:t>;</w:t>
            </w:r>
            <w:r>
              <w:rPr>
                <w:rFonts w:ascii="宋体" w:hAnsi="宋体" w:cs="宋体" w:eastAsia="宋体" w:hint="default"/>
                <w:sz w:val="18"/>
                <w:szCs w:val="18"/>
              </w:rPr>
              <w:t>寇凤英</w:t>
            </w:r>
            <w:r>
              <w:rPr>
                <w:rFonts w:ascii="Times New Roman" w:hAnsi="Times New Roman" w:cs="Times New Roman" w:eastAsia="Times New Roman" w:hint="default"/>
                <w:sz w:val="18"/>
                <w:szCs w:val="18"/>
              </w:rPr>
              <w:t>;</w:t>
            </w:r>
            <w:r>
              <w:rPr>
                <w:rFonts w:ascii="宋体" w:hAnsi="宋体" w:cs="宋体" w:eastAsia="宋体" w:hint="default"/>
                <w:sz w:val="18"/>
                <w:szCs w:val="18"/>
              </w:rPr>
              <w:t>李 恩平</w:t>
            </w:r>
            <w:r>
              <w:rPr>
                <w:rFonts w:ascii="Times New Roman" w:hAnsi="Times New Roman" w:cs="Times New Roman" w:eastAsia="Times New Roman" w:hint="default"/>
                <w:sz w:val="18"/>
                <w:szCs w:val="18"/>
              </w:rPr>
              <w:t>;</w:t>
            </w:r>
            <w:r>
              <w:rPr>
                <w:rFonts w:ascii="宋体" w:hAnsi="宋体" w:cs="宋体" w:eastAsia="宋体" w:hint="default"/>
                <w:sz w:val="18"/>
                <w:szCs w:val="18"/>
              </w:rPr>
              <w:t>梁美玲</w:t>
            </w:r>
            <w:r>
              <w:rPr>
                <w:rFonts w:ascii="Times New Roman" w:hAnsi="Times New Roman" w:cs="Times New Roman" w:eastAsia="Times New Roman" w:hint="default"/>
                <w:sz w:val="18"/>
                <w:szCs w:val="18"/>
              </w:rPr>
              <w:t>;</w:t>
            </w:r>
            <w:r>
              <w:rPr>
                <w:rFonts w:ascii="宋体" w:hAnsi="宋体" w:cs="宋体" w:eastAsia="宋体" w:hint="default"/>
                <w:sz w:val="18"/>
                <w:szCs w:val="18"/>
              </w:rPr>
              <w:t>摩 登大道时尚集团 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 一期员工持股计 划（上海海通证 券资产管理有限 公司代为承诺）</w:t>
            </w:r>
            <w:r>
              <w:rPr>
                <w:rFonts w:ascii="Times New Roman" w:hAnsi="Times New Roman" w:cs="Times New Roman" w:eastAsia="Times New Roman" w:hint="default"/>
                <w:sz w:val="18"/>
                <w:szCs w:val="18"/>
              </w:rPr>
              <w:t>; </w:t>
            </w:r>
            <w:r>
              <w:rPr>
                <w:rFonts w:ascii="宋体" w:hAnsi="宋体" w:cs="宋体" w:eastAsia="宋体" w:hint="default"/>
                <w:sz w:val="18"/>
                <w:szCs w:val="18"/>
              </w:rPr>
              <w:t>翁华银</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105" w:right="23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自本次非公开发行结束之日起三十六个 月内，本方不转让本次认购股份。</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18"/>
              <w:jc w:val="both"/>
              <w:rPr>
                <w:rFonts w:ascii="宋体" w:hAnsi="宋体" w:cs="宋体" w:eastAsia="宋体" w:hint="default"/>
                <w:sz w:val="18"/>
                <w:szCs w:val="18"/>
              </w:rPr>
            </w:pPr>
            <w:r>
              <w:rPr>
                <w:rFonts w:ascii="宋体" w:hAnsi="宋体" w:cs="宋体" w:eastAsia="宋体" w:hint="default"/>
                <w:sz w:val="18"/>
                <w:szCs w:val="18"/>
              </w:rPr>
              <w:t>自本次非公 开发行结束 之日起三十 六个月内</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025"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309" w:lineRule="auto" w:before="68"/>
              <w:ind w:left="103" w:right="134"/>
              <w:jc w:val="both"/>
              <w:rPr>
                <w:rFonts w:ascii="宋体" w:hAnsi="宋体" w:cs="宋体" w:eastAsia="宋体" w:hint="default"/>
                <w:sz w:val="18"/>
                <w:szCs w:val="18"/>
              </w:rPr>
            </w:pPr>
            <w:r>
              <w:rPr>
                <w:rFonts w:ascii="宋体" w:hAnsi="宋体" w:cs="宋体" w:eastAsia="宋体" w:hint="default"/>
                <w:sz w:val="18"/>
                <w:szCs w:val="18"/>
              </w:rPr>
              <w:t>陈马迪</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广州瑞丰 集团股份有限公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郭葆春</w:t>
            </w:r>
            <w:r>
              <w:rPr>
                <w:rFonts w:ascii="Times New Roman" w:hAnsi="Times New Roman" w:cs="Times New Roman" w:eastAsia="Times New Roman" w:hint="default"/>
                <w:sz w:val="18"/>
                <w:szCs w:val="18"/>
              </w:rPr>
              <w:t>;</w:t>
            </w:r>
            <w:r>
              <w:rPr>
                <w:rFonts w:ascii="宋体" w:hAnsi="宋体" w:cs="宋体" w:eastAsia="宋体" w:hint="default"/>
                <w:sz w:val="18"/>
                <w:szCs w:val="18"/>
              </w:rPr>
              <w:t>赖小</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5" w:right="233"/>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68"/>
              <w:ind w:left="103" w:right="48"/>
              <w:jc w:val="left"/>
              <w:rPr>
                <w:rFonts w:ascii="宋体" w:hAnsi="宋体" w:cs="宋体" w:eastAsia="宋体" w:hint="default"/>
                <w:sz w:val="18"/>
                <w:szCs w:val="18"/>
              </w:rPr>
            </w:pPr>
            <w:r>
              <w:rPr>
                <w:rFonts w:ascii="宋体" w:hAnsi="宋体" w:cs="宋体" w:eastAsia="宋体" w:hint="default"/>
                <w:sz w:val="18"/>
                <w:szCs w:val="18"/>
              </w:rPr>
              <w:t>自该声明承诺函出具之日至发行人本次 </w:t>
            </w:r>
            <w:r>
              <w:rPr>
                <w:rFonts w:ascii="宋体" w:hAnsi="宋体" w:cs="宋体" w:eastAsia="宋体" w:hint="default"/>
                <w:spacing w:val="-3"/>
                <w:sz w:val="18"/>
                <w:szCs w:val="18"/>
              </w:rPr>
              <w:t>非公开发行完成后六个月内，其及其关联</w:t>
            </w:r>
            <w:r>
              <w:rPr>
                <w:rFonts w:ascii="宋体" w:hAnsi="宋体" w:cs="宋体" w:eastAsia="宋体" w:hint="default"/>
                <w:sz w:val="18"/>
                <w:szCs w:val="18"/>
              </w:rPr>
              <w:t> 方不会减持发行人股票或作出减持计划；</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68"/>
              <w:ind w:left="103" w:right="118"/>
              <w:jc w:val="both"/>
              <w:rPr>
                <w:rFonts w:ascii="宋体" w:hAnsi="宋体" w:cs="宋体" w:eastAsia="宋体" w:hint="default"/>
                <w:sz w:val="18"/>
                <w:szCs w:val="18"/>
              </w:rPr>
            </w:pPr>
            <w:r>
              <w:rPr>
                <w:rFonts w:ascii="宋体" w:hAnsi="宋体" w:cs="宋体" w:eastAsia="宋体" w:hint="default"/>
                <w:sz w:val="18"/>
                <w:szCs w:val="18"/>
              </w:rPr>
              <w:t>自该声明承 诺函出具之 日至发行人</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5" w:right="161"/>
              <w:jc w:val="both"/>
              <w:rPr>
                <w:rFonts w:ascii="宋体" w:hAnsi="宋体" w:cs="宋体" w:eastAsia="宋体" w:hint="default"/>
                <w:sz w:val="18"/>
                <w:szCs w:val="18"/>
              </w:rPr>
            </w:pPr>
            <w:r>
              <w:rPr>
                <w:rFonts w:ascii="宋体" w:hAnsi="宋体" w:cs="宋体" w:eastAsia="宋体" w:hint="default"/>
                <w:sz w:val="18"/>
                <w:szCs w:val="18"/>
              </w:rPr>
              <w:t>已履 行完 毕</w:t>
            </w:r>
          </w:p>
        </w:tc>
      </w:tr>
    </w:tbl>
    <w:p>
      <w:pPr>
        <w:spacing w:after="0" w:line="316" w:lineRule="auto"/>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6"/>
      </w:tblGrid>
      <w:tr>
        <w:trPr>
          <w:trHeight w:val="1611" w:hRule="exact"/>
        </w:trPr>
        <w:tc>
          <w:tcPr>
            <w:tcW w:w="1276" w:type="dxa"/>
            <w:vMerge w:val="restart"/>
            <w:tcBorders>
              <w:top w:val="single" w:sz="4" w:space="0" w:color="C00000"/>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300" w:lineRule="auto" w:before="8"/>
              <w:ind w:left="103" w:right="263"/>
              <w:jc w:val="both"/>
              <w:rPr>
                <w:rFonts w:ascii="宋体" w:hAnsi="宋体" w:cs="宋体" w:eastAsia="宋体" w:hint="default"/>
                <w:sz w:val="18"/>
                <w:szCs w:val="18"/>
              </w:rPr>
            </w:pPr>
            <w:r>
              <w:rPr>
                <w:rFonts w:ascii="宋体" w:hAnsi="宋体" w:cs="宋体" w:eastAsia="宋体" w:hint="default"/>
                <w:sz w:val="18"/>
                <w:szCs w:val="18"/>
              </w:rPr>
              <w:t>妍</w:t>
            </w:r>
            <w:r>
              <w:rPr>
                <w:rFonts w:ascii="Times New Roman" w:hAnsi="Times New Roman" w:cs="Times New Roman" w:eastAsia="Times New Roman" w:hint="default"/>
                <w:sz w:val="18"/>
                <w:szCs w:val="18"/>
              </w:rPr>
              <w:t>;</w:t>
            </w:r>
            <w:r>
              <w:rPr>
                <w:rFonts w:ascii="宋体" w:hAnsi="宋体" w:cs="宋体" w:eastAsia="宋体" w:hint="default"/>
                <w:sz w:val="18"/>
                <w:szCs w:val="18"/>
              </w:rPr>
              <w:t>梁洪流</w:t>
            </w:r>
            <w:r>
              <w:rPr>
                <w:rFonts w:ascii="Times New Roman" w:hAnsi="Times New Roman" w:cs="Times New Roman" w:eastAsia="Times New Roman" w:hint="default"/>
                <w:sz w:val="18"/>
                <w:szCs w:val="18"/>
              </w:rPr>
              <w:t>;</w:t>
            </w:r>
            <w:r>
              <w:rPr>
                <w:rFonts w:ascii="宋体" w:hAnsi="宋体" w:cs="宋体" w:eastAsia="宋体" w:hint="default"/>
                <w:sz w:val="18"/>
                <w:szCs w:val="18"/>
              </w:rPr>
              <w:t>林峰 国</w:t>
            </w:r>
            <w:r>
              <w:rPr>
                <w:rFonts w:ascii="Times New Roman" w:hAnsi="Times New Roman" w:cs="Times New Roman" w:eastAsia="Times New Roman" w:hint="default"/>
                <w:sz w:val="18"/>
                <w:szCs w:val="18"/>
              </w:rPr>
              <w:t>;</w:t>
            </w: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刘文 焱</w:t>
            </w:r>
            <w:r>
              <w:rPr>
                <w:rFonts w:ascii="Times New Roman" w:hAnsi="Times New Roman" w:cs="Times New Roman" w:eastAsia="Times New Roman" w:hint="default"/>
                <w:sz w:val="18"/>
                <w:szCs w:val="18"/>
              </w:rPr>
              <w:t>;</w:t>
            </w:r>
            <w:r>
              <w:rPr>
                <w:rFonts w:ascii="宋体" w:hAnsi="宋体" w:cs="宋体" w:eastAsia="宋体" w:hint="default"/>
                <w:sz w:val="18"/>
                <w:szCs w:val="18"/>
              </w:rPr>
              <w:t>刘运国</w:t>
            </w:r>
            <w:r>
              <w:rPr>
                <w:rFonts w:ascii="Times New Roman" w:hAnsi="Times New Roman" w:cs="Times New Roman" w:eastAsia="Times New Roman" w:hint="default"/>
                <w:sz w:val="18"/>
                <w:szCs w:val="18"/>
              </w:rPr>
              <w:t>;</w:t>
            </w:r>
            <w:r>
              <w:rPr>
                <w:rFonts w:ascii="宋体" w:hAnsi="宋体" w:cs="宋体" w:eastAsia="宋体" w:hint="default"/>
                <w:sz w:val="18"/>
                <w:szCs w:val="18"/>
              </w:rPr>
              <w:t>翁武 强</w:t>
            </w:r>
            <w:r>
              <w:rPr>
                <w:rFonts w:ascii="Times New Roman" w:hAnsi="Times New Roman" w:cs="Times New Roman" w:eastAsia="Times New Roman" w:hint="default"/>
                <w:sz w:val="18"/>
                <w:szCs w:val="18"/>
              </w:rPr>
              <w:t>;</w:t>
            </w:r>
            <w:r>
              <w:rPr>
                <w:rFonts w:ascii="宋体" w:hAnsi="宋体" w:cs="宋体" w:eastAsia="宋体" w:hint="default"/>
                <w:sz w:val="18"/>
                <w:szCs w:val="18"/>
              </w:rPr>
              <w:t>翁武游</w:t>
            </w:r>
            <w:r>
              <w:rPr>
                <w:rFonts w:ascii="Times New Roman" w:hAnsi="Times New Roman" w:cs="Times New Roman" w:eastAsia="Times New Roman" w:hint="default"/>
                <w:sz w:val="18"/>
                <w:szCs w:val="18"/>
              </w:rPr>
              <w:t>;</w:t>
            </w:r>
            <w:r>
              <w:rPr>
                <w:rFonts w:ascii="宋体" w:hAnsi="宋体" w:cs="宋体" w:eastAsia="宋体" w:hint="default"/>
                <w:sz w:val="18"/>
                <w:szCs w:val="18"/>
              </w:rPr>
              <w:t>杨厚 威</w:t>
            </w: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3" w:right="102"/>
              <w:jc w:val="left"/>
              <w:rPr>
                <w:rFonts w:ascii="宋体" w:hAnsi="宋体" w:cs="宋体" w:eastAsia="宋体" w:hint="default"/>
                <w:sz w:val="18"/>
                <w:szCs w:val="18"/>
              </w:rPr>
            </w:pPr>
            <w:r>
              <w:rPr>
                <w:rFonts w:ascii="宋体" w:hAnsi="宋体" w:cs="宋体" w:eastAsia="宋体" w:hint="default"/>
                <w:spacing w:val="-4"/>
                <w:sz w:val="18"/>
                <w:szCs w:val="18"/>
              </w:rPr>
              <w:t>若其及其关联方未履行上述承诺，则减持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股票所得收益归发行人所有。</w:t>
            </w: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3" w:right="118"/>
              <w:jc w:val="both"/>
              <w:rPr>
                <w:rFonts w:ascii="宋体" w:hAnsi="宋体" w:cs="宋体" w:eastAsia="宋体" w:hint="default"/>
                <w:sz w:val="18"/>
                <w:szCs w:val="18"/>
              </w:rPr>
            </w:pPr>
            <w:r>
              <w:rPr>
                <w:rFonts w:ascii="宋体" w:hAnsi="宋体" w:cs="宋体" w:eastAsia="宋体" w:hint="default"/>
                <w:sz w:val="18"/>
                <w:szCs w:val="18"/>
              </w:rPr>
              <w:t>本次非公开 发行完成后 六个月内</w:t>
            </w:r>
          </w:p>
        </w:tc>
        <w:tc>
          <w:tcPr>
            <w:tcW w:w="636" w:type="dxa"/>
            <w:tcBorders>
              <w:top w:val="single" w:sz="4" w:space="0" w:color="C00000"/>
              <w:left w:val="single" w:sz="4" w:space="0" w:color="C00000"/>
              <w:bottom w:val="single" w:sz="4" w:space="0" w:color="C00000"/>
              <w:right w:val="single" w:sz="4" w:space="0" w:color="C00000"/>
            </w:tcBorders>
          </w:tcPr>
          <w:p>
            <w:pPr/>
          </w:p>
        </w:tc>
      </w:tr>
      <w:tr>
        <w:trPr>
          <w:trHeight w:val="3833"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83"/>
              <w:jc w:val="both"/>
              <w:rPr>
                <w:rFonts w:ascii="宋体" w:hAnsi="宋体" w:cs="宋体" w:eastAsia="宋体" w:hint="default"/>
                <w:sz w:val="18"/>
                <w:szCs w:val="18"/>
              </w:rPr>
            </w:pPr>
            <w:r>
              <w:rPr>
                <w:rFonts w:ascii="宋体" w:hAnsi="宋体" w:cs="宋体" w:eastAsia="宋体" w:hint="default"/>
                <w:sz w:val="18"/>
                <w:szCs w:val="18"/>
              </w:rPr>
              <w:t>摩登大道时尚集 团股份有限公司 第一期员工持股 计划及其全体参 与员工</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48"/>
              <w:jc w:val="left"/>
              <w:rPr>
                <w:rFonts w:ascii="宋体" w:hAnsi="宋体" w:cs="宋体" w:eastAsia="宋体" w:hint="default"/>
                <w:sz w:val="18"/>
                <w:szCs w:val="18"/>
              </w:rPr>
            </w:pPr>
            <w:r>
              <w:rPr>
                <w:rFonts w:ascii="宋体" w:hAnsi="宋体" w:cs="宋体" w:eastAsia="宋体" w:hint="default"/>
                <w:sz w:val="18"/>
                <w:szCs w:val="18"/>
              </w:rPr>
              <w:t>其认购发行人非公开发行股票的资金系 向发行人及其下属公司的部分董事、监 </w:t>
            </w:r>
            <w:r>
              <w:rPr>
                <w:rFonts w:ascii="宋体" w:hAnsi="宋体" w:cs="宋体" w:eastAsia="宋体" w:hint="default"/>
                <w:spacing w:val="-3"/>
                <w:sz w:val="18"/>
                <w:szCs w:val="18"/>
              </w:rPr>
              <w:t>事、高级管理人员及核心骨干员工等人员</w:t>
            </w:r>
            <w:r>
              <w:rPr>
                <w:rFonts w:ascii="宋体" w:hAnsi="宋体" w:cs="宋体" w:eastAsia="宋体" w:hint="default"/>
                <w:sz w:val="18"/>
                <w:szCs w:val="18"/>
              </w:rPr>
              <w:t> </w:t>
            </w:r>
            <w:r>
              <w:rPr>
                <w:rFonts w:ascii="宋体" w:hAnsi="宋体" w:cs="宋体" w:eastAsia="宋体" w:hint="default"/>
                <w:spacing w:val="-3"/>
                <w:sz w:val="18"/>
                <w:szCs w:val="18"/>
              </w:rPr>
              <w:t>募集的资金，其资金来源于其合法薪酬和</w:t>
            </w:r>
            <w:r>
              <w:rPr>
                <w:rFonts w:ascii="宋体" w:hAnsi="宋体" w:cs="宋体" w:eastAsia="宋体" w:hint="default"/>
                <w:sz w:val="18"/>
                <w:szCs w:val="18"/>
              </w:rPr>
              <w:t> </w:t>
            </w:r>
            <w:r>
              <w:rPr>
                <w:rFonts w:ascii="宋体" w:hAnsi="宋体" w:cs="宋体" w:eastAsia="宋体" w:hint="default"/>
                <w:spacing w:val="-3"/>
                <w:sz w:val="18"/>
                <w:szCs w:val="18"/>
              </w:rPr>
              <w:t>通过法律、行政法规允许的方式取得的自</w:t>
            </w:r>
            <w:r>
              <w:rPr>
                <w:rFonts w:ascii="宋体" w:hAnsi="宋体" w:cs="宋体" w:eastAsia="宋体" w:hint="default"/>
                <w:sz w:val="18"/>
                <w:szCs w:val="18"/>
              </w:rPr>
              <w:t> </w:t>
            </w:r>
            <w:r>
              <w:rPr>
                <w:rFonts w:ascii="宋体" w:hAnsi="宋体" w:cs="宋体" w:eastAsia="宋体" w:hint="default"/>
                <w:spacing w:val="-3"/>
                <w:sz w:val="18"/>
                <w:szCs w:val="18"/>
              </w:rPr>
              <w:t>筹资金，资金来源合法合规，其本人最终</w:t>
            </w:r>
            <w:r>
              <w:rPr>
                <w:rFonts w:ascii="宋体" w:hAnsi="宋体" w:cs="宋体" w:eastAsia="宋体" w:hint="default"/>
                <w:sz w:val="18"/>
                <w:szCs w:val="18"/>
              </w:rPr>
              <w:t> 出资不包含任何杠杆融资结构化设计产 品，不存在任何分级收益等结构化安排， </w:t>
            </w:r>
            <w:r>
              <w:rPr>
                <w:rFonts w:ascii="宋体" w:hAnsi="宋体" w:cs="宋体" w:eastAsia="宋体" w:hint="default"/>
                <w:spacing w:val="-3"/>
                <w:sz w:val="18"/>
                <w:szCs w:val="18"/>
              </w:rPr>
              <w:t>相关份额系其本人实益拥有，不存在接受</w:t>
            </w:r>
            <w:r>
              <w:rPr>
                <w:rFonts w:ascii="宋体" w:hAnsi="宋体" w:cs="宋体" w:eastAsia="宋体" w:hint="default"/>
                <w:sz w:val="18"/>
                <w:szCs w:val="18"/>
              </w:rPr>
              <w:t> </w:t>
            </w:r>
            <w:r>
              <w:rPr>
                <w:rFonts w:ascii="宋体" w:hAnsi="宋体" w:cs="宋体" w:eastAsia="宋体" w:hint="default"/>
                <w:spacing w:val="-3"/>
                <w:sz w:val="18"/>
                <w:szCs w:val="18"/>
              </w:rPr>
              <w:t>他人委托代为认购、代他人出资或向第三</w:t>
            </w:r>
            <w:r>
              <w:rPr>
                <w:rFonts w:ascii="宋体" w:hAnsi="宋体" w:cs="宋体" w:eastAsia="宋体" w:hint="default"/>
                <w:sz w:val="18"/>
                <w:szCs w:val="18"/>
              </w:rPr>
              <w:t> 方募集资金参与本次员工持股计划的情 形。</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18"/>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3836"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103" w:right="10"/>
              <w:jc w:val="left"/>
              <w:rPr>
                <w:rFonts w:ascii="宋体" w:hAnsi="宋体" w:cs="宋体" w:eastAsia="宋体" w:hint="default"/>
                <w:sz w:val="18"/>
                <w:szCs w:val="18"/>
              </w:rPr>
            </w:pPr>
            <w:r>
              <w:rPr>
                <w:rFonts w:ascii="宋体" w:hAnsi="宋体" w:cs="宋体" w:eastAsia="宋体" w:hint="default"/>
                <w:sz w:val="18"/>
                <w:szCs w:val="18"/>
              </w:rPr>
              <w:t>东莞市长久创业 投资行（有限合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广州瑞德金 晟投资管理合伙 企业（有限合伙）</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z w:val="18"/>
                <w:szCs w:val="18"/>
              </w:rPr>
              <w:t>其认购发行人非公开发行股票的资金来 </w:t>
            </w:r>
            <w:r>
              <w:rPr>
                <w:rFonts w:ascii="宋体" w:hAnsi="宋体" w:cs="宋体" w:eastAsia="宋体" w:hint="default"/>
                <w:spacing w:val="-3"/>
                <w:sz w:val="18"/>
                <w:szCs w:val="18"/>
              </w:rPr>
              <w:t>源于其自有或自筹资金，其合伙人对其的</w:t>
            </w:r>
            <w:r>
              <w:rPr>
                <w:rFonts w:ascii="宋体" w:hAnsi="宋体" w:cs="宋体" w:eastAsia="宋体" w:hint="default"/>
                <w:sz w:val="18"/>
                <w:szCs w:val="18"/>
              </w:rPr>
              <w:t> </w:t>
            </w:r>
            <w:r>
              <w:rPr>
                <w:rFonts w:ascii="宋体" w:hAnsi="宋体" w:cs="宋体" w:eastAsia="宋体" w:hint="default"/>
                <w:spacing w:val="-4"/>
                <w:sz w:val="18"/>
                <w:szCs w:val="18"/>
              </w:rPr>
              <w:t>相关出资均不存在接受他人委托认购、代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他人出资代持、委托持股、信托持股或向</w:t>
            </w:r>
            <w:r>
              <w:rPr>
                <w:rFonts w:ascii="宋体" w:hAnsi="宋体" w:cs="宋体" w:eastAsia="宋体" w:hint="default"/>
                <w:sz w:val="18"/>
                <w:szCs w:val="18"/>
              </w:rPr>
              <w:t> </w:t>
            </w:r>
            <w:r>
              <w:rPr>
                <w:rFonts w:ascii="宋体" w:hAnsi="宋体" w:cs="宋体" w:eastAsia="宋体" w:hint="default"/>
                <w:spacing w:val="-3"/>
                <w:sz w:val="18"/>
                <w:szCs w:val="18"/>
              </w:rPr>
              <w:t>第三方募集资金的情形，发行人及其控股</w:t>
            </w:r>
            <w:r>
              <w:rPr>
                <w:rFonts w:ascii="宋体" w:hAnsi="宋体" w:cs="宋体" w:eastAsia="宋体" w:hint="default"/>
                <w:sz w:val="18"/>
                <w:szCs w:val="18"/>
              </w:rPr>
              <w:t> </w:t>
            </w:r>
            <w:r>
              <w:rPr>
                <w:rFonts w:ascii="宋体" w:hAnsi="宋体" w:cs="宋体" w:eastAsia="宋体" w:hint="default"/>
                <w:spacing w:val="-3"/>
                <w:sz w:val="18"/>
                <w:szCs w:val="18"/>
              </w:rPr>
              <w:t>股东、实际控制人未直接或间接向其提供</w:t>
            </w:r>
            <w:r>
              <w:rPr>
                <w:rFonts w:ascii="宋体" w:hAnsi="宋体" w:cs="宋体" w:eastAsia="宋体" w:hint="default"/>
                <w:sz w:val="18"/>
                <w:szCs w:val="18"/>
              </w:rPr>
              <w:t> </w:t>
            </w:r>
            <w:r>
              <w:rPr>
                <w:rFonts w:ascii="宋体" w:hAnsi="宋体" w:cs="宋体" w:eastAsia="宋体" w:hint="default"/>
                <w:spacing w:val="-4"/>
                <w:sz w:val="18"/>
                <w:szCs w:val="18"/>
              </w:rPr>
              <w:t>任何形式的财务资助或者补偿，与发行人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及其实际控制人均不存在关联关系及其 </w:t>
            </w:r>
            <w:r>
              <w:rPr>
                <w:rFonts w:ascii="宋体" w:hAnsi="宋体" w:cs="宋体" w:eastAsia="宋体" w:hint="default"/>
                <w:spacing w:val="-3"/>
                <w:sz w:val="18"/>
                <w:szCs w:val="18"/>
              </w:rPr>
              <w:t>他利益安排，且其各合伙人与其他合伙人</w:t>
            </w:r>
            <w:r>
              <w:rPr>
                <w:rFonts w:ascii="宋体" w:hAnsi="宋体" w:cs="宋体" w:eastAsia="宋体" w:hint="default"/>
                <w:sz w:val="18"/>
                <w:szCs w:val="18"/>
              </w:rPr>
              <w:t> 之间亦不存在任何形式的分级收益等结 </w:t>
            </w:r>
            <w:r>
              <w:rPr>
                <w:rFonts w:ascii="宋体" w:hAnsi="宋体" w:cs="宋体" w:eastAsia="宋体" w:hint="default"/>
                <w:spacing w:val="-3"/>
                <w:sz w:val="18"/>
                <w:szCs w:val="18"/>
              </w:rPr>
              <w:t>构化安排或为他方代持、受托持有出资份</w:t>
            </w:r>
            <w:r>
              <w:rPr>
                <w:rFonts w:ascii="宋体" w:hAnsi="宋体" w:cs="宋体" w:eastAsia="宋体" w:hint="default"/>
                <w:sz w:val="18"/>
                <w:szCs w:val="18"/>
              </w:rPr>
              <w:t> 额的安排。</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103" w:right="118"/>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4145"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103" w:right="263"/>
              <w:jc w:val="both"/>
              <w:rPr>
                <w:rFonts w:ascii="宋体" w:hAnsi="宋体" w:cs="宋体" w:eastAsia="宋体" w:hint="default"/>
                <w:sz w:val="18"/>
                <w:szCs w:val="18"/>
              </w:rPr>
            </w:pPr>
            <w:r>
              <w:rPr>
                <w:rFonts w:ascii="宋体" w:hAnsi="宋体" w:cs="宋体" w:eastAsia="宋体" w:hint="default"/>
                <w:sz w:val="18"/>
                <w:szCs w:val="18"/>
              </w:rPr>
              <w:t>何琳</w:t>
            </w:r>
            <w:r>
              <w:rPr>
                <w:rFonts w:ascii="Times New Roman" w:hAnsi="Times New Roman" w:cs="Times New Roman" w:eastAsia="Times New Roman" w:hint="default"/>
                <w:sz w:val="18"/>
                <w:szCs w:val="18"/>
              </w:rPr>
              <w:t>;</w:t>
            </w:r>
            <w:r>
              <w:rPr>
                <w:rFonts w:ascii="宋体" w:hAnsi="宋体" w:cs="宋体" w:eastAsia="宋体" w:hint="default"/>
                <w:sz w:val="18"/>
                <w:szCs w:val="18"/>
              </w:rPr>
              <w:t>胡卫红</w:t>
            </w:r>
            <w:r>
              <w:rPr>
                <w:rFonts w:ascii="Times New Roman" w:hAnsi="Times New Roman" w:cs="Times New Roman" w:eastAsia="Times New Roman" w:hint="default"/>
                <w:sz w:val="18"/>
                <w:szCs w:val="18"/>
              </w:rPr>
              <w:t>;</w:t>
            </w:r>
            <w:r>
              <w:rPr>
                <w:rFonts w:ascii="宋体" w:hAnsi="宋体" w:cs="宋体" w:eastAsia="宋体" w:hint="default"/>
                <w:sz w:val="18"/>
                <w:szCs w:val="18"/>
              </w:rPr>
              <w:t>江 德湖</w:t>
            </w:r>
            <w:r>
              <w:rPr>
                <w:rFonts w:ascii="Times New Roman" w:hAnsi="Times New Roman" w:cs="Times New Roman" w:eastAsia="Times New Roman" w:hint="default"/>
                <w:sz w:val="18"/>
                <w:szCs w:val="18"/>
              </w:rPr>
              <w:t>;</w:t>
            </w:r>
            <w:r>
              <w:rPr>
                <w:rFonts w:ascii="宋体" w:hAnsi="宋体" w:cs="宋体" w:eastAsia="宋体" w:hint="default"/>
                <w:sz w:val="18"/>
                <w:szCs w:val="18"/>
              </w:rPr>
              <w:t>寇凤英</w:t>
            </w:r>
            <w:r>
              <w:rPr>
                <w:rFonts w:ascii="Times New Roman" w:hAnsi="Times New Roman" w:cs="Times New Roman" w:eastAsia="Times New Roman" w:hint="default"/>
                <w:sz w:val="18"/>
                <w:szCs w:val="18"/>
              </w:rPr>
              <w:t>;</w:t>
            </w:r>
            <w:r>
              <w:rPr>
                <w:rFonts w:ascii="宋体" w:hAnsi="宋体" w:cs="宋体" w:eastAsia="宋体" w:hint="default"/>
                <w:sz w:val="18"/>
                <w:szCs w:val="18"/>
              </w:rPr>
              <w:t>李 恩平</w:t>
            </w:r>
            <w:r>
              <w:rPr>
                <w:rFonts w:ascii="Times New Roman" w:hAnsi="Times New Roman" w:cs="Times New Roman" w:eastAsia="Times New Roman" w:hint="default"/>
                <w:sz w:val="18"/>
                <w:szCs w:val="18"/>
              </w:rPr>
              <w:t>;</w:t>
            </w:r>
            <w:r>
              <w:rPr>
                <w:rFonts w:ascii="宋体" w:hAnsi="宋体" w:cs="宋体" w:eastAsia="宋体" w:hint="default"/>
                <w:sz w:val="18"/>
                <w:szCs w:val="18"/>
              </w:rPr>
              <w:t>梁美玲</w:t>
            </w:r>
            <w:r>
              <w:rPr>
                <w:rFonts w:ascii="Times New Roman" w:hAnsi="Times New Roman" w:cs="Times New Roman" w:eastAsia="Times New Roman" w:hint="default"/>
                <w:sz w:val="18"/>
                <w:szCs w:val="18"/>
              </w:rPr>
              <w:t>;</w:t>
            </w:r>
            <w:r>
              <w:rPr>
                <w:rFonts w:ascii="宋体" w:hAnsi="宋体" w:cs="宋体" w:eastAsia="宋体" w:hint="default"/>
                <w:sz w:val="18"/>
                <w:szCs w:val="18"/>
              </w:rPr>
              <w:t>翁 华银</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z w:val="18"/>
                <w:szCs w:val="18"/>
              </w:rPr>
              <w:t>其认购发行人非公开发行股票的的资金 </w:t>
            </w:r>
            <w:r>
              <w:rPr>
                <w:rFonts w:ascii="宋体" w:hAnsi="宋体" w:cs="宋体" w:eastAsia="宋体" w:hint="default"/>
                <w:spacing w:val="-4"/>
                <w:sz w:val="18"/>
                <w:szCs w:val="18"/>
              </w:rPr>
              <w:t>来源于其自有资金和通过法律、行政法规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允许的方式取得的自筹资金，资金来源合</w:t>
            </w:r>
            <w:r>
              <w:rPr>
                <w:rFonts w:ascii="宋体" w:hAnsi="宋体" w:cs="宋体" w:eastAsia="宋体" w:hint="default"/>
                <w:sz w:val="18"/>
                <w:szCs w:val="18"/>
              </w:rPr>
              <w:t> </w:t>
            </w:r>
            <w:r>
              <w:rPr>
                <w:rFonts w:ascii="宋体" w:hAnsi="宋体" w:cs="宋体" w:eastAsia="宋体" w:hint="default"/>
                <w:spacing w:val="-3"/>
                <w:sz w:val="18"/>
                <w:szCs w:val="18"/>
              </w:rPr>
              <w:t>法合规，其本人出资不包含任何杠杆融资</w:t>
            </w:r>
            <w:r>
              <w:rPr>
                <w:rFonts w:ascii="宋体" w:hAnsi="宋体" w:cs="宋体" w:eastAsia="宋体" w:hint="default"/>
                <w:sz w:val="18"/>
                <w:szCs w:val="18"/>
              </w:rPr>
              <w:t> </w:t>
            </w:r>
            <w:r>
              <w:rPr>
                <w:rFonts w:ascii="宋体" w:hAnsi="宋体" w:cs="宋体" w:eastAsia="宋体" w:hint="default"/>
                <w:spacing w:val="-3"/>
                <w:sz w:val="18"/>
                <w:szCs w:val="18"/>
              </w:rPr>
              <w:t>结构化设计产品，不存在任何分级收益等</w:t>
            </w:r>
            <w:r>
              <w:rPr>
                <w:rFonts w:ascii="宋体" w:hAnsi="宋体" w:cs="宋体" w:eastAsia="宋体" w:hint="default"/>
                <w:sz w:val="18"/>
                <w:szCs w:val="18"/>
              </w:rPr>
              <w:t> 结构化安排，相关份额系其本人实益拥 </w:t>
            </w:r>
            <w:r>
              <w:rPr>
                <w:rFonts w:ascii="宋体" w:hAnsi="宋体" w:cs="宋体" w:eastAsia="宋体" w:hint="default"/>
                <w:spacing w:val="-3"/>
                <w:sz w:val="18"/>
                <w:szCs w:val="18"/>
              </w:rPr>
              <w:t>有，不存在接受他人委托代为认购、代他</w:t>
            </w:r>
            <w:r>
              <w:rPr>
                <w:rFonts w:ascii="宋体" w:hAnsi="宋体" w:cs="宋体" w:eastAsia="宋体" w:hint="default"/>
                <w:sz w:val="18"/>
                <w:szCs w:val="18"/>
              </w:rPr>
              <w:t> 人出资或向第三方募集资金参与认购本 </w:t>
            </w:r>
            <w:r>
              <w:rPr>
                <w:rFonts w:ascii="宋体" w:hAnsi="宋体" w:cs="宋体" w:eastAsia="宋体" w:hint="default"/>
                <w:spacing w:val="-3"/>
                <w:sz w:val="18"/>
                <w:szCs w:val="18"/>
              </w:rPr>
              <w:t>次非公开发行股票的情形，发行人及其控</w:t>
            </w:r>
            <w:r>
              <w:rPr>
                <w:rFonts w:ascii="宋体" w:hAnsi="宋体" w:cs="宋体" w:eastAsia="宋体" w:hint="default"/>
                <w:sz w:val="18"/>
                <w:szCs w:val="18"/>
              </w:rPr>
              <w:t> </w:t>
            </w:r>
            <w:r>
              <w:rPr>
                <w:rFonts w:ascii="宋体" w:hAnsi="宋体" w:cs="宋体" w:eastAsia="宋体" w:hint="default"/>
                <w:spacing w:val="-3"/>
                <w:sz w:val="18"/>
                <w:szCs w:val="18"/>
              </w:rPr>
              <w:t>股股东、实际控制人未直接或间接向其提</w:t>
            </w:r>
            <w:r>
              <w:rPr>
                <w:rFonts w:ascii="宋体" w:hAnsi="宋体" w:cs="宋体" w:eastAsia="宋体" w:hint="default"/>
                <w:sz w:val="18"/>
                <w:szCs w:val="18"/>
              </w:rPr>
              <w:t> </w:t>
            </w:r>
            <w:r>
              <w:rPr>
                <w:rFonts w:ascii="宋体" w:hAnsi="宋体" w:cs="宋体" w:eastAsia="宋体" w:hint="default"/>
                <w:spacing w:val="-4"/>
                <w:sz w:val="18"/>
                <w:szCs w:val="18"/>
              </w:rPr>
              <w:t>供任何形式的财务资助或者补偿，与发行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人及其实际控制人均不存在关联关系及 其他利益安排。</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18"/>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362"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东莞市长久创</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4"/>
                <w:sz w:val="18"/>
                <w:szCs w:val="18"/>
              </w:rPr>
              <w:t>本人在本次非公开发行完成后，于认购的</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严格</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558"/>
        <w:gridCol w:w="710"/>
        <w:gridCol w:w="3402"/>
        <w:gridCol w:w="852"/>
        <w:gridCol w:w="1133"/>
        <w:gridCol w:w="638"/>
      </w:tblGrid>
      <w:tr>
        <w:trPr>
          <w:trHeight w:val="4107" w:hRule="exact"/>
        </w:trPr>
        <w:tc>
          <w:tcPr>
            <w:tcW w:w="1276" w:type="dxa"/>
            <w:vMerge w:val="restart"/>
            <w:tcBorders>
              <w:top w:val="single" w:sz="4" w:space="0" w:color="C00000"/>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8"/>
              <w:ind w:left="103" w:right="176"/>
              <w:jc w:val="both"/>
              <w:rPr>
                <w:rFonts w:ascii="宋体" w:hAnsi="宋体" w:cs="宋体" w:eastAsia="宋体" w:hint="default"/>
                <w:sz w:val="18"/>
                <w:szCs w:val="18"/>
              </w:rPr>
            </w:pPr>
            <w:r>
              <w:rPr>
                <w:rFonts w:ascii="宋体" w:hAnsi="宋体" w:cs="宋体" w:eastAsia="宋体" w:hint="default"/>
                <w:sz w:val="18"/>
                <w:szCs w:val="18"/>
              </w:rPr>
              <w:t>业投资行（有限 合伙）之合伙人 东莞市长有投资 管理有限公司、 黎建强</w:t>
            </w:r>
            <w:r>
              <w:rPr>
                <w:rFonts w:ascii="Times New Roman" w:hAnsi="Times New Roman" w:cs="Times New Roman" w:eastAsia="Times New Roman" w:hint="default"/>
                <w:sz w:val="18"/>
                <w:szCs w:val="18"/>
              </w:rPr>
              <w:t>;2.</w:t>
            </w:r>
            <w:r>
              <w:rPr>
                <w:rFonts w:ascii="宋体" w:hAnsi="宋体" w:cs="宋体" w:eastAsia="宋体" w:hint="default"/>
                <w:sz w:val="18"/>
                <w:szCs w:val="18"/>
              </w:rPr>
              <w:t>广州瑞 德金晟投资管理 合伙企业（有限 合伙）之合伙人 陈萌、郭宏志、 蒋潇杨、李勇、 林华爱、权威、 唐海珠、肖菊、 叶磊刚</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3" w:right="100"/>
              <w:jc w:val="left"/>
              <w:rPr>
                <w:rFonts w:ascii="宋体" w:hAnsi="宋体" w:cs="宋体" w:eastAsia="宋体" w:hint="default"/>
                <w:sz w:val="18"/>
                <w:szCs w:val="18"/>
              </w:rPr>
            </w:pPr>
            <w:r>
              <w:rPr>
                <w:rFonts w:ascii="宋体" w:hAnsi="宋体" w:cs="宋体" w:eastAsia="宋体" w:hint="default"/>
                <w:spacing w:val="-3"/>
                <w:sz w:val="18"/>
                <w:szCs w:val="18"/>
              </w:rPr>
              <w:t>相关股票锁定期内，不转让本人在本合伙</w:t>
            </w:r>
            <w:r>
              <w:rPr>
                <w:rFonts w:ascii="宋体" w:hAnsi="宋体" w:cs="宋体" w:eastAsia="宋体" w:hint="default"/>
                <w:sz w:val="18"/>
                <w:szCs w:val="18"/>
              </w:rPr>
              <w:t> 企业的全部或部分财产份额或以其他方 式退出本合伙企业。</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3" w:right="118"/>
              <w:jc w:val="left"/>
              <w:rPr>
                <w:rFonts w:ascii="宋体" w:hAnsi="宋体" w:cs="宋体" w:eastAsia="宋体" w:hint="default"/>
                <w:sz w:val="18"/>
                <w:szCs w:val="18"/>
              </w:rPr>
            </w:pPr>
            <w:r>
              <w:rPr>
                <w:rFonts w:ascii="宋体" w:hAnsi="宋体" w:cs="宋体" w:eastAsia="宋体" w:hint="default"/>
                <w:sz w:val="18"/>
                <w:szCs w:val="18"/>
              </w:rPr>
              <w:t>股票锁定期 内</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5" w:right="161"/>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2897"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103" w:right="262"/>
              <w:jc w:val="both"/>
              <w:rPr>
                <w:rFonts w:ascii="宋体" w:hAnsi="宋体" w:cs="宋体" w:eastAsia="宋体" w:hint="default"/>
                <w:sz w:val="18"/>
                <w:szCs w:val="18"/>
              </w:rPr>
            </w:pPr>
            <w:r>
              <w:rPr>
                <w:rFonts w:ascii="宋体" w:hAnsi="宋体" w:cs="宋体" w:eastAsia="宋体" w:hint="default"/>
                <w:sz w:val="18"/>
                <w:szCs w:val="18"/>
              </w:rPr>
              <w:t>陈马迪</w:t>
            </w:r>
            <w:r>
              <w:rPr>
                <w:rFonts w:ascii="Times New Roman" w:hAnsi="Times New Roman" w:cs="Times New Roman" w:eastAsia="Times New Roman" w:hint="default"/>
                <w:sz w:val="18"/>
                <w:szCs w:val="18"/>
              </w:rPr>
              <w:t>;</w:t>
            </w:r>
            <w:r>
              <w:rPr>
                <w:rFonts w:ascii="宋体" w:hAnsi="宋体" w:cs="宋体" w:eastAsia="宋体" w:hint="default"/>
                <w:sz w:val="18"/>
                <w:szCs w:val="18"/>
              </w:rPr>
              <w:t>郭葆春</w:t>
            </w:r>
            <w:r>
              <w:rPr>
                <w:rFonts w:ascii="Times New Roman" w:hAnsi="Times New Roman" w:cs="Times New Roman" w:eastAsia="Times New Roman" w:hint="default"/>
                <w:sz w:val="18"/>
                <w:szCs w:val="18"/>
              </w:rPr>
              <w:t>; </w:t>
            </w:r>
            <w:r>
              <w:rPr>
                <w:rFonts w:ascii="宋体" w:hAnsi="宋体" w:cs="宋体" w:eastAsia="宋体" w:hint="default"/>
                <w:sz w:val="18"/>
                <w:szCs w:val="18"/>
              </w:rPr>
              <w:t>赖小妍</w:t>
            </w:r>
            <w:r>
              <w:rPr>
                <w:rFonts w:ascii="Times New Roman" w:hAnsi="Times New Roman" w:cs="Times New Roman" w:eastAsia="Times New Roman" w:hint="default"/>
                <w:sz w:val="18"/>
                <w:szCs w:val="18"/>
              </w:rPr>
              <w:t>;</w:t>
            </w:r>
            <w:r>
              <w:rPr>
                <w:rFonts w:ascii="宋体" w:hAnsi="宋体" w:cs="宋体" w:eastAsia="宋体" w:hint="default"/>
                <w:sz w:val="18"/>
                <w:szCs w:val="18"/>
              </w:rPr>
              <w:t>梁洪流</w:t>
            </w:r>
            <w:r>
              <w:rPr>
                <w:rFonts w:ascii="Times New Roman" w:hAnsi="Times New Roman" w:cs="Times New Roman" w:eastAsia="Times New Roman" w:hint="default"/>
                <w:sz w:val="18"/>
                <w:szCs w:val="18"/>
              </w:rPr>
              <w:t>; </w:t>
            </w:r>
            <w:r>
              <w:rPr>
                <w:rFonts w:ascii="宋体" w:hAnsi="宋体" w:cs="宋体" w:eastAsia="宋体" w:hint="default"/>
                <w:sz w:val="18"/>
                <w:szCs w:val="18"/>
              </w:rPr>
              <w:t>林峰国</w:t>
            </w:r>
            <w:r>
              <w:rPr>
                <w:rFonts w:ascii="Times New Roman" w:hAnsi="Times New Roman" w:cs="Times New Roman" w:eastAsia="Times New Roman" w:hint="default"/>
                <w:sz w:val="18"/>
                <w:szCs w:val="18"/>
              </w:rPr>
              <w:t>;</w:t>
            </w:r>
            <w:r>
              <w:rPr>
                <w:rFonts w:ascii="宋体" w:hAnsi="宋体" w:cs="宋体" w:eastAsia="宋体" w:hint="default"/>
                <w:sz w:val="18"/>
                <w:szCs w:val="18"/>
              </w:rPr>
              <w:t>林永飞</w:t>
            </w:r>
            <w:r>
              <w:rPr>
                <w:rFonts w:ascii="Times New Roman" w:hAnsi="Times New Roman" w:cs="Times New Roman" w:eastAsia="Times New Roman" w:hint="default"/>
                <w:sz w:val="18"/>
                <w:szCs w:val="18"/>
              </w:rPr>
              <w:t>; </w:t>
            </w:r>
            <w:r>
              <w:rPr>
                <w:rFonts w:ascii="宋体" w:hAnsi="宋体" w:cs="宋体" w:eastAsia="宋体" w:hint="default"/>
                <w:sz w:val="18"/>
                <w:szCs w:val="18"/>
              </w:rPr>
              <w:t>刘文焱</w:t>
            </w:r>
            <w:r>
              <w:rPr>
                <w:rFonts w:ascii="Times New Roman" w:hAnsi="Times New Roman" w:cs="Times New Roman" w:eastAsia="Times New Roman" w:hint="default"/>
                <w:sz w:val="18"/>
                <w:szCs w:val="18"/>
              </w:rPr>
              <w:t>;</w:t>
            </w:r>
            <w:r>
              <w:rPr>
                <w:rFonts w:ascii="宋体" w:hAnsi="宋体" w:cs="宋体" w:eastAsia="宋体" w:hint="default"/>
                <w:sz w:val="18"/>
                <w:szCs w:val="18"/>
              </w:rPr>
              <w:t>刘运国</w:t>
            </w:r>
            <w:r>
              <w:rPr>
                <w:rFonts w:ascii="Times New Roman" w:hAnsi="Times New Roman" w:cs="Times New Roman" w:eastAsia="Times New Roman" w:hint="default"/>
                <w:sz w:val="18"/>
                <w:szCs w:val="18"/>
              </w:rPr>
              <w:t>; </w:t>
            </w:r>
            <w:r>
              <w:rPr>
                <w:rFonts w:ascii="宋体" w:hAnsi="宋体" w:cs="宋体" w:eastAsia="宋体" w:hint="default"/>
                <w:sz w:val="18"/>
                <w:szCs w:val="18"/>
              </w:rPr>
              <w:t>翁武强</w:t>
            </w:r>
            <w:r>
              <w:rPr>
                <w:rFonts w:ascii="Times New Roman" w:hAnsi="Times New Roman" w:cs="Times New Roman" w:eastAsia="Times New Roman" w:hint="default"/>
                <w:sz w:val="18"/>
                <w:szCs w:val="18"/>
              </w:rPr>
              <w:t>;</w:t>
            </w:r>
            <w:r>
              <w:rPr>
                <w:rFonts w:ascii="宋体" w:hAnsi="宋体" w:cs="宋体" w:eastAsia="宋体" w:hint="default"/>
                <w:sz w:val="18"/>
                <w:szCs w:val="18"/>
              </w:rPr>
              <w:t>翁武游</w:t>
            </w:r>
            <w:r>
              <w:rPr>
                <w:rFonts w:ascii="Times New Roman" w:hAnsi="Times New Roman" w:cs="Times New Roman" w:eastAsia="Times New Roman" w:hint="default"/>
                <w:sz w:val="18"/>
                <w:szCs w:val="18"/>
              </w:rPr>
              <w:t>; </w:t>
            </w:r>
            <w:r>
              <w:rPr>
                <w:rFonts w:ascii="宋体" w:hAnsi="宋体" w:cs="宋体" w:eastAsia="宋体" w:hint="default"/>
                <w:sz w:val="18"/>
                <w:szCs w:val="18"/>
              </w:rPr>
              <w:t>杨厚威</w:t>
            </w:r>
            <w:r>
              <w:rPr>
                <w:rFonts w:ascii="Times New Roman" w:hAnsi="Times New Roman" w:cs="Times New Roman" w:eastAsia="Times New Roman" w:hint="default"/>
                <w:sz w:val="18"/>
                <w:szCs w:val="18"/>
              </w:rPr>
              <w:t>;</w:t>
            </w:r>
            <w:r>
              <w:rPr>
                <w:rFonts w:ascii="宋体" w:hAnsi="宋体" w:cs="宋体" w:eastAsia="宋体" w:hint="default"/>
                <w:sz w:val="18"/>
                <w:szCs w:val="18"/>
              </w:rPr>
              <w:t>张勤勇</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48"/>
              <w:jc w:val="left"/>
              <w:rPr>
                <w:rFonts w:ascii="宋体" w:hAnsi="宋体" w:cs="宋体" w:eastAsia="宋体" w:hint="default"/>
                <w:sz w:val="18"/>
                <w:szCs w:val="18"/>
              </w:rPr>
            </w:pPr>
            <w:r>
              <w:rPr>
                <w:rFonts w:ascii="宋体" w:hAnsi="宋体" w:cs="宋体" w:eastAsia="宋体" w:hint="default"/>
                <w:sz w:val="18"/>
                <w:szCs w:val="18"/>
              </w:rPr>
              <w:t>除本人参与本次非公开发行的发行对象 摩登大道时尚集团股份有限公司第一期 员工持股计划外，本人及其关联方没有、 且亦不会违反《证券发行与承销管理办 </w:t>
            </w:r>
            <w:r>
              <w:rPr>
                <w:rFonts w:ascii="宋体" w:hAnsi="宋体" w:cs="宋体" w:eastAsia="宋体" w:hint="default"/>
                <w:spacing w:val="-3"/>
                <w:sz w:val="18"/>
                <w:szCs w:val="18"/>
              </w:rPr>
              <w:t>法》第十六条及其他有关法规的规定，没</w:t>
            </w:r>
            <w:r>
              <w:rPr>
                <w:rFonts w:ascii="宋体" w:hAnsi="宋体" w:cs="宋体" w:eastAsia="宋体" w:hint="default"/>
                <w:sz w:val="18"/>
                <w:szCs w:val="18"/>
              </w:rPr>
              <w:t> </w:t>
            </w:r>
            <w:r>
              <w:rPr>
                <w:rFonts w:ascii="宋体" w:hAnsi="宋体" w:cs="宋体" w:eastAsia="宋体" w:hint="default"/>
                <w:spacing w:val="-3"/>
                <w:sz w:val="18"/>
                <w:szCs w:val="18"/>
              </w:rPr>
              <w:t>有、且亦不会直接或间接对本次非公开发</w:t>
            </w:r>
            <w:r>
              <w:rPr>
                <w:rFonts w:ascii="宋体" w:hAnsi="宋体" w:cs="宋体" w:eastAsia="宋体" w:hint="default"/>
                <w:sz w:val="18"/>
                <w:szCs w:val="18"/>
              </w:rPr>
              <w:t> </w:t>
            </w:r>
            <w:r>
              <w:rPr>
                <w:rFonts w:ascii="宋体" w:hAnsi="宋体" w:cs="宋体" w:eastAsia="宋体" w:hint="default"/>
                <w:spacing w:val="-4"/>
                <w:sz w:val="18"/>
                <w:szCs w:val="18"/>
              </w:rPr>
              <w:t>行的发行对象及其最终出资人（包括有限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合伙企业的合伙人）提供任何形式的财务</w:t>
            </w:r>
            <w:r>
              <w:rPr>
                <w:rFonts w:ascii="宋体" w:hAnsi="宋体" w:cs="宋体" w:eastAsia="宋体" w:hint="default"/>
                <w:sz w:val="18"/>
                <w:szCs w:val="18"/>
              </w:rPr>
              <w:t> 资助或者补偿。</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18"/>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3524" w:hRule="exact"/>
        </w:trPr>
        <w:tc>
          <w:tcPr>
            <w:tcW w:w="1276" w:type="dxa"/>
            <w:vMerge/>
            <w:tcBorders>
              <w:left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83"/>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49"/>
              <w:ind w:left="103" w:right="99"/>
              <w:jc w:val="left"/>
              <w:rPr>
                <w:rFonts w:ascii="宋体" w:hAnsi="宋体" w:cs="宋体" w:eastAsia="宋体" w:hint="default"/>
                <w:sz w:val="18"/>
                <w:szCs w:val="18"/>
              </w:rPr>
            </w:pPr>
            <w:r>
              <w:rPr>
                <w:rFonts w:ascii="宋体" w:hAnsi="宋体" w:cs="宋体" w:eastAsia="宋体" w:hint="default"/>
                <w:spacing w:val="-3"/>
                <w:sz w:val="18"/>
                <w:szCs w:val="18"/>
              </w:rPr>
              <w:t>除公司部分董事、监事、高级管理人员参</w:t>
            </w:r>
            <w:r>
              <w:rPr>
                <w:rFonts w:ascii="宋体" w:hAnsi="宋体" w:cs="宋体" w:eastAsia="宋体" w:hint="default"/>
                <w:sz w:val="18"/>
                <w:szCs w:val="18"/>
              </w:rPr>
              <w:t> </w:t>
            </w:r>
            <w:r>
              <w:rPr>
                <w:rFonts w:ascii="宋体" w:hAnsi="宋体" w:cs="宋体" w:eastAsia="宋体" w:hint="default"/>
                <w:spacing w:val="-4"/>
                <w:sz w:val="18"/>
                <w:szCs w:val="18"/>
              </w:rPr>
              <w:t>与发行人第一期员工持股计划外，公司与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本次非公开发行的发行对象及最终出资 </w:t>
            </w:r>
            <w:r>
              <w:rPr>
                <w:rFonts w:ascii="宋体" w:hAnsi="宋体" w:cs="宋体" w:eastAsia="宋体" w:hint="default"/>
                <w:spacing w:val="-4"/>
                <w:sz w:val="18"/>
                <w:szCs w:val="18"/>
              </w:rPr>
              <w:t>人不存在关联关系及其他利益安排，公司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及公司控制的企业没有、且亦不会违反</w:t>
            </w:r>
          </w:p>
          <w:p>
            <w:pPr>
              <w:pStyle w:val="TableParagraph"/>
              <w:spacing w:line="316" w:lineRule="auto" w:before="17"/>
              <w:ind w:left="103" w:right="99"/>
              <w:jc w:val="left"/>
              <w:rPr>
                <w:rFonts w:ascii="宋体" w:hAnsi="宋体" w:cs="宋体" w:eastAsia="宋体" w:hint="default"/>
                <w:sz w:val="18"/>
                <w:szCs w:val="18"/>
              </w:rPr>
            </w:pPr>
            <w:r>
              <w:rPr>
                <w:rFonts w:ascii="宋体" w:hAnsi="宋体" w:cs="宋体" w:eastAsia="宋体" w:hint="default"/>
                <w:spacing w:val="-3"/>
                <w:sz w:val="18"/>
                <w:szCs w:val="18"/>
              </w:rPr>
              <w:t>《证券发行与承销管理办法》第十六条及</w:t>
            </w:r>
            <w:r>
              <w:rPr>
                <w:rFonts w:ascii="宋体" w:hAnsi="宋体" w:cs="宋体" w:eastAsia="宋体" w:hint="default"/>
                <w:sz w:val="18"/>
                <w:szCs w:val="18"/>
              </w:rPr>
              <w:t> </w:t>
            </w:r>
            <w:r>
              <w:rPr>
                <w:rFonts w:ascii="宋体" w:hAnsi="宋体" w:cs="宋体" w:eastAsia="宋体" w:hint="default"/>
                <w:spacing w:val="-3"/>
                <w:sz w:val="18"/>
                <w:szCs w:val="18"/>
              </w:rPr>
              <w:t>其他有关法规的规定，没有、且亦不会直</w:t>
            </w:r>
            <w:r>
              <w:rPr>
                <w:rFonts w:ascii="宋体" w:hAnsi="宋体" w:cs="宋体" w:eastAsia="宋体" w:hint="default"/>
                <w:sz w:val="18"/>
                <w:szCs w:val="18"/>
              </w:rPr>
              <w:t> 接或间接对本次非公开发行的发行对象 </w:t>
            </w:r>
            <w:r>
              <w:rPr>
                <w:rFonts w:ascii="宋体" w:hAnsi="宋体" w:cs="宋体" w:eastAsia="宋体" w:hint="default"/>
                <w:spacing w:val="-3"/>
                <w:sz w:val="18"/>
                <w:szCs w:val="18"/>
              </w:rPr>
              <w:t>及其最终出资人（包括有限合伙企业的合</w:t>
            </w:r>
            <w:r>
              <w:rPr>
                <w:rFonts w:ascii="宋体" w:hAnsi="宋体" w:cs="宋体" w:eastAsia="宋体" w:hint="default"/>
                <w:sz w:val="18"/>
                <w:szCs w:val="18"/>
              </w:rPr>
              <w:t> 伙人）提供任何形式的财务资助或者补 偿。</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18"/>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3171"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4" w:lineRule="auto"/>
              <w:ind w:left="103" w:right="183"/>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4" w:lineRule="auto"/>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tabs>
                <w:tab w:pos="1365" w:val="left" w:leader="none"/>
              </w:tabs>
              <w:spacing w:line="314" w:lineRule="auto" w:before="49"/>
              <w:ind w:left="10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、承诺其及其关联方没有、且亦不会违 </w:t>
            </w:r>
            <w:r>
              <w:rPr>
                <w:rFonts w:ascii="宋体" w:hAnsi="宋体" w:cs="宋体" w:eastAsia="宋体" w:hint="default"/>
                <w:spacing w:val="-3"/>
                <w:sz w:val="18"/>
                <w:szCs w:val="18"/>
              </w:rPr>
              <w:t>反《证券发行与承销管理办法》第十六条</w:t>
            </w:r>
            <w:r>
              <w:rPr>
                <w:rFonts w:ascii="宋体" w:hAnsi="宋体" w:cs="宋体" w:eastAsia="宋体" w:hint="default"/>
                <w:sz w:val="18"/>
                <w:szCs w:val="18"/>
              </w:rPr>
              <w:t> </w:t>
            </w:r>
            <w:r>
              <w:rPr>
                <w:rFonts w:ascii="宋体" w:hAnsi="宋体" w:cs="宋体" w:eastAsia="宋体" w:hint="default"/>
                <w:spacing w:val="-3"/>
                <w:sz w:val="18"/>
                <w:szCs w:val="18"/>
              </w:rPr>
              <w:t>及其他有关法规的规定，没有、且亦不会</w:t>
            </w:r>
            <w:r>
              <w:rPr>
                <w:rFonts w:ascii="宋体" w:hAnsi="宋体" w:cs="宋体" w:eastAsia="宋体" w:hint="default"/>
                <w:sz w:val="18"/>
                <w:szCs w:val="18"/>
              </w:rPr>
              <w:t> 直接或间接对本次非公开发行的发行对 </w:t>
            </w:r>
            <w:r>
              <w:rPr>
                <w:rFonts w:ascii="宋体" w:hAnsi="宋体" w:cs="宋体" w:eastAsia="宋体" w:hint="default"/>
                <w:spacing w:val="-3"/>
                <w:sz w:val="18"/>
                <w:szCs w:val="18"/>
              </w:rPr>
              <w:t>象及其最终出资人（包括有限合伙企业的</w:t>
            </w:r>
            <w:r>
              <w:rPr>
                <w:rFonts w:ascii="宋体" w:hAnsi="宋体" w:cs="宋体" w:eastAsia="宋体" w:hint="default"/>
                <w:sz w:val="18"/>
                <w:szCs w:val="18"/>
              </w:rPr>
              <w:t> </w:t>
            </w:r>
            <w:r>
              <w:rPr>
                <w:rFonts w:ascii="宋体" w:hAnsi="宋体" w:cs="宋体" w:eastAsia="宋体" w:hint="default"/>
                <w:spacing w:val="-3"/>
                <w:sz w:val="18"/>
                <w:szCs w:val="18"/>
              </w:rPr>
              <w:t>合伙人）提供任何形式的财务资助或者补</w:t>
            </w:r>
            <w:r>
              <w:rPr>
                <w:rFonts w:ascii="宋体" w:hAnsi="宋体" w:cs="宋体" w:eastAsia="宋体" w:hint="default"/>
                <w:sz w:val="18"/>
                <w:szCs w:val="18"/>
              </w:rPr>
              <w:t> 偿。</w:t>
              <w:tab/>
            </w:r>
            <w:r>
              <w:rPr>
                <w:rFonts w:ascii="Times New Roman" w:hAnsi="Times New Roman" w:cs="Times New Roman" w:eastAsia="Times New Roman" w:hint="default"/>
                <w:sz w:val="18"/>
                <w:szCs w:val="18"/>
              </w:rPr>
              <w:t>2</w:t>
            </w:r>
            <w:r>
              <w:rPr>
                <w:rFonts w:ascii="宋体" w:hAnsi="宋体" w:cs="宋体" w:eastAsia="宋体" w:hint="default"/>
                <w:sz w:val="18"/>
                <w:szCs w:val="18"/>
              </w:rPr>
              <w:t>、自声明承诺函出具之 日至发行人本次非公开发行完成后六个 </w:t>
            </w:r>
            <w:r>
              <w:rPr>
                <w:rFonts w:ascii="宋体" w:hAnsi="宋体" w:cs="宋体" w:eastAsia="宋体" w:hint="default"/>
                <w:spacing w:val="-3"/>
                <w:sz w:val="18"/>
                <w:szCs w:val="18"/>
              </w:rPr>
              <w:t>月内，其及其关联方不会减持发行人股票</w:t>
            </w:r>
            <w:r>
              <w:rPr>
                <w:rFonts w:ascii="宋体" w:hAnsi="宋体" w:cs="宋体" w:eastAsia="宋体" w:hint="default"/>
                <w:sz w:val="18"/>
                <w:szCs w:val="18"/>
              </w:rPr>
              <w:t> </w:t>
            </w:r>
            <w:r>
              <w:rPr>
                <w:rFonts w:ascii="宋体" w:hAnsi="宋体" w:cs="宋体" w:eastAsia="宋体" w:hint="default"/>
                <w:spacing w:val="-3"/>
                <w:sz w:val="18"/>
                <w:szCs w:val="18"/>
              </w:rPr>
              <w:t>或作出减持计划；若其及其关联方未履行</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4" w:lineRule="auto"/>
              <w:ind w:left="103" w:right="118"/>
              <w:jc w:val="left"/>
              <w:rPr>
                <w:rFonts w:ascii="宋体" w:hAnsi="宋体" w:cs="宋体" w:eastAsia="宋体" w:hint="default"/>
                <w:sz w:val="18"/>
                <w:szCs w:val="18"/>
              </w:rPr>
            </w:pPr>
            <w:r>
              <w:rPr>
                <w:rFonts w:ascii="宋体" w:hAnsi="宋体" w:cs="宋体" w:eastAsia="宋体" w:hint="default"/>
                <w:sz w:val="18"/>
                <w:szCs w:val="18"/>
              </w:rPr>
              <w:t>自承诺作出 之日起有效</w:t>
            </w:r>
          </w:p>
        </w:tc>
        <w:tc>
          <w:tcPr>
            <w:tcW w:w="638"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05" w:right="16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6" w:lineRule="auto"/>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76"/>
        <w:gridCol w:w="1229"/>
        <w:gridCol w:w="329"/>
        <w:gridCol w:w="710"/>
        <w:gridCol w:w="3402"/>
        <w:gridCol w:w="852"/>
        <w:gridCol w:w="1133"/>
        <w:gridCol w:w="636"/>
      </w:tblGrid>
      <w:tr>
        <w:trPr>
          <w:trHeight w:val="675" w:hRule="exact"/>
        </w:trPr>
        <w:tc>
          <w:tcPr>
            <w:tcW w:w="1276" w:type="dxa"/>
            <w:tcBorders>
              <w:top w:val="single" w:sz="4" w:space="0" w:color="C00000"/>
              <w:left w:val="single" w:sz="4" w:space="0" w:color="C00000"/>
              <w:bottom w:val="single" w:sz="4" w:space="0" w:color="C00000"/>
              <w:right w:val="single" w:sz="4" w:space="0" w:color="C00000"/>
            </w:tcBorders>
            <w:shd w:val="clear" w:color="auto" w:fill="E4B8B7"/>
          </w:tcPr>
          <w:p>
            <w:pPr/>
          </w:p>
        </w:tc>
        <w:tc>
          <w:tcPr>
            <w:tcW w:w="1558" w:type="dxa"/>
            <w:gridSpan w:val="2"/>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8"/>
              <w:ind w:left="103" w:right="100"/>
              <w:jc w:val="left"/>
              <w:rPr>
                <w:rFonts w:ascii="宋体" w:hAnsi="宋体" w:cs="宋体" w:eastAsia="宋体" w:hint="default"/>
                <w:sz w:val="18"/>
                <w:szCs w:val="18"/>
              </w:rPr>
            </w:pPr>
            <w:r>
              <w:rPr>
                <w:rFonts w:ascii="宋体" w:hAnsi="宋体" w:cs="宋体" w:eastAsia="宋体" w:hint="default"/>
                <w:spacing w:val="-3"/>
                <w:sz w:val="18"/>
                <w:szCs w:val="18"/>
              </w:rPr>
              <w:t>上述承诺，则减持股票所得收益归发行人</w:t>
            </w:r>
            <w:r>
              <w:rPr>
                <w:rFonts w:ascii="宋体" w:hAnsi="宋体" w:cs="宋体" w:eastAsia="宋体" w:hint="default"/>
                <w:sz w:val="18"/>
                <w:szCs w:val="18"/>
              </w:rPr>
              <w:t> 所有。</w:t>
            </w: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
        </w:tc>
        <w:tc>
          <w:tcPr>
            <w:tcW w:w="636" w:type="dxa"/>
            <w:tcBorders>
              <w:top w:val="single" w:sz="4" w:space="0" w:color="C00000"/>
              <w:left w:val="single" w:sz="4" w:space="0" w:color="C00000"/>
              <w:bottom w:val="single" w:sz="4" w:space="0" w:color="C00000"/>
              <w:right w:val="single" w:sz="4" w:space="0" w:color="C00000"/>
            </w:tcBorders>
          </w:tcPr>
          <w:p>
            <w:pPr/>
          </w:p>
        </w:tc>
      </w:tr>
      <w:tr>
        <w:trPr>
          <w:trHeight w:val="713" w:hRule="exact"/>
        </w:trPr>
        <w:tc>
          <w:tcPr>
            <w:tcW w:w="1276"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316" w:lineRule="auto" w:before="49"/>
              <w:ind w:left="102" w:right="26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558" w:type="dxa"/>
            <w:gridSpan w:val="2"/>
            <w:tcBorders>
              <w:top w:val="single" w:sz="4" w:space="0" w:color="C00000"/>
              <w:left w:val="single" w:sz="4" w:space="0" w:color="C00000"/>
              <w:bottom w:val="single" w:sz="4" w:space="0" w:color="C00000"/>
              <w:right w:val="single" w:sz="4" w:space="0" w:color="C00000"/>
            </w:tcBorders>
          </w:tcPr>
          <w:p>
            <w:pPr/>
          </w:p>
        </w:tc>
        <w:tc>
          <w:tcPr>
            <w:tcW w:w="710" w:type="dxa"/>
            <w:tcBorders>
              <w:top w:val="single" w:sz="4" w:space="0" w:color="C00000"/>
              <w:left w:val="single" w:sz="4" w:space="0" w:color="C00000"/>
              <w:bottom w:val="single" w:sz="4" w:space="0" w:color="C00000"/>
              <w:right w:val="single" w:sz="4" w:space="0" w:color="C00000"/>
            </w:tcBorders>
          </w:tcPr>
          <w:p>
            <w:pPr/>
          </w:p>
        </w:tc>
        <w:tc>
          <w:tcPr>
            <w:tcW w:w="3402" w:type="dxa"/>
            <w:tcBorders>
              <w:top w:val="single" w:sz="4" w:space="0" w:color="C00000"/>
              <w:left w:val="single" w:sz="4" w:space="0" w:color="C00000"/>
              <w:bottom w:val="single" w:sz="4" w:space="0" w:color="C00000"/>
              <w:right w:val="single" w:sz="4" w:space="0" w:color="C00000"/>
            </w:tcBorders>
          </w:tcPr>
          <w:p>
            <w:pPr/>
          </w:p>
        </w:tc>
        <w:tc>
          <w:tcPr>
            <w:tcW w:w="852" w:type="dxa"/>
            <w:tcBorders>
              <w:top w:val="single" w:sz="4" w:space="0" w:color="C00000"/>
              <w:left w:val="single" w:sz="4" w:space="0" w:color="C00000"/>
              <w:bottom w:val="single" w:sz="4" w:space="0" w:color="C00000"/>
              <w:right w:val="single" w:sz="4" w:space="0" w:color="C00000"/>
            </w:tcBorders>
          </w:tcPr>
          <w:p>
            <w:pPr/>
          </w:p>
        </w:tc>
        <w:tc>
          <w:tcPr>
            <w:tcW w:w="1133" w:type="dxa"/>
            <w:tcBorders>
              <w:top w:val="single" w:sz="4" w:space="0" w:color="C00000"/>
              <w:left w:val="single" w:sz="4" w:space="0" w:color="C00000"/>
              <w:bottom w:val="single" w:sz="4" w:space="0" w:color="C00000"/>
              <w:right w:val="single" w:sz="4" w:space="0" w:color="C00000"/>
            </w:tcBorders>
          </w:tcPr>
          <w:p>
            <w:pPr/>
          </w:p>
        </w:tc>
        <w:tc>
          <w:tcPr>
            <w:tcW w:w="636" w:type="dxa"/>
            <w:tcBorders>
              <w:top w:val="single" w:sz="4" w:space="0" w:color="C00000"/>
              <w:left w:val="single" w:sz="4" w:space="0" w:color="C00000"/>
              <w:bottom w:val="single" w:sz="4" w:space="0" w:color="C00000"/>
              <w:right w:val="single" w:sz="4" w:space="0" w:color="C00000"/>
            </w:tcBorders>
          </w:tcPr>
          <w:p>
            <w:pPr/>
          </w:p>
        </w:tc>
      </w:tr>
      <w:tr>
        <w:trPr>
          <w:trHeight w:val="1963" w:hRule="exact"/>
        </w:trPr>
        <w:tc>
          <w:tcPr>
            <w:tcW w:w="1276" w:type="dxa"/>
            <w:vMerge w:val="restart"/>
            <w:tcBorders>
              <w:top w:val="single" w:sz="4" w:space="0" w:color="C00000"/>
              <w:left w:val="single" w:sz="4" w:space="0" w:color="C00000"/>
              <w:right w:val="single" w:sz="4" w:space="0" w:color="C00000"/>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102" w:right="26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558" w:type="dxa"/>
            <w:gridSpan w:val="2"/>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83"/>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233"/>
              <w:jc w:val="both"/>
              <w:rPr>
                <w:rFonts w:ascii="宋体" w:hAnsi="宋体" w:cs="宋体" w:eastAsia="宋体" w:hint="default"/>
                <w:sz w:val="18"/>
                <w:szCs w:val="18"/>
              </w:rPr>
            </w:pPr>
            <w:r>
              <w:rPr>
                <w:rFonts w:ascii="宋体" w:hAnsi="宋体" w:cs="宋体" w:eastAsia="宋体" w:hint="default"/>
                <w:sz w:val="18"/>
                <w:szCs w:val="18"/>
              </w:rPr>
              <w:t>募集 资金 使用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6" w:lineRule="auto" w:before="49"/>
              <w:ind w:left="103" w:right="100"/>
              <w:jc w:val="left"/>
              <w:rPr>
                <w:rFonts w:ascii="宋体" w:hAnsi="宋体" w:cs="宋体" w:eastAsia="宋体" w:hint="default"/>
                <w:sz w:val="18"/>
                <w:szCs w:val="18"/>
              </w:rPr>
            </w:pPr>
            <w:r>
              <w:rPr>
                <w:rFonts w:ascii="宋体" w:hAnsi="宋体" w:cs="宋体" w:eastAsia="宋体" w:hint="default"/>
                <w:sz w:val="18"/>
                <w:szCs w:val="18"/>
              </w:rPr>
              <w:t>本次暂时性补充流动资金期间不进行证 券投资等高风险投资及为他人提供财务 </w:t>
            </w:r>
            <w:r>
              <w:rPr>
                <w:rFonts w:ascii="宋体" w:hAnsi="宋体" w:cs="宋体" w:eastAsia="宋体" w:hint="default"/>
                <w:spacing w:val="-3"/>
                <w:sz w:val="18"/>
                <w:szCs w:val="18"/>
              </w:rPr>
              <w:t>资助；公司将确保上述用于补充流动资金</w:t>
            </w:r>
            <w:r>
              <w:rPr>
                <w:rFonts w:ascii="宋体" w:hAnsi="宋体" w:cs="宋体" w:eastAsia="宋体" w:hint="default"/>
                <w:sz w:val="18"/>
                <w:szCs w:val="18"/>
              </w:rPr>
              <w:t> </w:t>
            </w:r>
            <w:r>
              <w:rPr>
                <w:rFonts w:ascii="宋体" w:hAnsi="宋体" w:cs="宋体" w:eastAsia="宋体" w:hint="default"/>
                <w:spacing w:val="-3"/>
                <w:sz w:val="18"/>
                <w:szCs w:val="18"/>
              </w:rPr>
              <w:t>的剩余募集资金的安全，依据业务实际需</w:t>
            </w:r>
            <w:r>
              <w:rPr>
                <w:rFonts w:ascii="宋体" w:hAnsi="宋体" w:cs="宋体" w:eastAsia="宋体" w:hint="default"/>
                <w:sz w:val="18"/>
                <w:szCs w:val="18"/>
              </w:rPr>
              <w:t> </w:t>
            </w:r>
            <w:r>
              <w:rPr>
                <w:rFonts w:ascii="宋体" w:hAnsi="宋体" w:cs="宋体" w:eastAsia="宋体" w:hint="default"/>
                <w:spacing w:val="-3"/>
                <w:sz w:val="18"/>
                <w:szCs w:val="18"/>
              </w:rPr>
              <w:t>要来补充流动资金，并于使用期届满前将</w:t>
            </w:r>
            <w:r>
              <w:rPr>
                <w:rFonts w:ascii="宋体" w:hAnsi="宋体" w:cs="宋体" w:eastAsia="宋体" w:hint="default"/>
                <w:sz w:val="18"/>
                <w:szCs w:val="18"/>
              </w:rPr>
              <w:t> 上述资金全部归还至募集资金专户。</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1961" w:hRule="exact"/>
        </w:trPr>
        <w:tc>
          <w:tcPr>
            <w:tcW w:w="1276" w:type="dxa"/>
            <w:vMerge/>
            <w:tcBorders>
              <w:left w:val="single" w:sz="4" w:space="0" w:color="C00000"/>
              <w:right w:val="single" w:sz="4" w:space="0" w:color="C00000"/>
            </w:tcBorders>
            <w:shd w:val="clear" w:color="auto" w:fill="E4B8B7"/>
          </w:tcPr>
          <w:p>
            <w:pPr/>
          </w:p>
        </w:tc>
        <w:tc>
          <w:tcPr>
            <w:tcW w:w="1558" w:type="dxa"/>
            <w:gridSpan w:val="2"/>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83"/>
              <w:jc w:val="left"/>
              <w:rPr>
                <w:rFonts w:ascii="宋体" w:hAnsi="宋体" w:cs="宋体" w:eastAsia="宋体" w:hint="default"/>
                <w:sz w:val="18"/>
                <w:szCs w:val="18"/>
              </w:rPr>
            </w:pPr>
            <w:r>
              <w:rPr>
                <w:rFonts w:ascii="宋体" w:hAnsi="宋体" w:cs="宋体" w:eastAsia="宋体" w:hint="default"/>
                <w:sz w:val="18"/>
                <w:szCs w:val="18"/>
              </w:rPr>
              <w:t>摩登大道时尚集 团股份有限公司</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233"/>
              <w:jc w:val="both"/>
              <w:rPr>
                <w:rFonts w:ascii="宋体" w:hAnsi="宋体" w:cs="宋体" w:eastAsia="宋体" w:hint="default"/>
                <w:sz w:val="18"/>
                <w:szCs w:val="18"/>
              </w:rPr>
            </w:pPr>
            <w:r>
              <w:rPr>
                <w:rFonts w:ascii="宋体" w:hAnsi="宋体" w:cs="宋体" w:eastAsia="宋体" w:hint="default"/>
                <w:sz w:val="18"/>
                <w:szCs w:val="18"/>
              </w:rPr>
              <w:t>募集 资金 使用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9" w:lineRule="auto" w:before="49"/>
              <w:ind w:left="103" w:right="102"/>
              <w:jc w:val="left"/>
              <w:rPr>
                <w:rFonts w:ascii="宋体" w:hAnsi="宋体" w:cs="宋体" w:eastAsia="宋体" w:hint="default"/>
                <w:sz w:val="18"/>
                <w:szCs w:val="18"/>
              </w:rPr>
            </w:pPr>
            <w:r>
              <w:rPr>
                <w:rFonts w:ascii="宋体" w:hAnsi="宋体" w:cs="宋体" w:eastAsia="宋体" w:hint="default"/>
                <w:spacing w:val="-4"/>
                <w:sz w:val="18"/>
                <w:szCs w:val="18"/>
              </w:rPr>
              <w:t>在本次股权转让交易后的十二个月内，除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已经收回对外提供财务资助外，不使用闲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置募集资金暂时补充流动资金、将募集资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金投向变更为永久性补充流动资金、将超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募资金永久性用于补充流动资金或者归 还银行贷款。</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5" w:right="158"/>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1339" w:hRule="exact"/>
        </w:trPr>
        <w:tc>
          <w:tcPr>
            <w:tcW w:w="1276" w:type="dxa"/>
            <w:vMerge/>
            <w:tcBorders>
              <w:left w:val="single" w:sz="4" w:space="0" w:color="C00000"/>
              <w:right w:val="single" w:sz="4" w:space="0" w:color="C00000"/>
            </w:tcBorders>
            <w:shd w:val="clear" w:color="auto" w:fill="E4B8B7"/>
          </w:tcPr>
          <w:p>
            <w:pPr/>
          </w:p>
        </w:tc>
        <w:tc>
          <w:tcPr>
            <w:tcW w:w="1558" w:type="dxa"/>
            <w:gridSpan w:val="2"/>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3" w:right="262"/>
              <w:jc w:val="left"/>
              <w:rPr>
                <w:rFonts w:ascii="宋体" w:hAnsi="宋体" w:cs="宋体" w:eastAsia="宋体" w:hint="default"/>
                <w:sz w:val="18"/>
                <w:szCs w:val="18"/>
              </w:rPr>
            </w:pP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翁武强</w:t>
            </w:r>
            <w:r>
              <w:rPr>
                <w:rFonts w:ascii="Times New Roman" w:hAnsi="Times New Roman" w:cs="Times New Roman" w:eastAsia="Times New Roman" w:hint="default"/>
                <w:sz w:val="18"/>
                <w:szCs w:val="18"/>
              </w:rPr>
              <w:t>; </w:t>
            </w:r>
            <w:r>
              <w:rPr>
                <w:rFonts w:ascii="宋体" w:hAnsi="宋体" w:cs="宋体" w:eastAsia="宋体" w:hint="default"/>
                <w:sz w:val="18"/>
                <w:szCs w:val="18"/>
              </w:rPr>
              <w:t>翁武游</w:t>
            </w:r>
            <w:r>
              <w:rPr>
                <w:rFonts w:ascii="Times New Roman" w:hAnsi="Times New Roman" w:cs="Times New Roman" w:eastAsia="Times New Roman" w:hint="default"/>
                <w:sz w:val="18"/>
                <w:szCs w:val="18"/>
              </w:rPr>
              <w:t>;</w:t>
            </w:r>
            <w:r>
              <w:rPr>
                <w:rFonts w:ascii="宋体" w:hAnsi="宋体" w:cs="宋体" w:eastAsia="宋体" w:hint="default"/>
                <w:sz w:val="18"/>
                <w:szCs w:val="18"/>
              </w:rPr>
              <w:t>严炎象</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233"/>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228"/>
              <w:jc w:val="both"/>
              <w:rPr>
                <w:rFonts w:ascii="宋体" w:hAnsi="宋体" w:cs="宋体" w:eastAsia="宋体" w:hint="default"/>
                <w:sz w:val="18"/>
                <w:szCs w:val="18"/>
              </w:rPr>
            </w:pPr>
            <w:r>
              <w:rPr>
                <w:rFonts w:ascii="宋体" w:hAnsi="宋体" w:cs="宋体" w:eastAsia="宋体" w:hint="default"/>
                <w:sz w:val="18"/>
                <w:szCs w:val="18"/>
              </w:rPr>
              <w:t>自本次减持计划披露之日起连续六个月 内通过证券交易系统出售的股份低于公 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58"/>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1337" w:hRule="exact"/>
        </w:trPr>
        <w:tc>
          <w:tcPr>
            <w:tcW w:w="1276" w:type="dxa"/>
            <w:vMerge/>
            <w:tcBorders>
              <w:left w:val="single" w:sz="4" w:space="0" w:color="C00000"/>
              <w:right w:val="single" w:sz="4" w:space="0" w:color="C00000"/>
            </w:tcBorders>
            <w:shd w:val="clear" w:color="auto" w:fill="E4B8B7"/>
          </w:tcPr>
          <w:p>
            <w:pPr/>
          </w:p>
        </w:tc>
        <w:tc>
          <w:tcPr>
            <w:tcW w:w="1558" w:type="dxa"/>
            <w:gridSpan w:val="2"/>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3" w:right="262"/>
              <w:jc w:val="left"/>
              <w:rPr>
                <w:rFonts w:ascii="宋体" w:hAnsi="宋体" w:cs="宋体" w:eastAsia="宋体" w:hint="default"/>
                <w:sz w:val="18"/>
                <w:szCs w:val="18"/>
              </w:rPr>
            </w:pPr>
            <w:r>
              <w:rPr>
                <w:rFonts w:ascii="宋体" w:hAnsi="宋体" w:cs="宋体" w:eastAsia="宋体" w:hint="default"/>
                <w:sz w:val="18"/>
                <w:szCs w:val="18"/>
              </w:rPr>
              <w:t>林永飞</w:t>
            </w:r>
            <w:r>
              <w:rPr>
                <w:rFonts w:ascii="Times New Roman" w:hAnsi="Times New Roman" w:cs="Times New Roman" w:eastAsia="Times New Roman" w:hint="default"/>
                <w:sz w:val="18"/>
                <w:szCs w:val="18"/>
              </w:rPr>
              <w:t>;</w:t>
            </w:r>
            <w:r>
              <w:rPr>
                <w:rFonts w:ascii="宋体" w:hAnsi="宋体" w:cs="宋体" w:eastAsia="宋体" w:hint="default"/>
                <w:sz w:val="18"/>
                <w:szCs w:val="18"/>
              </w:rPr>
              <w:t>翁武强</w:t>
            </w:r>
            <w:r>
              <w:rPr>
                <w:rFonts w:ascii="Times New Roman" w:hAnsi="Times New Roman" w:cs="Times New Roman" w:eastAsia="Times New Roman" w:hint="default"/>
                <w:sz w:val="18"/>
                <w:szCs w:val="18"/>
              </w:rPr>
              <w:t>; </w:t>
            </w:r>
            <w:r>
              <w:rPr>
                <w:rFonts w:ascii="宋体" w:hAnsi="宋体" w:cs="宋体" w:eastAsia="宋体" w:hint="default"/>
                <w:sz w:val="18"/>
                <w:szCs w:val="18"/>
              </w:rPr>
              <w:t>翁武游</w:t>
            </w:r>
            <w:r>
              <w:rPr>
                <w:rFonts w:ascii="Times New Roman" w:hAnsi="Times New Roman" w:cs="Times New Roman" w:eastAsia="Times New Roman" w:hint="default"/>
                <w:sz w:val="18"/>
                <w:szCs w:val="18"/>
              </w:rPr>
              <w:t>;</w:t>
            </w:r>
            <w:r>
              <w:rPr>
                <w:rFonts w:ascii="宋体" w:hAnsi="宋体" w:cs="宋体" w:eastAsia="宋体" w:hint="default"/>
                <w:sz w:val="18"/>
                <w:szCs w:val="18"/>
              </w:rPr>
              <w:t>严炎象</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233"/>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自本次减持计划披露之日起连续六个月 内通过证券交易系统出售的股份低于公 司股份总数的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158"/>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4148" w:hRule="exact"/>
        </w:trPr>
        <w:tc>
          <w:tcPr>
            <w:tcW w:w="1276" w:type="dxa"/>
            <w:vMerge/>
            <w:tcBorders>
              <w:left w:val="single" w:sz="4" w:space="0" w:color="C00000"/>
              <w:bottom w:val="single" w:sz="4" w:space="0" w:color="C00000"/>
              <w:right w:val="single" w:sz="4" w:space="0" w:color="C00000"/>
            </w:tcBorders>
            <w:shd w:val="clear" w:color="auto" w:fill="E4B8B7"/>
          </w:tcPr>
          <w:p>
            <w:pPr/>
          </w:p>
        </w:tc>
        <w:tc>
          <w:tcPr>
            <w:tcW w:w="1558" w:type="dxa"/>
            <w:gridSpan w:val="2"/>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83"/>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710"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5" w:right="23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402" w:type="dxa"/>
            <w:tcBorders>
              <w:top w:val="single" w:sz="4" w:space="0" w:color="C00000"/>
              <w:left w:val="single" w:sz="4" w:space="0" w:color="C00000"/>
              <w:bottom w:val="single" w:sz="4" w:space="0" w:color="C00000"/>
              <w:right w:val="single" w:sz="4" w:space="0" w:color="C00000"/>
            </w:tcBorders>
          </w:tcPr>
          <w:p>
            <w:pPr>
              <w:pStyle w:val="TableParagraph"/>
              <w:spacing w:line="312" w:lineRule="auto" w:before="49"/>
              <w:ind w:left="103" w:right="99"/>
              <w:jc w:val="left"/>
              <w:rPr>
                <w:rFonts w:ascii="宋体" w:hAnsi="宋体" w:cs="宋体" w:eastAsia="宋体" w:hint="default"/>
                <w:sz w:val="18"/>
                <w:szCs w:val="18"/>
              </w:rPr>
            </w:pPr>
            <w:r>
              <w:rPr>
                <w:rFonts w:ascii="宋体" w:hAnsi="宋体" w:cs="宋体" w:eastAsia="宋体" w:hint="default"/>
                <w:sz w:val="18"/>
                <w:szCs w:val="18"/>
              </w:rPr>
              <w:t>在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3"/>
                <w:sz w:val="18"/>
                <w:szCs w:val="18"/>
              </w:rPr>
              <w:t>日期间，摩登大道及其全资子公司、控股</w:t>
            </w:r>
            <w:r>
              <w:rPr>
                <w:rFonts w:ascii="宋体" w:hAnsi="宋体" w:cs="宋体" w:eastAsia="宋体" w:hint="default"/>
                <w:sz w:val="18"/>
                <w:szCs w:val="18"/>
              </w:rPr>
              <w:t> </w:t>
            </w:r>
            <w:r>
              <w:rPr>
                <w:rFonts w:ascii="宋体" w:hAnsi="宋体" w:cs="宋体" w:eastAsia="宋体" w:hint="default"/>
                <w:spacing w:val="-4"/>
                <w:sz w:val="18"/>
                <w:szCs w:val="18"/>
              </w:rPr>
              <w:t>子公司的全体员工使用自有资金（不能使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用融资融券或者结构化、配资等）通过二</w:t>
            </w:r>
            <w:r>
              <w:rPr>
                <w:rFonts w:ascii="宋体" w:hAnsi="宋体" w:cs="宋体" w:eastAsia="宋体" w:hint="default"/>
                <w:sz w:val="18"/>
                <w:szCs w:val="18"/>
              </w:rPr>
              <w:t> 级市场竞价净买入摩登大道股票且连续 持有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个月以上的。若前述员工因在倡</w:t>
            </w:r>
            <w:r>
              <w:rPr>
                <w:rFonts w:ascii="宋体" w:hAnsi="宋体" w:cs="宋体" w:eastAsia="宋体" w:hint="default"/>
                <w:sz w:val="18"/>
                <w:szCs w:val="18"/>
              </w:rPr>
              <w:t> 议购买期间买入公司股票全部卖出时实 际产生收益低于</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的，承诺收益差额部</w:t>
            </w:r>
            <w:r>
              <w:rPr>
                <w:rFonts w:ascii="宋体" w:hAnsi="宋体" w:cs="宋体" w:eastAsia="宋体" w:hint="default"/>
                <w:sz w:val="18"/>
                <w:szCs w:val="18"/>
              </w:rPr>
              <w:t> </w:t>
            </w:r>
            <w:r>
              <w:rPr>
                <w:rFonts w:ascii="宋体" w:hAnsi="宋体" w:cs="宋体" w:eastAsia="宋体" w:hint="default"/>
                <w:spacing w:val="-3"/>
                <w:sz w:val="18"/>
                <w:szCs w:val="18"/>
              </w:rPr>
              <w:t>分由瑞丰集团予以补偿；上述股票超额收</w:t>
            </w:r>
            <w:r>
              <w:rPr>
                <w:rFonts w:ascii="宋体" w:hAnsi="宋体" w:cs="宋体" w:eastAsia="宋体" w:hint="default"/>
                <w:sz w:val="18"/>
                <w:szCs w:val="18"/>
              </w:rPr>
              <w:t> </w:t>
            </w:r>
            <w:r>
              <w:rPr>
                <w:rFonts w:ascii="宋体" w:hAnsi="宋体" w:cs="宋体" w:eastAsia="宋体" w:hint="default"/>
                <w:spacing w:val="-3"/>
                <w:sz w:val="18"/>
                <w:szCs w:val="18"/>
              </w:rPr>
              <w:t>益则归员工个人所有。若员工净买入摩登</w:t>
            </w:r>
            <w:r>
              <w:rPr>
                <w:rFonts w:ascii="宋体" w:hAnsi="宋体" w:cs="宋体" w:eastAsia="宋体" w:hint="default"/>
                <w:sz w:val="18"/>
                <w:szCs w:val="18"/>
              </w:rPr>
              <w:t> 大道股票连续持有时间不足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个月即 </w:t>
            </w:r>
            <w:r>
              <w:rPr>
                <w:rFonts w:ascii="宋体" w:hAnsi="宋体" w:cs="宋体" w:eastAsia="宋体" w:hint="default"/>
                <w:spacing w:val="-3"/>
                <w:sz w:val="18"/>
                <w:szCs w:val="18"/>
              </w:rPr>
              <w:t>发生减持行为的，则瑞丰集团不给予任何</w:t>
            </w:r>
            <w:r>
              <w:rPr>
                <w:rFonts w:ascii="宋体" w:hAnsi="宋体" w:cs="宋体" w:eastAsia="宋体" w:hint="default"/>
                <w:sz w:val="18"/>
                <w:szCs w:val="18"/>
              </w:rPr>
              <w:t> 补偿。</w:t>
            </w:r>
          </w:p>
        </w:tc>
        <w:tc>
          <w:tcPr>
            <w:tcW w:w="852"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03" w:right="118"/>
              <w:jc w:val="both"/>
              <w:rPr>
                <w:rFonts w:ascii="宋体" w:hAnsi="宋体" w:cs="宋体" w:eastAsia="宋体" w:hint="default"/>
                <w:sz w:val="18"/>
                <w:szCs w:val="18"/>
              </w:rPr>
            </w:pPr>
            <w:r>
              <w:rPr>
                <w:rFonts w:ascii="宋体" w:hAnsi="宋体" w:cs="宋体" w:eastAsia="宋体" w:hint="default"/>
                <w:sz w:val="18"/>
                <w:szCs w:val="18"/>
              </w:rPr>
              <w:t>如满足补偿 条件，瑞丰 集团将在被 倡议人满足 补偿条件的 股票完全卖 出完毕</w:t>
            </w:r>
          </w:p>
        </w:tc>
        <w:tc>
          <w:tcPr>
            <w:tcW w:w="636"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5" w:right="158"/>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713" w:hRule="exact"/>
        </w:trPr>
        <w:tc>
          <w:tcPr>
            <w:tcW w:w="1276"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316" w:lineRule="auto" w:before="49"/>
              <w:ind w:left="102" w:right="26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292" w:type="dxa"/>
            <w:gridSpan w:val="7"/>
            <w:tcBorders>
              <w:top w:val="single" w:sz="4" w:space="0" w:color="C00000"/>
              <w:left w:val="single" w:sz="4" w:space="0" w:color="C00000"/>
              <w:bottom w:val="single" w:sz="4" w:space="0" w:color="C00000"/>
              <w:right w:val="single" w:sz="4" w:space="0" w:color="C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505" w:type="dxa"/>
            <w:gridSpan w:val="2"/>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4"/>
                <w:sz w:val="18"/>
                <w:szCs w:val="18"/>
              </w:rPr>
              <w:t>如承诺超期未履行完毕的，应</w:t>
            </w:r>
            <w:r>
              <w:rPr>
                <w:rFonts w:ascii="宋体" w:hAnsi="宋体" w:cs="宋体" w:eastAsia="宋体" w:hint="default"/>
                <w:sz w:val="18"/>
                <w:szCs w:val="18"/>
              </w:rPr>
              <w:t> 当详细说明未完成履行的具 体原因及下一步的工作计划</w:t>
            </w:r>
          </w:p>
        </w:tc>
        <w:tc>
          <w:tcPr>
            <w:tcW w:w="7062" w:type="dxa"/>
            <w:gridSpan w:val="6"/>
            <w:tcBorders>
              <w:top w:val="single" w:sz="4" w:space="0" w:color="C00000"/>
              <w:left w:val="single" w:sz="4" w:space="0" w:color="C00000"/>
              <w:bottom w:val="single" w:sz="4" w:space="0" w:color="C00000"/>
              <w:right w:val="single" w:sz="4" w:space="0" w:color="C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0"/>
        <w:rPr>
          <w:rFonts w:ascii="Times New Roman" w:hAnsi="Times New Roman" w:cs="Times New Roman" w:eastAsia="Times New Roman" w:hint="default"/>
          <w:sz w:val="24"/>
          <w:szCs w:val="24"/>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13" w:right="499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2"/>
        <w:spacing w:line="240" w:lineRule="auto"/>
        <w:ind w:right="1115"/>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386" w:lineRule="auto"/>
        <w:ind w:right="0" w:firstLine="420"/>
        <w:jc w:val="left"/>
      </w:pPr>
      <w:r>
        <w:rPr>
          <w:spacing w:val="-6"/>
          <w:w w:val="100"/>
        </w:rPr>
        <w:t>根据财政部发布的《关于修订印发</w:t>
      </w:r>
      <w:r>
        <w:rPr>
          <w:rFonts w:ascii="Times New Roman" w:hAnsi="Times New Roman" w:cs="Times New Roman" w:eastAsia="Times New Roman" w:hint="default"/>
          <w:spacing w:val="-6"/>
          <w:w w:val="100"/>
        </w:rPr>
        <w:t>2018</w:t>
      </w:r>
      <w:r>
        <w:rPr>
          <w:spacing w:val="-6"/>
          <w:w w:val="100"/>
        </w:rPr>
        <w:t>年度一般企业财务报表格式的通知》（财会（</w:t>
      </w:r>
      <w:r>
        <w:rPr>
          <w:rFonts w:ascii="Times New Roman" w:hAnsi="Times New Roman" w:cs="Times New Roman" w:eastAsia="Times New Roman" w:hint="default"/>
          <w:spacing w:val="-6"/>
          <w:w w:val="100"/>
        </w:rPr>
        <w:t>2018</w:t>
      </w:r>
      <w:r>
        <w:rPr>
          <w:spacing w:val="-6"/>
          <w:w w:val="100"/>
        </w:rPr>
        <w:t>）</w:t>
      </w:r>
      <w:r>
        <w:rPr>
          <w:rFonts w:ascii="Times New Roman" w:hAnsi="Times New Roman" w:cs="Times New Roman" w:eastAsia="Times New Roman" w:hint="default"/>
          <w:spacing w:val="-6"/>
          <w:w w:val="100"/>
        </w:rPr>
        <w:t>15</w:t>
      </w:r>
      <w:r>
        <w:rPr>
          <w:spacing w:val="-6"/>
          <w:w w:val="100"/>
        </w:rPr>
        <w:t>号），公</w:t>
      </w:r>
      <w:r>
        <w:rPr>
          <w:w w:val="100"/>
        </w:rPr>
        <w:t> </w:t>
      </w:r>
      <w:r>
        <w:rPr/>
        <w:t>司对该项会计政策变更采用追溯调整法。</w:t>
      </w:r>
    </w:p>
    <w:p>
      <w:pPr>
        <w:pStyle w:val="BodyText"/>
        <w:spacing w:line="240" w:lineRule="auto" w:before="144"/>
        <w:ind w:left="533" w:right="0"/>
        <w:jc w:val="left"/>
      </w:pPr>
      <w:r>
        <w:rPr/>
        <w:t>对</w:t>
      </w:r>
      <w:r>
        <w:rPr>
          <w:rFonts w:ascii="Times New Roman" w:hAnsi="Times New Roman" w:cs="Times New Roman" w:eastAsia="Times New Roman" w:hint="default"/>
        </w:rPr>
        <w:t>2017</w:t>
      </w:r>
      <w:r>
        <w:rPr/>
        <w:t>年度公司合并财务报表列报项目进行追溯调整具体如下：</w:t>
      </w:r>
    </w:p>
    <w:p>
      <w:pPr>
        <w:spacing w:line="240" w:lineRule="auto" w:before="7"/>
        <w:rPr>
          <w:rFonts w:ascii="宋体" w:hAnsi="宋体" w:cs="宋体" w:eastAsia="宋体" w:hint="default"/>
          <w:sz w:val="3"/>
          <w:szCs w:val="3"/>
        </w:rPr>
      </w:pPr>
    </w:p>
    <w:tbl>
      <w:tblPr>
        <w:tblW w:w="0" w:type="auto"/>
        <w:jc w:val="left"/>
        <w:tblInd w:w="547" w:type="dxa"/>
        <w:tblLayout w:type="fixed"/>
        <w:tblCellMar>
          <w:top w:w="0" w:type="dxa"/>
          <w:left w:w="0" w:type="dxa"/>
          <w:bottom w:w="0" w:type="dxa"/>
          <w:right w:w="0" w:type="dxa"/>
        </w:tblCellMar>
        <w:tblLook w:val="01E0"/>
      </w:tblPr>
      <w:tblGrid>
        <w:gridCol w:w="2093"/>
        <w:gridCol w:w="2410"/>
        <w:gridCol w:w="1985"/>
        <w:gridCol w:w="2268"/>
      </w:tblGrid>
      <w:tr>
        <w:trPr>
          <w:trHeight w:val="322" w:hRule="exact"/>
        </w:trPr>
        <w:tc>
          <w:tcPr>
            <w:tcW w:w="4503" w:type="dxa"/>
            <w:gridSpan w:val="2"/>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51" w:lineRule="exact"/>
              <w:ind w:left="1192" w:right="0"/>
              <w:jc w:val="left"/>
              <w:rPr>
                <w:rFonts w:ascii="宋体" w:hAnsi="宋体" w:cs="宋体" w:eastAsia="宋体" w:hint="default"/>
                <w:sz w:val="20"/>
                <w:szCs w:val="20"/>
              </w:rPr>
            </w:pPr>
            <w:r>
              <w:rPr>
                <w:rFonts w:ascii="宋体" w:hAnsi="宋体" w:cs="宋体" w:eastAsia="宋体" w:hint="default"/>
                <w:sz w:val="20"/>
                <w:szCs w:val="20"/>
              </w:rPr>
              <w:t>原列报报表项目及金额</w:t>
            </w:r>
          </w:p>
        </w:tc>
        <w:tc>
          <w:tcPr>
            <w:tcW w:w="4254" w:type="dxa"/>
            <w:gridSpan w:val="2"/>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51" w:lineRule="exact"/>
              <w:ind w:left="1070" w:right="0"/>
              <w:jc w:val="left"/>
              <w:rPr>
                <w:rFonts w:ascii="宋体" w:hAnsi="宋体" w:cs="宋体" w:eastAsia="宋体" w:hint="default"/>
                <w:sz w:val="20"/>
                <w:szCs w:val="20"/>
              </w:rPr>
            </w:pPr>
            <w:r>
              <w:rPr>
                <w:rFonts w:ascii="宋体" w:hAnsi="宋体" w:cs="宋体" w:eastAsia="宋体" w:hint="default"/>
                <w:sz w:val="20"/>
                <w:szCs w:val="20"/>
              </w:rPr>
              <w:t>新列报报表项目及金额</w:t>
            </w:r>
          </w:p>
        </w:tc>
      </w:tr>
      <w:tr>
        <w:trPr>
          <w:trHeight w:val="516"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72"/>
              <w:ind w:left="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410" w:type="dxa"/>
            <w:tcBorders>
              <w:top w:val="single" w:sz="10" w:space="0" w:color="933734"/>
              <w:left w:val="single" w:sz="7" w:space="0" w:color="933734"/>
              <w:bottom w:val="single" w:sz="6" w:space="0" w:color="933734"/>
              <w:right w:val="single" w:sz="6" w:space="0" w:color="933734"/>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7,850,000.00</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2268" w:type="dxa"/>
            <w:vMerge w:val="restart"/>
            <w:tcBorders>
              <w:top w:val="single" w:sz="10" w:space="0" w:color="933734"/>
              <w:left w:val="single" w:sz="6" w:space="0" w:color="933734"/>
              <w:right w:val="single" w:sz="6" w:space="0" w:color="933734"/>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97" w:right="0"/>
              <w:jc w:val="left"/>
              <w:rPr>
                <w:rFonts w:ascii="Times New Roman" w:hAnsi="Times New Roman" w:cs="Times New Roman" w:eastAsia="Times New Roman" w:hint="default"/>
                <w:sz w:val="20"/>
                <w:szCs w:val="20"/>
              </w:rPr>
            </w:pPr>
            <w:r>
              <w:rPr>
                <w:rFonts w:ascii="Times New Roman"/>
                <w:sz w:val="20"/>
              </w:rPr>
              <w:t>207,163,294.73</w:t>
            </w:r>
          </w:p>
        </w:tc>
      </w:tr>
      <w:tr>
        <w:trPr>
          <w:trHeight w:val="346"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199,313,294.73</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8" w:type="dxa"/>
            <w:vMerge/>
            <w:tcBorders>
              <w:left w:val="single" w:sz="6" w:space="0" w:color="933734"/>
              <w:bottom w:val="single" w:sz="6" w:space="0" w:color="933734"/>
              <w:right w:val="single" w:sz="6" w:space="0" w:color="933734"/>
            </w:tcBorders>
          </w:tcPr>
          <w:p>
            <w:pPr/>
          </w:p>
        </w:tc>
      </w:tr>
      <w:tr>
        <w:trPr>
          <w:trHeight w:val="348"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40,191.78</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268" w:type="dxa"/>
            <w:vMerge w:val="restart"/>
            <w:tcBorders>
              <w:top w:val="single" w:sz="6" w:space="0" w:color="933734"/>
              <w:left w:val="single" w:sz="6" w:space="0" w:color="933734"/>
              <w:right w:val="single" w:sz="6" w:space="0" w:color="933734"/>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998" w:right="0"/>
              <w:jc w:val="left"/>
              <w:rPr>
                <w:rFonts w:ascii="Times New Roman" w:hAnsi="Times New Roman" w:cs="Times New Roman" w:eastAsia="Times New Roman" w:hint="default"/>
                <w:sz w:val="20"/>
                <w:szCs w:val="20"/>
              </w:rPr>
            </w:pPr>
            <w:r>
              <w:rPr>
                <w:rFonts w:ascii="Times New Roman"/>
                <w:sz w:val="20"/>
              </w:rPr>
              <w:t>58,087,106.67</w:t>
            </w: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tcBorders>
              <w:left w:val="single" w:sz="6" w:space="0" w:color="933734"/>
              <w:right w:val="single" w:sz="6" w:space="0" w:color="933734"/>
            </w:tcBorders>
            <w:shd w:val="clear" w:color="auto" w:fill="E4B8B7"/>
          </w:tcPr>
          <w:p>
            <w:pPr/>
          </w:p>
        </w:tc>
        <w:tc>
          <w:tcPr>
            <w:tcW w:w="2268" w:type="dxa"/>
            <w:vMerge/>
            <w:tcBorders>
              <w:left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9"/>
              <w:ind w:right="104"/>
              <w:jc w:val="right"/>
              <w:rPr>
                <w:rFonts w:ascii="Times New Roman" w:hAnsi="Times New Roman" w:cs="Times New Roman" w:eastAsia="Times New Roman" w:hint="default"/>
                <w:sz w:val="20"/>
                <w:szCs w:val="20"/>
              </w:rPr>
            </w:pPr>
            <w:r>
              <w:rPr>
                <w:rFonts w:ascii="Times New Roman"/>
                <w:w w:val="95"/>
                <w:sz w:val="20"/>
              </w:rPr>
              <w:t>58,046,914.89</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8" w:type="dxa"/>
            <w:vMerge/>
            <w:tcBorders>
              <w:left w:val="single" w:sz="6" w:space="0" w:color="933734"/>
              <w:bottom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177"/>
              <w:ind w:left="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68" w:type="dxa"/>
            <w:vMerge w:val="restart"/>
            <w:tcBorders>
              <w:top w:val="single" w:sz="6" w:space="0" w:color="933734"/>
              <w:left w:val="single" w:sz="6" w:space="0" w:color="933734"/>
              <w:right w:val="single" w:sz="6" w:space="0" w:color="933734"/>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97" w:right="0"/>
              <w:jc w:val="left"/>
              <w:rPr>
                <w:rFonts w:ascii="Times New Roman" w:hAnsi="Times New Roman" w:cs="Times New Roman" w:eastAsia="Times New Roman" w:hint="default"/>
                <w:sz w:val="20"/>
                <w:szCs w:val="20"/>
              </w:rPr>
            </w:pPr>
            <w:r>
              <w:rPr>
                <w:rFonts w:ascii="Times New Roman"/>
                <w:sz w:val="20"/>
              </w:rPr>
              <w:t>503,903,338.04</w:t>
            </w: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9"/>
              <w:ind w:right="104"/>
              <w:jc w:val="right"/>
              <w:rPr>
                <w:rFonts w:ascii="Times New Roman" w:hAnsi="Times New Roman" w:cs="Times New Roman" w:eastAsia="Times New Roman" w:hint="default"/>
                <w:sz w:val="20"/>
                <w:szCs w:val="20"/>
              </w:rPr>
            </w:pPr>
            <w:r>
              <w:rPr>
                <w:rFonts w:ascii="Times New Roman"/>
                <w:w w:val="95"/>
                <w:sz w:val="20"/>
              </w:rPr>
              <w:t>503,903,338.04</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8" w:type="dxa"/>
            <w:vMerge/>
            <w:tcBorders>
              <w:left w:val="single" w:sz="6" w:space="0" w:color="933734"/>
              <w:bottom w:val="single" w:sz="6" w:space="0" w:color="933734"/>
              <w:right w:val="single" w:sz="6" w:space="0" w:color="933734"/>
            </w:tcBorders>
          </w:tcPr>
          <w:p>
            <w:pPr/>
          </w:p>
        </w:tc>
      </w:tr>
      <w:tr>
        <w:trPr>
          <w:trHeight w:val="348"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177"/>
              <w:ind w:left="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268" w:type="dxa"/>
            <w:vMerge w:val="restart"/>
            <w:tcBorders>
              <w:top w:val="single" w:sz="6" w:space="0" w:color="933734"/>
              <w:left w:val="single" w:sz="6" w:space="0" w:color="933734"/>
              <w:right w:val="single" w:sz="6" w:space="0" w:color="933734"/>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97" w:right="0"/>
              <w:jc w:val="left"/>
              <w:rPr>
                <w:rFonts w:ascii="Times New Roman" w:hAnsi="Times New Roman" w:cs="Times New Roman" w:eastAsia="Times New Roman" w:hint="default"/>
                <w:sz w:val="20"/>
                <w:szCs w:val="20"/>
              </w:rPr>
            </w:pPr>
            <w:r>
              <w:rPr>
                <w:rFonts w:ascii="Times New Roman"/>
                <w:sz w:val="20"/>
              </w:rPr>
              <w:t>271,216,976.10</w:t>
            </w:r>
          </w:p>
        </w:tc>
      </w:tr>
      <w:tr>
        <w:trPr>
          <w:trHeight w:val="346"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271,216,976.10</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8" w:type="dxa"/>
            <w:vMerge/>
            <w:tcBorders>
              <w:left w:val="single" w:sz="6" w:space="0" w:color="933734"/>
              <w:bottom w:val="single" w:sz="6" w:space="0" w:color="933734"/>
              <w:right w:val="single" w:sz="6" w:space="0" w:color="933734"/>
            </w:tcBorders>
          </w:tcPr>
          <w:p>
            <w:pPr/>
          </w:p>
        </w:tc>
      </w:tr>
      <w:tr>
        <w:trPr>
          <w:trHeight w:val="348"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26,740,148.80</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177"/>
              <w:ind w:left="4"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2268" w:type="dxa"/>
            <w:vMerge w:val="restart"/>
            <w:tcBorders>
              <w:top w:val="single" w:sz="6" w:space="0" w:color="933734"/>
              <w:left w:val="single" w:sz="6" w:space="0" w:color="933734"/>
              <w:right w:val="single" w:sz="6" w:space="0" w:color="933734"/>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98" w:right="0"/>
              <w:jc w:val="left"/>
              <w:rPr>
                <w:rFonts w:ascii="Times New Roman" w:hAnsi="Times New Roman" w:cs="Times New Roman" w:eastAsia="Times New Roman" w:hint="default"/>
                <w:sz w:val="20"/>
                <w:szCs w:val="20"/>
              </w:rPr>
            </w:pPr>
            <w:r>
              <w:rPr>
                <w:rFonts w:ascii="Times New Roman"/>
                <w:sz w:val="20"/>
              </w:rPr>
              <w:t>84,339,736.82</w:t>
            </w:r>
          </w:p>
        </w:tc>
      </w:tr>
      <w:tr>
        <w:trPr>
          <w:trHeight w:val="349"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2"/>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9"/>
              <w:ind w:right="104"/>
              <w:jc w:val="right"/>
              <w:rPr>
                <w:rFonts w:ascii="Times New Roman" w:hAnsi="Times New Roman" w:cs="Times New Roman" w:eastAsia="Times New Roman" w:hint="default"/>
                <w:sz w:val="20"/>
                <w:szCs w:val="20"/>
              </w:rPr>
            </w:pPr>
            <w:r>
              <w:rPr>
                <w:rFonts w:ascii="Times New Roman"/>
                <w:w w:val="95"/>
                <w:sz w:val="20"/>
              </w:rPr>
              <w:t>57,599,588.02</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8" w:type="dxa"/>
            <w:vMerge/>
            <w:tcBorders>
              <w:left w:val="single" w:sz="6" w:space="0" w:color="933734"/>
              <w:bottom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1,109,452.02</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268" w:type="dxa"/>
            <w:vMerge w:val="restart"/>
            <w:tcBorders>
              <w:top w:val="single" w:sz="6" w:space="0" w:color="933734"/>
              <w:left w:val="single" w:sz="6" w:space="0" w:color="933734"/>
              <w:right w:val="single" w:sz="6" w:space="0" w:color="933734"/>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897" w:right="0"/>
              <w:jc w:val="left"/>
              <w:rPr>
                <w:rFonts w:ascii="Times New Roman" w:hAnsi="Times New Roman" w:cs="Times New Roman" w:eastAsia="Times New Roman" w:hint="default"/>
                <w:sz w:val="20"/>
                <w:szCs w:val="20"/>
              </w:rPr>
            </w:pPr>
            <w:r>
              <w:rPr>
                <w:rFonts w:ascii="Times New Roman"/>
                <w:sz w:val="20"/>
              </w:rPr>
              <w:t>133,753,847.92</w:t>
            </w: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tcBorders>
              <w:left w:val="single" w:sz="6" w:space="0" w:color="933734"/>
              <w:right w:val="single" w:sz="6" w:space="0" w:color="933734"/>
            </w:tcBorders>
            <w:shd w:val="clear" w:color="auto" w:fill="E4B8B7"/>
          </w:tcPr>
          <w:p>
            <w:pPr/>
          </w:p>
        </w:tc>
        <w:tc>
          <w:tcPr>
            <w:tcW w:w="2268" w:type="dxa"/>
            <w:vMerge/>
            <w:tcBorders>
              <w:left w:val="single" w:sz="6" w:space="0" w:color="933734"/>
              <w:right w:val="single" w:sz="6" w:space="0" w:color="933734"/>
            </w:tcBorders>
          </w:tcPr>
          <w:p>
            <w:pPr/>
          </w:p>
        </w:tc>
      </w:tr>
      <w:tr>
        <w:trPr>
          <w:trHeight w:val="346"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410"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132,644,395.90</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8" w:type="dxa"/>
            <w:vMerge/>
            <w:tcBorders>
              <w:left w:val="single" w:sz="6" w:space="0" w:color="933734"/>
              <w:bottom w:val="single" w:sz="6" w:space="0" w:color="933734"/>
              <w:right w:val="single" w:sz="6" w:space="0" w:color="933734"/>
            </w:tcBorders>
          </w:tcPr>
          <w:p>
            <w:pPr/>
          </w:p>
        </w:tc>
      </w:tr>
      <w:tr>
        <w:trPr>
          <w:trHeight w:val="348" w:hRule="exact"/>
        </w:trPr>
        <w:tc>
          <w:tcPr>
            <w:tcW w:w="2093"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177"/>
              <w:ind w:left="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410" w:type="dxa"/>
            <w:vMerge w:val="restart"/>
            <w:tcBorders>
              <w:top w:val="single" w:sz="6" w:space="0" w:color="933734"/>
              <w:left w:val="single" w:sz="6" w:space="0" w:color="933734"/>
              <w:right w:val="single" w:sz="6" w:space="0" w:color="933734"/>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9" w:right="0"/>
              <w:jc w:val="left"/>
              <w:rPr>
                <w:rFonts w:ascii="Times New Roman" w:hAnsi="Times New Roman" w:cs="Times New Roman" w:eastAsia="Times New Roman" w:hint="default"/>
                <w:sz w:val="20"/>
                <w:szCs w:val="20"/>
              </w:rPr>
            </w:pPr>
            <w:r>
              <w:rPr>
                <w:rFonts w:ascii="Times New Roman"/>
                <w:sz w:val="20"/>
              </w:rPr>
              <w:t>100,422,375.61</w:t>
            </w:r>
          </w:p>
        </w:tc>
        <w:tc>
          <w:tcPr>
            <w:tcW w:w="1985"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68"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78,257,250.17</w:t>
            </w:r>
            <w:r>
              <w:rPr>
                <w:rFonts w:ascii="Times New Roman"/>
                <w:sz w:val="20"/>
              </w:rPr>
            </w:r>
          </w:p>
        </w:tc>
      </w:tr>
      <w:tr>
        <w:trPr>
          <w:trHeight w:val="348" w:hRule="exact"/>
        </w:trPr>
        <w:tc>
          <w:tcPr>
            <w:tcW w:w="2093" w:type="dxa"/>
            <w:vMerge/>
            <w:tcBorders>
              <w:left w:val="single" w:sz="6" w:space="0" w:color="933734"/>
              <w:bottom w:val="single" w:sz="6" w:space="0" w:color="933734"/>
              <w:right w:val="single" w:sz="6" w:space="0" w:color="933734"/>
            </w:tcBorders>
            <w:shd w:val="clear" w:color="auto" w:fill="E4B8B7"/>
          </w:tcPr>
          <w:p>
            <w:pPr/>
          </w:p>
        </w:tc>
        <w:tc>
          <w:tcPr>
            <w:tcW w:w="2410" w:type="dxa"/>
            <w:vMerge/>
            <w:tcBorders>
              <w:left w:val="single" w:sz="6" w:space="0" w:color="933734"/>
              <w:bottom w:val="single" w:sz="6" w:space="0" w:color="933734"/>
              <w:right w:val="single" w:sz="6" w:space="0" w:color="933734"/>
            </w:tcBorders>
          </w:tcPr>
          <w:p>
            <w:pPr/>
          </w:p>
        </w:tc>
        <w:tc>
          <w:tcPr>
            <w:tcW w:w="1985"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2268"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22,165,125.44</w:t>
            </w:r>
            <w:r>
              <w:rPr>
                <w:rFonts w:ascii="Times New Roman"/>
                <w:sz w:val="20"/>
              </w:rPr>
            </w:r>
          </w:p>
        </w:tc>
      </w:tr>
    </w:tbl>
    <w:p>
      <w:pPr>
        <w:spacing w:line="240" w:lineRule="auto" w:before="3"/>
        <w:rPr>
          <w:rFonts w:ascii="宋体" w:hAnsi="宋体" w:cs="宋体" w:eastAsia="宋体" w:hint="default"/>
          <w:sz w:val="5"/>
          <w:szCs w:val="5"/>
        </w:rPr>
      </w:pPr>
    </w:p>
    <w:p>
      <w:pPr>
        <w:pStyle w:val="BodyText"/>
        <w:spacing w:line="240" w:lineRule="auto" w:before="36"/>
        <w:ind w:left="533" w:right="0"/>
        <w:jc w:val="left"/>
      </w:pPr>
      <w:r>
        <w:rPr/>
        <w:t>对</w:t>
      </w:r>
      <w:r>
        <w:rPr>
          <w:rFonts w:ascii="Times New Roman" w:hAnsi="Times New Roman" w:cs="Times New Roman" w:eastAsia="Times New Roman" w:hint="default"/>
        </w:rPr>
        <w:t>2017</w:t>
      </w:r>
      <w:r>
        <w:rPr/>
        <w:t>年度母公司财务报表列报项目进行追溯调整具体如下：</w:t>
      </w:r>
    </w:p>
    <w:p>
      <w:pPr>
        <w:spacing w:after="0" w:line="240" w:lineRule="auto"/>
        <w:jc w:val="left"/>
        <w:sectPr>
          <w:pgSz w:w="11910" w:h="16840"/>
          <w:pgMar w:header="906" w:footer="1079" w:top="1100" w:bottom="1260" w:left="1020" w:right="0"/>
        </w:sectPr>
      </w:pPr>
    </w:p>
    <w:p>
      <w:pPr>
        <w:spacing w:line="240" w:lineRule="auto" w:before="12"/>
        <w:rPr>
          <w:rFonts w:ascii="宋体" w:hAnsi="宋体" w:cs="宋体" w:eastAsia="宋体" w:hint="default"/>
          <w:sz w:val="25"/>
          <w:szCs w:val="25"/>
        </w:rPr>
      </w:pPr>
    </w:p>
    <w:tbl>
      <w:tblPr>
        <w:tblW w:w="0" w:type="auto"/>
        <w:jc w:val="left"/>
        <w:tblInd w:w="206" w:type="dxa"/>
        <w:tblLayout w:type="fixed"/>
        <w:tblCellMar>
          <w:top w:w="0" w:type="dxa"/>
          <w:left w:w="0" w:type="dxa"/>
          <w:bottom w:w="0" w:type="dxa"/>
          <w:right w:w="0" w:type="dxa"/>
        </w:tblCellMar>
        <w:tblLook w:val="01E0"/>
      </w:tblPr>
      <w:tblGrid>
        <w:gridCol w:w="2093"/>
        <w:gridCol w:w="2411"/>
        <w:gridCol w:w="1985"/>
        <w:gridCol w:w="2269"/>
      </w:tblGrid>
      <w:tr>
        <w:trPr>
          <w:trHeight w:val="342" w:hRule="exact"/>
        </w:trPr>
        <w:tc>
          <w:tcPr>
            <w:tcW w:w="4503" w:type="dxa"/>
            <w:gridSpan w:val="2"/>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59" w:lineRule="exact"/>
              <w:ind w:left="1195" w:right="0"/>
              <w:jc w:val="left"/>
              <w:rPr>
                <w:rFonts w:ascii="宋体" w:hAnsi="宋体" w:cs="宋体" w:eastAsia="宋体" w:hint="default"/>
                <w:sz w:val="20"/>
                <w:szCs w:val="20"/>
              </w:rPr>
            </w:pPr>
            <w:r>
              <w:rPr>
                <w:rFonts w:ascii="宋体" w:hAnsi="宋体" w:cs="宋体" w:eastAsia="宋体" w:hint="default"/>
                <w:sz w:val="20"/>
                <w:szCs w:val="20"/>
              </w:rPr>
              <w:t>原列报报表项目及金额</w:t>
            </w:r>
          </w:p>
        </w:tc>
        <w:tc>
          <w:tcPr>
            <w:tcW w:w="4253" w:type="dxa"/>
            <w:gridSpan w:val="2"/>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59" w:lineRule="exact"/>
              <w:ind w:left="1070" w:right="0"/>
              <w:jc w:val="left"/>
              <w:rPr>
                <w:rFonts w:ascii="宋体" w:hAnsi="宋体" w:cs="宋体" w:eastAsia="宋体" w:hint="default"/>
                <w:sz w:val="20"/>
                <w:szCs w:val="20"/>
              </w:rPr>
            </w:pPr>
            <w:r>
              <w:rPr>
                <w:rFonts w:ascii="宋体" w:hAnsi="宋体" w:cs="宋体" w:eastAsia="宋体" w:hint="default"/>
                <w:sz w:val="20"/>
                <w:szCs w:val="20"/>
              </w:rPr>
              <w:t>新列报报表项目及金额</w:t>
            </w:r>
          </w:p>
        </w:tc>
      </w:tr>
      <w:tr>
        <w:trPr>
          <w:trHeight w:val="504"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59"/>
              <w:ind w:left="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411" w:type="dxa"/>
            <w:tcBorders>
              <w:top w:val="single" w:sz="11" w:space="0" w:color="933734"/>
              <w:left w:val="single" w:sz="6" w:space="0" w:color="933734"/>
              <w:bottom w:val="single" w:sz="6" w:space="0" w:color="933734"/>
              <w:right w:val="single" w:sz="8" w:space="0" w:color="933734"/>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2269" w:type="dxa"/>
            <w:vMerge w:val="restart"/>
            <w:tcBorders>
              <w:top w:val="single" w:sz="11" w:space="0" w:color="933734"/>
              <w:left w:val="single" w:sz="6" w:space="0" w:color="933734"/>
              <w:right w:val="single" w:sz="6" w:space="0" w:color="933734"/>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00" w:right="0"/>
              <w:jc w:val="left"/>
              <w:rPr>
                <w:rFonts w:ascii="Times New Roman" w:hAnsi="Times New Roman" w:cs="Times New Roman" w:eastAsia="Times New Roman" w:hint="default"/>
                <w:sz w:val="20"/>
                <w:szCs w:val="20"/>
              </w:rPr>
            </w:pPr>
            <w:r>
              <w:rPr>
                <w:rFonts w:ascii="Times New Roman"/>
                <w:sz w:val="20"/>
              </w:rPr>
              <w:t>136,790,184.26</w:t>
            </w: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9"/>
              <w:ind w:right="100"/>
              <w:jc w:val="right"/>
              <w:rPr>
                <w:rFonts w:ascii="Times New Roman" w:hAnsi="Times New Roman" w:cs="Times New Roman" w:eastAsia="Times New Roman" w:hint="default"/>
                <w:sz w:val="20"/>
                <w:szCs w:val="20"/>
              </w:rPr>
            </w:pPr>
            <w:r>
              <w:rPr>
                <w:rFonts w:ascii="Times New Roman"/>
                <w:w w:val="95"/>
                <w:sz w:val="20"/>
              </w:rPr>
              <w:t>136,790,184.26</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9" w:type="dxa"/>
            <w:vMerge/>
            <w:tcBorders>
              <w:left w:val="single" w:sz="6" w:space="0" w:color="933734"/>
              <w:bottom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4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40,191.78</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269" w:type="dxa"/>
            <w:vMerge w:val="restart"/>
            <w:tcBorders>
              <w:top w:val="single" w:sz="6" w:space="0" w:color="933734"/>
              <w:left w:val="single" w:sz="6" w:space="0" w:color="933734"/>
              <w:right w:val="single" w:sz="6" w:space="0" w:color="933734"/>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751" w:right="0"/>
              <w:jc w:val="left"/>
              <w:rPr>
                <w:rFonts w:ascii="Times New Roman" w:hAnsi="Times New Roman" w:cs="Times New Roman" w:eastAsia="Times New Roman" w:hint="default"/>
                <w:sz w:val="20"/>
                <w:szCs w:val="20"/>
              </w:rPr>
            </w:pPr>
            <w:r>
              <w:rPr>
                <w:rFonts w:ascii="Times New Roman"/>
                <w:sz w:val="20"/>
              </w:rPr>
              <w:t>1,031,723,942.00</w:t>
            </w: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9"/>
              <w:ind w:right="1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tcBorders>
              <w:left w:val="single" w:sz="6" w:space="0" w:color="933734"/>
              <w:right w:val="single" w:sz="6" w:space="0" w:color="933734"/>
            </w:tcBorders>
            <w:shd w:val="clear" w:color="auto" w:fill="E4B8B7"/>
          </w:tcPr>
          <w:p>
            <w:pPr/>
          </w:p>
        </w:tc>
        <w:tc>
          <w:tcPr>
            <w:tcW w:w="2269" w:type="dxa"/>
            <w:vMerge/>
            <w:tcBorders>
              <w:left w:val="single" w:sz="6" w:space="0" w:color="933734"/>
              <w:right w:val="single" w:sz="6" w:space="0" w:color="933734"/>
            </w:tcBorders>
          </w:tcPr>
          <w:p>
            <w:pPr/>
          </w:p>
        </w:tc>
      </w:tr>
      <w:tr>
        <w:trPr>
          <w:trHeight w:val="348"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4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pacing w:val="-1"/>
                <w:sz w:val="20"/>
              </w:rPr>
              <w:t>1,031,683,750.22</w:t>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9" w:type="dxa"/>
            <w:vMerge/>
            <w:tcBorders>
              <w:left w:val="single" w:sz="6" w:space="0" w:color="933734"/>
              <w:bottom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8"/>
              <w:ind w:right="1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174"/>
              <w:ind w:left="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69" w:type="dxa"/>
            <w:vMerge w:val="restart"/>
            <w:tcBorders>
              <w:top w:val="single" w:sz="6" w:space="0" w:color="933734"/>
              <w:left w:val="single" w:sz="6" w:space="0" w:color="933734"/>
              <w:right w:val="single" w:sz="6" w:space="0" w:color="933734"/>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00" w:right="0"/>
              <w:jc w:val="left"/>
              <w:rPr>
                <w:rFonts w:ascii="Times New Roman" w:hAnsi="Times New Roman" w:cs="Times New Roman" w:eastAsia="Times New Roman" w:hint="default"/>
                <w:sz w:val="20"/>
                <w:szCs w:val="20"/>
              </w:rPr>
            </w:pPr>
            <w:r>
              <w:rPr>
                <w:rFonts w:ascii="Times New Roman"/>
                <w:sz w:val="20"/>
              </w:rPr>
              <w:t>496,448,330.13</w:t>
            </w: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9"/>
              <w:ind w:right="100"/>
              <w:jc w:val="right"/>
              <w:rPr>
                <w:rFonts w:ascii="Times New Roman" w:hAnsi="Times New Roman" w:cs="Times New Roman" w:eastAsia="Times New Roman" w:hint="default"/>
                <w:sz w:val="20"/>
                <w:szCs w:val="20"/>
              </w:rPr>
            </w:pPr>
            <w:r>
              <w:rPr>
                <w:rFonts w:ascii="Times New Roman"/>
                <w:w w:val="95"/>
                <w:sz w:val="20"/>
              </w:rPr>
              <w:t>496,448,330.13</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9" w:type="dxa"/>
            <w:vMerge/>
            <w:tcBorders>
              <w:left w:val="single" w:sz="6" w:space="0" w:color="933734"/>
              <w:bottom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8"/>
              <w:ind w:right="1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174"/>
              <w:ind w:left="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269" w:type="dxa"/>
            <w:vMerge w:val="restart"/>
            <w:tcBorders>
              <w:top w:val="single" w:sz="6" w:space="0" w:color="933734"/>
              <w:left w:val="single" w:sz="6" w:space="0" w:color="933734"/>
              <w:right w:val="single" w:sz="6" w:space="0" w:color="933734"/>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00" w:right="0"/>
              <w:jc w:val="left"/>
              <w:rPr>
                <w:rFonts w:ascii="Times New Roman" w:hAnsi="Times New Roman" w:cs="Times New Roman" w:eastAsia="Times New Roman" w:hint="default"/>
                <w:sz w:val="20"/>
                <w:szCs w:val="20"/>
              </w:rPr>
            </w:pPr>
            <w:r>
              <w:rPr>
                <w:rFonts w:ascii="Times New Roman"/>
                <w:sz w:val="20"/>
              </w:rPr>
              <w:t>267,791,057.37</w:t>
            </w: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9"/>
              <w:ind w:right="100"/>
              <w:jc w:val="right"/>
              <w:rPr>
                <w:rFonts w:ascii="Times New Roman" w:hAnsi="Times New Roman" w:cs="Times New Roman" w:eastAsia="Times New Roman" w:hint="default"/>
                <w:sz w:val="20"/>
                <w:szCs w:val="20"/>
              </w:rPr>
            </w:pPr>
            <w:r>
              <w:rPr>
                <w:rFonts w:ascii="Times New Roman"/>
                <w:w w:val="95"/>
                <w:sz w:val="20"/>
              </w:rPr>
              <w:t>267,791,057.37</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9" w:type="dxa"/>
            <w:vMerge/>
            <w:tcBorders>
              <w:left w:val="single" w:sz="6" w:space="0" w:color="933734"/>
              <w:bottom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26,740,148.80</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177"/>
              <w:ind w:left="4"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2269" w:type="dxa"/>
            <w:vMerge w:val="restart"/>
            <w:tcBorders>
              <w:top w:val="single" w:sz="6" w:space="0" w:color="933734"/>
              <w:left w:val="single" w:sz="6" w:space="0" w:color="933734"/>
              <w:right w:val="single" w:sz="6" w:space="0" w:color="933734"/>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01" w:right="0"/>
              <w:jc w:val="left"/>
              <w:rPr>
                <w:rFonts w:ascii="Times New Roman" w:hAnsi="Times New Roman" w:cs="Times New Roman" w:eastAsia="Times New Roman" w:hint="default"/>
                <w:sz w:val="20"/>
                <w:szCs w:val="20"/>
              </w:rPr>
            </w:pPr>
            <w:r>
              <w:rPr>
                <w:rFonts w:ascii="Times New Roman"/>
                <w:sz w:val="20"/>
              </w:rPr>
              <w:t>48,153,621.60</w:t>
            </w: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w w:val="95"/>
                <w:sz w:val="20"/>
              </w:rPr>
              <w:t>21,413,472.80</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9" w:type="dxa"/>
            <w:vMerge/>
            <w:tcBorders>
              <w:left w:val="single" w:sz="6" w:space="0" w:color="933734"/>
              <w:bottom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4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1,020,427.78</w:t>
            </w:r>
            <w:r>
              <w:rPr>
                <w:rFonts w:ascii="Times New Roman"/>
                <w:sz w:val="20"/>
              </w:rPr>
            </w:r>
          </w:p>
        </w:tc>
        <w:tc>
          <w:tcPr>
            <w:tcW w:w="1985"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269" w:type="dxa"/>
            <w:vMerge w:val="restart"/>
            <w:tcBorders>
              <w:top w:val="single" w:sz="6" w:space="0" w:color="933734"/>
              <w:left w:val="single" w:sz="6" w:space="0" w:color="933734"/>
              <w:right w:val="single" w:sz="6" w:space="0" w:color="933734"/>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900" w:right="0"/>
              <w:jc w:val="left"/>
              <w:rPr>
                <w:rFonts w:ascii="Times New Roman" w:hAnsi="Times New Roman" w:cs="Times New Roman" w:eastAsia="Times New Roman" w:hint="default"/>
                <w:sz w:val="20"/>
                <w:szCs w:val="20"/>
              </w:rPr>
            </w:pPr>
            <w:r>
              <w:rPr>
                <w:rFonts w:ascii="Times New Roman"/>
                <w:sz w:val="20"/>
              </w:rPr>
              <w:t>153,510,222.57</w:t>
            </w:r>
          </w:p>
        </w:tc>
      </w:tr>
      <w:tr>
        <w:trPr>
          <w:trHeight w:val="348"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411" w:type="dxa"/>
            <w:tcBorders>
              <w:top w:val="single" w:sz="6" w:space="0" w:color="933734"/>
              <w:left w:val="single" w:sz="6" w:space="0" w:color="933734"/>
              <w:bottom w:val="single" w:sz="6" w:space="0" w:color="933734"/>
              <w:right w:val="single" w:sz="8" w:space="0" w:color="933734"/>
            </w:tcBorders>
          </w:tcPr>
          <w:p>
            <w:pPr>
              <w:pStyle w:val="TableParagraph"/>
              <w:spacing w:line="240" w:lineRule="auto" w:before="49"/>
              <w:ind w:right="1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vMerge/>
            <w:tcBorders>
              <w:left w:val="single" w:sz="6" w:space="0" w:color="933734"/>
              <w:right w:val="single" w:sz="6" w:space="0" w:color="933734"/>
            </w:tcBorders>
            <w:shd w:val="clear" w:color="auto" w:fill="E4B8B7"/>
          </w:tcPr>
          <w:p>
            <w:pPr/>
          </w:p>
        </w:tc>
        <w:tc>
          <w:tcPr>
            <w:tcW w:w="2269" w:type="dxa"/>
            <w:vMerge/>
            <w:tcBorders>
              <w:left w:val="single" w:sz="6" w:space="0" w:color="933734"/>
              <w:right w:val="single" w:sz="6" w:space="0" w:color="933734"/>
            </w:tcBorders>
          </w:tcPr>
          <w:p>
            <w:pPr/>
          </w:p>
        </w:tc>
      </w:tr>
      <w:tr>
        <w:trPr>
          <w:trHeight w:val="347" w:hRule="exact"/>
        </w:trPr>
        <w:tc>
          <w:tcPr>
            <w:tcW w:w="2093"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411"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9"/>
              <w:ind w:right="102"/>
              <w:jc w:val="right"/>
              <w:rPr>
                <w:rFonts w:ascii="Times New Roman" w:hAnsi="Times New Roman" w:cs="Times New Roman" w:eastAsia="Times New Roman" w:hint="default"/>
                <w:sz w:val="20"/>
                <w:szCs w:val="20"/>
              </w:rPr>
            </w:pPr>
            <w:r>
              <w:rPr>
                <w:rFonts w:ascii="Times New Roman"/>
                <w:w w:val="95"/>
                <w:sz w:val="20"/>
              </w:rPr>
              <w:t>152,489,794.79</w:t>
            </w:r>
            <w:r>
              <w:rPr>
                <w:rFonts w:ascii="Times New Roman"/>
                <w:sz w:val="20"/>
              </w:rPr>
            </w:r>
          </w:p>
        </w:tc>
        <w:tc>
          <w:tcPr>
            <w:tcW w:w="1985" w:type="dxa"/>
            <w:vMerge/>
            <w:tcBorders>
              <w:left w:val="single" w:sz="6" w:space="0" w:color="933734"/>
              <w:bottom w:val="single" w:sz="6" w:space="0" w:color="933734"/>
              <w:right w:val="single" w:sz="6" w:space="0" w:color="933734"/>
            </w:tcBorders>
            <w:shd w:val="clear" w:color="auto" w:fill="E4B8B7"/>
          </w:tcPr>
          <w:p>
            <w:pPr/>
          </w:p>
        </w:tc>
        <w:tc>
          <w:tcPr>
            <w:tcW w:w="2269" w:type="dxa"/>
            <w:vMerge/>
            <w:tcBorders>
              <w:left w:val="single" w:sz="6" w:space="0" w:color="933734"/>
              <w:bottom w:val="single" w:sz="6" w:space="0" w:color="933734"/>
              <w:right w:val="single" w:sz="6" w:space="0" w:color="933734"/>
            </w:tcBorders>
          </w:tcPr>
          <w:p>
            <w:pPr/>
          </w:p>
        </w:tc>
      </w:tr>
      <w:tr>
        <w:trPr>
          <w:trHeight w:val="347" w:hRule="exact"/>
        </w:trPr>
        <w:tc>
          <w:tcPr>
            <w:tcW w:w="2093" w:type="dxa"/>
            <w:vMerge w:val="restart"/>
            <w:tcBorders>
              <w:top w:val="single" w:sz="6" w:space="0" w:color="933734"/>
              <w:left w:val="single" w:sz="6" w:space="0" w:color="933734"/>
              <w:right w:val="single" w:sz="6" w:space="0" w:color="933734"/>
            </w:tcBorders>
            <w:shd w:val="clear" w:color="auto" w:fill="E4B8B7"/>
          </w:tcPr>
          <w:p>
            <w:pPr>
              <w:pStyle w:val="TableParagraph"/>
              <w:spacing w:line="240" w:lineRule="auto" w:before="174"/>
              <w:ind w:left="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411" w:type="dxa"/>
            <w:vMerge w:val="restart"/>
            <w:tcBorders>
              <w:top w:val="single" w:sz="6" w:space="0" w:color="933734"/>
              <w:left w:val="single" w:sz="6" w:space="0" w:color="933734"/>
              <w:right w:val="single" w:sz="8" w:space="0" w:color="933734"/>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42" w:right="0"/>
              <w:jc w:val="left"/>
              <w:rPr>
                <w:rFonts w:ascii="Times New Roman" w:hAnsi="Times New Roman" w:cs="Times New Roman" w:eastAsia="Times New Roman" w:hint="default"/>
                <w:sz w:val="20"/>
                <w:szCs w:val="20"/>
              </w:rPr>
            </w:pPr>
            <w:r>
              <w:rPr>
                <w:rFonts w:ascii="Times New Roman"/>
                <w:sz w:val="20"/>
              </w:rPr>
              <w:t>44,053,644.65</w:t>
            </w:r>
          </w:p>
        </w:tc>
        <w:tc>
          <w:tcPr>
            <w:tcW w:w="1985"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69"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30,057,184.93</w:t>
            </w:r>
            <w:r>
              <w:rPr>
                <w:rFonts w:ascii="Times New Roman"/>
                <w:sz w:val="20"/>
              </w:rPr>
            </w:r>
          </w:p>
        </w:tc>
      </w:tr>
      <w:tr>
        <w:trPr>
          <w:trHeight w:val="347" w:hRule="exact"/>
        </w:trPr>
        <w:tc>
          <w:tcPr>
            <w:tcW w:w="2093" w:type="dxa"/>
            <w:vMerge/>
            <w:tcBorders>
              <w:left w:val="single" w:sz="6" w:space="0" w:color="933734"/>
              <w:bottom w:val="single" w:sz="6" w:space="0" w:color="933734"/>
              <w:right w:val="single" w:sz="6" w:space="0" w:color="933734"/>
            </w:tcBorders>
            <w:shd w:val="clear" w:color="auto" w:fill="E4B8B7"/>
          </w:tcPr>
          <w:p>
            <w:pPr/>
          </w:p>
        </w:tc>
        <w:tc>
          <w:tcPr>
            <w:tcW w:w="2411" w:type="dxa"/>
            <w:vMerge/>
            <w:tcBorders>
              <w:left w:val="single" w:sz="6" w:space="0" w:color="933734"/>
              <w:bottom w:val="single" w:sz="6" w:space="0" w:color="933734"/>
              <w:right w:val="single" w:sz="8" w:space="0" w:color="933734"/>
            </w:tcBorders>
          </w:tcPr>
          <w:p>
            <w:pPr/>
          </w:p>
        </w:tc>
        <w:tc>
          <w:tcPr>
            <w:tcW w:w="1985"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2269" w:type="dxa"/>
            <w:tcBorders>
              <w:top w:val="single" w:sz="6" w:space="0" w:color="933734"/>
              <w:left w:val="single" w:sz="7" w:space="0" w:color="933734"/>
              <w:bottom w:val="single" w:sz="6" w:space="0" w:color="933734"/>
              <w:right w:val="single" w:sz="6" w:space="0" w:color="933734"/>
            </w:tcBorders>
          </w:tcPr>
          <w:p>
            <w:pPr>
              <w:pStyle w:val="TableParagraph"/>
              <w:spacing w:line="240" w:lineRule="auto" w:before="49"/>
              <w:ind w:right="101"/>
              <w:jc w:val="right"/>
              <w:rPr>
                <w:rFonts w:ascii="Times New Roman" w:hAnsi="Times New Roman" w:cs="Times New Roman" w:eastAsia="Times New Roman" w:hint="default"/>
                <w:sz w:val="20"/>
                <w:szCs w:val="20"/>
              </w:rPr>
            </w:pPr>
            <w:r>
              <w:rPr>
                <w:rFonts w:ascii="Times New Roman"/>
                <w:w w:val="95"/>
                <w:sz w:val="20"/>
              </w:rPr>
              <w:t>13,996,459.72</w:t>
            </w:r>
            <w:r>
              <w:rPr>
                <w:rFonts w:ascii="Times New Roman"/>
                <w:sz w:val="20"/>
              </w:rPr>
            </w:r>
          </w:p>
        </w:tc>
      </w:tr>
    </w:tbl>
    <w:p>
      <w:pPr>
        <w:spacing w:line="240" w:lineRule="auto" w:before="1"/>
        <w:rPr>
          <w:rFonts w:ascii="宋体" w:hAnsi="宋体" w:cs="宋体" w:eastAsia="宋体" w:hint="default"/>
          <w:sz w:val="18"/>
          <w:szCs w:val="18"/>
        </w:rPr>
      </w:pPr>
    </w:p>
    <w:p>
      <w:pPr>
        <w:pStyle w:val="Heading2"/>
        <w:spacing w:line="240" w:lineRule="auto" w:before="26"/>
        <w:ind w:left="213" w:right="95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213" w:right="95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left="213" w:right="953"/>
        <w:jc w:val="left"/>
      </w:pPr>
      <w:r>
        <w:rPr/>
        <w:t>公司报告期无重大会计差错更正需追溯重述的情况。</w:t>
      </w:r>
    </w:p>
    <w:p>
      <w:pPr>
        <w:spacing w:line="240" w:lineRule="auto" w:before="11"/>
        <w:rPr>
          <w:rFonts w:ascii="宋体" w:hAnsi="宋体" w:cs="宋体" w:eastAsia="宋体" w:hint="default"/>
          <w:sz w:val="29"/>
          <w:szCs w:val="29"/>
        </w:rPr>
      </w:pPr>
    </w:p>
    <w:p>
      <w:pPr>
        <w:pStyle w:val="Heading2"/>
        <w:spacing w:line="240" w:lineRule="auto"/>
        <w:ind w:left="213" w:right="95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213" w:right="95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left="633" w:right="953"/>
        <w:jc w:val="left"/>
      </w:pPr>
      <w:r>
        <w:rPr>
          <w:rFonts w:ascii="Times New Roman" w:hAnsi="Times New Roman" w:cs="Times New Roman" w:eastAsia="Times New Roman" w:hint="default"/>
        </w:rPr>
        <w:t>1</w:t>
      </w:r>
      <w:r>
        <w:rPr/>
        <w:t>、新设孙公司：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日设立广州伊韵电子商贸有限公司、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日设立美年电子商贸</w:t>
      </w:r>
    </w:p>
    <w:p>
      <w:pPr>
        <w:pStyle w:val="BodyText"/>
        <w:spacing w:line="386" w:lineRule="auto" w:before="177"/>
        <w:ind w:left="213" w:right="1126" w:hanging="107"/>
        <w:jc w:val="both"/>
      </w:pPr>
      <w:r>
        <w:rPr/>
        <w:t>（广州）有限公司、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日设立广州美年科技有限公司、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日设立广州天美电子商贸有</w:t>
      </w:r>
      <w:r>
        <w:rPr>
          <w:spacing w:val="-25"/>
        </w:rPr>
        <w:t> </w:t>
      </w:r>
      <w:r>
        <w:rPr>
          <w:spacing w:val="-25"/>
        </w:rPr>
      </w:r>
      <w:r>
        <w:rPr/>
        <w:t>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日设立广州摩登时尚鞋业有限公司、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日设立</w:t>
      </w:r>
      <w:r>
        <w:rPr>
          <w:rFonts w:ascii="Times New Roman" w:hAnsi="Times New Roman" w:cs="Times New Roman" w:eastAsia="Times New Roman" w:hint="default"/>
        </w:rPr>
        <w:t>EBC,INC.</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20"/>
        </w:rPr>
        <w:t> </w:t>
      </w:r>
      <w:r>
        <w:rPr/>
        <w:t>日设立武汉乐玩互动网络科技有限公司，持股比例情况见附注九。</w:t>
      </w:r>
    </w:p>
    <w:p>
      <w:pPr>
        <w:pStyle w:val="BodyText"/>
        <w:spacing w:line="240" w:lineRule="auto" w:before="104"/>
        <w:ind w:left="633" w:right="953"/>
        <w:jc w:val="left"/>
      </w:pPr>
      <w:r>
        <w:rPr>
          <w:rFonts w:ascii="Times New Roman" w:hAnsi="Times New Roman" w:cs="Times New Roman" w:eastAsia="Times New Roman" w:hint="default"/>
        </w:rPr>
        <w:t>2</w:t>
      </w:r>
      <w:r>
        <w:rPr/>
        <w:t>、注销子公司：</w:t>
      </w:r>
      <w:r>
        <w:rPr>
          <w:rFonts w:ascii="Times New Roman" w:hAnsi="Times New Roman" w:cs="Times New Roman" w:eastAsia="Times New Roman" w:hint="default"/>
        </w:rPr>
        <w:t>EBC,INC.</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月注销，该公司本期无实质业务发生</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2"/>
        <w:ind w:left="213" w:right="953"/>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213" w:right="95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8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4790"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8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9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8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w:t>
            </w:r>
          </w:p>
        </w:tc>
      </w:tr>
      <w:tr>
        <w:trPr>
          <w:trHeight w:val="402" w:hRule="exact"/>
        </w:trPr>
        <w:tc>
          <w:tcPr>
            <w:tcW w:w="4790"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8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吉争雄、刘火旺</w:t>
            </w:r>
          </w:p>
        </w:tc>
      </w:tr>
      <w:tr>
        <w:trPr>
          <w:trHeight w:val="402" w:hRule="exact"/>
        </w:trPr>
        <w:tc>
          <w:tcPr>
            <w:tcW w:w="4790"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8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w:t>
            </w:r>
          </w:p>
        </w:tc>
      </w:tr>
    </w:tbl>
    <w:p>
      <w:pPr>
        <w:spacing w:line="240" w:lineRule="auto" w:before="6"/>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当期是否改聘会计师事务所</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line="439" w:lineRule="auto" w:before="0"/>
        <w:ind w:left="113" w:right="623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w:t>
      </w:r>
      <w:r>
        <w:rPr>
          <w:rFonts w:ascii="宋体" w:hAnsi="宋体" w:cs="宋体" w:eastAsia="宋体" w:hint="default"/>
          <w:b/>
          <w:bCs/>
          <w:sz w:val="18"/>
          <w:szCs w:val="18"/>
        </w:rPr>
        <w:t>聘请内部控制审计会计师事务所、财务顾问或保荐人情况</w:t>
      </w:r>
      <w:r>
        <w:rPr>
          <w:rFonts w:ascii="宋体" w:hAnsi="宋体" w:cs="宋体" w:eastAsia="宋体" w:hint="default"/>
          <w:sz w:val="18"/>
          <w:szCs w:val="18"/>
        </w:rPr>
      </w:r>
    </w:p>
    <w:p>
      <w:pPr>
        <w:spacing w:before="42"/>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十一、破产重整相关事项</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t>公司报告期未发生破产重整相关事项。</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69"/>
        <w:gridCol w:w="852"/>
        <w:gridCol w:w="758"/>
        <w:gridCol w:w="941"/>
        <w:gridCol w:w="1373"/>
        <w:gridCol w:w="1249"/>
        <w:gridCol w:w="782"/>
        <w:gridCol w:w="1347"/>
      </w:tblGrid>
      <w:tr>
        <w:trPr>
          <w:trHeight w:val="1028" w:hRule="exact"/>
        </w:trPr>
        <w:tc>
          <w:tcPr>
            <w:tcW w:w="2269"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52"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9" w:lineRule="auto" w:before="49"/>
              <w:ind w:left="151" w:right="149"/>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75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9"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941"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65" w:right="163"/>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73"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41" w:right="139" w:firstLine="2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49"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782"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5" w:right="11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347"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2269" w:type="dxa"/>
            <w:tcBorders>
              <w:top w:val="single" w:sz="4" w:space="0" w:color="800000"/>
              <w:left w:val="single" w:sz="4" w:space="0" w:color="000000"/>
              <w:bottom w:val="single" w:sz="4" w:space="0" w:color="000000"/>
              <w:right w:val="single" w:sz="4" w:space="0" w:color="000000"/>
            </w:tcBorders>
          </w:tcPr>
          <w:p>
            <w:pPr>
              <w:pStyle w:val="TableParagraph"/>
              <w:spacing w:line="316" w:lineRule="auto" w:before="49"/>
              <w:ind w:left="10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摩登大道时尚集团股份有 限公司与广州江河幕墙系 统工程有限公司诉讼事 由：建设工程施工合同纠 </w:t>
            </w:r>
            <w:r>
              <w:rPr>
                <w:rFonts w:ascii="宋体" w:hAnsi="宋体" w:cs="宋体" w:eastAsia="宋体" w:hint="default"/>
                <w:spacing w:val="-7"/>
                <w:sz w:val="18"/>
                <w:szCs w:val="18"/>
              </w:rPr>
              <w:t>纷案，案号：</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粤</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0112</w:t>
            </w:r>
          </w:p>
          <w:p>
            <w:pPr>
              <w:pStyle w:val="TableParagraph"/>
              <w:spacing w:line="309" w:lineRule="auto"/>
              <w:ind w:left="103" w:right="99"/>
              <w:jc w:val="left"/>
              <w:rPr>
                <w:rFonts w:ascii="宋体" w:hAnsi="宋体" w:cs="宋体" w:eastAsia="宋体" w:hint="default"/>
                <w:sz w:val="18"/>
                <w:szCs w:val="18"/>
              </w:rPr>
            </w:pPr>
            <w:r>
              <w:rPr>
                <w:rFonts w:ascii="宋体" w:hAnsi="宋体" w:cs="宋体" w:eastAsia="宋体" w:hint="default"/>
                <w:sz w:val="18"/>
                <w:szCs w:val="18"/>
              </w:rPr>
              <w:t>民初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2857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号，仲裁地点为</w:t>
            </w:r>
            <w:r>
              <w:rPr>
                <w:rFonts w:ascii="宋体" w:hAnsi="宋体" w:cs="宋体" w:eastAsia="宋体" w:hint="default"/>
                <w:sz w:val="18"/>
                <w:szCs w:val="18"/>
              </w:rPr>
              <w:t> 广东省广州市黄埔区人民 法院</w:t>
            </w:r>
          </w:p>
        </w:tc>
        <w:tc>
          <w:tcPr>
            <w:tcW w:w="852" w:type="dxa"/>
            <w:tcBorders>
              <w:top w:val="single" w:sz="4" w:space="0" w:color="8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2,185.38</w:t>
            </w:r>
          </w:p>
        </w:tc>
        <w:tc>
          <w:tcPr>
            <w:tcW w:w="758" w:type="dxa"/>
            <w:tcBorders>
              <w:top w:val="single" w:sz="4" w:space="0" w:color="8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8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5" w:right="105"/>
              <w:jc w:val="left"/>
              <w:rPr>
                <w:rFonts w:ascii="宋体" w:hAnsi="宋体" w:cs="宋体" w:eastAsia="宋体" w:hint="default"/>
                <w:sz w:val="18"/>
                <w:szCs w:val="18"/>
              </w:rPr>
            </w:pPr>
            <w:r>
              <w:rPr>
                <w:rFonts w:ascii="宋体" w:hAnsi="宋体" w:cs="宋体" w:eastAsia="宋体" w:hint="default"/>
                <w:sz w:val="18"/>
                <w:szCs w:val="18"/>
              </w:rPr>
              <w:t>双方已和 解结案</w:t>
            </w:r>
          </w:p>
        </w:tc>
        <w:tc>
          <w:tcPr>
            <w:tcW w:w="1373" w:type="dxa"/>
            <w:tcBorders>
              <w:top w:val="single" w:sz="4" w:space="0" w:color="8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49" w:type="dxa"/>
            <w:tcBorders>
              <w:top w:val="single" w:sz="4" w:space="0" w:color="8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2" w:type="dxa"/>
            <w:tcBorders>
              <w:top w:val="single" w:sz="4" w:space="0" w:color="8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8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详见公司刊登 在巨潮资讯网 的《关于部分 银行账户资金 被冻结的公 </w:t>
            </w:r>
            <w:r>
              <w:rPr>
                <w:rFonts w:ascii="宋体" w:hAnsi="宋体" w:cs="宋体" w:eastAsia="宋体" w:hint="default"/>
                <w:spacing w:val="-16"/>
                <w:sz w:val="18"/>
                <w:szCs w:val="18"/>
              </w:rPr>
              <w:t>告》（公告编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2018-077</w:t>
            </w:r>
            <w:r>
              <w:rPr>
                <w:rFonts w:ascii="宋体" w:hAnsi="宋体" w:cs="宋体" w:eastAsia="宋体" w:hint="default"/>
                <w:spacing w:val="-2"/>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3" w:right="787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公司报告期不存在处罚及整改情况。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240" w:lineRule="auto" w:before="96"/>
        <w:ind w:right="0"/>
        <w:jc w:val="left"/>
      </w:pPr>
      <w:r>
        <w:rPr/>
        <w:t>报告期内，公司及其控股股东、实际控制人均不存在未履行法院生效判决、所负数额较大的债务到期未清</w:t>
      </w:r>
    </w:p>
    <w:p>
      <w:pPr>
        <w:spacing w:after="0" w:line="240" w:lineRule="auto"/>
        <w:jc w:val="left"/>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253" w:right="1022"/>
        <w:jc w:val="left"/>
      </w:pPr>
      <w:r>
        <w:rPr/>
        <w:t>偿等情况。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ind w:left="253" w:right="1022"/>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253" w:right="10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left="673" w:right="1022"/>
        <w:jc w:val="left"/>
      </w:pPr>
      <w:r>
        <w:rPr/>
        <w:t>第一期员工持股计划：</w:t>
      </w:r>
    </w:p>
    <w:p>
      <w:pPr>
        <w:spacing w:line="240" w:lineRule="auto" w:before="12"/>
        <w:rPr>
          <w:rFonts w:ascii="宋体" w:hAnsi="宋体" w:cs="宋体" w:eastAsia="宋体" w:hint="default"/>
          <w:sz w:val="17"/>
          <w:szCs w:val="17"/>
        </w:rPr>
      </w:pPr>
    </w:p>
    <w:p>
      <w:pPr>
        <w:pStyle w:val="BodyText"/>
        <w:spacing w:line="386" w:lineRule="auto"/>
        <w:ind w:left="253" w:right="1126" w:firstLine="420"/>
        <w:jc w:val="both"/>
      </w:pPr>
      <w:r>
        <w:rPr>
          <w:rFonts w:ascii="Times New Roman" w:hAnsi="Times New Roman" w:cs="Times New Roman" w:eastAsia="Times New Roman" w:hint="default"/>
          <w:spacing w:val="-4"/>
        </w:rPr>
        <w:t>1.</w:t>
      </w:r>
      <w:r>
        <w:rPr>
          <w:spacing w:val="-4"/>
        </w:rPr>
        <w:t>公司第三届董事会第四次会议审议、</w:t>
      </w:r>
      <w:r>
        <w:rPr>
          <w:rFonts w:ascii="Times New Roman" w:hAnsi="Times New Roman" w:cs="Times New Roman" w:eastAsia="Times New Roman" w:hint="default"/>
          <w:spacing w:val="-4"/>
        </w:rPr>
        <w:t>2015</w:t>
      </w:r>
      <w:r>
        <w:rPr>
          <w:spacing w:val="-4"/>
        </w:rPr>
        <w:t>年第二次临时股东大会决议通过《关于</w:t>
      </w:r>
      <w:r>
        <w:rPr>
          <w:rFonts w:ascii="Times New Roman" w:hAnsi="Times New Roman" w:cs="Times New Roman" w:eastAsia="Times New Roman" w:hint="default"/>
          <w:spacing w:val="-4"/>
        </w:rPr>
        <w:t>&lt;</w:t>
      </w:r>
      <w:r>
        <w:rPr>
          <w:spacing w:val="-4"/>
        </w:rPr>
        <w:t>公司第一期员工持</w:t>
      </w:r>
      <w:r>
        <w:rPr>
          <w:w w:val="100"/>
        </w:rPr>
        <w:t> </w:t>
      </w:r>
      <w:r>
        <w:rPr>
          <w:spacing w:val="-5"/>
          <w:w w:val="100"/>
        </w:rPr>
        <w:t>股计划（草案）（认购非公开发行股票方式）</w:t>
      </w:r>
      <w:r>
        <w:rPr>
          <w:rFonts w:ascii="Times New Roman" w:hAnsi="Times New Roman" w:cs="Times New Roman" w:eastAsia="Times New Roman" w:hint="default"/>
          <w:spacing w:val="-5"/>
          <w:w w:val="100"/>
        </w:rPr>
        <w:t>&gt;</w:t>
      </w:r>
      <w:r>
        <w:rPr>
          <w:spacing w:val="-5"/>
          <w:w w:val="100"/>
        </w:rPr>
        <w:t>的议案》及其相关议案，具体内容详见公司</w:t>
      </w:r>
      <w:r>
        <w:rPr>
          <w:rFonts w:ascii="Times New Roman" w:hAnsi="Times New Roman" w:cs="Times New Roman" w:eastAsia="Times New Roman" w:hint="default"/>
          <w:spacing w:val="-5"/>
          <w:w w:val="100"/>
        </w:rPr>
        <w:t>2015</w:t>
      </w:r>
      <w:r>
        <w:rPr>
          <w:spacing w:val="-5"/>
          <w:w w:val="100"/>
        </w:rPr>
        <w:t>年</w:t>
      </w:r>
      <w:r>
        <w:rPr>
          <w:rFonts w:ascii="Times New Roman" w:hAnsi="Times New Roman" w:cs="Times New Roman" w:eastAsia="Times New Roman" w:hint="default"/>
          <w:spacing w:val="-5"/>
          <w:w w:val="100"/>
        </w:rPr>
        <w:t>6</w:t>
      </w:r>
      <w:r>
        <w:rPr>
          <w:spacing w:val="-5"/>
          <w:w w:val="100"/>
        </w:rPr>
        <w:t>月</w:t>
      </w:r>
      <w:r>
        <w:rPr>
          <w:rFonts w:ascii="Times New Roman" w:hAnsi="Times New Roman" w:cs="Times New Roman" w:eastAsia="Times New Roman" w:hint="default"/>
          <w:spacing w:val="-5"/>
          <w:w w:val="100"/>
        </w:rPr>
        <w:t>9</w:t>
      </w:r>
      <w:r>
        <w:rPr>
          <w:spacing w:val="-5"/>
          <w:w w:val="100"/>
        </w:rPr>
        <w:t>日披</w:t>
      </w:r>
      <w:r>
        <w:rPr>
          <w:spacing w:val="-67"/>
          <w:w w:val="100"/>
        </w:rPr>
        <w:t> </w:t>
      </w:r>
      <w:r>
        <w:rPr>
          <w:spacing w:val="-3"/>
          <w:w w:val="100"/>
        </w:rPr>
        <w:t>露于巨潮资讯网</w:t>
      </w:r>
      <w:hyperlink r:id="rId20">
        <w:r>
          <w:rPr>
            <w:rFonts w:ascii="Times New Roman" w:hAnsi="Times New Roman" w:cs="Times New Roman" w:eastAsia="Times New Roman" w:hint="default"/>
            <w:spacing w:val="-3"/>
            <w:w w:val="100"/>
          </w:rPr>
          <w:t>www.cninfo.com.cn</w:t>
        </w:r>
        <w:r>
          <w:rPr>
            <w:spacing w:val="-3"/>
            <w:w w:val="100"/>
          </w:rPr>
          <w:t>的《卡</w:t>
        </w:r>
      </w:hyperlink>
      <w:r>
        <w:rPr>
          <w:spacing w:val="-3"/>
          <w:w w:val="100"/>
        </w:rPr>
        <w:t>奴迪路：第一期员工持股计划（草案）（认购非公开发行股票方</w:t>
      </w:r>
      <w:r>
        <w:rPr>
          <w:spacing w:val="-55"/>
          <w:w w:val="100"/>
        </w:rPr>
        <w:t> </w:t>
      </w:r>
      <w:r>
        <w:rPr>
          <w:spacing w:val="-55"/>
          <w:w w:val="100"/>
        </w:rPr>
      </w:r>
      <w:r>
        <w:rPr>
          <w:spacing w:val="-53"/>
          <w:w w:val="100"/>
        </w:rPr>
        <w:t>式）》；</w:t>
      </w:r>
    </w:p>
    <w:p>
      <w:pPr>
        <w:pStyle w:val="BodyText"/>
        <w:spacing w:line="386" w:lineRule="auto" w:before="106"/>
        <w:ind w:left="253" w:right="1033" w:firstLine="420"/>
        <w:jc w:val="both"/>
      </w:pPr>
      <w:r>
        <w:rPr>
          <w:rFonts w:ascii="Times New Roman" w:hAnsi="Times New Roman" w:cs="Times New Roman" w:eastAsia="Times New Roman" w:hint="default"/>
          <w:spacing w:val="-4"/>
          <w:w w:val="100"/>
        </w:rPr>
        <w:t>2.</w:t>
      </w:r>
      <w:r>
        <w:rPr>
          <w:spacing w:val="-4"/>
          <w:w w:val="100"/>
        </w:rPr>
        <w:t>公司第三届董事会第七次会议审议通过了《关于修订</w:t>
      </w:r>
      <w:r>
        <w:rPr>
          <w:rFonts w:ascii="Times New Roman" w:hAnsi="Times New Roman" w:cs="Times New Roman" w:eastAsia="Times New Roman" w:hint="default"/>
          <w:spacing w:val="-4"/>
          <w:w w:val="100"/>
        </w:rPr>
        <w:t>&lt;</w:t>
      </w:r>
      <w:r>
        <w:rPr>
          <w:spacing w:val="-4"/>
          <w:w w:val="100"/>
        </w:rPr>
        <w:t>公司第一期员工持股计划（草案）（认购非公</w:t>
      </w:r>
      <w:r>
        <w:rPr>
          <w:w w:val="100"/>
        </w:rPr>
        <w:t> </w:t>
      </w:r>
      <w:r>
        <w:rPr/>
        <w:t>开</w:t>
      </w:r>
      <w:r>
        <w:rPr>
          <w:spacing w:val="-73"/>
        </w:rPr>
        <w:t> </w:t>
      </w:r>
      <w:r>
        <w:rPr/>
        <w:t>发</w:t>
      </w:r>
      <w:r>
        <w:rPr>
          <w:spacing w:val="-73"/>
        </w:rPr>
        <w:t> </w:t>
      </w:r>
      <w:r>
        <w:rPr/>
        <w:t>行</w:t>
      </w:r>
      <w:r>
        <w:rPr>
          <w:spacing w:val="-73"/>
        </w:rPr>
        <w:t> </w:t>
      </w:r>
      <w:r>
        <w:rPr/>
        <w:t>股</w:t>
      </w:r>
      <w:r>
        <w:rPr>
          <w:spacing w:val="-76"/>
        </w:rPr>
        <w:t> </w:t>
      </w:r>
      <w:r>
        <w:rPr/>
        <w:t>票</w:t>
      </w:r>
      <w:r>
        <w:rPr>
          <w:spacing w:val="-73"/>
        </w:rPr>
        <w:t> </w:t>
      </w:r>
      <w:r>
        <w:rPr/>
        <w:t>方</w:t>
      </w:r>
      <w:r>
        <w:rPr>
          <w:spacing w:val="-73"/>
        </w:rPr>
        <w:t> </w:t>
      </w:r>
      <w:r>
        <w:rPr/>
        <w:t>式</w:t>
      </w:r>
      <w:r>
        <w:rPr>
          <w:spacing w:val="-76"/>
        </w:rPr>
        <w:t> </w:t>
      </w:r>
      <w:r>
        <w:rPr/>
        <w:t>）</w:t>
      </w:r>
      <w:r>
        <w:rPr>
          <w:spacing w:val="-72"/>
        </w:rPr>
        <w:t> </w:t>
      </w:r>
      <w:r>
        <w:rPr>
          <w:rFonts w:ascii="Times New Roman" w:hAnsi="Times New Roman" w:cs="Times New Roman" w:eastAsia="Times New Roman" w:hint="default"/>
        </w:rPr>
        <w:t>&gt;</w:t>
      </w:r>
      <w:r>
        <w:rPr>
          <w:rFonts w:ascii="Times New Roman" w:hAnsi="Times New Roman" w:cs="Times New Roman" w:eastAsia="Times New Roman" w:hint="default"/>
          <w:spacing w:val="-20"/>
        </w:rPr>
        <w:t> </w:t>
      </w:r>
      <w:r>
        <w:rPr/>
        <w:t>及</w:t>
      </w:r>
      <w:r>
        <w:rPr>
          <w:spacing w:val="-76"/>
        </w:rPr>
        <w:t> </w:t>
      </w:r>
      <w:r>
        <w:rPr/>
        <w:t>其</w:t>
      </w:r>
      <w:r>
        <w:rPr>
          <w:spacing w:val="-73"/>
        </w:rPr>
        <w:t> </w:t>
      </w:r>
      <w:r>
        <w:rPr/>
        <w:t>摘</w:t>
      </w:r>
      <w:r>
        <w:rPr>
          <w:spacing w:val="-73"/>
        </w:rPr>
        <w:t> </w:t>
      </w:r>
      <w:r>
        <w:rPr/>
        <w:t>要</w:t>
      </w:r>
      <w:r>
        <w:rPr>
          <w:spacing w:val="-73"/>
        </w:rPr>
        <w:t> </w:t>
      </w:r>
      <w:r>
        <w:rPr/>
        <w:t>的</w:t>
      </w:r>
      <w:r>
        <w:rPr>
          <w:spacing w:val="-76"/>
        </w:rPr>
        <w:t> </w:t>
      </w:r>
      <w:r>
        <w:rPr/>
        <w:t>议</w:t>
      </w:r>
      <w:r>
        <w:rPr>
          <w:spacing w:val="-73"/>
        </w:rPr>
        <w:t> </w:t>
      </w:r>
      <w:r>
        <w:rPr/>
        <w:t>案</w:t>
      </w:r>
      <w:r>
        <w:rPr>
          <w:spacing w:val="-73"/>
        </w:rPr>
        <w:t> </w:t>
      </w:r>
      <w:r>
        <w:rPr>
          <w:spacing w:val="-38"/>
        </w:rPr>
        <w:t>》，</w:t>
      </w:r>
      <w:r>
        <w:rPr>
          <w:spacing w:val="-76"/>
        </w:rPr>
        <w:t> </w:t>
      </w:r>
      <w:r>
        <w:rPr/>
        <w:t>具</w:t>
      </w:r>
      <w:r>
        <w:rPr>
          <w:spacing w:val="-73"/>
        </w:rPr>
        <w:t> </w:t>
      </w:r>
      <w:r>
        <w:rPr/>
        <w:t>体</w:t>
      </w:r>
      <w:r>
        <w:rPr>
          <w:spacing w:val="-76"/>
        </w:rPr>
        <w:t> </w:t>
      </w:r>
      <w:r>
        <w:rPr/>
        <w:t>内</w:t>
      </w:r>
      <w:r>
        <w:rPr>
          <w:spacing w:val="-73"/>
        </w:rPr>
        <w:t> </w:t>
      </w:r>
      <w:r>
        <w:rPr/>
        <w:t>容</w:t>
      </w:r>
      <w:r>
        <w:rPr>
          <w:spacing w:val="-73"/>
        </w:rPr>
        <w:t> </w:t>
      </w:r>
      <w:r>
        <w:rPr/>
        <w:t>详</w:t>
      </w:r>
      <w:r>
        <w:rPr>
          <w:spacing w:val="-73"/>
        </w:rPr>
        <w:t> </w:t>
      </w:r>
      <w:r>
        <w:rPr/>
        <w:t>见</w:t>
      </w:r>
      <w:r>
        <w:rPr>
          <w:spacing w:val="-76"/>
        </w:rPr>
        <w:t> </w:t>
      </w:r>
      <w:r>
        <w:rPr/>
        <w:t>公</w:t>
      </w:r>
      <w:r>
        <w:rPr>
          <w:spacing w:val="-73"/>
        </w:rPr>
        <w:t> </w:t>
      </w:r>
      <w:r>
        <w:rPr/>
        <w:t>司</w:t>
      </w:r>
      <w:r>
        <w:rPr>
          <w:spacing w:val="-6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w:t>
      </w:r>
      <w:r>
        <w:rPr>
          <w:spacing w:val="-7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3"/>
        </w:rPr>
        <w:t> </w:t>
      </w:r>
      <w:r>
        <w:rPr/>
        <w:t>月</w:t>
      </w:r>
      <w:r>
        <w:rPr>
          <w:spacing w:val="-73"/>
        </w:rPr>
        <w:t> </w:t>
      </w:r>
      <w:r>
        <w:rPr>
          <w:rFonts w:ascii="Times New Roman" w:hAnsi="Times New Roman" w:cs="Times New Roman" w:eastAsia="Times New Roman" w:hint="default"/>
        </w:rPr>
        <w:t>21</w:t>
      </w:r>
      <w:r>
        <w:rPr>
          <w:rFonts w:ascii="Times New Roman" w:hAnsi="Times New Roman" w:cs="Times New Roman" w:eastAsia="Times New Roman" w:hint="default"/>
          <w:spacing w:val="-21"/>
        </w:rPr>
        <w:t> </w:t>
      </w:r>
      <w:r>
        <w:rPr/>
        <w:t>日</w:t>
      </w:r>
      <w:r>
        <w:rPr>
          <w:spacing w:val="-73"/>
        </w:rPr>
        <w:t> </w:t>
      </w:r>
      <w:r>
        <w:rPr/>
        <w:t>披</w:t>
      </w:r>
      <w:r>
        <w:rPr>
          <w:spacing w:val="-76"/>
        </w:rPr>
        <w:t> </w:t>
      </w:r>
      <w:r>
        <w:rPr/>
        <w:t>露</w:t>
      </w:r>
      <w:r>
        <w:rPr>
          <w:spacing w:val="-73"/>
        </w:rPr>
        <w:t> </w:t>
      </w:r>
      <w:r>
        <w:rPr/>
        <w:t>于</w:t>
      </w:r>
      <w:r>
        <w:rPr>
          <w:spacing w:val="-73"/>
        </w:rPr>
        <w:t> </w:t>
      </w:r>
      <w:r>
        <w:rPr/>
        <w:t>巨</w:t>
      </w:r>
      <w:r>
        <w:rPr>
          <w:spacing w:val="-76"/>
        </w:rPr>
        <w:t> </w:t>
      </w:r>
      <w:r>
        <w:rPr/>
        <w:t>潮</w:t>
      </w:r>
      <w:r>
        <w:rPr>
          <w:spacing w:val="-73"/>
        </w:rPr>
        <w:t> </w:t>
      </w:r>
      <w:r>
        <w:rPr/>
        <w:t>资</w:t>
      </w:r>
      <w:r>
        <w:rPr>
          <w:spacing w:val="-73"/>
        </w:rPr>
        <w:t> </w:t>
      </w:r>
      <w:r>
        <w:rPr/>
        <w:t>讯</w:t>
      </w:r>
      <w:r>
        <w:rPr>
          <w:spacing w:val="-76"/>
        </w:rPr>
        <w:t> </w:t>
      </w:r>
      <w:r>
        <w:rPr/>
        <w:t>网</w:t>
      </w:r>
      <w:r>
        <w:rPr>
          <w:spacing w:val="-101"/>
        </w:rPr>
        <w:t> </w:t>
      </w:r>
      <w:r>
        <w:rPr>
          <w:spacing w:val="-101"/>
        </w:rPr>
      </w:r>
      <w:hyperlink r:id="rId20">
        <w:r>
          <w:rPr>
            <w:rFonts w:ascii="Times New Roman" w:hAnsi="Times New Roman" w:cs="Times New Roman" w:eastAsia="Times New Roman" w:hint="default"/>
            <w:spacing w:val="-8"/>
            <w:w w:val="100"/>
          </w:rPr>
          <w:t>www.cninfo.com.cn</w:t>
        </w:r>
        <w:r>
          <w:rPr>
            <w:spacing w:val="-8"/>
            <w:w w:val="100"/>
          </w:rPr>
          <w:t>的《卡</w:t>
        </w:r>
      </w:hyperlink>
      <w:r>
        <w:rPr>
          <w:spacing w:val="-8"/>
          <w:w w:val="100"/>
        </w:rPr>
        <w:t>奴迪路：第一期员工持股计划（草案）（认购非公开发行股票方式）（修订稿）》。</w:t>
      </w:r>
    </w:p>
    <w:p>
      <w:pPr>
        <w:pStyle w:val="BodyText"/>
        <w:spacing w:line="386" w:lineRule="auto" w:before="74"/>
        <w:ind w:left="253" w:right="1022" w:firstLine="420"/>
        <w:jc w:val="left"/>
      </w:pPr>
      <w:r>
        <w:rPr>
          <w:rFonts w:ascii="Times New Roman" w:hAnsi="Times New Roman" w:cs="Times New Roman" w:eastAsia="Times New Roman" w:hint="default"/>
        </w:rPr>
        <w:t>3.2016</w:t>
      </w:r>
      <w:r>
        <w:rPr/>
        <w:t>年</w:t>
      </w:r>
      <w:r>
        <w:rPr>
          <w:rFonts w:ascii="Times New Roman" w:hAnsi="Times New Roman" w:cs="Times New Roman" w:eastAsia="Times New Roman" w:hint="default"/>
        </w:rPr>
        <w:t>7</w:t>
      </w:r>
      <w:r>
        <w:rPr/>
        <w:t>月，第一期员工持股计划完成资管计划设立，因原参加员工持股计划的</w:t>
      </w:r>
      <w:r>
        <w:rPr>
          <w:rFonts w:ascii="Times New Roman" w:hAnsi="Times New Roman" w:cs="Times New Roman" w:eastAsia="Times New Roman" w:hint="default"/>
        </w:rPr>
        <w:t>6</w:t>
      </w:r>
      <w:r>
        <w:rPr/>
        <w:t>名员工已从公司离</w:t>
      </w:r>
      <w:r>
        <w:rPr>
          <w:w w:val="100"/>
        </w:rPr>
        <w:t> </w:t>
      </w:r>
      <w:r>
        <w:rPr>
          <w:spacing w:val="-5"/>
          <w:w w:val="100"/>
        </w:rPr>
        <w:t>职而不再参加员工持股计划，相应份额被终止认购，员工持股计划于</w:t>
      </w:r>
      <w:r>
        <w:rPr>
          <w:rFonts w:ascii="Times New Roman" w:hAnsi="Times New Roman" w:cs="Times New Roman" w:eastAsia="Times New Roman" w:hint="default"/>
          <w:spacing w:val="-5"/>
          <w:w w:val="100"/>
        </w:rPr>
        <w:t>2016</w:t>
      </w:r>
      <w:r>
        <w:rPr>
          <w:spacing w:val="-5"/>
          <w:w w:val="100"/>
        </w:rPr>
        <w:t>年</w:t>
      </w:r>
      <w:r>
        <w:rPr>
          <w:rFonts w:ascii="Times New Roman" w:hAnsi="Times New Roman" w:cs="Times New Roman" w:eastAsia="Times New Roman" w:hint="default"/>
          <w:spacing w:val="-5"/>
          <w:w w:val="100"/>
        </w:rPr>
        <w:t>7</w:t>
      </w:r>
      <w:r>
        <w:rPr>
          <w:spacing w:val="-5"/>
          <w:w w:val="100"/>
        </w:rPr>
        <w:t>月</w:t>
      </w:r>
      <w:r>
        <w:rPr>
          <w:rFonts w:ascii="Times New Roman" w:hAnsi="Times New Roman" w:cs="Times New Roman" w:eastAsia="Times New Roman" w:hint="default"/>
          <w:spacing w:val="-5"/>
          <w:w w:val="100"/>
        </w:rPr>
        <w:t>19</w:t>
      </w:r>
      <w:r>
        <w:rPr>
          <w:spacing w:val="-5"/>
          <w:w w:val="100"/>
        </w:rPr>
        <w:t>日出资</w:t>
      </w:r>
      <w:r>
        <w:rPr>
          <w:rFonts w:ascii="Times New Roman" w:hAnsi="Times New Roman" w:cs="Times New Roman" w:eastAsia="Times New Roman" w:hint="default"/>
          <w:spacing w:val="-5"/>
          <w:w w:val="100"/>
        </w:rPr>
        <w:t>104,309,881.37</w:t>
      </w:r>
      <w:r>
        <w:rPr>
          <w:rFonts w:ascii="Times New Roman" w:hAnsi="Times New Roman" w:cs="Times New Roman" w:eastAsia="Times New Roman" w:hint="default"/>
          <w:spacing w:val="27"/>
          <w:w w:val="100"/>
        </w:rPr>
        <w:t> </w:t>
      </w:r>
      <w:r>
        <w:rPr>
          <w:w w:val="100"/>
        </w:rPr>
        <w:t>元，</w:t>
      </w:r>
      <w:r>
        <w:rPr>
          <w:spacing w:val="-100"/>
          <w:w w:val="100"/>
        </w:rPr>
        <w:t> </w:t>
      </w:r>
      <w:r>
        <w:rPr>
          <w:spacing w:val="-2"/>
        </w:rPr>
        <w:t>以</w:t>
      </w:r>
      <w:r>
        <w:rPr>
          <w:rFonts w:ascii="Times New Roman" w:hAnsi="Times New Roman" w:cs="Times New Roman" w:eastAsia="Times New Roman" w:hint="default"/>
          <w:spacing w:val="-2"/>
        </w:rPr>
        <w:t>9.47</w:t>
      </w:r>
      <w:r>
        <w:rPr>
          <w:spacing w:val="-2"/>
        </w:rPr>
        <w:t>元</w:t>
      </w:r>
      <w:r>
        <w:rPr>
          <w:rFonts w:ascii="Times New Roman" w:hAnsi="Times New Roman" w:cs="Times New Roman" w:eastAsia="Times New Roman" w:hint="default"/>
          <w:spacing w:val="-2"/>
        </w:rPr>
        <w:t>/</w:t>
      </w:r>
      <w:r>
        <w:rPr>
          <w:spacing w:val="-2"/>
        </w:rPr>
        <w:t>股认购公司非公开发行股份</w:t>
      </w:r>
      <w:r>
        <w:rPr>
          <w:rFonts w:ascii="Times New Roman" w:hAnsi="Times New Roman" w:cs="Times New Roman" w:eastAsia="Times New Roman" w:hint="default"/>
          <w:spacing w:val="-2"/>
        </w:rPr>
        <w:t>11,014,771</w:t>
      </w:r>
      <w:r>
        <w:rPr>
          <w:spacing w:val="-2"/>
        </w:rPr>
        <w:t>股，占公司发行后总股本的比例为</w:t>
      </w:r>
      <w:r>
        <w:rPr>
          <w:rFonts w:ascii="Times New Roman" w:hAnsi="Times New Roman" w:cs="Times New Roman" w:eastAsia="Times New Roman" w:hint="default"/>
          <w:spacing w:val="-2"/>
        </w:rPr>
        <w:t>2.69%</w:t>
      </w:r>
      <w:r>
        <w:rPr>
          <w:spacing w:val="-2"/>
        </w:rPr>
        <w:t>（占现在公司总股</w:t>
      </w:r>
      <w:r>
        <w:rPr>
          <w:spacing w:val="-49"/>
        </w:rPr>
        <w:t> </w:t>
      </w:r>
      <w:r>
        <w:rPr>
          <w:spacing w:val="-49"/>
        </w:rPr>
      </w:r>
      <w:r>
        <w:rPr>
          <w:spacing w:val="-4"/>
          <w:w w:val="100"/>
        </w:rPr>
        <w:t>本的比例为：</w:t>
      </w:r>
      <w:r>
        <w:rPr>
          <w:rFonts w:ascii="Times New Roman" w:hAnsi="Times New Roman" w:cs="Times New Roman" w:eastAsia="Times New Roman" w:hint="default"/>
          <w:spacing w:val="-4"/>
          <w:w w:val="100"/>
        </w:rPr>
        <w:t>2.56%</w:t>
      </w:r>
      <w:r>
        <w:rPr>
          <w:spacing w:val="-4"/>
          <w:w w:val="100"/>
        </w:rPr>
        <w:t>）。该部分股票于</w:t>
      </w:r>
      <w:r>
        <w:rPr>
          <w:rFonts w:ascii="Times New Roman" w:hAnsi="Times New Roman" w:cs="Times New Roman" w:eastAsia="Times New Roman" w:hint="default"/>
          <w:spacing w:val="-4"/>
          <w:w w:val="100"/>
        </w:rPr>
        <w:t>2016</w:t>
      </w:r>
      <w:r>
        <w:rPr>
          <w:spacing w:val="-4"/>
          <w:w w:val="100"/>
        </w:rPr>
        <w:t>年</w:t>
      </w:r>
      <w:r>
        <w:rPr>
          <w:rFonts w:ascii="Times New Roman" w:hAnsi="Times New Roman" w:cs="Times New Roman" w:eastAsia="Times New Roman" w:hint="default"/>
          <w:spacing w:val="-4"/>
          <w:w w:val="100"/>
        </w:rPr>
        <w:t>8</w:t>
      </w:r>
      <w:r>
        <w:rPr>
          <w:spacing w:val="-4"/>
          <w:w w:val="100"/>
        </w:rPr>
        <w:t>月</w:t>
      </w:r>
      <w:r>
        <w:rPr>
          <w:rFonts w:ascii="Times New Roman" w:hAnsi="Times New Roman" w:cs="Times New Roman" w:eastAsia="Times New Roman" w:hint="default"/>
          <w:spacing w:val="-4"/>
          <w:w w:val="100"/>
        </w:rPr>
        <w:t>2</w:t>
      </w:r>
      <w:r>
        <w:rPr>
          <w:spacing w:val="-4"/>
          <w:w w:val="100"/>
        </w:rPr>
        <w:t>日上市，具体内容详见公司</w:t>
      </w:r>
      <w:r>
        <w:rPr>
          <w:rFonts w:ascii="Times New Roman" w:hAnsi="Times New Roman" w:cs="Times New Roman" w:eastAsia="Times New Roman" w:hint="default"/>
          <w:spacing w:val="-4"/>
          <w:w w:val="100"/>
        </w:rPr>
        <w:t>2016</w:t>
      </w:r>
      <w:r>
        <w:rPr>
          <w:spacing w:val="-4"/>
          <w:w w:val="100"/>
        </w:rPr>
        <w:t>年</w:t>
      </w:r>
      <w:r>
        <w:rPr>
          <w:rFonts w:ascii="Times New Roman" w:hAnsi="Times New Roman" w:cs="Times New Roman" w:eastAsia="Times New Roman" w:hint="default"/>
          <w:spacing w:val="-4"/>
          <w:w w:val="100"/>
        </w:rPr>
        <w:t>8</w:t>
      </w:r>
      <w:r>
        <w:rPr>
          <w:spacing w:val="-4"/>
          <w:w w:val="100"/>
        </w:rPr>
        <w:t>月</w:t>
      </w:r>
      <w:r>
        <w:rPr>
          <w:rFonts w:ascii="Times New Roman" w:hAnsi="Times New Roman" w:cs="Times New Roman" w:eastAsia="Times New Roman" w:hint="default"/>
          <w:spacing w:val="-4"/>
          <w:w w:val="100"/>
        </w:rPr>
        <w:t>4</w:t>
      </w:r>
      <w:r>
        <w:rPr>
          <w:spacing w:val="-4"/>
          <w:w w:val="100"/>
        </w:rPr>
        <w:t>日披露于巨潮资讯</w:t>
      </w:r>
      <w:r>
        <w:rPr>
          <w:spacing w:val="-99"/>
          <w:w w:val="100"/>
        </w:rPr>
        <w:t> </w:t>
      </w:r>
      <w:r>
        <w:rPr>
          <w:spacing w:val="-99"/>
          <w:w w:val="100"/>
        </w:rPr>
      </w:r>
      <w:r>
        <w:rPr>
          <w:spacing w:val="-7"/>
          <w:w w:val="100"/>
        </w:rPr>
        <w:t>网</w:t>
      </w:r>
      <w:hyperlink r:id="rId20">
        <w:r>
          <w:rPr>
            <w:rFonts w:ascii="Times New Roman" w:hAnsi="Times New Roman" w:cs="Times New Roman" w:eastAsia="Times New Roman" w:hint="default"/>
            <w:spacing w:val="-7"/>
            <w:w w:val="100"/>
          </w:rPr>
          <w:t>www.cninfo.com.cn</w:t>
        </w:r>
        <w:r>
          <w:rPr>
            <w:spacing w:val="-7"/>
            <w:w w:val="100"/>
          </w:rPr>
          <w:t>的《</w:t>
        </w:r>
      </w:hyperlink>
      <w:r>
        <w:rPr>
          <w:spacing w:val="-7"/>
          <w:w w:val="100"/>
        </w:rPr>
        <w:t>关于第一期员工持股计划完成股票购买的公告》（公告编号：</w:t>
      </w:r>
      <w:r>
        <w:rPr>
          <w:rFonts w:ascii="Times New Roman" w:hAnsi="Times New Roman" w:cs="Times New Roman" w:eastAsia="Times New Roman" w:hint="default"/>
          <w:spacing w:val="-7"/>
          <w:w w:val="100"/>
        </w:rPr>
        <w:t>2016-056</w:t>
      </w:r>
      <w:r>
        <w:rPr>
          <w:spacing w:val="-7"/>
          <w:w w:val="100"/>
        </w:rPr>
        <w:t>）。</w:t>
      </w:r>
      <w:r>
        <w:rPr>
          <w:w w:val="100"/>
        </w:rPr>
      </w:r>
    </w:p>
    <w:p>
      <w:pPr>
        <w:spacing w:line="240" w:lineRule="auto" w:before="11"/>
        <w:rPr>
          <w:rFonts w:ascii="宋体" w:hAnsi="宋体" w:cs="宋体" w:eastAsia="宋体" w:hint="default"/>
          <w:sz w:val="17"/>
          <w:szCs w:val="17"/>
        </w:rPr>
      </w:pPr>
    </w:p>
    <w:p>
      <w:pPr>
        <w:pStyle w:val="Heading2"/>
        <w:spacing w:line="240" w:lineRule="auto"/>
        <w:ind w:left="253" w:right="1022"/>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53" w:right="102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before="0"/>
        <w:ind w:left="253" w:right="10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800"/>
        <w:gridCol w:w="677"/>
        <w:gridCol w:w="677"/>
        <w:gridCol w:w="706"/>
        <w:gridCol w:w="679"/>
        <w:gridCol w:w="787"/>
        <w:gridCol w:w="562"/>
        <w:gridCol w:w="674"/>
        <w:gridCol w:w="674"/>
        <w:gridCol w:w="673"/>
        <w:gridCol w:w="674"/>
        <w:gridCol w:w="674"/>
        <w:gridCol w:w="533"/>
        <w:gridCol w:w="992"/>
      </w:tblGrid>
      <w:tr>
        <w:trPr>
          <w:trHeight w:val="2897" w:hRule="exact"/>
        </w:trPr>
        <w:tc>
          <w:tcPr>
            <w:tcW w:w="8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14" w:right="122" w:hanging="89"/>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67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3" w:right="151"/>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0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70" w:right="164"/>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53" w:right="155"/>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20" w:right="115"/>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56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84" w:right="185"/>
              <w:jc w:val="both"/>
              <w:rPr>
                <w:rFonts w:ascii="宋体" w:hAnsi="宋体" w:cs="宋体" w:eastAsia="宋体" w:hint="default"/>
                <w:sz w:val="18"/>
                <w:szCs w:val="18"/>
              </w:rPr>
            </w:pPr>
            <w:r>
              <w:rPr>
                <w:rFonts w:ascii="宋体" w:hAnsi="宋体" w:cs="宋体" w:eastAsia="宋体" w:hint="default"/>
                <w:sz w:val="18"/>
                <w:szCs w:val="18"/>
              </w:rPr>
              <w:t>关 联 交 易 金 额</w:t>
            </w:r>
          </w:p>
          <w:p>
            <w:pPr>
              <w:pStyle w:val="TableParagraph"/>
              <w:spacing w:line="316" w:lineRule="auto" w:before="17"/>
              <w:ind w:left="103" w:right="87" w:firstLine="81"/>
              <w:jc w:val="both"/>
              <w:rPr>
                <w:rFonts w:ascii="宋体" w:hAnsi="宋体" w:cs="宋体" w:eastAsia="宋体" w:hint="default"/>
                <w:sz w:val="18"/>
                <w:szCs w:val="18"/>
              </w:rPr>
            </w:pPr>
            <w:r>
              <w:rPr>
                <w:rFonts w:ascii="宋体" w:hAnsi="宋体" w:cs="宋体" w:eastAsia="宋体" w:hint="default"/>
                <w:sz w:val="18"/>
                <w:szCs w:val="18"/>
              </w:rPr>
              <w:t>（ 万 元）</w:t>
            </w:r>
          </w:p>
        </w:tc>
        <w:tc>
          <w:tcPr>
            <w:tcW w:w="67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51" w:right="151"/>
              <w:jc w:val="both"/>
              <w:rPr>
                <w:rFonts w:ascii="宋体" w:hAnsi="宋体" w:cs="宋体" w:eastAsia="宋体" w:hint="default"/>
                <w:sz w:val="18"/>
                <w:szCs w:val="18"/>
              </w:rPr>
            </w:pPr>
            <w:r>
              <w:rPr>
                <w:rFonts w:ascii="宋体" w:hAnsi="宋体" w:cs="宋体" w:eastAsia="宋体" w:hint="default"/>
                <w:sz w:val="18"/>
                <w:szCs w:val="18"/>
              </w:rPr>
              <w:t>占同 类交 易金 额的 比例</w:t>
            </w:r>
          </w:p>
        </w:tc>
        <w:tc>
          <w:tcPr>
            <w:tcW w:w="67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03" w:right="101" w:firstLine="48"/>
              <w:jc w:val="both"/>
              <w:rPr>
                <w:rFonts w:ascii="宋体" w:hAnsi="宋体" w:cs="宋体" w:eastAsia="宋体" w:hint="default"/>
                <w:sz w:val="18"/>
                <w:szCs w:val="18"/>
              </w:rPr>
            </w:pPr>
            <w:r>
              <w:rPr>
                <w:rFonts w:ascii="宋体" w:hAnsi="宋体" w:cs="宋体" w:eastAsia="宋体" w:hint="default"/>
                <w:sz w:val="18"/>
                <w:szCs w:val="18"/>
              </w:rPr>
              <w:t>获批 的交 易额 </w:t>
            </w:r>
            <w:r>
              <w:rPr>
                <w:rFonts w:ascii="宋体" w:hAnsi="宋体" w:cs="宋体" w:eastAsia="宋体" w:hint="default"/>
                <w:spacing w:val="-28"/>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51" w:right="149"/>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67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53" w:right="149"/>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67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53" w:right="149"/>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53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70" w:right="170"/>
              <w:jc w:val="both"/>
              <w:rPr>
                <w:rFonts w:ascii="宋体" w:hAnsi="宋体" w:cs="宋体" w:eastAsia="宋体" w:hint="default"/>
                <w:sz w:val="18"/>
                <w:szCs w:val="18"/>
              </w:rPr>
            </w:pPr>
            <w:r>
              <w:rPr>
                <w:rFonts w:ascii="宋体" w:hAnsi="宋体" w:cs="宋体" w:eastAsia="宋体" w:hint="default"/>
                <w:sz w:val="18"/>
                <w:szCs w:val="18"/>
              </w:rPr>
              <w:t>披 露 日 期</w:t>
            </w:r>
          </w:p>
        </w:tc>
        <w:tc>
          <w:tcPr>
            <w:tcW w:w="9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70"/>
              <w:ind w:left="103" w:right="144"/>
              <w:jc w:val="both"/>
              <w:rPr>
                <w:rFonts w:ascii="宋体" w:hAnsi="宋体" w:cs="宋体" w:eastAsia="宋体" w:hint="default"/>
                <w:sz w:val="18"/>
                <w:szCs w:val="18"/>
              </w:rPr>
            </w:pPr>
            <w:r>
              <w:rPr>
                <w:rFonts w:ascii="宋体" w:hAnsi="宋体" w:cs="宋体" w:eastAsia="宋体" w:hint="default"/>
                <w:sz w:val="18"/>
                <w:szCs w:val="18"/>
              </w:rPr>
              <w:t>广州花 园里发 展有限</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70"/>
              <w:ind w:left="103" w:right="201"/>
              <w:jc w:val="both"/>
              <w:rPr>
                <w:rFonts w:ascii="宋体" w:hAnsi="宋体" w:cs="宋体" w:eastAsia="宋体" w:hint="default"/>
                <w:sz w:val="18"/>
                <w:szCs w:val="18"/>
              </w:rPr>
            </w:pPr>
            <w:r>
              <w:rPr>
                <w:rFonts w:ascii="宋体" w:hAnsi="宋体" w:cs="宋体" w:eastAsia="宋体" w:hint="default"/>
                <w:sz w:val="18"/>
                <w:szCs w:val="18"/>
              </w:rPr>
              <w:t>系公 司控 股股</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203"/>
              <w:jc w:val="both"/>
              <w:rPr>
                <w:rFonts w:ascii="宋体" w:hAnsi="宋体" w:cs="宋体" w:eastAsia="宋体" w:hint="default"/>
                <w:sz w:val="18"/>
                <w:szCs w:val="18"/>
              </w:rPr>
            </w:pPr>
            <w:r>
              <w:rPr>
                <w:rFonts w:ascii="宋体" w:hAnsi="宋体" w:cs="宋体" w:eastAsia="宋体" w:hint="default"/>
                <w:sz w:val="18"/>
                <w:szCs w:val="18"/>
              </w:rPr>
              <w:t>日常 关联 交易</w:t>
            </w:r>
          </w:p>
        </w:tc>
        <w:tc>
          <w:tcPr>
            <w:tcW w:w="7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5" w:right="230"/>
              <w:jc w:val="left"/>
              <w:rPr>
                <w:rFonts w:ascii="宋体" w:hAnsi="宋体" w:cs="宋体" w:eastAsia="宋体" w:hint="default"/>
                <w:sz w:val="18"/>
                <w:szCs w:val="18"/>
              </w:rPr>
            </w:pPr>
            <w:r>
              <w:rPr>
                <w:rFonts w:ascii="宋体" w:hAnsi="宋体" w:cs="宋体" w:eastAsia="宋体" w:hint="default"/>
                <w:sz w:val="18"/>
                <w:szCs w:val="18"/>
              </w:rPr>
              <w:t>租赁 仓库</w:t>
            </w: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70"/>
              <w:ind w:left="105" w:right="131"/>
              <w:jc w:val="both"/>
              <w:rPr>
                <w:rFonts w:ascii="宋体" w:hAnsi="宋体" w:cs="宋体" w:eastAsia="宋体" w:hint="default"/>
                <w:sz w:val="18"/>
                <w:szCs w:val="18"/>
              </w:rPr>
            </w:pPr>
            <w:r>
              <w:rPr>
                <w:rFonts w:ascii="宋体" w:hAnsi="宋体" w:cs="宋体" w:eastAsia="宋体" w:hint="default"/>
                <w:sz w:val="18"/>
                <w:szCs w:val="18"/>
              </w:rPr>
              <w:t>租金和 物业管 理费合</w:t>
            </w:r>
          </w:p>
        </w:tc>
        <w:tc>
          <w:tcPr>
            <w:tcW w:w="5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63</w:t>
            </w:r>
          </w:p>
        </w:tc>
        <w:tc>
          <w:tcPr>
            <w:tcW w:w="674" w:type="dxa"/>
            <w:tcBorders>
              <w:top w:val="single" w:sz="4" w:space="0" w:color="933734"/>
              <w:left w:val="single" w:sz="4" w:space="0" w:color="933734"/>
              <w:bottom w:val="single" w:sz="4" w:space="0" w:color="933734"/>
              <w:right w:val="single" w:sz="4" w:space="0" w:color="933734"/>
            </w:tcBorders>
          </w:tcPr>
          <w:p>
            <w:pP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500</w:t>
            </w:r>
          </w:p>
        </w:tc>
        <w:tc>
          <w:tcPr>
            <w:tcW w:w="67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5" w:right="197"/>
              <w:jc w:val="left"/>
              <w:rPr>
                <w:rFonts w:ascii="宋体" w:hAnsi="宋体" w:cs="宋体" w:eastAsia="宋体" w:hint="default"/>
                <w:sz w:val="18"/>
                <w:szCs w:val="18"/>
              </w:rPr>
            </w:pPr>
            <w:r>
              <w:rPr>
                <w:rFonts w:ascii="宋体" w:hAnsi="宋体" w:cs="宋体" w:eastAsia="宋体" w:hint="default"/>
                <w:sz w:val="18"/>
                <w:szCs w:val="18"/>
              </w:rPr>
              <w:t>按月 支付</w:t>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70"/>
              <w:ind w:left="103" w:right="98"/>
              <w:jc w:val="left"/>
              <w:rPr>
                <w:rFonts w:ascii="宋体" w:hAnsi="宋体" w:cs="宋体" w:eastAsia="宋体" w:hint="default"/>
                <w:sz w:val="18"/>
                <w:szCs w:val="18"/>
              </w:rPr>
            </w:pPr>
            <w:r>
              <w:rPr>
                <w:rFonts w:ascii="宋体" w:hAnsi="宋体" w:cs="宋体" w:eastAsia="宋体" w:hint="default"/>
                <w:sz w:val="18"/>
                <w:szCs w:val="18"/>
              </w:rPr>
              <w:t>详见公司 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after="0" w:line="248" w:lineRule="exact"/>
        <w:jc w:val="left"/>
        <w:rPr>
          <w:rFonts w:ascii="宋体" w:hAnsi="宋体" w:cs="宋体" w:eastAsia="宋体" w:hint="default"/>
          <w:sz w:val="18"/>
          <w:szCs w:val="18"/>
        </w:rPr>
        <w:sectPr>
          <w:pgSz w:w="11910" w:h="16840"/>
          <w:pgMar w:header="906" w:footer="1079" w:top="1100" w:bottom="1260" w:left="8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800"/>
        <w:gridCol w:w="677"/>
        <w:gridCol w:w="677"/>
        <w:gridCol w:w="706"/>
        <w:gridCol w:w="679"/>
        <w:gridCol w:w="802"/>
        <w:gridCol w:w="548"/>
        <w:gridCol w:w="674"/>
        <w:gridCol w:w="674"/>
        <w:gridCol w:w="673"/>
        <w:gridCol w:w="674"/>
        <w:gridCol w:w="674"/>
        <w:gridCol w:w="533"/>
        <w:gridCol w:w="992"/>
        <w:gridCol w:w="146"/>
      </w:tblGrid>
      <w:tr>
        <w:trPr>
          <w:trHeight w:val="1923" w:hRule="exact"/>
        </w:trPr>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8"/>
              <w:ind w:left="103" w:right="201"/>
              <w:jc w:val="both"/>
              <w:rPr>
                <w:rFonts w:ascii="宋体" w:hAnsi="宋体" w:cs="宋体" w:eastAsia="宋体" w:hint="default"/>
                <w:sz w:val="18"/>
                <w:szCs w:val="18"/>
              </w:rPr>
            </w:pPr>
            <w:r>
              <w:rPr>
                <w:rFonts w:ascii="宋体" w:hAnsi="宋体" w:cs="宋体" w:eastAsia="宋体" w:hint="default"/>
                <w:sz w:val="18"/>
                <w:szCs w:val="18"/>
              </w:rPr>
              <w:t>东的 控股 子公 司</w:t>
            </w:r>
          </w:p>
        </w:tc>
        <w:tc>
          <w:tcPr>
            <w:tcW w:w="677" w:type="dxa"/>
            <w:tcBorders>
              <w:top w:val="single" w:sz="4" w:space="0" w:color="933734"/>
              <w:left w:val="single" w:sz="4" w:space="0" w:color="933734"/>
              <w:bottom w:val="single" w:sz="4" w:space="0" w:color="933734"/>
              <w:right w:val="single" w:sz="4" w:space="0" w:color="933734"/>
            </w:tcBorders>
          </w:tcPr>
          <w:p>
            <w:pPr/>
          </w:p>
        </w:tc>
        <w:tc>
          <w:tcPr>
            <w:tcW w:w="706"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802"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8"/>
              <w:ind w:left="105" w:right="275"/>
              <w:jc w:val="both"/>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 方米</w:t>
            </w:r>
          </w:p>
        </w:tc>
        <w:tc>
          <w:tcPr>
            <w:tcW w:w="548" w:type="dxa"/>
            <w:tcBorders>
              <w:top w:val="single" w:sz="4" w:space="0" w:color="933734"/>
              <w:left w:val="single" w:sz="4" w:space="0" w:color="933734"/>
              <w:bottom w:val="single" w:sz="4" w:space="0" w:color="933734"/>
              <w:right w:val="single" w:sz="4" w:space="0" w:color="933734"/>
            </w:tcBorders>
          </w:tcPr>
          <w:p>
            <w:pPr/>
          </w:p>
        </w:tc>
        <w:tc>
          <w:tcPr>
            <w:tcW w:w="674" w:type="dxa"/>
            <w:tcBorders>
              <w:top w:val="single" w:sz="4" w:space="0" w:color="933734"/>
              <w:left w:val="single" w:sz="4" w:space="0" w:color="933734"/>
              <w:bottom w:val="single" w:sz="4" w:space="0" w:color="933734"/>
              <w:right w:val="single" w:sz="4" w:space="0" w:color="933734"/>
            </w:tcBorders>
          </w:tcPr>
          <w:p>
            <w:pPr/>
          </w:p>
        </w:tc>
        <w:tc>
          <w:tcPr>
            <w:tcW w:w="674" w:type="dxa"/>
            <w:tcBorders>
              <w:top w:val="single" w:sz="4" w:space="0" w:color="933734"/>
              <w:left w:val="single" w:sz="4" w:space="0" w:color="933734"/>
              <w:bottom w:val="single" w:sz="4" w:space="0" w:color="933734"/>
              <w:right w:val="single" w:sz="4" w:space="0" w:color="933734"/>
            </w:tcBorders>
          </w:tcPr>
          <w:p>
            <w:pPr/>
          </w:p>
        </w:tc>
        <w:tc>
          <w:tcPr>
            <w:tcW w:w="673" w:type="dxa"/>
            <w:tcBorders>
              <w:top w:val="single" w:sz="4" w:space="0" w:color="933734"/>
              <w:left w:val="single" w:sz="4" w:space="0" w:color="933734"/>
              <w:bottom w:val="single" w:sz="4" w:space="0" w:color="933734"/>
              <w:right w:val="single" w:sz="4" w:space="0" w:color="933734"/>
            </w:tcBorders>
          </w:tcPr>
          <w:p>
            <w:pPr/>
          </w:p>
        </w:tc>
        <w:tc>
          <w:tcPr>
            <w:tcW w:w="674" w:type="dxa"/>
            <w:tcBorders>
              <w:top w:val="single" w:sz="4" w:space="0" w:color="933734"/>
              <w:left w:val="single" w:sz="4" w:space="0" w:color="933734"/>
              <w:bottom w:val="single" w:sz="4" w:space="0" w:color="933734"/>
              <w:right w:val="single" w:sz="4" w:space="0" w:color="933734"/>
            </w:tcBorders>
          </w:tcPr>
          <w:p>
            <w:pPr/>
          </w:p>
        </w:tc>
        <w:tc>
          <w:tcPr>
            <w:tcW w:w="674"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8"/>
              <w:ind w:left="103" w:right="156"/>
              <w:jc w:val="both"/>
              <w:rPr>
                <w:rFonts w:ascii="宋体" w:hAnsi="宋体" w:cs="宋体" w:eastAsia="宋体" w:hint="default"/>
                <w:sz w:val="18"/>
                <w:szCs w:val="18"/>
              </w:rPr>
            </w:pPr>
            <w:r>
              <w:rPr>
                <w:rFonts w:ascii="宋体" w:hAnsi="宋体" w:cs="宋体" w:eastAsia="宋体" w:hint="default"/>
                <w:sz w:val="18"/>
                <w:szCs w:val="18"/>
              </w:rPr>
              <w:t>刊登在巨 潮资讯网 的《日常 关联交易 预计的公 告》</w:t>
            </w:r>
          </w:p>
        </w:tc>
        <w:tc>
          <w:tcPr>
            <w:tcW w:w="146" w:type="dxa"/>
            <w:tcBorders>
              <w:top w:val="nil" w:sz="6" w:space="0" w:color="auto"/>
              <w:left w:val="single" w:sz="4" w:space="0" w:color="933734"/>
              <w:bottom w:val="nil" w:sz="6" w:space="0" w:color="auto"/>
              <w:right w:val="nil" w:sz="6" w:space="0" w:color="auto"/>
            </w:tcBorders>
          </w:tcPr>
          <w:p>
            <w:pPr/>
          </w:p>
        </w:tc>
      </w:tr>
      <w:tr>
        <w:trPr>
          <w:trHeight w:val="3209" w:hRule="exact"/>
        </w:trPr>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03" w:right="144"/>
              <w:jc w:val="both"/>
              <w:rPr>
                <w:rFonts w:ascii="宋体" w:hAnsi="宋体" w:cs="宋体" w:eastAsia="宋体" w:hint="default"/>
                <w:sz w:val="18"/>
                <w:szCs w:val="18"/>
              </w:rPr>
            </w:pPr>
            <w:r>
              <w:rPr>
                <w:rFonts w:ascii="宋体" w:hAnsi="宋体" w:cs="宋体" w:eastAsia="宋体" w:hint="default"/>
                <w:sz w:val="18"/>
                <w:szCs w:val="18"/>
              </w:rPr>
              <w:t>广州瑞 丰集团 股份有 限公司</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03" w:right="201"/>
              <w:jc w:val="both"/>
              <w:rPr>
                <w:rFonts w:ascii="宋体" w:hAnsi="宋体" w:cs="宋体" w:eastAsia="宋体" w:hint="default"/>
                <w:sz w:val="18"/>
                <w:szCs w:val="18"/>
              </w:rPr>
            </w:pPr>
            <w:r>
              <w:rPr>
                <w:rFonts w:ascii="宋体" w:hAnsi="宋体" w:cs="宋体" w:eastAsia="宋体" w:hint="default"/>
                <w:sz w:val="18"/>
                <w:szCs w:val="18"/>
              </w:rPr>
              <w:t>系公 司控 股股 东</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203"/>
              <w:jc w:val="both"/>
              <w:rPr>
                <w:rFonts w:ascii="宋体" w:hAnsi="宋体" w:cs="宋体" w:eastAsia="宋体" w:hint="default"/>
                <w:sz w:val="18"/>
                <w:szCs w:val="18"/>
              </w:rPr>
            </w:pPr>
            <w:r>
              <w:rPr>
                <w:rFonts w:ascii="宋体" w:hAnsi="宋体" w:cs="宋体" w:eastAsia="宋体" w:hint="default"/>
                <w:sz w:val="18"/>
                <w:szCs w:val="18"/>
              </w:rPr>
              <w:t>日常 关联 交易</w:t>
            </w:r>
          </w:p>
        </w:tc>
        <w:tc>
          <w:tcPr>
            <w:tcW w:w="7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5" w:right="230"/>
              <w:jc w:val="both"/>
              <w:rPr>
                <w:rFonts w:ascii="宋体" w:hAnsi="宋体" w:cs="宋体" w:eastAsia="宋体" w:hint="default"/>
                <w:sz w:val="18"/>
                <w:szCs w:val="18"/>
              </w:rPr>
            </w:pPr>
            <w:r>
              <w:rPr>
                <w:rFonts w:ascii="宋体" w:hAnsi="宋体" w:cs="宋体" w:eastAsia="宋体" w:hint="default"/>
                <w:sz w:val="18"/>
                <w:szCs w:val="18"/>
              </w:rPr>
              <w:t>租赁 办公 场地</w:t>
            </w: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公允</w:t>
            </w:r>
          </w:p>
        </w:tc>
        <w:tc>
          <w:tcPr>
            <w:tcW w:w="802" w:type="dxa"/>
            <w:tcBorders>
              <w:top w:val="single" w:sz="4" w:space="0" w:color="933734"/>
              <w:left w:val="single" w:sz="4" w:space="0" w:color="933734"/>
              <w:bottom w:val="single" w:sz="4" w:space="0" w:color="933734"/>
              <w:right w:val="single" w:sz="4" w:space="0" w:color="933734"/>
            </w:tcBorders>
          </w:tcPr>
          <w:p>
            <w:pPr>
              <w:pStyle w:val="TableParagraph"/>
              <w:spacing w:line="309"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办公室 的租赁 租金标 准为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月、服 务费标 准为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tc>
        <w:tc>
          <w:tcPr>
            <w:tcW w:w="54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8.71</w:t>
            </w:r>
          </w:p>
        </w:tc>
        <w:tc>
          <w:tcPr>
            <w:tcW w:w="674" w:type="dxa"/>
            <w:tcBorders>
              <w:top w:val="single" w:sz="4" w:space="0" w:color="933734"/>
              <w:left w:val="single" w:sz="4" w:space="0" w:color="933734"/>
              <w:bottom w:val="single" w:sz="4" w:space="0" w:color="933734"/>
              <w:right w:val="single" w:sz="4" w:space="0" w:color="933734"/>
            </w:tcBorders>
          </w:tcPr>
          <w:p>
            <w:pP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w:t>
            </w:r>
          </w:p>
        </w:tc>
        <w:tc>
          <w:tcPr>
            <w:tcW w:w="67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5" w:right="197"/>
              <w:jc w:val="left"/>
              <w:rPr>
                <w:rFonts w:ascii="宋体" w:hAnsi="宋体" w:cs="宋体" w:eastAsia="宋体" w:hint="default"/>
                <w:sz w:val="18"/>
                <w:szCs w:val="18"/>
              </w:rPr>
            </w:pPr>
            <w:r>
              <w:rPr>
                <w:rFonts w:ascii="宋体" w:hAnsi="宋体" w:cs="宋体" w:eastAsia="宋体" w:hint="default"/>
                <w:sz w:val="18"/>
                <w:szCs w:val="18"/>
              </w:rPr>
              <w:t>按月 支付</w:t>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98"/>
              <w:jc w:val="both"/>
              <w:rPr>
                <w:rFonts w:ascii="宋体" w:hAnsi="宋体" w:cs="宋体" w:eastAsia="宋体" w:hint="default"/>
                <w:sz w:val="18"/>
                <w:szCs w:val="18"/>
              </w:rPr>
            </w:pPr>
            <w:r>
              <w:rPr>
                <w:rFonts w:ascii="宋体" w:hAnsi="宋体" w:cs="宋体" w:eastAsia="宋体" w:hint="default"/>
                <w:sz w:val="18"/>
                <w:szCs w:val="18"/>
              </w:rPr>
              <w:t>详见公司 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314" w:lineRule="auto"/>
              <w:ind w:left="10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刊登在巨 潮资讯网 的《日常 关联交易 预计的公 告》</w:t>
            </w:r>
          </w:p>
        </w:tc>
        <w:tc>
          <w:tcPr>
            <w:tcW w:w="146" w:type="dxa"/>
            <w:tcBorders>
              <w:top w:val="nil" w:sz="6" w:space="0" w:color="auto"/>
              <w:left w:val="single" w:sz="4" w:space="0" w:color="933734"/>
              <w:bottom w:val="nil" w:sz="6" w:space="0" w:color="auto"/>
              <w:right w:val="nil" w:sz="6" w:space="0" w:color="auto"/>
            </w:tcBorders>
          </w:tcPr>
          <w:p>
            <w:pPr/>
          </w:p>
        </w:tc>
      </w:tr>
      <w:tr>
        <w:trPr>
          <w:trHeight w:val="3212" w:hRule="exact"/>
        </w:trPr>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44"/>
              <w:jc w:val="both"/>
              <w:rPr>
                <w:rFonts w:ascii="宋体" w:hAnsi="宋体" w:cs="宋体" w:eastAsia="宋体" w:hint="default"/>
                <w:sz w:val="18"/>
                <w:szCs w:val="18"/>
              </w:rPr>
            </w:pPr>
            <w:r>
              <w:rPr>
                <w:rFonts w:ascii="宋体" w:hAnsi="宋体" w:cs="宋体" w:eastAsia="宋体" w:hint="default"/>
                <w:sz w:val="18"/>
                <w:szCs w:val="18"/>
              </w:rPr>
              <w:t>广州多 维魔镜 高新科 技有限 公司</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201"/>
              <w:jc w:val="both"/>
              <w:rPr>
                <w:rFonts w:ascii="宋体" w:hAnsi="宋体" w:cs="宋体" w:eastAsia="宋体" w:hint="default"/>
                <w:sz w:val="18"/>
                <w:szCs w:val="18"/>
              </w:rPr>
            </w:pPr>
            <w:r>
              <w:rPr>
                <w:rFonts w:ascii="宋体" w:hAnsi="宋体" w:cs="宋体" w:eastAsia="宋体" w:hint="default"/>
                <w:sz w:val="18"/>
                <w:szCs w:val="18"/>
              </w:rPr>
              <w:t>系公 司控 股股 东的 控股 子公 司</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03"/>
              <w:jc w:val="both"/>
              <w:rPr>
                <w:rFonts w:ascii="宋体" w:hAnsi="宋体" w:cs="宋体" w:eastAsia="宋体" w:hint="default"/>
                <w:sz w:val="18"/>
                <w:szCs w:val="18"/>
              </w:rPr>
            </w:pPr>
            <w:r>
              <w:rPr>
                <w:rFonts w:ascii="宋体" w:hAnsi="宋体" w:cs="宋体" w:eastAsia="宋体" w:hint="default"/>
                <w:sz w:val="18"/>
                <w:szCs w:val="18"/>
              </w:rPr>
              <w:t>日常 关联 交易</w:t>
            </w:r>
          </w:p>
        </w:tc>
        <w:tc>
          <w:tcPr>
            <w:tcW w:w="7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230"/>
              <w:jc w:val="both"/>
              <w:rPr>
                <w:rFonts w:ascii="宋体" w:hAnsi="宋体" w:cs="宋体" w:eastAsia="宋体" w:hint="default"/>
                <w:sz w:val="18"/>
                <w:szCs w:val="18"/>
              </w:rPr>
            </w:pPr>
            <w:r>
              <w:rPr>
                <w:rFonts w:ascii="宋体" w:hAnsi="宋体" w:cs="宋体" w:eastAsia="宋体" w:hint="default"/>
                <w:sz w:val="18"/>
                <w:szCs w:val="18"/>
              </w:rPr>
              <w:t>租赁 办公 场地</w:t>
            </w: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公允</w:t>
            </w:r>
          </w:p>
        </w:tc>
        <w:tc>
          <w:tcPr>
            <w:tcW w:w="802" w:type="dxa"/>
            <w:tcBorders>
              <w:top w:val="single" w:sz="4" w:space="0" w:color="933734"/>
              <w:left w:val="single" w:sz="4" w:space="0" w:color="933734"/>
              <w:bottom w:val="single" w:sz="4" w:space="0" w:color="933734"/>
              <w:right w:val="single" w:sz="4" w:space="0" w:color="933734"/>
            </w:tcBorders>
          </w:tcPr>
          <w:p>
            <w:pPr>
              <w:pStyle w:val="TableParagraph"/>
              <w:spacing w:line="309" w:lineRule="auto" w:before="49"/>
              <w:ind w:left="105" w:right="110"/>
              <w:jc w:val="left"/>
              <w:rPr>
                <w:rFonts w:ascii="宋体" w:hAnsi="宋体" w:cs="宋体" w:eastAsia="宋体" w:hint="default"/>
                <w:sz w:val="18"/>
                <w:szCs w:val="18"/>
              </w:rPr>
            </w:pPr>
            <w:r>
              <w:rPr>
                <w:rFonts w:ascii="宋体" w:hAnsi="宋体" w:cs="宋体" w:eastAsia="宋体" w:hint="default"/>
                <w:sz w:val="18"/>
                <w:szCs w:val="18"/>
              </w:rPr>
              <w:t>办公室 的租赁 租金标 准为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月、服 务费标 准为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tc>
        <w:tc>
          <w:tcPr>
            <w:tcW w:w="54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w:t>
            </w:r>
          </w:p>
        </w:tc>
        <w:tc>
          <w:tcPr>
            <w:tcW w:w="674" w:type="dxa"/>
            <w:tcBorders>
              <w:top w:val="single" w:sz="4" w:space="0" w:color="933734"/>
              <w:left w:val="single" w:sz="4" w:space="0" w:color="933734"/>
              <w:bottom w:val="single" w:sz="4" w:space="0" w:color="933734"/>
              <w:right w:val="single" w:sz="4" w:space="0" w:color="933734"/>
            </w:tcBorders>
          </w:tcPr>
          <w:p>
            <w:pP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7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5" w:right="197"/>
              <w:jc w:val="left"/>
              <w:rPr>
                <w:rFonts w:ascii="宋体" w:hAnsi="宋体" w:cs="宋体" w:eastAsia="宋体" w:hint="default"/>
                <w:sz w:val="18"/>
                <w:szCs w:val="18"/>
              </w:rPr>
            </w:pPr>
            <w:r>
              <w:rPr>
                <w:rFonts w:ascii="宋体" w:hAnsi="宋体" w:cs="宋体" w:eastAsia="宋体" w:hint="default"/>
                <w:sz w:val="18"/>
                <w:szCs w:val="18"/>
              </w:rPr>
              <w:t>按月 支付</w:t>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98"/>
              <w:jc w:val="both"/>
              <w:rPr>
                <w:rFonts w:ascii="宋体" w:hAnsi="宋体" w:cs="宋体" w:eastAsia="宋体" w:hint="default"/>
                <w:sz w:val="18"/>
                <w:szCs w:val="18"/>
              </w:rPr>
            </w:pPr>
            <w:r>
              <w:rPr>
                <w:rFonts w:ascii="宋体" w:hAnsi="宋体" w:cs="宋体" w:eastAsia="宋体" w:hint="default"/>
                <w:sz w:val="18"/>
                <w:szCs w:val="18"/>
              </w:rPr>
              <w:t>详见公司 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314" w:lineRule="auto"/>
              <w:ind w:left="10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刊登在巨 潮资讯网 的《日常 关联交易 预计的公 告》</w:t>
            </w:r>
          </w:p>
        </w:tc>
        <w:tc>
          <w:tcPr>
            <w:tcW w:w="146" w:type="dxa"/>
            <w:tcBorders>
              <w:top w:val="nil" w:sz="6" w:space="0" w:color="auto"/>
              <w:left w:val="single" w:sz="4" w:space="0" w:color="933734"/>
              <w:bottom w:val="nil" w:sz="6" w:space="0" w:color="auto"/>
              <w:right w:val="nil" w:sz="6" w:space="0" w:color="auto"/>
            </w:tcBorders>
          </w:tcPr>
          <w:p>
            <w:pPr/>
          </w:p>
        </w:tc>
      </w:tr>
      <w:tr>
        <w:trPr>
          <w:trHeight w:val="2897" w:hRule="exact"/>
        </w:trPr>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44"/>
              <w:jc w:val="both"/>
              <w:rPr>
                <w:rFonts w:ascii="宋体" w:hAnsi="宋体" w:cs="宋体" w:eastAsia="宋体" w:hint="default"/>
                <w:sz w:val="18"/>
                <w:szCs w:val="18"/>
              </w:rPr>
            </w:pPr>
            <w:r>
              <w:rPr>
                <w:rFonts w:ascii="宋体" w:hAnsi="宋体" w:cs="宋体" w:eastAsia="宋体" w:hint="default"/>
                <w:sz w:val="18"/>
                <w:szCs w:val="18"/>
              </w:rPr>
              <w:t>广州多 维魔镜 高新科 技有限 公司</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01"/>
              <w:jc w:val="both"/>
              <w:rPr>
                <w:rFonts w:ascii="宋体" w:hAnsi="宋体" w:cs="宋体" w:eastAsia="宋体" w:hint="default"/>
                <w:sz w:val="18"/>
                <w:szCs w:val="18"/>
              </w:rPr>
            </w:pPr>
            <w:r>
              <w:rPr>
                <w:rFonts w:ascii="宋体" w:hAnsi="宋体" w:cs="宋体" w:eastAsia="宋体" w:hint="default"/>
                <w:sz w:val="18"/>
                <w:szCs w:val="18"/>
              </w:rPr>
              <w:t>系公 司控 股股 东的 控股 子公 司</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3" w:right="203"/>
              <w:jc w:val="both"/>
              <w:rPr>
                <w:rFonts w:ascii="宋体" w:hAnsi="宋体" w:cs="宋体" w:eastAsia="宋体" w:hint="default"/>
                <w:sz w:val="18"/>
                <w:szCs w:val="18"/>
              </w:rPr>
            </w:pPr>
            <w:r>
              <w:rPr>
                <w:rFonts w:ascii="宋体" w:hAnsi="宋体" w:cs="宋体" w:eastAsia="宋体" w:hint="default"/>
                <w:sz w:val="18"/>
                <w:szCs w:val="18"/>
              </w:rPr>
              <w:t>日常 关联 交易</w:t>
            </w:r>
          </w:p>
        </w:tc>
        <w:tc>
          <w:tcPr>
            <w:tcW w:w="7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230"/>
              <w:jc w:val="left"/>
              <w:rPr>
                <w:rFonts w:ascii="宋体" w:hAnsi="宋体" w:cs="宋体" w:eastAsia="宋体" w:hint="default"/>
                <w:sz w:val="18"/>
                <w:szCs w:val="18"/>
              </w:rPr>
            </w:pPr>
            <w:r>
              <w:rPr>
                <w:rFonts w:ascii="宋体" w:hAnsi="宋体" w:cs="宋体" w:eastAsia="宋体" w:hint="default"/>
                <w:sz w:val="18"/>
                <w:szCs w:val="18"/>
              </w:rPr>
              <w:t>项目 合作</w:t>
            </w: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公允</w:t>
            </w:r>
          </w:p>
        </w:tc>
        <w:tc>
          <w:tcPr>
            <w:tcW w:w="80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2" w:lineRule="exact"/>
              <w:ind w:left="105"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销售结 算平台 所产生 的营业 收入的 </w:t>
            </w:r>
            <w:r>
              <w:rPr>
                <w:rFonts w:ascii="Times New Roman" w:hAnsi="Times New Roman" w:cs="Times New Roman" w:eastAsia="Times New Roman" w:hint="default"/>
                <w:sz w:val="18"/>
                <w:szCs w:val="18"/>
              </w:rPr>
              <w:t>8%</w:t>
            </w:r>
          </w:p>
        </w:tc>
        <w:tc>
          <w:tcPr>
            <w:tcW w:w="54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933734"/>
              <w:left w:val="single" w:sz="4" w:space="0" w:color="933734"/>
              <w:bottom w:val="single" w:sz="4" w:space="0" w:color="933734"/>
              <w:right w:val="single" w:sz="4" w:space="0" w:color="933734"/>
            </w:tcBorders>
          </w:tcPr>
          <w:p>
            <w:pP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7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z w:val="18"/>
                <w:szCs w:val="18"/>
              </w:rPr>
              <w:t>详见公司 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314" w:lineRule="auto"/>
              <w:ind w:left="10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刊登在巨 潮资讯网 的《日常 关联交易 预计的公 告》</w:t>
            </w:r>
          </w:p>
        </w:tc>
        <w:tc>
          <w:tcPr>
            <w:tcW w:w="146" w:type="dxa"/>
            <w:tcBorders>
              <w:top w:val="nil" w:sz="6" w:space="0" w:color="auto"/>
              <w:left w:val="single" w:sz="4" w:space="0" w:color="933734"/>
              <w:bottom w:val="nil" w:sz="6" w:space="0" w:color="auto"/>
              <w:right w:val="nil" w:sz="6" w:space="0" w:color="auto"/>
            </w:tcBorders>
          </w:tcPr>
          <w:p>
            <w:pPr/>
          </w:p>
        </w:tc>
      </w:tr>
      <w:tr>
        <w:trPr>
          <w:trHeight w:val="715" w:hRule="exact"/>
        </w:trPr>
        <w:tc>
          <w:tcPr>
            <w:tcW w:w="2859"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96</w:t>
            </w:r>
          </w:p>
        </w:tc>
        <w:tc>
          <w:tcPr>
            <w:tcW w:w="67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67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6" w:type="dxa"/>
            <w:tcBorders>
              <w:top w:val="nil" w:sz="6" w:space="0" w:color="auto"/>
              <w:left w:val="single" w:sz="4" w:space="0" w:color="933734"/>
              <w:bottom w:val="nil" w:sz="6" w:space="0" w:color="auto"/>
              <w:right w:val="nil" w:sz="6" w:space="0" w:color="auto"/>
            </w:tcBorders>
          </w:tcPr>
          <w:p>
            <w:pPr/>
          </w:p>
        </w:tc>
      </w:tr>
      <w:tr>
        <w:trPr>
          <w:trHeight w:val="401" w:hRule="exact"/>
        </w:trPr>
        <w:tc>
          <w:tcPr>
            <w:tcW w:w="2859"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923" w:type="dxa"/>
            <w:gridSpan w:val="10"/>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6" w:type="dxa"/>
            <w:tcBorders>
              <w:top w:val="nil" w:sz="6" w:space="0" w:color="auto"/>
              <w:left w:val="single" w:sz="4" w:space="0" w:color="933734"/>
              <w:bottom w:val="nil" w:sz="6" w:space="0" w:color="auto"/>
              <w:right w:val="nil" w:sz="6" w:space="0" w:color="auto"/>
            </w:tcBorders>
          </w:tcPr>
          <w:p>
            <w:pPr/>
          </w:p>
        </w:tc>
      </w:tr>
      <w:tr>
        <w:trPr>
          <w:trHeight w:val="1027" w:hRule="exact"/>
        </w:trPr>
        <w:tc>
          <w:tcPr>
            <w:tcW w:w="2859"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 </w:t>
            </w:r>
            <w:r>
              <w:rPr>
                <w:rFonts w:ascii="宋体" w:hAnsi="宋体" w:cs="宋体" w:eastAsia="宋体" w:hint="default"/>
                <w:spacing w:val="-4"/>
                <w:sz w:val="18"/>
                <w:szCs w:val="18"/>
              </w:rPr>
              <w:t>交易进行总金额预计的，在报告期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内的实际履行情况（如有）</w:t>
            </w:r>
          </w:p>
        </w:tc>
        <w:tc>
          <w:tcPr>
            <w:tcW w:w="6923" w:type="dxa"/>
            <w:gridSpan w:val="10"/>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年公司发生的日常关联交易金额为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万元，未超出日常关联交易预计金额。</w:t>
            </w:r>
          </w:p>
        </w:tc>
        <w:tc>
          <w:tcPr>
            <w:tcW w:w="146" w:type="dxa"/>
            <w:tcBorders>
              <w:top w:val="nil" w:sz="6" w:space="0" w:color="auto"/>
              <w:left w:val="single" w:sz="4" w:space="0" w:color="933734"/>
              <w:bottom w:val="single" w:sz="4" w:space="0" w:color="933734"/>
              <w:right w:val="nil" w:sz="6" w:space="0" w:color="auto"/>
            </w:tcBorders>
          </w:tcPr>
          <w:p>
            <w:pPr/>
          </w:p>
        </w:tc>
      </w:tr>
      <w:tr>
        <w:trPr>
          <w:trHeight w:val="401" w:hRule="exact"/>
        </w:trPr>
        <w:tc>
          <w:tcPr>
            <w:tcW w:w="4340" w:type="dxa"/>
            <w:gridSpan w:val="6"/>
            <w:tcBorders>
              <w:top w:val="single" w:sz="4" w:space="0" w:color="933734"/>
              <w:left w:val="single" w:sz="4" w:space="0" w:color="933734"/>
              <w:bottom w:val="single" w:sz="4" w:space="0" w:color="933734"/>
              <w:right w:val="single" w:sz="4" w:space="0" w:color="C00000"/>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5589" w:type="dxa"/>
            <w:gridSpan w:val="9"/>
            <w:tcBorders>
              <w:top w:val="single" w:sz="4" w:space="0" w:color="933734"/>
              <w:left w:val="single" w:sz="4" w:space="0" w:color="C00000"/>
              <w:bottom w:val="single" w:sz="4" w:space="0" w:color="933734"/>
              <w:right w:val="single" w:sz="4" w:space="0" w:color="933734"/>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79" w:top="1100" w:bottom="1260" w:left="880" w:right="0"/>
        </w:sectPr>
      </w:pPr>
    </w:p>
    <w:p>
      <w:pPr>
        <w:spacing w:line="240" w:lineRule="auto" w:before="10"/>
        <w:rPr>
          <w:rFonts w:ascii="Times New Roman" w:hAnsi="Times New Roman" w:cs="Times New Roman" w:eastAsia="Times New Roman"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t>公司报告期未发生资产或股权收购、出售的关联交易。</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t>公司报告期未发生共同对外投资的关联交易。</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t>公司报告期不存在关联债权债务往来。</w:t>
      </w:r>
    </w:p>
    <w:p>
      <w:pPr>
        <w:spacing w:line="240" w:lineRule="auto" w:before="0"/>
        <w:rPr>
          <w:rFonts w:ascii="宋体" w:hAnsi="宋体" w:cs="宋体" w:eastAsia="宋体" w:hint="default"/>
          <w:sz w:val="20"/>
          <w:szCs w:val="20"/>
        </w:rPr>
      </w:pPr>
    </w:p>
    <w:p>
      <w:pPr>
        <w:pStyle w:val="Heading4"/>
        <w:spacing w:line="240" w:lineRule="auto" w:before="152"/>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t>公司报告期无其他重大关联交易。</w:t>
      </w:r>
    </w:p>
    <w:p>
      <w:pPr>
        <w:spacing w:line="240" w:lineRule="auto" w:before="9"/>
        <w:rPr>
          <w:rFonts w:ascii="宋体" w:hAnsi="宋体" w:cs="宋体" w:eastAsia="宋体" w:hint="default"/>
          <w:sz w:val="29"/>
          <w:szCs w:val="29"/>
        </w:rPr>
      </w:pPr>
    </w:p>
    <w:p>
      <w:pPr>
        <w:pStyle w:val="Heading2"/>
        <w:spacing w:line="240" w:lineRule="auto"/>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t>公司报告期不存在托管情况。</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439" w:lineRule="auto" w:before="0"/>
        <w:ind w:left="113" w:right="92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承包情况说明</w:t>
      </w:r>
      <w:r>
        <w:rPr>
          <w:rFonts w:ascii="宋体" w:hAnsi="宋体" w:cs="宋体" w:eastAsia="宋体" w:hint="default"/>
          <w:sz w:val="18"/>
          <w:szCs w:val="18"/>
        </w:rPr>
      </w:r>
    </w:p>
    <w:p>
      <w:pPr>
        <w:pStyle w:val="BodyText"/>
        <w:spacing w:line="408" w:lineRule="auto" w:before="101"/>
        <w:ind w:right="0"/>
        <w:jc w:val="left"/>
      </w:pPr>
      <w:r>
        <w:rPr/>
        <w:t>根据公司广州国际时尚中心（即公司总部大楼）施工计划，报告期内公司就总部大楼的室内照明、电梯、</w:t>
      </w:r>
      <w:r>
        <w:rPr>
          <w:spacing w:val="-31"/>
        </w:rPr>
        <w:t> </w:t>
      </w:r>
      <w:r>
        <w:rPr>
          <w:spacing w:val="-31"/>
        </w:rPr>
      </w:r>
      <w:r>
        <w:rPr/>
        <w:t>绿化地被种植、地下停车场地坪漆等事项与相关公司签署了采购与施工合同，各项工程都在有序开展。</w:t>
      </w:r>
    </w:p>
    <w:p>
      <w:pPr>
        <w:spacing w:before="11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为公司带来的损益达到公司报告期利润总额</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以上的项目</w:t>
      </w:r>
      <w:r>
        <w:rPr>
          <w:rFonts w:ascii="宋体" w:hAnsi="宋体" w:cs="宋体" w:eastAsia="宋体" w:hint="default"/>
          <w:sz w:val="18"/>
          <w:szCs w:val="18"/>
        </w:rPr>
      </w:r>
    </w:p>
    <w:p>
      <w:pPr>
        <w:spacing w:line="240" w:lineRule="auto" w:before="8"/>
        <w:rPr>
          <w:rFonts w:ascii="宋体" w:hAnsi="宋体" w:cs="宋体" w:eastAsia="宋体" w:hint="default"/>
          <w:b/>
          <w:bCs/>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spacing w:val="-2"/>
        </w:rPr>
        <w:t>公司报告期不存在为公司带来的损益达到公司报告期利润总额</w:t>
      </w:r>
      <w:r>
        <w:rPr>
          <w:spacing w:val="18"/>
        </w:rPr>
        <w:t> </w:t>
      </w:r>
      <w:r>
        <w:rPr>
          <w:rFonts w:ascii="Times New Roman" w:hAnsi="Times New Roman" w:cs="Times New Roman" w:eastAsia="Times New Roman" w:hint="default"/>
          <w:spacing w:val="-2"/>
        </w:rPr>
        <w:t>10%</w:t>
      </w:r>
      <w:r>
        <w:rPr>
          <w:spacing w:val="-2"/>
        </w:rPr>
        <w:t>以上的承包项目。</w:t>
      </w:r>
    </w:p>
    <w:p>
      <w:pPr>
        <w:spacing w:after="0" w:line="240" w:lineRule="auto"/>
        <w:jc w:val="left"/>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spacing w:val="-7"/>
        </w:rPr>
        <w:t>因办公及经营需要，公司存在承租办公场所、商铺、仓库的情形，同时也存在出租办公场所、商铺的情形。</w:t>
      </w:r>
    </w:p>
    <w:p>
      <w:pPr>
        <w:spacing w:line="240" w:lineRule="auto" w:before="8"/>
        <w:rPr>
          <w:rFonts w:ascii="宋体" w:hAnsi="宋体" w:cs="宋体" w:eastAsia="宋体" w:hint="default"/>
          <w:sz w:val="19"/>
          <w:szCs w:val="19"/>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为公司带来的损益达到公司报告期利润总额</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以上的项目</w:t>
      </w:r>
      <w:r>
        <w:rPr>
          <w:rFonts w:ascii="宋体" w:hAnsi="宋体" w:cs="宋体" w:eastAsia="宋体" w:hint="default"/>
          <w:sz w:val="18"/>
          <w:szCs w:val="18"/>
        </w:rPr>
      </w:r>
    </w:p>
    <w:p>
      <w:pPr>
        <w:spacing w:line="240" w:lineRule="auto" w:before="10"/>
        <w:rPr>
          <w:rFonts w:ascii="宋体" w:hAnsi="宋体" w:cs="宋体" w:eastAsia="宋体" w:hint="default"/>
          <w:b/>
          <w:bCs/>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71"/>
        <w:gridCol w:w="869"/>
        <w:gridCol w:w="872"/>
        <w:gridCol w:w="869"/>
        <w:gridCol w:w="871"/>
        <w:gridCol w:w="867"/>
        <w:gridCol w:w="869"/>
        <w:gridCol w:w="869"/>
        <w:gridCol w:w="869"/>
        <w:gridCol w:w="871"/>
        <w:gridCol w:w="869"/>
      </w:tblGrid>
      <w:tr>
        <w:trPr>
          <w:trHeight w:val="1339" w:hRule="exact"/>
        </w:trPr>
        <w:tc>
          <w:tcPr>
            <w:tcW w:w="8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161" w:hanging="92"/>
              <w:jc w:val="left"/>
              <w:rPr>
                <w:rFonts w:ascii="宋体" w:hAnsi="宋体" w:cs="宋体" w:eastAsia="宋体" w:hint="default"/>
                <w:sz w:val="18"/>
                <w:szCs w:val="18"/>
              </w:rPr>
            </w:pPr>
            <w:r>
              <w:rPr>
                <w:rFonts w:ascii="宋体" w:hAnsi="宋体" w:cs="宋体" w:eastAsia="宋体" w:hint="default"/>
                <w:sz w:val="18"/>
                <w:szCs w:val="18"/>
              </w:rPr>
              <w:t>出租方 名称</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158" w:hanging="92"/>
              <w:jc w:val="left"/>
              <w:rPr>
                <w:rFonts w:ascii="宋体" w:hAnsi="宋体" w:cs="宋体" w:eastAsia="宋体" w:hint="default"/>
                <w:sz w:val="18"/>
                <w:szCs w:val="18"/>
              </w:rPr>
            </w:pPr>
            <w:r>
              <w:rPr>
                <w:rFonts w:ascii="宋体" w:hAnsi="宋体" w:cs="宋体" w:eastAsia="宋体" w:hint="default"/>
                <w:sz w:val="18"/>
                <w:szCs w:val="18"/>
              </w:rPr>
              <w:t>租赁方 名称</w:t>
            </w:r>
          </w:p>
        </w:tc>
        <w:tc>
          <w:tcPr>
            <w:tcW w:w="87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8" w:right="161"/>
              <w:jc w:val="left"/>
              <w:rPr>
                <w:rFonts w:ascii="宋体" w:hAnsi="宋体" w:cs="宋体" w:eastAsia="宋体" w:hint="default"/>
                <w:sz w:val="18"/>
                <w:szCs w:val="18"/>
              </w:rPr>
            </w:pPr>
            <w:r>
              <w:rPr>
                <w:rFonts w:ascii="宋体" w:hAnsi="宋体" w:cs="宋体" w:eastAsia="宋体" w:hint="default"/>
                <w:sz w:val="18"/>
                <w:szCs w:val="18"/>
              </w:rPr>
              <w:t>租赁资 产情况</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01" w:hanging="3"/>
              <w:jc w:val="center"/>
              <w:rPr>
                <w:rFonts w:ascii="宋体" w:hAnsi="宋体" w:cs="宋体" w:eastAsia="宋体" w:hint="default"/>
                <w:sz w:val="18"/>
                <w:szCs w:val="18"/>
              </w:rPr>
            </w:pPr>
            <w:r>
              <w:rPr>
                <w:rFonts w:ascii="宋体" w:hAnsi="宋体" w:cs="宋体" w:eastAsia="宋体" w:hint="default"/>
                <w:sz w:val="18"/>
                <w:szCs w:val="18"/>
              </w:rPr>
              <w:t>租赁资 产涉及 </w:t>
            </w:r>
            <w:r>
              <w:rPr>
                <w:rFonts w:ascii="宋体" w:hAnsi="宋体" w:cs="宋体" w:eastAsia="宋体" w:hint="default"/>
                <w:spacing w:val="-17"/>
                <w:sz w:val="18"/>
                <w:szCs w:val="18"/>
              </w:rPr>
              <w:t>金额（万</w:t>
            </w:r>
            <w:r>
              <w:rPr>
                <w:rFonts w:ascii="宋体" w:hAnsi="宋体" w:cs="宋体" w:eastAsia="宋体" w:hint="default"/>
                <w:sz w:val="18"/>
                <w:szCs w:val="18"/>
              </w:rPr>
              <w:t> 元）</w:t>
            </w:r>
          </w:p>
        </w:tc>
        <w:tc>
          <w:tcPr>
            <w:tcW w:w="8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161" w:hanging="92"/>
              <w:jc w:val="left"/>
              <w:rPr>
                <w:rFonts w:ascii="宋体" w:hAnsi="宋体" w:cs="宋体" w:eastAsia="宋体" w:hint="default"/>
                <w:sz w:val="18"/>
                <w:szCs w:val="18"/>
              </w:rPr>
            </w:pPr>
            <w:r>
              <w:rPr>
                <w:rFonts w:ascii="宋体" w:hAnsi="宋体" w:cs="宋体" w:eastAsia="宋体" w:hint="default"/>
                <w:sz w:val="18"/>
                <w:szCs w:val="18"/>
              </w:rPr>
              <w:t>租赁起 始日</w:t>
            </w:r>
          </w:p>
        </w:tc>
        <w:tc>
          <w:tcPr>
            <w:tcW w:w="8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156" w:hanging="92"/>
              <w:jc w:val="left"/>
              <w:rPr>
                <w:rFonts w:ascii="宋体" w:hAnsi="宋体" w:cs="宋体" w:eastAsia="宋体" w:hint="default"/>
                <w:sz w:val="18"/>
                <w:szCs w:val="18"/>
              </w:rPr>
            </w:pPr>
            <w:r>
              <w:rPr>
                <w:rFonts w:ascii="宋体" w:hAnsi="宋体" w:cs="宋体" w:eastAsia="宋体" w:hint="default"/>
                <w:sz w:val="18"/>
                <w:szCs w:val="18"/>
              </w:rPr>
              <w:t>租赁终 止日</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0" w:right="156"/>
              <w:jc w:val="both"/>
              <w:rPr>
                <w:rFonts w:ascii="宋体" w:hAnsi="宋体" w:cs="宋体" w:eastAsia="宋体" w:hint="default"/>
                <w:sz w:val="18"/>
                <w:szCs w:val="18"/>
              </w:rPr>
            </w:pPr>
            <w:r>
              <w:rPr>
                <w:rFonts w:ascii="宋体" w:hAnsi="宋体" w:cs="宋体" w:eastAsia="宋体" w:hint="default"/>
                <w:sz w:val="18"/>
                <w:szCs w:val="18"/>
              </w:rPr>
              <w:t>租赁收 益（万 元）</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租赁收 益确定 依据</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0" w:right="156"/>
              <w:jc w:val="both"/>
              <w:rPr>
                <w:rFonts w:ascii="宋体" w:hAnsi="宋体" w:cs="宋体" w:eastAsia="宋体" w:hint="default"/>
                <w:sz w:val="18"/>
                <w:szCs w:val="18"/>
              </w:rPr>
            </w:pPr>
            <w:r>
              <w:rPr>
                <w:rFonts w:ascii="宋体" w:hAnsi="宋体" w:cs="宋体" w:eastAsia="宋体" w:hint="default"/>
                <w:sz w:val="18"/>
                <w:szCs w:val="18"/>
              </w:rPr>
              <w:t>租赁收 益对公 司影响</w:t>
            </w:r>
          </w:p>
        </w:tc>
        <w:tc>
          <w:tcPr>
            <w:tcW w:w="8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15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8" w:right="158"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1649" w:hRule="exact"/>
        </w:trPr>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106"/>
              <w:jc w:val="left"/>
              <w:rPr>
                <w:rFonts w:ascii="Times New Roman" w:hAnsi="Times New Roman" w:cs="Times New Roman" w:eastAsia="Times New Roman" w:hint="default"/>
                <w:sz w:val="18"/>
                <w:szCs w:val="18"/>
              </w:rPr>
            </w:pPr>
            <w:r>
              <w:rPr>
                <w:rFonts w:ascii="Times New Roman"/>
                <w:sz w:val="18"/>
              </w:rPr>
              <w:t>VENETI</w:t>
            </w:r>
            <w:r>
              <w:rPr>
                <w:rFonts w:ascii="Times New Roman"/>
                <w:w w:val="99"/>
                <w:sz w:val="18"/>
              </w:rPr>
              <w:t> </w:t>
            </w:r>
            <w:r>
              <w:rPr>
                <w:rFonts w:ascii="Times New Roman"/>
                <w:sz w:val="18"/>
              </w:rPr>
              <w:t>AN</w:t>
            </w:r>
            <w:r>
              <w:rPr>
                <w:rFonts w:ascii="Times New Roman"/>
                <w:w w:val="99"/>
                <w:sz w:val="18"/>
              </w:rPr>
              <w:t> </w:t>
            </w:r>
            <w:r>
              <w:rPr>
                <w:rFonts w:ascii="Times New Roman"/>
                <w:spacing w:val="-4"/>
                <w:sz w:val="18"/>
              </w:rPr>
              <w:t>COTAI</w:t>
            </w:r>
            <w:r>
              <w:rPr>
                <w:rFonts w:ascii="Times New Roman"/>
                <w:w w:val="99"/>
                <w:sz w:val="18"/>
              </w:rPr>
              <w:t> </w:t>
            </w:r>
            <w:r>
              <w:rPr>
                <w:rFonts w:ascii="Times New Roman"/>
                <w:sz w:val="18"/>
              </w:rPr>
              <w:t>LIMITE</w:t>
            </w:r>
            <w:r>
              <w:rPr>
                <w:rFonts w:ascii="Times New Roman"/>
                <w:w w:val="99"/>
                <w:sz w:val="18"/>
              </w:rPr>
              <w:t> </w:t>
            </w:r>
            <w:r>
              <w:rPr>
                <w:rFonts w:ascii="Times New Roman"/>
                <w:sz w:val="18"/>
              </w:rPr>
              <w:t>D</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卡奴迪 路国际 有限公 司</w:t>
            </w:r>
          </w:p>
        </w:tc>
        <w:tc>
          <w:tcPr>
            <w:tcW w:w="87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澳门威 尼斯人 </w:t>
            </w:r>
            <w:r>
              <w:rPr>
                <w:rFonts w:ascii="宋体" w:hAnsi="宋体" w:cs="宋体" w:eastAsia="宋体" w:hint="default"/>
                <w:spacing w:val="-17"/>
                <w:sz w:val="18"/>
                <w:szCs w:val="18"/>
              </w:rPr>
              <w:t>商铺、巴</w:t>
            </w:r>
            <w:r>
              <w:rPr>
                <w:rFonts w:ascii="宋体" w:hAnsi="宋体" w:cs="宋体" w:eastAsia="宋体" w:hint="default"/>
                <w:sz w:val="18"/>
                <w:szCs w:val="18"/>
              </w:rPr>
              <w:t> 黎人商 铺</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2,394.43</w:t>
            </w:r>
          </w:p>
        </w:tc>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3" w:hRule="exact"/>
        </w:trPr>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106"/>
              <w:jc w:val="left"/>
              <w:rPr>
                <w:rFonts w:ascii="Times New Roman" w:hAnsi="Times New Roman" w:cs="Times New Roman" w:eastAsia="Times New Roman" w:hint="default"/>
                <w:sz w:val="18"/>
                <w:szCs w:val="18"/>
              </w:rPr>
            </w:pPr>
            <w:r>
              <w:rPr>
                <w:rFonts w:ascii="Times New Roman"/>
                <w:sz w:val="18"/>
              </w:rPr>
              <w:t>VENETI</w:t>
            </w:r>
            <w:r>
              <w:rPr>
                <w:rFonts w:ascii="Times New Roman"/>
                <w:w w:val="99"/>
                <w:sz w:val="18"/>
              </w:rPr>
              <w:t> </w:t>
            </w:r>
            <w:r>
              <w:rPr>
                <w:rFonts w:ascii="Times New Roman"/>
                <w:sz w:val="18"/>
              </w:rPr>
              <w:t>AN</w:t>
            </w:r>
            <w:r>
              <w:rPr>
                <w:rFonts w:ascii="Times New Roman"/>
                <w:w w:val="99"/>
                <w:sz w:val="18"/>
              </w:rPr>
              <w:t> </w:t>
            </w:r>
            <w:r>
              <w:rPr>
                <w:rFonts w:ascii="Times New Roman"/>
                <w:sz w:val="18"/>
              </w:rPr>
              <w:t>ORIGE</w:t>
            </w:r>
            <w:r>
              <w:rPr>
                <w:rFonts w:ascii="Times New Roman"/>
                <w:sz w:val="18"/>
              </w:rPr>
              <w:t> NT</w:t>
            </w:r>
            <w:r>
              <w:rPr>
                <w:rFonts w:ascii="Times New Roman"/>
                <w:w w:val="99"/>
                <w:sz w:val="18"/>
              </w:rPr>
              <w:t> </w:t>
            </w:r>
            <w:r>
              <w:rPr>
                <w:rFonts w:ascii="Times New Roman"/>
                <w:sz w:val="18"/>
              </w:rPr>
              <w:t>LIMITE</w:t>
            </w:r>
            <w:r>
              <w:rPr>
                <w:rFonts w:ascii="Times New Roman"/>
                <w:w w:val="99"/>
                <w:sz w:val="18"/>
              </w:rPr>
              <w:t> </w:t>
            </w:r>
            <w:r>
              <w:rPr>
                <w:rFonts w:ascii="Times New Roman"/>
                <w:sz w:val="18"/>
              </w:rPr>
              <w:t>D</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15"/>
              <w:jc w:val="both"/>
              <w:rPr>
                <w:rFonts w:ascii="宋体" w:hAnsi="宋体" w:cs="宋体" w:eastAsia="宋体" w:hint="default"/>
                <w:sz w:val="18"/>
                <w:szCs w:val="18"/>
              </w:rPr>
            </w:pPr>
            <w:r>
              <w:rPr>
                <w:rFonts w:ascii="宋体" w:hAnsi="宋体" w:cs="宋体" w:eastAsia="宋体" w:hint="default"/>
                <w:sz w:val="18"/>
                <w:szCs w:val="18"/>
              </w:rPr>
              <w:t>卡奴迪 路国际 有限公 司</w:t>
            </w:r>
          </w:p>
        </w:tc>
        <w:tc>
          <w:tcPr>
            <w:tcW w:w="8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18"/>
              <w:jc w:val="both"/>
              <w:rPr>
                <w:rFonts w:ascii="宋体" w:hAnsi="宋体" w:cs="宋体" w:eastAsia="宋体" w:hint="default"/>
                <w:sz w:val="18"/>
                <w:szCs w:val="18"/>
              </w:rPr>
            </w:pPr>
            <w:r>
              <w:rPr>
                <w:rFonts w:ascii="宋体" w:hAnsi="宋体" w:cs="宋体" w:eastAsia="宋体" w:hint="default"/>
                <w:sz w:val="18"/>
                <w:szCs w:val="18"/>
              </w:rPr>
              <w:t>澳门金 沙城商 铺</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932.67</w:t>
            </w:r>
          </w:p>
        </w:tc>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09"/>
        <w:gridCol w:w="932"/>
        <w:gridCol w:w="919"/>
        <w:gridCol w:w="1296"/>
        <w:gridCol w:w="1063"/>
        <w:gridCol w:w="1035"/>
        <w:gridCol w:w="1051"/>
        <w:gridCol w:w="790"/>
        <w:gridCol w:w="780"/>
      </w:tblGrid>
      <w:tr>
        <w:trPr>
          <w:trHeight w:val="401" w:hRule="exact"/>
        </w:trPr>
        <w:tc>
          <w:tcPr>
            <w:tcW w:w="9576" w:type="dxa"/>
            <w:gridSpan w:val="9"/>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40" w:hRule="exact"/>
        </w:trPr>
        <w:tc>
          <w:tcPr>
            <w:tcW w:w="170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91"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64" w:right="182"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45" w:right="16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22" w:right="11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7" w:right="110"/>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5" w:hRule="exact"/>
        </w:trPr>
        <w:tc>
          <w:tcPr>
            <w:tcW w:w="17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3" w:right="153"/>
              <w:jc w:val="left"/>
              <w:rPr>
                <w:rFonts w:ascii="宋体" w:hAnsi="宋体" w:cs="宋体" w:eastAsia="宋体" w:hint="default"/>
                <w:sz w:val="18"/>
                <w:szCs w:val="18"/>
              </w:rPr>
            </w:pPr>
            <w:r>
              <w:rPr>
                <w:rFonts w:ascii="宋体" w:hAnsi="宋体" w:cs="宋体" w:eastAsia="宋体" w:hint="default"/>
                <w:sz w:val="18"/>
                <w:szCs w:val="18"/>
              </w:rPr>
              <w:t>连卡福（衡阳）商 业广场</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17,400</w:t>
            </w:r>
          </w:p>
        </w:tc>
        <w:tc>
          <w:tcPr>
            <w:tcW w:w="10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3"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2016.4.22-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2018.10.21</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连卡福（衡阳）商 业广场</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29,000</w:t>
            </w:r>
          </w:p>
        </w:tc>
        <w:tc>
          <w:tcPr>
            <w:tcW w:w="12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816.53</w:t>
            </w:r>
          </w:p>
        </w:tc>
        <w:tc>
          <w:tcPr>
            <w:tcW w:w="10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2013.10.27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-2018.10.2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19"/>
        <w:gridCol w:w="1305"/>
        <w:gridCol w:w="1054"/>
        <w:gridCol w:w="1045"/>
        <w:gridCol w:w="1046"/>
        <w:gridCol w:w="790"/>
        <w:gridCol w:w="785"/>
      </w:tblGrid>
      <w:tr>
        <w:trPr>
          <w:trHeight w:val="714" w:hRule="exact"/>
        </w:trPr>
        <w:tc>
          <w:tcPr>
            <w:tcW w:w="263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4" w:type="dxa"/>
            <w:gridSpan w:val="2"/>
            <w:tcBorders>
              <w:top w:val="single" w:sz="4" w:space="0" w:color="933734"/>
              <w:left w:val="single" w:sz="4" w:space="0" w:color="933734"/>
              <w:bottom w:val="single" w:sz="4" w:space="0" w:color="933734"/>
              <w:right w:val="single" w:sz="4" w:space="0" w:color="933734"/>
            </w:tcBorders>
          </w:tcPr>
          <w:p>
            <w:pPr/>
          </w:p>
        </w:tc>
        <w:tc>
          <w:tcPr>
            <w:tcW w:w="20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18,216.53</w:t>
            </w:r>
          </w:p>
        </w:tc>
      </w:tr>
      <w:tr>
        <w:trPr>
          <w:trHeight w:val="719" w:hRule="exact"/>
        </w:trPr>
        <w:tc>
          <w:tcPr>
            <w:tcW w:w="263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4" w:type="dxa"/>
            <w:gridSpan w:val="2"/>
            <w:tcBorders>
              <w:top w:val="single" w:sz="4" w:space="0" w:color="933734"/>
              <w:left w:val="single" w:sz="4" w:space="0" w:color="933734"/>
              <w:bottom w:val="single" w:sz="4" w:space="0" w:color="933734"/>
              <w:right w:val="single" w:sz="4" w:space="0" w:color="933734"/>
            </w:tcBorders>
          </w:tcPr>
          <w:p>
            <w:pPr/>
          </w:p>
        </w:tc>
        <w:tc>
          <w:tcPr>
            <w:tcW w:w="20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103" w:right="183"/>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0"/>
              <w:ind w:left="189" w:right="182"/>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68" w:right="17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45" w:right="156"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122" w:right="11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22" w:right="110"/>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5" w:hRule="exact"/>
        </w:trPr>
        <w:tc>
          <w:tcPr>
            <w:tcW w:w="17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摩登大道时尚集团 股份有限公司</w:t>
            </w:r>
          </w:p>
        </w:tc>
        <w:tc>
          <w:tcPr>
            <w:tcW w:w="924"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16,000</w:t>
            </w:r>
          </w:p>
        </w:tc>
        <w:tc>
          <w:tcPr>
            <w:tcW w:w="130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3,000</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2017.10.12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-2018.10.1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摩登大道时尚集团 股份有限公司</w:t>
            </w:r>
          </w:p>
        </w:tc>
        <w:tc>
          <w:tcPr>
            <w:tcW w:w="924"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7,200</w:t>
            </w:r>
          </w:p>
        </w:tc>
        <w:tc>
          <w:tcPr>
            <w:tcW w:w="130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5,000</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2018.1.8-2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019.1.8</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53"/>
              <w:jc w:val="left"/>
              <w:rPr>
                <w:rFonts w:ascii="宋体" w:hAnsi="宋体" w:cs="宋体" w:eastAsia="宋体" w:hint="default"/>
                <w:sz w:val="18"/>
                <w:szCs w:val="18"/>
              </w:rPr>
            </w:pPr>
            <w:r>
              <w:rPr>
                <w:rFonts w:ascii="宋体" w:hAnsi="宋体" w:cs="宋体" w:eastAsia="宋体" w:hint="default"/>
                <w:sz w:val="18"/>
                <w:szCs w:val="18"/>
              </w:rPr>
              <w:t>摩登大道时尚集团 股份有限公司</w:t>
            </w:r>
          </w:p>
        </w:tc>
        <w:tc>
          <w:tcPr>
            <w:tcW w:w="924"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7,200</w:t>
            </w:r>
          </w:p>
        </w:tc>
        <w:tc>
          <w:tcPr>
            <w:tcW w:w="130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3,000</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2018.1.8-2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019.1.8</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摩登大道时尚集团 股份有限公司</w:t>
            </w:r>
          </w:p>
        </w:tc>
        <w:tc>
          <w:tcPr>
            <w:tcW w:w="924"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7,200</w:t>
            </w:r>
          </w:p>
        </w:tc>
        <w:tc>
          <w:tcPr>
            <w:tcW w:w="130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2,000</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2018.1.8-2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019.1.8</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摩登大道时尚集团 股份有限公司</w:t>
            </w:r>
          </w:p>
        </w:tc>
        <w:tc>
          <w:tcPr>
            <w:tcW w:w="924" w:type="dxa"/>
            <w:tcBorders>
              <w:top w:val="single" w:sz="4" w:space="0" w:color="933734"/>
              <w:left w:val="single" w:sz="4" w:space="0" w:color="933734"/>
              <w:bottom w:val="single" w:sz="4" w:space="0" w:color="933734"/>
              <w:right w:val="single" w:sz="4" w:space="0" w:color="933734"/>
            </w:tcBorders>
          </w:tcPr>
          <w:p>
            <w:pPr/>
          </w:p>
        </w:tc>
        <w:tc>
          <w:tcPr>
            <w:tcW w:w="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16,000</w:t>
            </w:r>
          </w:p>
        </w:tc>
        <w:tc>
          <w:tcPr>
            <w:tcW w:w="130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5,000</w:t>
            </w:r>
          </w:p>
        </w:tc>
        <w:tc>
          <w:tcPr>
            <w:tcW w:w="104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2017.10.12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-2018.10.1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63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20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21,000</w:t>
            </w:r>
          </w:p>
        </w:tc>
      </w:tr>
      <w:tr>
        <w:trPr>
          <w:trHeight w:val="720" w:hRule="exact"/>
        </w:trPr>
        <w:tc>
          <w:tcPr>
            <w:tcW w:w="263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20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r>
      <w:tr>
        <w:trPr>
          <w:trHeight w:val="396" w:hRule="exact"/>
        </w:trPr>
        <w:tc>
          <w:tcPr>
            <w:tcW w:w="9576" w:type="dxa"/>
            <w:gridSpan w:val="9"/>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84" w:right="187"/>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56"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5" w:right="16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17" w:right="12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5"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5" w:hRule="exact"/>
        </w:trPr>
        <w:tc>
          <w:tcPr>
            <w:tcW w:w="263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0"/>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4"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0"/>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3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4"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6" w:type="dxa"/>
            <w:gridSpan w:val="9"/>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20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3"/>
              <w:ind w:left="103" w:right="183"/>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39,216.53</w:t>
            </w:r>
          </w:p>
        </w:tc>
      </w:tr>
      <w:tr>
        <w:trPr>
          <w:trHeight w:val="714" w:hRule="exact"/>
        </w:trPr>
        <w:tc>
          <w:tcPr>
            <w:tcW w:w="2632"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20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103" w:right="183"/>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856"/>
        <w:gridCol w:w="4719"/>
      </w:tblGrid>
      <w:tr>
        <w:trPr>
          <w:trHeight w:val="408" w:hRule="exact"/>
        </w:trPr>
        <w:tc>
          <w:tcPr>
            <w:tcW w:w="485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3.36%</w:t>
            </w:r>
          </w:p>
        </w:tc>
      </w:tr>
      <w:tr>
        <w:trPr>
          <w:trHeight w:val="391" w:hRule="exact"/>
        </w:trPr>
        <w:tc>
          <w:tcPr>
            <w:tcW w:w="9576"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0"/>
              <w:ind w:left="103" w:right="22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t>公司报告期无违规对外担保情况。</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441" w:lineRule="auto" w:before="0"/>
        <w:ind w:left="113" w:right="89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报告期内委托理财概况</w:t>
      </w:r>
      <w:r>
        <w:rPr>
          <w:rFonts w:ascii="宋体" w:hAnsi="宋体" w:cs="宋体" w:eastAsia="宋体" w:hint="default"/>
          <w:sz w:val="18"/>
          <w:szCs w:val="18"/>
        </w:rPr>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2" w:hRule="exact"/>
        </w:trPr>
        <w:tc>
          <w:tcPr>
            <w:tcW w:w="18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32,580</w:t>
            </w:r>
          </w:p>
        </w:tc>
        <w:tc>
          <w:tcPr>
            <w:tcW w:w="191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4,434.39</w:t>
            </w:r>
          </w:p>
        </w:tc>
        <w:tc>
          <w:tcPr>
            <w:tcW w:w="184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32,580</w:t>
            </w:r>
          </w:p>
        </w:tc>
        <w:tc>
          <w:tcPr>
            <w:tcW w:w="191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4,434.39</w:t>
            </w:r>
          </w:p>
        </w:tc>
        <w:tc>
          <w:tcPr>
            <w:tcW w:w="184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单项金额重大或安全性较低、流动性较差、不保本的高风险委托理财具体情况</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line="439" w:lineRule="auto" w:before="0"/>
        <w:ind w:left="113" w:right="569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委托理财出现预期无法收回本金或存在其他可能导致减值的情形</w:t>
      </w:r>
      <w:r>
        <w:rPr>
          <w:rFonts w:ascii="宋体" w:hAnsi="宋体" w:cs="宋体" w:eastAsia="宋体" w:hint="default"/>
          <w:sz w:val="18"/>
          <w:szCs w:val="18"/>
        </w:rPr>
      </w:r>
    </w:p>
    <w:p>
      <w:pPr>
        <w:spacing w:before="45"/>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right="0"/>
        <w:jc w:val="left"/>
      </w:pPr>
      <w:r>
        <w:rPr/>
        <w:t>公司报告期不存在委托贷款。</w:t>
      </w:r>
    </w:p>
    <w:p>
      <w:pPr>
        <w:spacing w:after="0" w:line="240" w:lineRule="auto"/>
        <w:jc w:val="left"/>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left="253" w:right="1022"/>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spacing w:before="0"/>
        <w:ind w:left="253" w:right="10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08"/>
        <w:gridCol w:w="852"/>
        <w:gridCol w:w="425"/>
        <w:gridCol w:w="586"/>
        <w:gridCol w:w="713"/>
        <w:gridCol w:w="715"/>
        <w:gridCol w:w="572"/>
        <w:gridCol w:w="718"/>
        <w:gridCol w:w="643"/>
        <w:gridCol w:w="638"/>
        <w:gridCol w:w="649"/>
        <w:gridCol w:w="494"/>
        <w:gridCol w:w="713"/>
        <w:gridCol w:w="572"/>
        <w:gridCol w:w="1070"/>
      </w:tblGrid>
      <w:tr>
        <w:trPr>
          <w:trHeight w:val="2899" w:hRule="exact"/>
        </w:trPr>
        <w:tc>
          <w:tcPr>
            <w:tcW w:w="70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68" w:right="168"/>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85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4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7" w:right="115"/>
              <w:jc w:val="both"/>
              <w:rPr>
                <w:rFonts w:ascii="宋体" w:hAnsi="宋体" w:cs="宋体" w:eastAsia="宋体" w:hint="default"/>
                <w:sz w:val="18"/>
                <w:szCs w:val="18"/>
              </w:rPr>
            </w:pPr>
            <w:r>
              <w:rPr>
                <w:rFonts w:ascii="宋体" w:hAnsi="宋体" w:cs="宋体" w:eastAsia="宋体" w:hint="default"/>
                <w:sz w:val="18"/>
                <w:szCs w:val="18"/>
              </w:rPr>
              <w:t>合 同 标 的</w:t>
            </w:r>
          </w:p>
        </w:tc>
        <w:tc>
          <w:tcPr>
            <w:tcW w:w="5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8" w:right="106"/>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7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01" w:hanging="3"/>
              <w:jc w:val="center"/>
              <w:rPr>
                <w:rFonts w:ascii="宋体" w:hAnsi="宋体" w:cs="宋体" w:eastAsia="宋体" w:hint="default"/>
                <w:sz w:val="18"/>
                <w:szCs w:val="18"/>
              </w:rPr>
            </w:pPr>
            <w:r>
              <w:rPr>
                <w:rFonts w:ascii="宋体" w:hAnsi="宋体" w:cs="宋体" w:eastAsia="宋体" w:hint="default"/>
                <w:sz w:val="18"/>
                <w:szCs w:val="18"/>
              </w:rPr>
              <w:t>合同 涉及 资产 的账 面价 </w:t>
            </w:r>
            <w:r>
              <w:rPr>
                <w:rFonts w:ascii="宋体" w:hAnsi="宋体" w:cs="宋体" w:eastAsia="宋体" w:hint="default"/>
                <w:spacing w:val="-15"/>
                <w:sz w:val="18"/>
                <w:szCs w:val="18"/>
              </w:rPr>
              <w:t>值（万</w:t>
            </w:r>
            <w:r>
              <w:rPr>
                <w:rFonts w:ascii="宋体" w:hAnsi="宋体" w:cs="宋体" w:eastAsia="宋体" w:hint="default"/>
                <w:sz w:val="18"/>
                <w:szCs w:val="18"/>
              </w:rPr>
              <w:t> 元）</w:t>
            </w:r>
          </w:p>
          <w:p>
            <w:pPr>
              <w:pStyle w:val="TableParagraph"/>
              <w:spacing w:line="316" w:lineRule="auto" w:before="19"/>
              <w:ind w:left="170" w:right="170"/>
              <w:jc w:val="center"/>
              <w:rPr>
                <w:rFonts w:ascii="宋体" w:hAnsi="宋体" w:cs="宋体" w:eastAsia="宋体" w:hint="default"/>
                <w:sz w:val="18"/>
                <w:szCs w:val="18"/>
              </w:rPr>
            </w:pPr>
            <w:r>
              <w:rPr>
                <w:rFonts w:ascii="宋体" w:hAnsi="宋体" w:cs="宋体" w:eastAsia="宋体" w:hint="default"/>
                <w:sz w:val="18"/>
                <w:szCs w:val="18"/>
              </w:rPr>
              <w:t>（如 有）</w:t>
            </w:r>
          </w:p>
        </w:tc>
        <w:tc>
          <w:tcPr>
            <w:tcW w:w="71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5" w:right="101" w:hanging="3"/>
              <w:jc w:val="center"/>
              <w:rPr>
                <w:rFonts w:ascii="宋体" w:hAnsi="宋体" w:cs="宋体" w:eastAsia="宋体" w:hint="default"/>
                <w:sz w:val="18"/>
                <w:szCs w:val="18"/>
              </w:rPr>
            </w:pPr>
            <w:r>
              <w:rPr>
                <w:rFonts w:ascii="宋体" w:hAnsi="宋体" w:cs="宋体" w:eastAsia="宋体" w:hint="default"/>
                <w:sz w:val="18"/>
                <w:szCs w:val="18"/>
              </w:rPr>
              <w:t>合同 涉及 资产 的评 估价 </w:t>
            </w:r>
            <w:r>
              <w:rPr>
                <w:rFonts w:ascii="宋体" w:hAnsi="宋体" w:cs="宋体" w:eastAsia="宋体" w:hint="default"/>
                <w:spacing w:val="-15"/>
                <w:sz w:val="18"/>
                <w:szCs w:val="18"/>
              </w:rPr>
              <w:t>值（万</w:t>
            </w:r>
            <w:r>
              <w:rPr>
                <w:rFonts w:ascii="宋体" w:hAnsi="宋体" w:cs="宋体" w:eastAsia="宋体" w:hint="default"/>
                <w:sz w:val="18"/>
                <w:szCs w:val="18"/>
              </w:rPr>
              <w:t> 元）</w:t>
            </w:r>
          </w:p>
          <w:p>
            <w:pPr>
              <w:pStyle w:val="TableParagraph"/>
              <w:spacing w:line="316" w:lineRule="auto" w:before="19"/>
              <w:ind w:left="172" w:right="170"/>
              <w:jc w:val="center"/>
              <w:rPr>
                <w:rFonts w:ascii="宋体" w:hAnsi="宋体" w:cs="宋体" w:eastAsia="宋体" w:hint="default"/>
                <w:sz w:val="18"/>
                <w:szCs w:val="18"/>
              </w:rPr>
            </w:pPr>
            <w:r>
              <w:rPr>
                <w:rFonts w:ascii="宋体" w:hAnsi="宋体" w:cs="宋体" w:eastAsia="宋体" w:hint="default"/>
                <w:sz w:val="18"/>
                <w:szCs w:val="18"/>
              </w:rPr>
              <w:t>（如 有）</w:t>
            </w:r>
          </w:p>
        </w:tc>
        <w:tc>
          <w:tcPr>
            <w:tcW w:w="57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9" w:right="190"/>
              <w:jc w:val="both"/>
              <w:rPr>
                <w:rFonts w:ascii="宋体" w:hAnsi="宋体" w:cs="宋体" w:eastAsia="宋体" w:hint="default"/>
                <w:sz w:val="18"/>
                <w:szCs w:val="18"/>
              </w:rPr>
            </w:pPr>
            <w:r>
              <w:rPr>
                <w:rFonts w:ascii="宋体" w:hAnsi="宋体" w:cs="宋体" w:eastAsia="宋体" w:hint="default"/>
                <w:sz w:val="18"/>
                <w:szCs w:val="18"/>
              </w:rPr>
              <w:t>评 估 机 构 名 称</w:t>
            </w:r>
          </w:p>
        </w:tc>
        <w:tc>
          <w:tcPr>
            <w:tcW w:w="71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3" w:right="98"/>
              <w:jc w:val="center"/>
              <w:rPr>
                <w:rFonts w:ascii="宋体" w:hAnsi="宋体" w:cs="宋体" w:eastAsia="宋体" w:hint="default"/>
                <w:sz w:val="18"/>
                <w:szCs w:val="18"/>
              </w:rPr>
            </w:pPr>
            <w:r>
              <w:rPr>
                <w:rFonts w:ascii="宋体" w:hAnsi="宋体" w:cs="宋体" w:eastAsia="宋体" w:hint="default"/>
                <w:sz w:val="18"/>
                <w:szCs w:val="18"/>
              </w:rPr>
              <w:t>评估 基准 </w:t>
            </w:r>
            <w:r>
              <w:rPr>
                <w:rFonts w:ascii="宋体" w:hAnsi="宋体" w:cs="宋体" w:eastAsia="宋体" w:hint="default"/>
                <w:spacing w:val="-12"/>
                <w:sz w:val="18"/>
                <w:szCs w:val="18"/>
              </w:rPr>
              <w:t>日（如</w:t>
            </w:r>
            <w:r>
              <w:rPr>
                <w:rFonts w:ascii="宋体" w:hAnsi="宋体" w:cs="宋体" w:eastAsia="宋体" w:hint="default"/>
                <w:sz w:val="18"/>
                <w:szCs w:val="18"/>
              </w:rPr>
              <w:t> 有）</w:t>
            </w:r>
          </w:p>
        </w:tc>
        <w:tc>
          <w:tcPr>
            <w:tcW w:w="64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9" w:right="132"/>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63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2"/>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（万 元）</w:t>
            </w:r>
          </w:p>
        </w:tc>
        <w:tc>
          <w:tcPr>
            <w:tcW w:w="64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39" w:right="137"/>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4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51" w:right="151"/>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7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0" w:right="170"/>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57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91" w:right="189"/>
              <w:jc w:val="both"/>
              <w:rPr>
                <w:rFonts w:ascii="宋体" w:hAnsi="宋体" w:cs="宋体" w:eastAsia="宋体" w:hint="default"/>
                <w:sz w:val="18"/>
                <w:szCs w:val="18"/>
              </w:rPr>
            </w:pPr>
            <w:r>
              <w:rPr>
                <w:rFonts w:ascii="宋体" w:hAnsi="宋体" w:cs="宋体" w:eastAsia="宋体" w:hint="default"/>
                <w:sz w:val="18"/>
                <w:szCs w:val="18"/>
              </w:rPr>
              <w:t>披 露 日 期</w:t>
            </w:r>
          </w:p>
        </w:tc>
        <w:tc>
          <w:tcPr>
            <w:tcW w:w="107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7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70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33"/>
              <w:jc w:val="both"/>
              <w:rPr>
                <w:rFonts w:ascii="宋体" w:hAnsi="宋体" w:cs="宋体" w:eastAsia="宋体" w:hint="default"/>
                <w:sz w:val="18"/>
                <w:szCs w:val="18"/>
              </w:rPr>
            </w:pPr>
            <w:r>
              <w:rPr>
                <w:rFonts w:ascii="宋体" w:hAnsi="宋体" w:cs="宋体" w:eastAsia="宋体" w:hint="default"/>
                <w:sz w:val="18"/>
                <w:szCs w:val="18"/>
              </w:rPr>
              <w:t>摩登 大道 时尚 集团 股份 有限 公司</w:t>
            </w:r>
          </w:p>
        </w:tc>
        <w:tc>
          <w:tcPr>
            <w:tcW w:w="852" w:type="dxa"/>
            <w:tcBorders>
              <w:top w:val="single" w:sz="4" w:space="0" w:color="933734"/>
              <w:left w:val="single" w:sz="4" w:space="0" w:color="933734"/>
              <w:bottom w:val="single" w:sz="4" w:space="0" w:color="933734"/>
              <w:right w:val="single" w:sz="4" w:space="0" w:color="933734"/>
            </w:tcBorders>
          </w:tcPr>
          <w:p>
            <w:pPr>
              <w:pStyle w:val="TableParagraph"/>
              <w:spacing w:line="312" w:lineRule="exact" w:before="10"/>
              <w:ind w:left="105"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Shinwo n Corpora tion</w:t>
            </w:r>
            <w:r>
              <w:rPr>
                <w:rFonts w:ascii="宋体" w:hAnsi="宋体" w:cs="宋体" w:eastAsia="宋体" w:hint="default"/>
                <w:sz w:val="18"/>
                <w:szCs w:val="18"/>
              </w:rPr>
              <w:t>（中</w:t>
            </w:r>
          </w:p>
          <w:p>
            <w:pPr>
              <w:pStyle w:val="TableParagraph"/>
              <w:spacing w:line="312" w:lineRule="auto" w:before="39"/>
              <w:ind w:left="105" w:right="14"/>
              <w:jc w:val="left"/>
              <w:rPr>
                <w:rFonts w:ascii="宋体" w:hAnsi="宋体" w:cs="宋体" w:eastAsia="宋体" w:hint="default"/>
                <w:sz w:val="18"/>
                <w:szCs w:val="18"/>
              </w:rPr>
            </w:pPr>
            <w:r>
              <w:rPr>
                <w:rFonts w:ascii="宋体" w:hAnsi="宋体" w:cs="宋体" w:eastAsia="宋体" w:hint="default"/>
                <w:sz w:val="18"/>
                <w:szCs w:val="18"/>
              </w:rPr>
              <w:t>文译名： 韩国 </w:t>
            </w:r>
            <w:r>
              <w:rPr>
                <w:rFonts w:ascii="Times New Roman" w:hAnsi="Times New Roman" w:cs="Times New Roman" w:eastAsia="Times New Roman" w:hint="default"/>
                <w:sz w:val="18"/>
                <w:szCs w:val="18"/>
              </w:rPr>
              <w:t>(</w:t>
            </w:r>
            <w:r>
              <w:rPr>
                <w:rFonts w:ascii="宋体" w:hAnsi="宋体" w:cs="宋体" w:eastAsia="宋体" w:hint="default"/>
                <w:sz w:val="18"/>
                <w:szCs w:val="18"/>
              </w:rPr>
              <w:t>株</w:t>
            </w:r>
            <w:r>
              <w:rPr>
                <w:rFonts w:ascii="Times New Roman" w:hAnsi="Times New Roman" w:cs="Times New Roman" w:eastAsia="Times New Roman" w:hint="default"/>
                <w:sz w:val="18"/>
                <w:szCs w:val="18"/>
              </w:rPr>
              <w:t>)</w:t>
            </w:r>
            <w:r>
              <w:rPr>
                <w:rFonts w:ascii="宋体" w:hAnsi="宋体" w:cs="宋体" w:eastAsia="宋体" w:hint="default"/>
                <w:sz w:val="18"/>
                <w:szCs w:val="18"/>
              </w:rPr>
              <w:t>信 元）</w:t>
            </w:r>
          </w:p>
        </w:tc>
        <w:tc>
          <w:tcPr>
            <w:tcW w:w="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3" w:type="dxa"/>
            <w:tcBorders>
              <w:top w:val="single" w:sz="4" w:space="0" w:color="933734"/>
              <w:left w:val="single" w:sz="4" w:space="0" w:color="933734"/>
              <w:bottom w:val="single" w:sz="4" w:space="0" w:color="933734"/>
              <w:right w:val="single" w:sz="4" w:space="0" w:color="933734"/>
            </w:tcBorders>
          </w:tcPr>
          <w:p>
            <w:pPr/>
          </w:p>
        </w:tc>
        <w:tc>
          <w:tcPr>
            <w:tcW w:w="715" w:type="dxa"/>
            <w:tcBorders>
              <w:top w:val="single" w:sz="4" w:space="0" w:color="933734"/>
              <w:left w:val="single" w:sz="4" w:space="0" w:color="933734"/>
              <w:bottom w:val="single" w:sz="4" w:space="0" w:color="933734"/>
              <w:right w:val="single" w:sz="4" w:space="0" w:color="933734"/>
            </w:tcBorders>
          </w:tcPr>
          <w:p>
            <w:pPr/>
          </w:p>
        </w:tc>
        <w:tc>
          <w:tcPr>
            <w:tcW w:w="5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933734"/>
              <w:left w:val="single" w:sz="4" w:space="0" w:color="933734"/>
              <w:bottom w:val="single" w:sz="4" w:space="0" w:color="933734"/>
              <w:right w:val="single" w:sz="4" w:space="0" w:color="933734"/>
            </w:tcBorders>
          </w:tcPr>
          <w:p>
            <w:pPr/>
          </w:p>
        </w:tc>
        <w:tc>
          <w:tcPr>
            <w:tcW w:w="64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933734"/>
              <w:left w:val="single" w:sz="4" w:space="0" w:color="933734"/>
              <w:bottom w:val="single" w:sz="4" w:space="0" w:color="933734"/>
              <w:right w:val="single" w:sz="4" w:space="0" w:color="933734"/>
            </w:tcBorders>
          </w:tcPr>
          <w:p>
            <w:pPr/>
          </w:p>
        </w:tc>
        <w:tc>
          <w:tcPr>
            <w:tcW w:w="6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3" w:right="239"/>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5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详见巨潮 </w:t>
            </w:r>
            <w:r>
              <w:rPr>
                <w:rFonts w:ascii="宋体" w:hAnsi="宋体" w:cs="宋体" w:eastAsia="宋体" w:hint="default"/>
                <w:spacing w:val="-10"/>
                <w:sz w:val="18"/>
                <w:szCs w:val="18"/>
              </w:rPr>
              <w:t>资讯网《关</w:t>
            </w:r>
            <w:r>
              <w:rPr>
                <w:rFonts w:ascii="宋体" w:hAnsi="宋体" w:cs="宋体" w:eastAsia="宋体" w:hint="default"/>
                <w:sz w:val="18"/>
                <w:szCs w:val="18"/>
              </w:rPr>
              <w:t> 于签订品 牌代理合 同公告》</w:t>
            </w:r>
          </w:p>
          <w:p>
            <w:pPr>
              <w:pStyle w:val="TableParagraph"/>
              <w:spacing w:line="316" w:lineRule="auto" w:before="19"/>
              <w:ind w:left="105" w:right="233"/>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2012-037</w:t>
            </w:r>
            <w:r>
              <w:rPr>
                <w:rFonts w:ascii="宋体" w:hAnsi="宋体" w:cs="宋体" w:eastAsia="宋体" w:hint="default"/>
                <w:sz w:val="18"/>
                <w:szCs w:val="18"/>
              </w:rPr>
              <w:t>）</w:t>
            </w:r>
          </w:p>
        </w:tc>
      </w:tr>
      <w:tr>
        <w:trPr>
          <w:trHeight w:val="3212" w:hRule="exact"/>
        </w:trPr>
        <w:tc>
          <w:tcPr>
            <w:tcW w:w="70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33"/>
              <w:jc w:val="both"/>
              <w:rPr>
                <w:rFonts w:ascii="宋体" w:hAnsi="宋体" w:cs="宋体" w:eastAsia="宋体" w:hint="default"/>
                <w:sz w:val="18"/>
                <w:szCs w:val="18"/>
              </w:rPr>
            </w:pPr>
            <w:r>
              <w:rPr>
                <w:rFonts w:ascii="宋体" w:hAnsi="宋体" w:cs="宋体" w:eastAsia="宋体" w:hint="default"/>
                <w:sz w:val="18"/>
                <w:szCs w:val="18"/>
              </w:rPr>
              <w:t>摩登 大道 时尚 集团 股份 有限 公司</w:t>
            </w:r>
          </w:p>
        </w:tc>
        <w:tc>
          <w:tcPr>
            <w:tcW w:w="8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62" w:lineRule="auto"/>
              <w:ind w:left="105" w:right="152"/>
              <w:jc w:val="left"/>
              <w:rPr>
                <w:rFonts w:ascii="Times New Roman" w:hAnsi="Times New Roman" w:cs="Times New Roman" w:eastAsia="Times New Roman" w:hint="default"/>
                <w:sz w:val="18"/>
                <w:szCs w:val="18"/>
              </w:rPr>
            </w:pPr>
            <w:r>
              <w:rPr>
                <w:rFonts w:ascii="Times New Roman"/>
                <w:sz w:val="18"/>
              </w:rPr>
              <w:t>ZEIS</w:t>
            </w:r>
            <w:r>
              <w:rPr>
                <w:rFonts w:ascii="Times New Roman"/>
                <w:w w:val="99"/>
                <w:sz w:val="18"/>
              </w:rPr>
              <w:t> </w:t>
            </w:r>
            <w:r>
              <w:rPr>
                <w:rFonts w:ascii="Times New Roman"/>
                <w:sz w:val="18"/>
              </w:rPr>
              <w:t>EXCEL</w:t>
            </w:r>
            <w:r>
              <w:rPr>
                <w:rFonts w:ascii="Times New Roman"/>
                <w:sz w:val="18"/>
              </w:rPr>
              <w:t> SA</w:t>
            </w:r>
            <w:r>
              <w:rPr>
                <w:rFonts w:ascii="Times New Roman"/>
                <w:w w:val="99"/>
                <w:sz w:val="18"/>
              </w:rPr>
              <w:t> </w:t>
            </w:r>
            <w:r>
              <w:rPr>
                <w:rFonts w:ascii="Times New Roman"/>
                <w:spacing w:val="-4"/>
                <w:sz w:val="18"/>
              </w:rPr>
              <w:t>S.P.A.</w:t>
            </w:r>
          </w:p>
        </w:tc>
        <w:tc>
          <w:tcPr>
            <w:tcW w:w="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3" w:type="dxa"/>
            <w:tcBorders>
              <w:top w:val="single" w:sz="4" w:space="0" w:color="933734"/>
              <w:left w:val="single" w:sz="4" w:space="0" w:color="933734"/>
              <w:bottom w:val="single" w:sz="4" w:space="0" w:color="933734"/>
              <w:right w:val="single" w:sz="4" w:space="0" w:color="933734"/>
            </w:tcBorders>
          </w:tcPr>
          <w:p>
            <w:pPr/>
          </w:p>
        </w:tc>
        <w:tc>
          <w:tcPr>
            <w:tcW w:w="715" w:type="dxa"/>
            <w:tcBorders>
              <w:top w:val="single" w:sz="4" w:space="0" w:color="933734"/>
              <w:left w:val="single" w:sz="4" w:space="0" w:color="933734"/>
              <w:bottom w:val="single" w:sz="4" w:space="0" w:color="933734"/>
              <w:right w:val="single" w:sz="4" w:space="0" w:color="933734"/>
            </w:tcBorders>
          </w:tcPr>
          <w:p>
            <w:pPr/>
          </w:p>
        </w:tc>
        <w:tc>
          <w:tcPr>
            <w:tcW w:w="5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933734"/>
              <w:left w:val="single" w:sz="4" w:space="0" w:color="933734"/>
              <w:bottom w:val="single" w:sz="4" w:space="0" w:color="933734"/>
              <w:right w:val="single" w:sz="4" w:space="0" w:color="933734"/>
            </w:tcBorders>
          </w:tcPr>
          <w:p>
            <w:pPr/>
          </w:p>
        </w:tc>
        <w:tc>
          <w:tcPr>
            <w:tcW w:w="64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933734"/>
              <w:left w:val="single" w:sz="4" w:space="0" w:color="933734"/>
              <w:bottom w:val="single" w:sz="4" w:space="0" w:color="933734"/>
              <w:right w:val="single" w:sz="4" w:space="0" w:color="933734"/>
            </w:tcBorders>
          </w:tcPr>
          <w:p>
            <w:pPr/>
          </w:p>
        </w:tc>
        <w:tc>
          <w:tcPr>
            <w:tcW w:w="6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03" w:right="239"/>
              <w:jc w:val="left"/>
              <w:rPr>
                <w:rFonts w:ascii="宋体" w:hAnsi="宋体" w:cs="宋体" w:eastAsia="宋体" w:hint="default"/>
                <w:sz w:val="18"/>
                <w:szCs w:val="18"/>
              </w:rPr>
            </w:pPr>
            <w:r>
              <w:rPr>
                <w:rFonts w:ascii="宋体" w:hAnsi="宋体" w:cs="宋体" w:eastAsia="宋体" w:hint="default"/>
                <w:sz w:val="18"/>
                <w:szCs w:val="18"/>
              </w:rPr>
              <w:t>已终 止</w:t>
            </w:r>
          </w:p>
        </w:tc>
        <w:tc>
          <w:tcPr>
            <w:tcW w:w="5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详见巨潮 </w:t>
            </w:r>
            <w:r>
              <w:rPr>
                <w:rFonts w:ascii="宋体" w:hAnsi="宋体" w:cs="宋体" w:eastAsia="宋体" w:hint="default"/>
                <w:spacing w:val="-10"/>
                <w:sz w:val="18"/>
                <w:szCs w:val="18"/>
              </w:rPr>
              <w:t>资讯网《关</w:t>
            </w:r>
            <w:r>
              <w:rPr>
                <w:rFonts w:ascii="宋体" w:hAnsi="宋体" w:cs="宋体" w:eastAsia="宋体" w:hint="default"/>
                <w:sz w:val="18"/>
                <w:szCs w:val="18"/>
              </w:rPr>
              <w:t> 于签订</w:t>
            </w:r>
          </w:p>
          <w:p>
            <w:pPr>
              <w:pStyle w:val="TableParagraph"/>
              <w:spacing w:line="362" w:lineRule="auto" w:before="61"/>
              <w:ind w:left="105" w:right="156"/>
              <w:jc w:val="left"/>
              <w:rPr>
                <w:rFonts w:ascii="Times New Roman" w:hAnsi="Times New Roman" w:cs="Times New Roman" w:eastAsia="Times New Roman" w:hint="default"/>
                <w:sz w:val="18"/>
                <w:szCs w:val="18"/>
              </w:rPr>
            </w:pPr>
            <w:r>
              <w:rPr>
                <w:rFonts w:ascii="Times New Roman"/>
                <w:sz w:val="18"/>
              </w:rPr>
              <w:t>Dirk</w:t>
            </w:r>
            <w:r>
              <w:rPr>
                <w:rFonts w:ascii="Times New Roman"/>
                <w:w w:val="99"/>
                <w:sz w:val="18"/>
              </w:rPr>
              <w:t> </w:t>
            </w:r>
            <w:r>
              <w:rPr>
                <w:rFonts w:ascii="Times New Roman"/>
                <w:sz w:val="18"/>
              </w:rPr>
              <w:t>Bikkember</w:t>
            </w:r>
          </w:p>
          <w:p>
            <w:pPr>
              <w:pStyle w:val="TableParagraph"/>
              <w:spacing w:line="210"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品牌授</w:t>
            </w:r>
          </w:p>
          <w:p>
            <w:pPr>
              <w:pStyle w:val="TableParagraph"/>
              <w:spacing w:line="316" w:lineRule="auto" w:before="63"/>
              <w:ind w:left="105" w:right="83"/>
              <w:jc w:val="left"/>
              <w:rPr>
                <w:rFonts w:ascii="宋体" w:hAnsi="宋体" w:cs="宋体" w:eastAsia="宋体" w:hint="default"/>
                <w:sz w:val="18"/>
                <w:szCs w:val="18"/>
              </w:rPr>
            </w:pPr>
            <w:r>
              <w:rPr>
                <w:rFonts w:ascii="宋体" w:hAnsi="宋体" w:cs="宋体" w:eastAsia="宋体" w:hint="default"/>
                <w:sz w:val="18"/>
                <w:szCs w:val="18"/>
              </w:rPr>
              <w:t>权协议的 </w:t>
            </w:r>
            <w:r>
              <w:rPr>
                <w:rFonts w:ascii="宋体" w:hAnsi="宋体" w:cs="宋体" w:eastAsia="宋体" w:hint="default"/>
                <w:spacing w:val="-19"/>
                <w:sz w:val="18"/>
                <w:szCs w:val="18"/>
              </w:rPr>
              <w:t>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2015-059</w:t>
            </w:r>
            <w:r>
              <w:rPr>
                <w:rFonts w:ascii="宋体" w:hAnsi="宋体" w:cs="宋体" w:eastAsia="宋体" w:hint="default"/>
                <w:sz w:val="18"/>
                <w:szCs w:val="18"/>
              </w:rPr>
              <w:t>）</w:t>
            </w:r>
          </w:p>
        </w:tc>
      </w:tr>
      <w:tr>
        <w:trPr>
          <w:trHeight w:val="3209" w:hRule="exact"/>
        </w:trPr>
        <w:tc>
          <w:tcPr>
            <w:tcW w:w="70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33"/>
              <w:jc w:val="both"/>
              <w:rPr>
                <w:rFonts w:ascii="宋体" w:hAnsi="宋体" w:cs="宋体" w:eastAsia="宋体" w:hint="default"/>
                <w:sz w:val="18"/>
                <w:szCs w:val="18"/>
              </w:rPr>
            </w:pPr>
            <w:r>
              <w:rPr>
                <w:rFonts w:ascii="宋体" w:hAnsi="宋体" w:cs="宋体" w:eastAsia="宋体" w:hint="default"/>
                <w:sz w:val="18"/>
                <w:szCs w:val="18"/>
              </w:rPr>
              <w:t>摩登 大道 时尚 集团 股份 有限 公司</w:t>
            </w:r>
          </w:p>
        </w:tc>
        <w:tc>
          <w:tcPr>
            <w:tcW w:w="8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105" w:right="214"/>
              <w:jc w:val="left"/>
              <w:rPr>
                <w:rFonts w:ascii="Times New Roman" w:hAnsi="Times New Roman" w:cs="Times New Roman" w:eastAsia="Times New Roman" w:hint="default"/>
                <w:sz w:val="18"/>
                <w:szCs w:val="18"/>
              </w:rPr>
            </w:pPr>
            <w:r>
              <w:rPr>
                <w:rFonts w:ascii="Times New Roman"/>
                <w:sz w:val="18"/>
              </w:rPr>
              <w:t>LEVIT</w:t>
            </w:r>
            <w:r>
              <w:rPr>
                <w:rFonts w:ascii="Times New Roman"/>
                <w:w w:val="99"/>
                <w:sz w:val="18"/>
              </w:rPr>
              <w:t> </w:t>
            </w:r>
            <w:r>
              <w:rPr>
                <w:rFonts w:ascii="Times New Roman"/>
                <w:sz w:val="18"/>
              </w:rPr>
              <w:t>AS</w:t>
            </w:r>
            <w:r>
              <w:rPr>
                <w:rFonts w:ascii="Times New Roman"/>
                <w:w w:val="99"/>
                <w:sz w:val="18"/>
              </w:rPr>
              <w:t> </w:t>
            </w:r>
            <w:r>
              <w:rPr>
                <w:rFonts w:ascii="Times New Roman"/>
                <w:spacing w:val="-4"/>
                <w:sz w:val="18"/>
              </w:rPr>
              <w:t>S.P.A.</w:t>
            </w:r>
            <w:r>
              <w:rPr>
                <w:rFonts w:ascii="Times New Roman"/>
                <w:sz w:val="18"/>
              </w:rPr>
              <w:t> SINV</w:t>
            </w:r>
            <w:r>
              <w:rPr>
                <w:rFonts w:ascii="Times New Roman"/>
                <w:w w:val="99"/>
                <w:sz w:val="18"/>
              </w:rPr>
              <w:t> </w:t>
            </w:r>
            <w:r>
              <w:rPr>
                <w:rFonts w:ascii="Times New Roman"/>
                <w:spacing w:val="-4"/>
                <w:sz w:val="18"/>
              </w:rPr>
              <w:t>S.P.A.</w:t>
            </w:r>
          </w:p>
        </w:tc>
        <w:tc>
          <w:tcPr>
            <w:tcW w:w="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3" w:type="dxa"/>
            <w:tcBorders>
              <w:top w:val="single" w:sz="4" w:space="0" w:color="933734"/>
              <w:left w:val="single" w:sz="4" w:space="0" w:color="933734"/>
              <w:bottom w:val="single" w:sz="4" w:space="0" w:color="933734"/>
              <w:right w:val="single" w:sz="4" w:space="0" w:color="933734"/>
            </w:tcBorders>
          </w:tcPr>
          <w:p>
            <w:pPr/>
          </w:p>
        </w:tc>
        <w:tc>
          <w:tcPr>
            <w:tcW w:w="715" w:type="dxa"/>
            <w:tcBorders>
              <w:top w:val="single" w:sz="4" w:space="0" w:color="933734"/>
              <w:left w:val="single" w:sz="4" w:space="0" w:color="933734"/>
              <w:bottom w:val="single" w:sz="4" w:space="0" w:color="933734"/>
              <w:right w:val="single" w:sz="4" w:space="0" w:color="933734"/>
            </w:tcBorders>
          </w:tcPr>
          <w:p>
            <w:pPr/>
          </w:p>
        </w:tc>
        <w:tc>
          <w:tcPr>
            <w:tcW w:w="5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933734"/>
              <w:left w:val="single" w:sz="4" w:space="0" w:color="933734"/>
              <w:bottom w:val="single" w:sz="4" w:space="0" w:color="933734"/>
              <w:right w:val="single" w:sz="4" w:space="0" w:color="933734"/>
            </w:tcBorders>
          </w:tcPr>
          <w:p>
            <w:pPr/>
          </w:p>
        </w:tc>
        <w:tc>
          <w:tcPr>
            <w:tcW w:w="64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933734"/>
              <w:left w:val="single" w:sz="4" w:space="0" w:color="933734"/>
              <w:bottom w:val="single" w:sz="4" w:space="0" w:color="933734"/>
              <w:right w:val="single" w:sz="4" w:space="0" w:color="933734"/>
            </w:tcBorders>
          </w:tcPr>
          <w:p>
            <w:pPr/>
          </w:p>
        </w:tc>
        <w:tc>
          <w:tcPr>
            <w:tcW w:w="6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103" w:right="239"/>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5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0" w:type="dxa"/>
            <w:tcBorders>
              <w:top w:val="single" w:sz="4" w:space="0" w:color="933734"/>
              <w:left w:val="single" w:sz="4" w:space="0" w:color="933734"/>
              <w:bottom w:val="single" w:sz="4" w:space="0" w:color="933734"/>
              <w:right w:val="single" w:sz="4" w:space="0" w:color="933734"/>
            </w:tcBorders>
          </w:tcPr>
          <w:p>
            <w:pPr>
              <w:pStyle w:val="TableParagraph"/>
              <w:spacing w:line="312" w:lineRule="exact" w:before="9"/>
              <w:ind w:left="105"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 </w:t>
            </w:r>
            <w:r>
              <w:rPr>
                <w:rFonts w:ascii="宋体" w:hAnsi="宋体" w:cs="宋体" w:eastAsia="宋体" w:hint="default"/>
                <w:spacing w:val="-10"/>
                <w:sz w:val="18"/>
                <w:szCs w:val="18"/>
              </w:rPr>
              <w:t>资讯网《关</w:t>
            </w:r>
            <w:r>
              <w:rPr>
                <w:rFonts w:ascii="宋体" w:hAnsi="宋体" w:cs="宋体" w:eastAsia="宋体" w:hint="default"/>
                <w:sz w:val="18"/>
                <w:szCs w:val="18"/>
              </w:rPr>
              <w:t> 于签订 </w:t>
            </w:r>
            <w:r>
              <w:rPr>
                <w:rFonts w:ascii="Times New Roman" w:hAnsi="Times New Roman" w:cs="Times New Roman" w:eastAsia="Times New Roman" w:hint="default"/>
                <w:sz w:val="18"/>
                <w:szCs w:val="18"/>
              </w:rPr>
              <w:t>Dirk</w:t>
            </w:r>
          </w:p>
          <w:p>
            <w:pPr>
              <w:pStyle w:val="TableParagraph"/>
              <w:spacing w:line="312" w:lineRule="auto" w:before="82"/>
              <w:ind w:left="105"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Bikkember gs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品牌授 权协议的 </w:t>
            </w:r>
            <w:r>
              <w:rPr>
                <w:rFonts w:ascii="宋体" w:hAnsi="宋体" w:cs="宋体" w:eastAsia="宋体" w:hint="default"/>
                <w:spacing w:val="-19"/>
                <w:sz w:val="18"/>
                <w:szCs w:val="18"/>
              </w:rPr>
              <w:t>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2015-059</w:t>
            </w:r>
            <w:r>
              <w:rPr>
                <w:rFonts w:ascii="宋体" w:hAnsi="宋体" w:cs="宋体" w:eastAsia="宋体" w:hint="default"/>
                <w:sz w:val="18"/>
                <w:szCs w:val="18"/>
              </w:rPr>
              <w:t>）</w:t>
            </w:r>
          </w:p>
        </w:tc>
      </w:tr>
    </w:tbl>
    <w:p>
      <w:pPr>
        <w:spacing w:after="0" w:line="312" w:lineRule="auto"/>
        <w:jc w:val="left"/>
        <w:rPr>
          <w:rFonts w:ascii="宋体" w:hAnsi="宋体" w:cs="宋体" w:eastAsia="宋体" w:hint="default"/>
          <w:sz w:val="18"/>
          <w:szCs w:val="18"/>
        </w:rPr>
        <w:sectPr>
          <w:pgSz w:w="11910" w:h="16840"/>
          <w:pgMar w:header="906" w:footer="1079" w:top="1100" w:bottom="1260" w:left="880" w:right="0"/>
        </w:sectPr>
      </w:pPr>
    </w:p>
    <w:p>
      <w:pPr>
        <w:spacing w:line="240" w:lineRule="auto" w:before="7"/>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708"/>
        <w:gridCol w:w="852"/>
        <w:gridCol w:w="425"/>
        <w:gridCol w:w="586"/>
        <w:gridCol w:w="713"/>
        <w:gridCol w:w="715"/>
        <w:gridCol w:w="572"/>
        <w:gridCol w:w="718"/>
        <w:gridCol w:w="643"/>
        <w:gridCol w:w="638"/>
        <w:gridCol w:w="649"/>
        <w:gridCol w:w="494"/>
        <w:gridCol w:w="713"/>
        <w:gridCol w:w="572"/>
        <w:gridCol w:w="1070"/>
      </w:tblGrid>
      <w:tr>
        <w:trPr>
          <w:trHeight w:val="3147" w:hRule="exact"/>
        </w:trPr>
        <w:tc>
          <w:tcPr>
            <w:tcW w:w="70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103" w:right="233"/>
              <w:jc w:val="both"/>
              <w:rPr>
                <w:rFonts w:ascii="宋体" w:hAnsi="宋体" w:cs="宋体" w:eastAsia="宋体" w:hint="default"/>
                <w:sz w:val="18"/>
                <w:szCs w:val="18"/>
              </w:rPr>
            </w:pPr>
            <w:r>
              <w:rPr>
                <w:rFonts w:ascii="宋体" w:hAnsi="宋体" w:cs="宋体" w:eastAsia="宋体" w:hint="default"/>
                <w:sz w:val="18"/>
                <w:szCs w:val="18"/>
              </w:rPr>
              <w:t>卡奴 迪路 服饰 股份</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（香 </w:t>
            </w:r>
            <w:r>
              <w:rPr>
                <w:rFonts w:ascii="宋体" w:hAnsi="宋体" w:cs="宋体" w:eastAsia="宋体" w:hint="default"/>
                <w:spacing w:val="-17"/>
                <w:sz w:val="18"/>
                <w:szCs w:val="18"/>
              </w:rPr>
              <w:t>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 司</w:t>
            </w:r>
          </w:p>
        </w:tc>
        <w:tc>
          <w:tcPr>
            <w:tcW w:w="8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30"/>
              <w:ind w:left="105" w:right="270"/>
              <w:jc w:val="left"/>
              <w:rPr>
                <w:rFonts w:ascii="Times New Roman" w:hAnsi="Times New Roman" w:cs="Times New Roman" w:eastAsia="Times New Roman" w:hint="default"/>
                <w:sz w:val="18"/>
                <w:szCs w:val="18"/>
              </w:rPr>
            </w:pPr>
            <w:r>
              <w:rPr>
                <w:rFonts w:ascii="Times New Roman"/>
                <w:sz w:val="18"/>
              </w:rPr>
              <w:t>Daisy S.R.L.</w:t>
            </w:r>
          </w:p>
        </w:tc>
        <w:tc>
          <w:tcPr>
            <w:tcW w:w="42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3" w:type="dxa"/>
            <w:tcBorders>
              <w:top w:val="single" w:sz="4" w:space="0" w:color="933734"/>
              <w:left w:val="single" w:sz="4" w:space="0" w:color="933734"/>
              <w:bottom w:val="single" w:sz="4" w:space="0" w:color="933734"/>
              <w:right w:val="single" w:sz="4" w:space="0" w:color="933734"/>
            </w:tcBorders>
          </w:tcPr>
          <w:p>
            <w:pPr/>
          </w:p>
        </w:tc>
        <w:tc>
          <w:tcPr>
            <w:tcW w:w="715" w:type="dxa"/>
            <w:tcBorders>
              <w:top w:val="single" w:sz="4" w:space="0" w:color="933734"/>
              <w:left w:val="single" w:sz="4" w:space="0" w:color="933734"/>
              <w:bottom w:val="single" w:sz="4" w:space="0" w:color="933734"/>
              <w:right w:val="single" w:sz="4" w:space="0" w:color="933734"/>
            </w:tcBorders>
          </w:tcPr>
          <w:p>
            <w:pPr/>
          </w:p>
        </w:tc>
        <w:tc>
          <w:tcPr>
            <w:tcW w:w="5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933734"/>
              <w:left w:val="single" w:sz="4" w:space="0" w:color="933734"/>
              <w:bottom w:val="single" w:sz="4" w:space="0" w:color="933734"/>
              <w:right w:val="single" w:sz="4" w:space="0" w:color="933734"/>
            </w:tcBorders>
          </w:tcPr>
          <w:p>
            <w:pPr/>
          </w:p>
        </w:tc>
        <w:tc>
          <w:tcPr>
            <w:tcW w:w="64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933734"/>
              <w:left w:val="single" w:sz="4" w:space="0" w:color="933734"/>
              <w:bottom w:val="single" w:sz="4" w:space="0" w:color="933734"/>
              <w:right w:val="single" w:sz="4" w:space="0" w:color="933734"/>
            </w:tcBorders>
          </w:tcPr>
          <w:p>
            <w:pPr/>
          </w:p>
        </w:tc>
        <w:tc>
          <w:tcPr>
            <w:tcW w:w="6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103" w:right="239"/>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57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05" w:right="83"/>
              <w:jc w:val="left"/>
              <w:rPr>
                <w:rFonts w:ascii="宋体" w:hAnsi="宋体" w:cs="宋体" w:eastAsia="宋体" w:hint="default"/>
                <w:sz w:val="18"/>
                <w:szCs w:val="18"/>
              </w:rPr>
            </w:pPr>
            <w:r>
              <w:rPr>
                <w:rFonts w:ascii="宋体" w:hAnsi="宋体" w:cs="宋体" w:eastAsia="宋体" w:hint="default"/>
                <w:sz w:val="18"/>
                <w:szCs w:val="18"/>
              </w:rPr>
              <w:t>详见巨潮 </w:t>
            </w:r>
            <w:r>
              <w:rPr>
                <w:rFonts w:ascii="宋体" w:hAnsi="宋体" w:cs="宋体" w:eastAsia="宋体" w:hint="default"/>
                <w:spacing w:val="-10"/>
                <w:sz w:val="18"/>
                <w:szCs w:val="18"/>
              </w:rPr>
              <w:t>资讯网《关</w:t>
            </w:r>
            <w:r>
              <w:rPr>
                <w:rFonts w:ascii="宋体" w:hAnsi="宋体" w:cs="宋体" w:eastAsia="宋体" w:hint="default"/>
                <w:sz w:val="18"/>
                <w:szCs w:val="18"/>
              </w:rPr>
              <w:t> 于全资子 公司签订 品牌授权 协议的公 </w:t>
            </w:r>
            <w:r>
              <w:rPr>
                <w:rFonts w:ascii="宋体" w:hAnsi="宋体" w:cs="宋体" w:eastAsia="宋体" w:hint="default"/>
                <w:spacing w:val="-19"/>
                <w:sz w:val="18"/>
                <w:szCs w:val="18"/>
              </w:rPr>
              <w:t>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 </w:t>
            </w:r>
            <w:r>
              <w:rPr>
                <w:rFonts w:ascii="Times New Roman" w:hAnsi="Times New Roman" w:cs="Times New Roman" w:eastAsia="Times New Roman" w:hint="default"/>
                <w:sz w:val="18"/>
                <w:szCs w:val="18"/>
              </w:rPr>
              <w:t>2015-045</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253" w:right="1022"/>
        <w:jc w:val="left"/>
        <w:rPr>
          <w:b w:val="0"/>
          <w:bCs w:val="0"/>
        </w:rPr>
      </w:pPr>
      <w:r>
        <w:rPr/>
        <w:t>十八、社会责任情况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3" w:right="1022"/>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253" w:right="1022"/>
        <w:jc w:val="left"/>
      </w:pPr>
      <w:r>
        <w:rPr>
          <w:spacing w:val="-2"/>
        </w:rPr>
        <w:t>详见公司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日披露于巨潮资讯网</w:t>
      </w:r>
      <w:hyperlink r:id="rId20">
        <w:r>
          <w:rPr>
            <w:rFonts w:ascii="Times New Roman" w:hAnsi="Times New Roman" w:cs="Times New Roman" w:eastAsia="Times New Roman" w:hint="default"/>
            <w:spacing w:val="-2"/>
          </w:rPr>
          <w:t>www.cninfo.com.cn</w:t>
        </w:r>
        <w:r>
          <w:rPr>
            <w:spacing w:val="-2"/>
          </w:rPr>
          <w:t>的</w:t>
        </w:r>
      </w:hyperlink>
      <w:r>
        <w:rPr>
          <w:spacing w:val="-2"/>
        </w:rPr>
        <w:t>《摩登大道时尚集团股份有限公司</w:t>
      </w:r>
      <w:r>
        <w:rPr>
          <w:rFonts w:ascii="Times New Roman" w:hAnsi="Times New Roman" w:cs="Times New Roman" w:eastAsia="Times New Roman" w:hint="default"/>
          <w:spacing w:val="-2"/>
        </w:rPr>
        <w:t>2018</w:t>
      </w:r>
      <w:r>
        <w:rPr>
          <w:spacing w:val="-2"/>
        </w:rPr>
        <w:t>年</w:t>
      </w:r>
      <w:r>
        <w:rPr>
          <w:spacing w:val="-12"/>
        </w:rPr>
        <w:t> </w:t>
      </w:r>
      <w:r>
        <w:rPr>
          <w:spacing w:val="-13"/>
          <w:w w:val="100"/>
        </w:rPr>
        <w:t>度社会责任报告》。</w:t>
      </w:r>
    </w:p>
    <w:p>
      <w:pPr>
        <w:spacing w:line="240" w:lineRule="auto" w:before="11"/>
        <w:rPr>
          <w:rFonts w:ascii="宋体" w:hAnsi="宋体" w:cs="宋体" w:eastAsia="宋体" w:hint="default"/>
          <w:sz w:val="21"/>
          <w:szCs w:val="21"/>
        </w:rPr>
      </w:pPr>
    </w:p>
    <w:p>
      <w:pPr>
        <w:spacing w:line="588" w:lineRule="auto" w:before="0"/>
        <w:ind w:left="253" w:right="25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公司报告年度暂未开展精准扶贫工作，也暂无后续精准扶贫计划。</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434" w:lineRule="auto" w:before="86"/>
        <w:ind w:left="253" w:right="5693" w:firstLine="0"/>
        <w:jc w:val="left"/>
        <w:rPr>
          <w:rFonts w:ascii="宋体" w:hAnsi="宋体" w:cs="宋体" w:eastAsia="宋体" w:hint="default"/>
          <w:sz w:val="18"/>
          <w:szCs w:val="18"/>
        </w:rPr>
      </w:pPr>
      <w:r>
        <w:rPr>
          <w:rFonts w:ascii="宋体" w:hAnsi="宋体" w:cs="宋体" w:eastAsia="宋体" w:hint="default"/>
          <w:b/>
          <w:bCs/>
          <w:sz w:val="18"/>
          <w:szCs w:val="18"/>
        </w:rPr>
        <w:t>上市公司及其子公司是否属于环境保护部门公布的重点排污单位</w:t>
      </w:r>
      <w:r>
        <w:rPr>
          <w:rFonts w:ascii="宋体" w:hAnsi="宋体" w:cs="宋体" w:eastAsia="宋体" w:hint="default"/>
          <w:b/>
          <w:bCs/>
          <w:w w:val="99"/>
          <w:sz w:val="18"/>
          <w:szCs w:val="18"/>
        </w:rPr>
        <w:t> </w:t>
      </w:r>
      <w:r>
        <w:rPr>
          <w:rFonts w:ascii="宋体" w:hAnsi="宋体" w:cs="宋体" w:eastAsia="宋体" w:hint="default"/>
          <w:sz w:val="18"/>
          <w:szCs w:val="18"/>
        </w:rPr>
        <w:t>不适用</w:t>
      </w:r>
    </w:p>
    <w:p>
      <w:pPr>
        <w:pStyle w:val="BodyText"/>
        <w:spacing w:line="240" w:lineRule="auto" w:before="27"/>
        <w:ind w:left="253" w:right="1022"/>
        <w:jc w:val="left"/>
      </w:pPr>
      <w:r>
        <w:rPr/>
        <w:t>上市公司及其子公司不属于环境保护部门公布的重点排污单位。</w:t>
      </w:r>
    </w:p>
    <w:p>
      <w:pPr>
        <w:spacing w:line="240" w:lineRule="auto" w:before="11"/>
        <w:rPr>
          <w:rFonts w:ascii="宋体" w:hAnsi="宋体" w:cs="宋体" w:eastAsia="宋体" w:hint="default"/>
          <w:sz w:val="29"/>
          <w:szCs w:val="29"/>
        </w:rPr>
      </w:pPr>
    </w:p>
    <w:p>
      <w:pPr>
        <w:pStyle w:val="Heading2"/>
        <w:spacing w:line="240" w:lineRule="auto"/>
        <w:ind w:left="253" w:right="1022"/>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253" w:right="10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400" w:lineRule="auto"/>
        <w:ind w:left="253" w:right="1126" w:firstLine="314"/>
        <w:jc w:val="both"/>
      </w:pPr>
      <w:r>
        <w:rPr>
          <w:spacing w:val="-2"/>
        </w:rPr>
        <w:t>（一）公司于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日召开了第三届董事会第三十次会议、第</w:t>
      </w:r>
      <w:r>
        <w:rPr>
          <w:w w:val="100"/>
        </w:rPr>
        <w:t> </w:t>
      </w:r>
      <w:r>
        <w:rPr>
          <w:spacing w:val="-2"/>
        </w:rPr>
        <w:t>三届监事会第二十四次会议及职工大会</w:t>
      </w:r>
      <w:r>
        <w:rPr>
          <w:rFonts w:ascii="Times New Roman" w:hAnsi="Times New Roman" w:cs="Times New Roman" w:eastAsia="Times New Roman" w:hint="default"/>
          <w:spacing w:val="-2"/>
        </w:rPr>
        <w:t>2018</w:t>
      </w:r>
      <w:r>
        <w:rPr>
          <w:spacing w:val="-2"/>
        </w:rPr>
        <w:t>年第一次会议、</w:t>
      </w:r>
      <w:r>
        <w:rPr>
          <w:rFonts w:ascii="Times New Roman" w:hAnsi="Times New Roman" w:cs="Times New Roman" w:eastAsia="Times New Roman" w:hint="default"/>
          <w:spacing w:val="-2"/>
        </w:rPr>
        <w:t>2018</w:t>
      </w:r>
      <w:r>
        <w:rPr>
          <w:spacing w:val="-2"/>
        </w:rPr>
        <w:t>年第一次临时股东大会，选举出林永飞先</w:t>
      </w:r>
      <w:r>
        <w:rPr>
          <w:spacing w:val="-37"/>
        </w:rPr>
        <w:t> </w:t>
      </w:r>
      <w:r>
        <w:rPr>
          <w:spacing w:val="-37"/>
        </w:rPr>
      </w:r>
      <w:r>
        <w:rPr>
          <w:spacing w:val="-2"/>
        </w:rPr>
        <w:t>生、翁武强先生、李斐先生、徐响玲女士四位非独立董事及刘运国先生、郭葆春女士、梁洪流先生三位独</w:t>
      </w:r>
      <w:r>
        <w:rPr>
          <w:spacing w:val="-43"/>
        </w:rPr>
        <w:t> </w:t>
      </w:r>
      <w:r>
        <w:rPr>
          <w:spacing w:val="-43"/>
        </w:rPr>
      </w:r>
      <w:r>
        <w:rPr>
          <w:spacing w:val="-2"/>
        </w:rPr>
        <w:t>立董事组成公司第四届董事会成员；选举出张勤勇先生为公司第四届监事会职工代表监事及赖小妍女士和</w:t>
      </w:r>
      <w:r>
        <w:rPr>
          <w:spacing w:val="-43"/>
        </w:rPr>
        <w:t> </w:t>
      </w:r>
      <w:r>
        <w:rPr>
          <w:spacing w:val="-43"/>
        </w:rPr>
      </w:r>
      <w:r>
        <w:rPr>
          <w:spacing w:val="-2"/>
        </w:rPr>
        <w:t>陈马迪先生为公司第四届监事会股东代表监事，公司第四届监事会由陈马迪先生、赖小妍女士、张勤勇先</w:t>
      </w:r>
      <w:r>
        <w:rPr>
          <w:spacing w:val="-45"/>
        </w:rPr>
        <w:t> </w:t>
      </w:r>
      <w:r>
        <w:rPr>
          <w:spacing w:val="-45"/>
        </w:rPr>
      </w:r>
      <w:r>
        <w:rPr/>
        <w:t>生三位共同组成。</w:t>
      </w:r>
    </w:p>
    <w:p>
      <w:pPr>
        <w:pStyle w:val="BodyText"/>
        <w:spacing w:line="240" w:lineRule="auto" w:before="93"/>
        <w:ind w:left="567" w:right="1022"/>
        <w:jc w:val="left"/>
      </w:pPr>
      <w:r>
        <w:rPr/>
        <w:t>（二）公司于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日申请股票停牌，启动收购哈尔滨迈远电子商务有限公司及另一家互联网及</w:t>
      </w:r>
    </w:p>
    <w:p>
      <w:pPr>
        <w:spacing w:after="0" w:line="240" w:lineRule="auto"/>
        <w:jc w:val="left"/>
        <w:sectPr>
          <w:pgSz w:w="11910" w:h="16840"/>
          <w:pgMar w:header="906" w:footer="1079" w:top="1100" w:bottom="1260" w:left="880" w:right="0"/>
        </w:sectPr>
      </w:pPr>
    </w:p>
    <w:p>
      <w:pPr>
        <w:spacing w:line="240" w:lineRule="auto" w:before="9"/>
        <w:rPr>
          <w:rFonts w:ascii="宋体" w:hAnsi="宋体" w:cs="宋体" w:eastAsia="宋体" w:hint="default"/>
          <w:sz w:val="27"/>
          <w:szCs w:val="27"/>
        </w:rPr>
      </w:pPr>
    </w:p>
    <w:p>
      <w:pPr>
        <w:pStyle w:val="BodyText"/>
        <w:spacing w:line="400" w:lineRule="auto" w:before="36"/>
        <w:ind w:right="0"/>
        <w:jc w:val="left"/>
      </w:pPr>
      <w:r>
        <w:rPr>
          <w:spacing w:val="-2"/>
        </w:rPr>
        <w:t>相关服务行业公司控股权的重大资产收购事项，但因标的公司股东内部未达成一致意见，同时部分股东希</w:t>
      </w:r>
      <w:r>
        <w:rPr>
          <w:spacing w:val="-43"/>
        </w:rPr>
        <w:t> </w:t>
      </w:r>
      <w:r>
        <w:rPr>
          <w:spacing w:val="-43"/>
        </w:rPr>
      </w:r>
      <w:r>
        <w:rPr>
          <w:spacing w:val="-5"/>
        </w:rPr>
        <w:t>望上市公司通过全现金方式支付交易对价，相关各方利益诉求不一，最终未能对交易的核心条款达成一致，</w:t>
      </w:r>
      <w:r>
        <w:rPr>
          <w:spacing w:val="-4"/>
        </w:rPr>
        <w:t> </w:t>
      </w:r>
      <w:r>
        <w:rPr>
          <w:spacing w:val="-4"/>
        </w:rPr>
      </w:r>
      <w:r>
        <w:rPr/>
        <w:t>并难以在较短时间内达成具体可行的方案以继续推进本次资产重组。因此，公司于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日召开第</w:t>
      </w:r>
      <w:r>
        <w:rPr>
          <w:w w:val="100"/>
        </w:rPr>
        <w:t> </w:t>
      </w:r>
      <w:r>
        <w:rPr>
          <w:spacing w:val="-4"/>
          <w:w w:val="100"/>
        </w:rPr>
        <w:t>四届董事会第三次会议，审议通过了《关于终止筹划重大资产重组事项的议案》，并根据相关法律法规规</w:t>
      </w:r>
      <w:r>
        <w:rPr>
          <w:spacing w:val="-91"/>
          <w:w w:val="100"/>
        </w:rPr>
        <w:t> </w:t>
      </w:r>
      <w:r>
        <w:rPr>
          <w:spacing w:val="-91"/>
          <w:w w:val="100"/>
        </w:rPr>
      </w:r>
      <w:r>
        <w:rPr>
          <w:spacing w:val="-4"/>
        </w:rPr>
        <w:t>定，公司向深交所提出申请，公司股票于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27</w:t>
      </w:r>
      <w:r>
        <w:rPr>
          <w:spacing w:val="-4"/>
        </w:rPr>
        <w:t>日开市起复牌。此次重大资产重组尚处在筹划阶段，</w:t>
      </w:r>
      <w:r>
        <w:rPr>
          <w:spacing w:val="-41"/>
        </w:rPr>
        <w:t> </w:t>
      </w:r>
      <w:r>
        <w:rPr>
          <w:spacing w:val="-41"/>
        </w:rPr>
      </w:r>
      <w:r>
        <w:rPr/>
        <w:t>所以终止此次重组并不会对上市公司发展战略及经营造成不利影响。</w:t>
      </w:r>
    </w:p>
    <w:p>
      <w:pPr>
        <w:pStyle w:val="BodyText"/>
        <w:spacing w:line="386" w:lineRule="auto" w:before="93"/>
        <w:ind w:right="1126" w:firstLine="314"/>
        <w:jc w:val="both"/>
      </w:pPr>
      <w:r>
        <w:rPr>
          <w:spacing w:val="-7"/>
        </w:rPr>
        <w:t>（三）公司于</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26</w:t>
      </w:r>
      <w:r>
        <w:rPr>
          <w:spacing w:val="-7"/>
        </w:rPr>
        <w:t>日召开了第四届董事会第三次会议、第四届监事会第二次会议，均通过了《关</w:t>
      </w:r>
      <w:r>
        <w:rPr>
          <w:w w:val="100"/>
        </w:rPr>
        <w:t> </w:t>
      </w:r>
      <w:r>
        <w:rPr>
          <w:spacing w:val="-4"/>
          <w:w w:val="100"/>
        </w:rPr>
        <w:t>于公司＜</w:t>
      </w:r>
      <w:r>
        <w:rPr>
          <w:rFonts w:ascii="Times New Roman" w:hAnsi="Times New Roman" w:cs="Times New Roman" w:eastAsia="Times New Roman" w:hint="default"/>
          <w:spacing w:val="-4"/>
          <w:w w:val="100"/>
        </w:rPr>
        <w:t>2017</w:t>
      </w:r>
      <w:r>
        <w:rPr>
          <w:spacing w:val="-4"/>
          <w:w w:val="100"/>
        </w:rPr>
        <w:t>年度利润分配及资本公积转增股本预案＞的议案》。同时，前述议案亦经公司于</w:t>
      </w: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5</w:t>
      </w:r>
      <w:r>
        <w:rPr>
          <w:spacing w:val="-4"/>
          <w:w w:val="100"/>
        </w:rPr>
        <w:t>月</w:t>
      </w:r>
      <w:r>
        <w:rPr>
          <w:rFonts w:ascii="Times New Roman" w:hAnsi="Times New Roman" w:cs="Times New Roman" w:eastAsia="Times New Roman" w:hint="default"/>
          <w:spacing w:val="-4"/>
          <w:w w:val="100"/>
        </w:rPr>
        <w:t>18</w:t>
      </w:r>
      <w:r>
        <w:rPr>
          <w:rFonts w:ascii="Times New Roman" w:hAnsi="Times New Roman" w:cs="Times New Roman" w:eastAsia="Times New Roman" w:hint="default"/>
          <w:spacing w:val="-40"/>
          <w:w w:val="100"/>
        </w:rPr>
        <w:t> </w:t>
      </w:r>
      <w:r>
        <w:rPr>
          <w:spacing w:val="-2"/>
        </w:rPr>
        <w:t>日召开的</w:t>
      </w:r>
      <w:r>
        <w:rPr>
          <w:rFonts w:ascii="Times New Roman" w:hAnsi="Times New Roman" w:cs="Times New Roman" w:eastAsia="Times New Roman" w:hint="default"/>
          <w:spacing w:val="-2"/>
        </w:rPr>
        <w:t>2017</w:t>
      </w:r>
      <w:r>
        <w:rPr>
          <w:spacing w:val="-2"/>
        </w:rPr>
        <w:t>年年度股东大会决议予以审议通过。公司</w:t>
      </w:r>
      <w:r>
        <w:rPr>
          <w:rFonts w:ascii="Times New Roman" w:hAnsi="Times New Roman" w:cs="Times New Roman" w:eastAsia="Times New Roman" w:hint="default"/>
          <w:spacing w:val="-2"/>
        </w:rPr>
        <w:t>2017</w:t>
      </w:r>
      <w:r>
        <w:rPr>
          <w:spacing w:val="-2"/>
        </w:rPr>
        <w:t>年度利润分配预案如下：拟以截至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spacing w:val="-32"/>
        </w:rPr>
        <w:t> </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445,324,903</w:t>
      </w:r>
      <w:r>
        <w:rPr/>
        <w:t>股为基数，以资本公积金向股权登记日登记在册的全体股东每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r>
        <w:rPr>
          <w:spacing w:val="-22"/>
        </w:rPr>
        <w:t> </w:t>
      </w:r>
      <w:r>
        <w:rPr>
          <w:spacing w:val="4"/>
        </w:rPr>
        <w:t>共计转增</w:t>
      </w:r>
      <w:r>
        <w:rPr>
          <w:rFonts w:ascii="Times New Roman" w:hAnsi="Times New Roman" w:cs="Times New Roman" w:eastAsia="Times New Roman" w:hint="default"/>
          <w:spacing w:val="4"/>
        </w:rPr>
        <w:t>267,194,941</w:t>
      </w:r>
      <w:r>
        <w:rPr>
          <w:spacing w:val="4"/>
        </w:rPr>
        <w:t>股，转增后公司总股本将增加至</w:t>
      </w:r>
      <w:r>
        <w:rPr>
          <w:rFonts w:ascii="Times New Roman" w:hAnsi="Times New Roman" w:cs="Times New Roman" w:eastAsia="Times New Roman" w:hint="default"/>
          <w:spacing w:val="4"/>
        </w:rPr>
        <w:t>712,519,844</w:t>
      </w:r>
      <w:r>
        <w:rPr>
          <w:spacing w:val="4"/>
        </w:rPr>
        <w:t>股；拟以</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spacing w:val="35"/>
        </w:rPr>
        <w:t> </w:t>
      </w:r>
      <w:r>
        <w:rPr>
          <w:spacing w:val="35"/>
        </w:rPr>
      </w:r>
      <w:r>
        <w:rPr>
          <w:rFonts w:ascii="Times New Roman" w:hAnsi="Times New Roman" w:cs="Times New Roman" w:eastAsia="Times New Roman" w:hint="default"/>
          <w:spacing w:val="-1"/>
          <w:w w:val="100"/>
        </w:rPr>
        <w:t>445,324,903</w:t>
      </w:r>
      <w:r>
        <w:rPr>
          <w:rFonts w:ascii="Times New Roman" w:hAnsi="Times New Roman" w:cs="Times New Roman" w:eastAsia="Times New Roman" w:hint="default"/>
          <w:spacing w:val="-32"/>
          <w:w w:val="100"/>
        </w:rPr>
        <w:t> </w:t>
      </w:r>
      <w:r>
        <w:rPr>
          <w:spacing w:val="15"/>
          <w:w w:val="100"/>
        </w:rPr>
        <w:t>股为基数，</w:t>
      </w:r>
      <w:r>
        <w:rPr>
          <w:spacing w:val="-84"/>
          <w:w w:val="100"/>
        </w:rPr>
        <w:t> </w:t>
      </w:r>
      <w:r>
        <w:rPr>
          <w:spacing w:val="16"/>
          <w:w w:val="100"/>
        </w:rPr>
        <w:t>向全体股东每</w:t>
      </w:r>
      <w:r>
        <w:rPr>
          <w:spacing w:val="-84"/>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2"/>
          <w:w w:val="100"/>
        </w:rPr>
        <w:t> </w:t>
      </w:r>
      <w:r>
        <w:rPr>
          <w:spacing w:val="17"/>
          <w:w w:val="100"/>
        </w:rPr>
        <w:t>股派发现金股利人民币</w:t>
      </w:r>
      <w:r>
        <w:rPr>
          <w:spacing w:val="-80"/>
          <w:w w:val="100"/>
        </w:rPr>
        <w:t> </w:t>
      </w:r>
      <w:r>
        <w:rPr>
          <w:rFonts w:ascii="Times New Roman" w:hAnsi="Times New Roman" w:cs="Times New Roman" w:eastAsia="Times New Roman" w:hint="default"/>
          <w:spacing w:val="-1"/>
          <w:w w:val="100"/>
        </w:rPr>
        <w:t>0.15</w:t>
      </w:r>
      <w:r>
        <w:rPr>
          <w:rFonts w:ascii="Times New Roman" w:hAnsi="Times New Roman" w:cs="Times New Roman" w:eastAsia="Times New Roman" w:hint="default"/>
          <w:spacing w:val="-32"/>
          <w:w w:val="100"/>
        </w:rPr>
        <w:t> </w:t>
      </w:r>
      <w:r>
        <w:rPr>
          <w:spacing w:val="9"/>
          <w:w w:val="100"/>
        </w:rPr>
        <w:t>元（</w:t>
      </w:r>
      <w:r>
        <w:rPr>
          <w:spacing w:val="-84"/>
          <w:w w:val="100"/>
        </w:rPr>
        <w:t> </w:t>
      </w:r>
      <w:r>
        <w:rPr>
          <w:spacing w:val="9"/>
          <w:w w:val="100"/>
        </w:rPr>
        <w:t>含税</w:t>
      </w:r>
      <w:r>
        <w:rPr>
          <w:spacing w:val="-82"/>
          <w:w w:val="100"/>
        </w:rPr>
        <w:t> </w:t>
      </w:r>
      <w:r>
        <w:rPr>
          <w:spacing w:val="-44"/>
          <w:w w:val="100"/>
        </w:rPr>
        <w:t>），</w:t>
      </w:r>
      <w:r>
        <w:rPr>
          <w:spacing w:val="-84"/>
          <w:w w:val="100"/>
        </w:rPr>
        <w:t> </w:t>
      </w:r>
      <w:r>
        <w:rPr>
          <w:spacing w:val="16"/>
          <w:w w:val="100"/>
        </w:rPr>
        <w:t>共计派发现金股利</w:t>
      </w:r>
    </w:p>
    <w:p>
      <w:pPr>
        <w:pStyle w:val="BodyText"/>
        <w:spacing w:line="240" w:lineRule="auto" w:before="35"/>
        <w:ind w:right="0"/>
        <w:jc w:val="left"/>
      </w:pPr>
      <w:r>
        <w:rPr>
          <w:rFonts w:ascii="Times New Roman" w:hAnsi="Times New Roman" w:cs="Times New Roman" w:eastAsia="Times New Roman" w:hint="default"/>
          <w:w w:val="100"/>
        </w:rPr>
        <w:t>6,679,</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73.</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spacing w:val="-1"/>
          <w:w w:val="100"/>
        </w:rPr>
        <w:t>5</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截至</w:t>
      </w:r>
      <w:r>
        <w:rPr>
          <w:spacing w:val="-3"/>
          <w:w w:val="100"/>
        </w:rPr>
        <w:t>本</w:t>
      </w:r>
      <w:r>
        <w:rPr>
          <w:w w:val="100"/>
        </w:rPr>
        <w:t>报</w:t>
      </w:r>
      <w:r>
        <w:rPr>
          <w:spacing w:val="-3"/>
          <w:w w:val="100"/>
        </w:rPr>
        <w:t>告</w:t>
      </w:r>
      <w:r>
        <w:rPr>
          <w:w w:val="100"/>
        </w:rPr>
        <w:t>披</w:t>
      </w:r>
      <w:r>
        <w:rPr>
          <w:spacing w:val="-3"/>
          <w:w w:val="100"/>
        </w:rPr>
        <w:t>露</w:t>
      </w:r>
      <w:r>
        <w:rPr>
          <w:w w:val="100"/>
        </w:rPr>
        <w:t>日</w:t>
      </w:r>
      <w:r>
        <w:rPr>
          <w:spacing w:val="-3"/>
          <w:w w:val="100"/>
        </w:rPr>
        <w:t>，</w:t>
      </w:r>
      <w:r>
        <w:rPr>
          <w:w w:val="100"/>
        </w:rPr>
        <w:t>公</w:t>
      </w:r>
      <w:r>
        <w:rPr>
          <w:spacing w:val="-2"/>
          <w:w w:val="100"/>
        </w:rPr>
        <w:t>司</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7</w:t>
      </w:r>
      <w:r>
        <w:rPr>
          <w:spacing w:val="-3"/>
          <w:w w:val="100"/>
        </w:rPr>
        <w:t>年</w:t>
      </w:r>
      <w:r>
        <w:rPr>
          <w:w w:val="100"/>
        </w:rPr>
        <w:t>度</w:t>
      </w:r>
      <w:r>
        <w:rPr>
          <w:spacing w:val="-3"/>
          <w:w w:val="100"/>
        </w:rPr>
        <w:t>权</w:t>
      </w:r>
      <w:r>
        <w:rPr>
          <w:w w:val="100"/>
        </w:rPr>
        <w:t>益</w:t>
      </w:r>
      <w:r>
        <w:rPr>
          <w:spacing w:val="-3"/>
          <w:w w:val="100"/>
        </w:rPr>
        <w:t>分</w:t>
      </w:r>
      <w:r>
        <w:rPr>
          <w:w w:val="100"/>
        </w:rPr>
        <w:t>派</w:t>
      </w:r>
      <w:r>
        <w:rPr>
          <w:spacing w:val="-3"/>
          <w:w w:val="100"/>
        </w:rPr>
        <w:t>方</w:t>
      </w:r>
      <w:r>
        <w:rPr>
          <w:w w:val="100"/>
        </w:rPr>
        <w:t>案</w:t>
      </w:r>
      <w:r>
        <w:rPr>
          <w:spacing w:val="-3"/>
          <w:w w:val="100"/>
        </w:rPr>
        <w:t>已实</w:t>
      </w:r>
      <w:r>
        <w:rPr>
          <w:w w:val="100"/>
        </w:rPr>
        <w:t>施完</w:t>
      </w:r>
      <w:r>
        <w:rPr>
          <w:spacing w:val="-3"/>
          <w:w w:val="100"/>
        </w:rPr>
        <w:t>毕</w:t>
      </w:r>
      <w:r>
        <w:rPr>
          <w:w w:val="100"/>
        </w:rPr>
        <w:t>。</w:t>
      </w:r>
    </w:p>
    <w:p>
      <w:pPr>
        <w:spacing w:line="240" w:lineRule="auto" w:before="6"/>
        <w:rPr>
          <w:rFonts w:ascii="宋体" w:hAnsi="宋体" w:cs="宋体" w:eastAsia="宋体" w:hint="default"/>
          <w:sz w:val="16"/>
          <w:szCs w:val="16"/>
        </w:rPr>
      </w:pPr>
    </w:p>
    <w:p>
      <w:pPr>
        <w:pStyle w:val="BodyText"/>
        <w:spacing w:line="393" w:lineRule="auto"/>
        <w:ind w:right="1126" w:firstLine="840"/>
        <w:jc w:val="both"/>
      </w:pPr>
      <w:r>
        <w:rPr/>
        <w:t>（四）公司于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日申请股票停牌，启动收购尊享汇（北京）品牌管理有限公司控股权</w:t>
      </w:r>
      <w:r>
        <w:rPr>
          <w:w w:val="100"/>
        </w:rPr>
        <w:t> </w:t>
      </w:r>
      <w:r>
        <w:rPr>
          <w:spacing w:val="-2"/>
        </w:rPr>
        <w:t>的发行股份购买资产事项。但因本次交易标的主体涉及境内和境外，且涉及交易对方旗下资产整合，预计</w:t>
      </w:r>
      <w:r>
        <w:rPr>
          <w:spacing w:val="-44"/>
        </w:rPr>
        <w:t> </w:t>
      </w:r>
      <w:r>
        <w:rPr>
          <w:spacing w:val="-44"/>
        </w:rPr>
      </w:r>
      <w:r>
        <w:rPr>
          <w:spacing w:val="-2"/>
        </w:rPr>
        <w:t>资产整合和股权结构调整时间较长，为避免对双方业务合作的影响，公司在审慎研究后，为维护全体股东</w:t>
      </w:r>
      <w:r>
        <w:rPr>
          <w:spacing w:val="-44"/>
        </w:rPr>
        <w:t> </w:t>
      </w:r>
      <w:r>
        <w:rPr>
          <w:spacing w:val="-44"/>
        </w:rPr>
      </w:r>
      <w:r>
        <w:rPr>
          <w:spacing w:val="-2"/>
        </w:rPr>
        <w:t>及公司利益，经交易双方友好协商，公司决定终止本次发行股份购买资产方案。由此，公司于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spacing w:val="-41"/>
        </w:rPr>
        <w:t> </w:t>
      </w:r>
      <w:r>
        <w:rPr>
          <w:rFonts w:ascii="Times New Roman" w:hAnsi="Times New Roman" w:cs="Times New Roman" w:eastAsia="Times New Roman" w:hint="default"/>
          <w:spacing w:val="-3"/>
          <w:w w:val="100"/>
        </w:rPr>
        <w:t>18</w:t>
      </w:r>
      <w:r>
        <w:rPr>
          <w:spacing w:val="-3"/>
          <w:w w:val="100"/>
        </w:rPr>
        <w:t>日召开第四届董事会第六次会议审议通过了《关于终止筹划发行股份购买资产事项的议案》，</w:t>
      </w:r>
      <w:r>
        <w:rPr>
          <w:spacing w:val="-3"/>
          <w:w w:val="100"/>
          <w:sz w:val="18"/>
          <w:szCs w:val="18"/>
        </w:rPr>
        <w:t>并根据相关</w:t>
      </w:r>
      <w:r>
        <w:rPr>
          <w:spacing w:val="-85"/>
          <w:w w:val="100"/>
          <w:sz w:val="18"/>
          <w:szCs w:val="18"/>
        </w:rPr>
        <w:t> </w:t>
      </w:r>
      <w:r>
        <w:rPr>
          <w:spacing w:val="-85"/>
          <w:w w:val="100"/>
          <w:sz w:val="18"/>
          <w:szCs w:val="18"/>
        </w:rPr>
      </w:r>
      <w:r>
        <w:rPr>
          <w:sz w:val="18"/>
          <w:szCs w:val="18"/>
        </w:rPr>
        <w:t>法律法规规定，公司向深交所提出申请，公司股票于</w:t>
      </w:r>
      <w:r>
        <w:rPr>
          <w:rFonts w:ascii="Times New Roman" w:hAnsi="Times New Roman" w:cs="Times New Roman" w:eastAsia="Times New Roman" w:hint="default"/>
          <w:sz w:val="18"/>
          <w:szCs w:val="18"/>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日开市起复牌。本次发行股份购买资产尚处在</w:t>
      </w:r>
      <w:r>
        <w:rPr>
          <w:spacing w:val="-19"/>
        </w:rPr>
        <w:t> </w:t>
      </w:r>
      <w:r>
        <w:rPr>
          <w:spacing w:val="-19"/>
        </w:rPr>
      </w:r>
      <w:r>
        <w:rPr/>
        <w:t>筹划阶段，现阶段终止本次交易，不会对上市公司发展战略及经营造成不利影响。</w:t>
      </w:r>
    </w:p>
    <w:p>
      <w:pPr>
        <w:pStyle w:val="BodyText"/>
        <w:spacing w:line="398" w:lineRule="auto" w:before="99"/>
        <w:ind w:right="1126" w:firstLine="736"/>
        <w:jc w:val="both"/>
      </w:pPr>
      <w:r>
        <w:rPr/>
        <w:t>（五）公司于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日召开第四届董事会第七次会议以及第四届监事会第五次会，审议拟</w:t>
      </w:r>
      <w:r>
        <w:rPr>
          <w:w w:val="100"/>
        </w:rPr>
        <w:t> </w:t>
      </w:r>
      <w:r>
        <w:rPr>
          <w:spacing w:val="-4"/>
        </w:rPr>
        <w:t>向瑞丰集团出售悦然心动</w:t>
      </w:r>
      <w:r>
        <w:rPr>
          <w:rFonts w:ascii="Times New Roman" w:hAnsi="Times New Roman" w:cs="Times New Roman" w:eastAsia="Times New Roman" w:hint="default"/>
          <w:spacing w:val="-4"/>
        </w:rPr>
        <w:t>100%</w:t>
      </w:r>
      <w:r>
        <w:rPr>
          <w:spacing w:val="-4"/>
        </w:rPr>
        <w:t>股权及总部大楼相关资产及负债的事项，并在</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22</w:t>
      </w:r>
      <w:r>
        <w:rPr>
          <w:spacing w:val="-4"/>
        </w:rPr>
        <w:t>日开始停牌。后 </w:t>
      </w:r>
      <w:r>
        <w:rPr>
          <w:spacing w:val="-2"/>
        </w:rPr>
        <w:t>因武汉悦然心动网络科技股份有限公司尚处于业绩对赌期，为切实保护上市公司全体股东及公司利益，公</w:t>
      </w:r>
      <w:r>
        <w:rPr>
          <w:spacing w:val="-44"/>
        </w:rPr>
        <w:t> </w:t>
      </w:r>
      <w:r>
        <w:rPr>
          <w:spacing w:val="-44"/>
        </w:rPr>
      </w:r>
      <w:r>
        <w:rPr>
          <w:spacing w:val="-2"/>
        </w:rPr>
        <w:t>司本着审慎的原则，经认真听取各方意见，并与相关各方充分沟通、调查论证后，最终决定将悦然心动从</w:t>
      </w:r>
      <w:r>
        <w:rPr>
          <w:spacing w:val="-50"/>
        </w:rPr>
        <w:t> </w:t>
      </w:r>
      <w:r>
        <w:rPr>
          <w:spacing w:val="-50"/>
        </w:rPr>
      </w:r>
      <w:r>
        <w:rPr>
          <w:spacing w:val="-2"/>
        </w:rPr>
        <w:t>交易标的中剔除并继续推进关于总部大楼资产出售事项。后续推进资产出售过程中，公司与控股股东瑞丰</w:t>
      </w:r>
      <w:r>
        <w:rPr>
          <w:spacing w:val="-43"/>
        </w:rPr>
        <w:t> </w:t>
      </w:r>
      <w:r>
        <w:rPr>
          <w:spacing w:val="-43"/>
        </w:rPr>
      </w:r>
      <w:r>
        <w:rPr>
          <w:spacing w:val="-2"/>
        </w:rPr>
        <w:t>集团一直就总部大楼相关资产的交易事宜进行商讨，但由于总部大厦不动产权属证件尚未办理完成，核心</w:t>
      </w:r>
      <w:r>
        <w:rPr>
          <w:spacing w:val="-43"/>
        </w:rPr>
        <w:t> </w:t>
      </w:r>
      <w:r>
        <w:rPr>
          <w:spacing w:val="-43"/>
        </w:rPr>
      </w:r>
      <w:r>
        <w:rPr>
          <w:spacing w:val="-2"/>
        </w:rPr>
        <w:t>交割条件短时间内暂无法满足。鉴于前述，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日经双方平等协商，一致同意终止总部大楼相关</w:t>
      </w:r>
      <w:r>
        <w:rPr>
          <w:spacing w:val="-38"/>
        </w:rPr>
        <w:t> </w:t>
      </w:r>
      <w:r>
        <w:rPr>
          <w:spacing w:val="-38"/>
        </w:rPr>
      </w:r>
      <w:r>
        <w:rPr/>
        <w:t>资产的交易事宜。</w:t>
      </w:r>
    </w:p>
    <w:p>
      <w:pPr>
        <w:spacing w:after="0" w:line="398" w:lineRule="auto"/>
        <w:jc w:val="both"/>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28"/>
        <w:gridCol w:w="823"/>
        <w:gridCol w:w="823"/>
        <w:gridCol w:w="824"/>
        <w:gridCol w:w="821"/>
        <w:gridCol w:w="823"/>
        <w:gridCol w:w="821"/>
        <w:gridCol w:w="823"/>
        <w:gridCol w:w="794"/>
        <w:gridCol w:w="792"/>
      </w:tblGrid>
      <w:tr>
        <w:trPr>
          <w:trHeight w:val="403" w:hRule="exact"/>
        </w:trPr>
        <w:tc>
          <w:tcPr>
            <w:tcW w:w="2228" w:type="dxa"/>
            <w:vMerge w:val="restart"/>
            <w:tcBorders>
              <w:top w:val="single" w:sz="4" w:space="0" w:color="933734"/>
              <w:left w:val="single" w:sz="4" w:space="0" w:color="933734"/>
              <w:right w:val="single" w:sz="4" w:space="0" w:color="933734"/>
            </w:tcBorders>
            <w:shd w:val="clear" w:color="auto" w:fill="E4B8B7"/>
          </w:tcPr>
          <w:p>
            <w:pPr/>
          </w:p>
        </w:tc>
        <w:tc>
          <w:tcPr>
            <w:tcW w:w="1646"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228" w:type="dxa"/>
            <w:vMerge/>
            <w:tcBorders>
              <w:left w:val="single" w:sz="4" w:space="0" w:color="933734"/>
              <w:bottom w:val="single" w:sz="4" w:space="0" w:color="933734"/>
              <w:right w:val="single" w:sz="4" w:space="0" w:color="933734"/>
            </w:tcBorders>
            <w:shd w:val="clear" w:color="auto" w:fill="E4B8B7"/>
          </w:tcPr>
          <w:p>
            <w:pPr/>
          </w:p>
        </w:tc>
        <w:tc>
          <w:tcPr>
            <w:tcW w:w="8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227" w:right="132"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189,524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,903</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42.56%</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113,714</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,941</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-62,430,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667</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51,284,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240,80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9,177</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33.80%</w:t>
            </w:r>
          </w:p>
        </w:tc>
      </w:tr>
      <w:tr>
        <w:trPr>
          <w:trHeight w:val="401"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189,524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,903</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42.56%</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113,714</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,941</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-62,430,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667</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51,284,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240,80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9,177</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33.80%</w:t>
            </w:r>
          </w:p>
        </w:tc>
      </w:tr>
      <w:tr>
        <w:trPr>
          <w:trHeight w:val="715"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42,063,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493</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9.45%</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25,238,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095</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-24,421,</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179</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816,916</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42,880,</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409</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6.02%</w:t>
            </w:r>
          </w:p>
        </w:tc>
      </w:tr>
      <w:tr>
        <w:trPr>
          <w:trHeight w:val="713"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147,461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,410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33.11%</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88,476,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846</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-38,009,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488</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50,467,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358</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197,92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8,768</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27.78%</w:t>
            </w:r>
          </w:p>
        </w:tc>
      </w:tr>
      <w:tr>
        <w:trPr>
          <w:trHeight w:val="403"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255,800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57.44%</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153,480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62,430,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667</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215,910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,667</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471,71</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0,667</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66.20%</w:t>
            </w:r>
          </w:p>
        </w:tc>
      </w:tr>
      <w:tr>
        <w:trPr>
          <w:trHeight w:val="715"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255,800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57.44%</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153,480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62,430,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667</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215,910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,667</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471,71</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0,667</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66.20%</w:t>
            </w:r>
          </w:p>
        </w:tc>
      </w:tr>
      <w:tr>
        <w:trPr>
          <w:trHeight w:val="401"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445,324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,903</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267,194</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,941</w:t>
            </w:r>
          </w:p>
        </w:tc>
        <w:tc>
          <w:tcPr>
            <w:tcW w:w="82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267,194</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,941</w:t>
            </w:r>
          </w:p>
        </w:tc>
        <w:tc>
          <w:tcPr>
            <w:tcW w:w="7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712,51</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9,844</w:t>
            </w:r>
          </w:p>
        </w:tc>
        <w:tc>
          <w:tcPr>
            <w:tcW w:w="7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股份变动的原因</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ind w:left="533" w:right="0"/>
        <w:jc w:val="left"/>
      </w:pPr>
      <w:r>
        <w:rPr>
          <w:rFonts w:ascii="Times New Roman" w:hAnsi="Times New Roman" w:cs="Times New Roman" w:eastAsia="Times New Roman" w:hint="default"/>
        </w:rPr>
        <w:t>1</w:t>
      </w:r>
      <w:r>
        <w:rPr/>
        <w:t>、公司实际控制人的一致行动人暨公司董事、总经理翁武强先生于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日通过深圳证券交易</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right="1129"/>
        <w:jc w:val="both"/>
      </w:pPr>
      <w:r>
        <w:rPr/>
        <w:t>所大宗交易系统减持公司股份数量</w:t>
      </w:r>
      <w:r>
        <w:rPr>
          <w:rFonts w:ascii="Times New Roman" w:hAnsi="Times New Roman" w:cs="Times New Roman" w:eastAsia="Times New Roman" w:hint="default"/>
        </w:rPr>
        <w:t>1,000,000</w:t>
      </w:r>
      <w:r>
        <w:rPr/>
        <w:t>股，翁武强先生持股总数变更为</w:t>
      </w:r>
      <w:r>
        <w:rPr>
          <w:rFonts w:ascii="Times New Roman" w:hAnsi="Times New Roman" w:cs="Times New Roman" w:eastAsia="Times New Roman" w:hint="default"/>
        </w:rPr>
        <w:t>11,000,000</w:t>
      </w:r>
      <w:r>
        <w:rPr/>
        <w:t>股，资本公积金转</w:t>
      </w:r>
      <w:r>
        <w:rPr>
          <w:spacing w:val="-24"/>
        </w:rPr>
        <w:t> </w:t>
      </w:r>
      <w:r>
        <w:rPr>
          <w:spacing w:val="-24"/>
        </w:rPr>
      </w:r>
      <w:r>
        <w:rPr/>
        <w:t>增股本后为</w:t>
      </w:r>
      <w:r>
        <w:rPr>
          <w:rFonts w:ascii="Times New Roman" w:hAnsi="Times New Roman" w:cs="Times New Roman" w:eastAsia="Times New Roman" w:hint="default"/>
        </w:rPr>
        <w:t>17,600,000</w:t>
      </w:r>
      <w:r>
        <w:rPr/>
        <w:t>股，其中高管锁定股份由</w:t>
      </w:r>
      <w:r>
        <w:rPr>
          <w:rFonts w:ascii="Times New Roman" w:hAnsi="Times New Roman" w:cs="Times New Roman" w:eastAsia="Times New Roman" w:hint="default"/>
        </w:rPr>
        <w:t>9,000,000</w:t>
      </w:r>
      <w:r>
        <w:rPr/>
        <w:t>股变更为</w:t>
      </w:r>
      <w:r>
        <w:rPr>
          <w:rFonts w:ascii="Times New Roman" w:hAnsi="Times New Roman" w:cs="Times New Roman" w:eastAsia="Times New Roman" w:hint="default"/>
        </w:rPr>
        <w:t>13,200,000</w:t>
      </w:r>
      <w:r>
        <w:rPr/>
        <w:t>股。</w:t>
      </w:r>
    </w:p>
    <w:p>
      <w:pPr>
        <w:pStyle w:val="BodyText"/>
        <w:spacing w:line="393" w:lineRule="auto" w:before="76"/>
        <w:ind w:right="1126" w:firstLine="420"/>
        <w:jc w:val="both"/>
      </w:pPr>
      <w:r>
        <w:rPr>
          <w:rFonts w:ascii="Times New Roman" w:hAnsi="Times New Roman" w:cs="Times New Roman" w:eastAsia="Times New Roman" w:hint="default"/>
          <w:spacing w:val="-4"/>
          <w:w w:val="100"/>
        </w:rPr>
        <w:t>2</w:t>
      </w:r>
      <w:r>
        <w:rPr>
          <w:spacing w:val="-4"/>
          <w:w w:val="100"/>
        </w:rPr>
        <w:t>、公司于</w:t>
      </w:r>
      <w:r>
        <w:rPr>
          <w:rFonts w:ascii="Times New Roman" w:hAnsi="Times New Roman" w:cs="Times New Roman" w:eastAsia="Times New Roman" w:hint="default"/>
          <w:spacing w:val="-4"/>
          <w:w w:val="100"/>
        </w:rPr>
        <w:t>2016</w:t>
      </w:r>
      <w:r>
        <w:rPr>
          <w:spacing w:val="-4"/>
          <w:w w:val="100"/>
        </w:rPr>
        <w:t>年</w:t>
      </w:r>
      <w:r>
        <w:rPr>
          <w:rFonts w:ascii="Times New Roman" w:hAnsi="Times New Roman" w:cs="Times New Roman" w:eastAsia="Times New Roman" w:hint="default"/>
          <w:spacing w:val="-4"/>
          <w:w w:val="100"/>
        </w:rPr>
        <w:t>8</w:t>
      </w:r>
      <w:r>
        <w:rPr>
          <w:spacing w:val="-4"/>
          <w:w w:val="100"/>
        </w:rPr>
        <w:t>月</w:t>
      </w:r>
      <w:r>
        <w:rPr>
          <w:rFonts w:ascii="Times New Roman" w:hAnsi="Times New Roman" w:cs="Times New Roman" w:eastAsia="Times New Roman" w:hint="default"/>
          <w:spacing w:val="-4"/>
          <w:w w:val="100"/>
        </w:rPr>
        <w:t>3</w:t>
      </w:r>
      <w:r>
        <w:rPr>
          <w:spacing w:val="-4"/>
          <w:w w:val="100"/>
        </w:rPr>
        <w:t>日发布《关于公司董事、副总经理辞职的公告》，董事会于</w:t>
      </w:r>
      <w:r>
        <w:rPr>
          <w:rFonts w:ascii="Times New Roman" w:hAnsi="Times New Roman" w:cs="Times New Roman" w:eastAsia="Times New Roman" w:hint="default"/>
          <w:spacing w:val="-4"/>
          <w:w w:val="100"/>
        </w:rPr>
        <w:t>2016</w:t>
      </w:r>
      <w:r>
        <w:rPr>
          <w:spacing w:val="-4"/>
          <w:w w:val="100"/>
        </w:rPr>
        <w:t>年</w:t>
      </w:r>
      <w:r>
        <w:rPr>
          <w:rFonts w:ascii="Times New Roman" w:hAnsi="Times New Roman" w:cs="Times New Roman" w:eastAsia="Times New Roman" w:hint="default"/>
          <w:spacing w:val="-4"/>
          <w:w w:val="100"/>
        </w:rPr>
        <w:t>8</w:t>
      </w:r>
      <w:r>
        <w:rPr>
          <w:spacing w:val="-4"/>
          <w:w w:val="100"/>
        </w:rPr>
        <w:t>月</w:t>
      </w:r>
      <w:r>
        <w:rPr>
          <w:rFonts w:ascii="Times New Roman" w:hAnsi="Times New Roman" w:cs="Times New Roman" w:eastAsia="Times New Roman" w:hint="default"/>
          <w:spacing w:val="-4"/>
          <w:w w:val="100"/>
        </w:rPr>
        <w:t>2</w:t>
      </w:r>
      <w:r>
        <w:rPr>
          <w:spacing w:val="-4"/>
          <w:w w:val="100"/>
        </w:rPr>
        <w:t>日收到公</w:t>
      </w:r>
      <w:r>
        <w:rPr>
          <w:w w:val="100"/>
        </w:rPr>
        <w:t> </w:t>
      </w:r>
      <w:r>
        <w:rPr>
          <w:spacing w:val="-2"/>
        </w:rPr>
        <w:t>司董事兼副总经理杨厚威先生、董事翁武游先生递交的书面辞职报告，上述二人的辞职申请自其辞职报告</w:t>
      </w:r>
      <w:r>
        <w:rPr>
          <w:spacing w:val="-42"/>
        </w:rPr>
        <w:t> </w:t>
      </w:r>
      <w:r>
        <w:rPr>
          <w:spacing w:val="-42"/>
        </w:rPr>
      </w:r>
      <w:r>
        <w:rPr>
          <w:spacing w:val="-6"/>
        </w:rPr>
        <w:t>送达董事会时生效。原任期届满后，翁武游先生持有公司</w:t>
      </w:r>
      <w:r>
        <w:rPr>
          <w:rFonts w:ascii="Times New Roman" w:hAnsi="Times New Roman" w:cs="Times New Roman" w:eastAsia="Times New Roman" w:hint="default"/>
          <w:spacing w:val="-6"/>
        </w:rPr>
        <w:t>12,000,000</w:t>
      </w:r>
      <w:r>
        <w:rPr>
          <w:spacing w:val="-6"/>
        </w:rPr>
        <w:t>股（资本公积金转增股本后为</w:t>
      </w:r>
      <w:r>
        <w:rPr>
          <w:rFonts w:ascii="Times New Roman" w:hAnsi="Times New Roman" w:cs="Times New Roman" w:eastAsia="Times New Roman" w:hint="default"/>
          <w:spacing w:val="-6"/>
        </w:rPr>
        <w:t>19,200,000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4"/>
          <w:w w:val="100"/>
        </w:rPr>
        <w:t>股）、杨厚威先生持有公司</w:t>
      </w:r>
      <w:r>
        <w:rPr>
          <w:rFonts w:ascii="Times New Roman" w:hAnsi="Times New Roman" w:cs="Times New Roman" w:eastAsia="Times New Roman" w:hint="default"/>
          <w:spacing w:val="-4"/>
          <w:w w:val="100"/>
        </w:rPr>
        <w:t>5,400,000</w:t>
      </w:r>
      <w:r>
        <w:rPr>
          <w:spacing w:val="-4"/>
          <w:w w:val="100"/>
        </w:rPr>
        <w:t>股（资本公积金转增股本后为</w:t>
      </w:r>
      <w:r>
        <w:rPr>
          <w:rFonts w:ascii="Times New Roman" w:hAnsi="Times New Roman" w:cs="Times New Roman" w:eastAsia="Times New Roman" w:hint="default"/>
          <w:spacing w:val="-4"/>
          <w:w w:val="100"/>
        </w:rPr>
        <w:t>8,640,000</w:t>
      </w:r>
      <w:r>
        <w:rPr>
          <w:spacing w:val="-4"/>
          <w:w w:val="100"/>
        </w:rPr>
        <w:t>股）已全部解除限售。</w:t>
      </w:r>
    </w:p>
    <w:p>
      <w:pPr>
        <w:pStyle w:val="BodyText"/>
        <w:spacing w:line="386" w:lineRule="auto" w:before="67"/>
        <w:ind w:right="1126" w:firstLine="420"/>
        <w:jc w:val="both"/>
      </w:pP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2017</w:t>
      </w:r>
      <w:r>
        <w:rPr>
          <w:spacing w:val="-2"/>
        </w:rPr>
        <w:t>年年度股东大会以及第四届第三次董事会审议通过《关于公司</w:t>
      </w:r>
      <w:r>
        <w:rPr>
          <w:rFonts w:ascii="Times New Roman" w:hAnsi="Times New Roman" w:cs="Times New Roman" w:eastAsia="Times New Roman" w:hint="default"/>
          <w:spacing w:val="-2"/>
        </w:rPr>
        <w:t>&lt;2017</w:t>
      </w:r>
      <w:r>
        <w:rPr>
          <w:spacing w:val="-2"/>
        </w:rPr>
        <w:t>年度利润分配及资本</w:t>
      </w:r>
      <w:r>
        <w:rPr>
          <w:w w:val="100"/>
        </w:rPr>
        <w:t> </w:t>
      </w:r>
      <w:r>
        <w:rPr>
          <w:spacing w:val="8"/>
          <w:w w:val="100"/>
        </w:rPr>
        <w:t>公积转增股本预案</w:t>
      </w:r>
      <w:r>
        <w:rPr>
          <w:rFonts w:ascii="Times New Roman" w:hAnsi="Times New Roman" w:cs="Times New Roman" w:eastAsia="Times New Roman" w:hint="default"/>
          <w:spacing w:val="8"/>
          <w:w w:val="100"/>
        </w:rPr>
        <w:t>&gt;</w:t>
      </w:r>
      <w:r>
        <w:rPr>
          <w:spacing w:val="8"/>
          <w:w w:val="100"/>
        </w:rPr>
        <w:t>的议案》，此次权益分派方案的具体内容为：以截至</w:t>
      </w:r>
      <w:r>
        <w:rPr>
          <w:spacing w:val="-73"/>
          <w:w w:val="100"/>
        </w:rPr>
        <w:t> </w:t>
      </w:r>
      <w:r>
        <w:rPr>
          <w:rFonts w:ascii="Times New Roman" w:hAnsi="Times New Roman" w:cs="Times New Roman" w:eastAsia="Times New Roman" w:hint="default"/>
          <w:spacing w:val="7"/>
          <w:w w:val="100"/>
        </w:rPr>
        <w:t>2017</w:t>
      </w:r>
      <w:r>
        <w:rPr>
          <w:spacing w:val="7"/>
          <w:w w:val="100"/>
        </w:rPr>
        <w:t>年</w:t>
      </w:r>
      <w:r>
        <w:rPr>
          <w:rFonts w:ascii="Times New Roman" w:hAnsi="Times New Roman" w:cs="Times New Roman" w:eastAsia="Times New Roman" w:hint="default"/>
          <w:spacing w:val="7"/>
          <w:w w:val="100"/>
        </w:rPr>
        <w:t>12</w:t>
      </w:r>
      <w:r>
        <w:rPr>
          <w:spacing w:val="7"/>
          <w:w w:val="100"/>
        </w:rPr>
        <w:t>月</w:t>
      </w:r>
      <w:r>
        <w:rPr>
          <w:rFonts w:ascii="Times New Roman" w:hAnsi="Times New Roman" w:cs="Times New Roman" w:eastAsia="Times New Roman" w:hint="default"/>
          <w:spacing w:val="7"/>
          <w:w w:val="100"/>
        </w:rPr>
        <w:t>31</w:t>
      </w:r>
      <w:r>
        <w:rPr>
          <w:spacing w:val="7"/>
          <w:w w:val="100"/>
        </w:rPr>
        <w:t>日公司总股本</w:t>
      </w:r>
      <w:r>
        <w:rPr>
          <w:spacing w:val="-87"/>
          <w:w w:val="100"/>
        </w:rPr>
        <w:t> </w:t>
      </w:r>
      <w:r>
        <w:rPr>
          <w:spacing w:val="-87"/>
          <w:w w:val="100"/>
        </w:rPr>
      </w:r>
      <w:r>
        <w:rPr>
          <w:rFonts w:ascii="Times New Roman" w:hAnsi="Times New Roman" w:cs="Times New Roman" w:eastAsia="Times New Roman" w:hint="default"/>
        </w:rPr>
        <w:t>445,324,903</w:t>
      </w:r>
      <w:r>
        <w:rPr>
          <w:rFonts w:ascii="Times New Roman" w:hAnsi="Times New Roman" w:cs="Times New Roman" w:eastAsia="Times New Roman" w:hint="default"/>
          <w:spacing w:val="-7"/>
        </w:rPr>
        <w:t> </w:t>
      </w:r>
      <w:r>
        <w:rPr>
          <w:spacing w:val="15"/>
        </w:rPr>
        <w:t>股为基数，以资本公积金向股权登记日登记在册的全体股东每</w:t>
      </w:r>
      <w:r>
        <w:rPr>
          <w:spacing w:val="-46"/>
        </w:rPr>
        <w:t> </w:t>
      </w:r>
      <w:r>
        <w:rPr>
          <w:rFonts w:ascii="Times New Roman" w:hAnsi="Times New Roman" w:cs="Times New Roman" w:eastAsia="Times New Roman" w:hint="default"/>
          <w:spacing w:val="10"/>
        </w:rPr>
        <w:t>10</w:t>
      </w:r>
      <w:r>
        <w:rPr>
          <w:spacing w:val="10"/>
        </w:rPr>
        <w:t>股转增</w:t>
      </w:r>
      <w:r>
        <w:rPr>
          <w:rFonts w:ascii="Times New Roman" w:hAnsi="Times New Roman" w:cs="Times New Roman" w:eastAsia="Times New Roman" w:hint="default"/>
          <w:spacing w:val="10"/>
        </w:rPr>
        <w:t>6</w:t>
      </w:r>
      <w:r>
        <w:rPr>
          <w:rFonts w:ascii="Times New Roman" w:hAnsi="Times New Roman" w:cs="Times New Roman" w:eastAsia="Times New Roman" w:hint="default"/>
          <w:spacing w:val="-7"/>
        </w:rPr>
        <w:t> </w:t>
      </w:r>
      <w:r>
        <w:rPr>
          <w:spacing w:val="13"/>
        </w:rPr>
        <w:t>股，共计转增</w:t>
      </w:r>
    </w:p>
    <w:p>
      <w:pPr>
        <w:pStyle w:val="BodyText"/>
        <w:spacing w:line="386" w:lineRule="auto" w:before="35"/>
        <w:ind w:right="1127"/>
        <w:jc w:val="both"/>
      </w:pPr>
      <w:r>
        <w:rPr>
          <w:rFonts w:ascii="Times New Roman" w:hAnsi="Times New Roman" w:cs="Times New Roman" w:eastAsia="Times New Roman" w:hint="default"/>
          <w:spacing w:val="-2"/>
        </w:rPr>
        <w:t>267,194,941</w:t>
      </w:r>
      <w:r>
        <w:rPr>
          <w:spacing w:val="-2"/>
        </w:rPr>
        <w:t>股，转增后公司总股本将增加至</w:t>
      </w:r>
      <w:r>
        <w:rPr>
          <w:rFonts w:ascii="Times New Roman" w:hAnsi="Times New Roman" w:cs="Times New Roman" w:eastAsia="Times New Roman" w:hint="default"/>
          <w:spacing w:val="-2"/>
        </w:rPr>
        <w:t>712,519,844</w:t>
      </w:r>
      <w:r>
        <w:rPr>
          <w:spacing w:val="-2"/>
        </w:rPr>
        <w:t>；同时以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445,324,903</w:t>
      </w:r>
      <w:r>
        <w:rPr>
          <w:spacing w:val="-2"/>
        </w:rPr>
        <w:t>股 </w:t>
      </w:r>
      <w:r>
        <w:rPr>
          <w:spacing w:val="-9"/>
          <w:w w:val="100"/>
        </w:rPr>
        <w:t>为基数，向全体股东每</w:t>
      </w:r>
      <w:r>
        <w:rPr>
          <w:rFonts w:ascii="Times New Roman" w:hAnsi="Times New Roman" w:cs="Times New Roman" w:eastAsia="Times New Roman" w:hint="default"/>
          <w:spacing w:val="-9"/>
          <w:w w:val="100"/>
        </w:rPr>
        <w:t>10</w:t>
      </w:r>
      <w:r>
        <w:rPr>
          <w:spacing w:val="-9"/>
          <w:w w:val="100"/>
        </w:rPr>
        <w:t>股派发现金股利人民币</w:t>
      </w:r>
      <w:r>
        <w:rPr>
          <w:rFonts w:ascii="Times New Roman" w:hAnsi="Times New Roman" w:cs="Times New Roman" w:eastAsia="Times New Roman" w:hint="default"/>
          <w:spacing w:val="-9"/>
          <w:w w:val="100"/>
        </w:rPr>
        <w:t>0.15</w:t>
      </w:r>
      <w:r>
        <w:rPr>
          <w:spacing w:val="-9"/>
          <w:w w:val="100"/>
        </w:rPr>
        <w:t>元（含税），共计派发现金股利</w:t>
      </w:r>
      <w:r>
        <w:rPr>
          <w:rFonts w:ascii="Times New Roman" w:hAnsi="Times New Roman" w:cs="Times New Roman" w:eastAsia="Times New Roman" w:hint="default"/>
          <w:spacing w:val="-9"/>
          <w:w w:val="100"/>
        </w:rPr>
        <w:t>6,679,873.55</w:t>
      </w:r>
      <w:r>
        <w:rPr>
          <w:spacing w:val="-9"/>
          <w:w w:val="100"/>
        </w:rPr>
        <w:t>元（含税）。</w:t>
      </w:r>
      <w:r>
        <w:rPr>
          <w:spacing w:val="-98"/>
          <w:w w:val="100"/>
        </w:rPr>
        <w:t> </w:t>
      </w:r>
      <w:r>
        <w:rPr>
          <w:spacing w:val="-98"/>
          <w:w w:val="100"/>
        </w:rPr>
      </w:r>
      <w:r>
        <w:rPr>
          <w:spacing w:val="12"/>
        </w:rPr>
        <w:t>截至本报告披露日，公司</w:t>
      </w:r>
      <w:r>
        <w:rPr>
          <w:spacing w:val="-54"/>
        </w:rPr>
        <w:t> </w:t>
      </w:r>
      <w:r>
        <w:rPr>
          <w:rFonts w:ascii="Times New Roman" w:hAnsi="Times New Roman" w:cs="Times New Roman" w:eastAsia="Times New Roman" w:hint="default"/>
          <w:spacing w:val="11"/>
        </w:rPr>
        <w:t>2017</w:t>
      </w:r>
      <w:r>
        <w:rPr>
          <w:spacing w:val="11"/>
        </w:rPr>
        <w:t>年度权益分派方案已实施完毕，公司股份总数由</w:t>
      </w:r>
      <w:r>
        <w:rPr>
          <w:spacing w:val="-48"/>
        </w:rPr>
        <w:t> </w:t>
      </w:r>
      <w:r>
        <w:rPr>
          <w:rFonts w:ascii="Times New Roman" w:hAnsi="Times New Roman" w:cs="Times New Roman" w:eastAsia="Times New Roman" w:hint="default"/>
          <w:spacing w:val="3"/>
        </w:rPr>
        <w:t>445,324,903</w:t>
      </w:r>
      <w:r>
        <w:rPr>
          <w:spacing w:val="3"/>
        </w:rPr>
        <w:t>股增加至</w:t>
      </w:r>
      <w:r>
        <w:rPr>
          <w:spacing w:val="-68"/>
        </w:rPr>
        <w:t> </w:t>
      </w:r>
      <w:r>
        <w:rPr>
          <w:spacing w:val="-68"/>
        </w:rPr>
      </w:r>
      <w:r>
        <w:rPr>
          <w:rFonts w:ascii="Times New Roman" w:hAnsi="Times New Roman" w:cs="Times New Roman" w:eastAsia="Times New Roman" w:hint="default"/>
        </w:rPr>
        <w:t>712,519,844</w:t>
      </w:r>
      <w:r>
        <w:rPr/>
        <w:t>股。</w:t>
      </w:r>
    </w:p>
    <w:p>
      <w:pPr>
        <w:pStyle w:val="BodyText"/>
        <w:spacing w:line="386" w:lineRule="auto" w:before="76"/>
        <w:ind w:right="1128" w:firstLine="420"/>
        <w:jc w:val="both"/>
      </w:pPr>
      <w:r>
        <w:rPr>
          <w:rFonts w:ascii="Times New Roman" w:hAnsi="Times New Roman" w:cs="Times New Roman" w:eastAsia="Times New Roman" w:hint="default"/>
          <w:spacing w:val="-4"/>
          <w:w w:val="100"/>
        </w:rPr>
        <w:t>4</w:t>
      </w:r>
      <w:r>
        <w:rPr>
          <w:spacing w:val="-4"/>
          <w:w w:val="100"/>
        </w:rPr>
        <w:t>、根据公司与悦然心动原全体股东签署的《发行股份及现金购买资产协议》，至</w:t>
      </w: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6</w:t>
      </w:r>
      <w:r>
        <w:rPr>
          <w:spacing w:val="-4"/>
          <w:w w:val="100"/>
        </w:rPr>
        <w:t>月</w:t>
      </w:r>
      <w:r>
        <w:rPr>
          <w:rFonts w:ascii="Times New Roman" w:hAnsi="Times New Roman" w:cs="Times New Roman" w:eastAsia="Times New Roman" w:hint="default"/>
          <w:spacing w:val="-4"/>
          <w:w w:val="100"/>
        </w:rPr>
        <w:t>9</w:t>
      </w:r>
      <w:r>
        <w:rPr>
          <w:spacing w:val="-4"/>
          <w:w w:val="100"/>
        </w:rPr>
        <w:t>日股份限</w:t>
      </w:r>
      <w:r>
        <w:rPr>
          <w:w w:val="100"/>
        </w:rPr>
        <w:t> </w:t>
      </w:r>
      <w:r>
        <w:rPr>
          <w:spacing w:val="-2"/>
        </w:rPr>
        <w:t>售期已满</w:t>
      </w:r>
      <w:r>
        <w:rPr>
          <w:rFonts w:ascii="Times New Roman" w:hAnsi="Times New Roman" w:cs="Times New Roman" w:eastAsia="Times New Roman" w:hint="default"/>
          <w:spacing w:val="-2"/>
        </w:rPr>
        <w:t>12</w:t>
      </w:r>
      <w:r>
        <w:rPr>
          <w:spacing w:val="-2"/>
        </w:rPr>
        <w:t>个月。根据股东性质和业绩达成情况，分期比例解锁，第一期解锁条件已经符合。本次解除限</w:t>
      </w:r>
      <w:r>
        <w:rPr>
          <w:spacing w:val="-49"/>
        </w:rPr>
        <w:t> </w:t>
      </w:r>
      <w:r>
        <w:rPr>
          <w:spacing w:val="-49"/>
        </w:rPr>
      </w:r>
      <w:r>
        <w:rPr>
          <w:spacing w:val="-4"/>
        </w:rPr>
        <w:t>售股份的数量为</w:t>
      </w:r>
      <w:r>
        <w:rPr>
          <w:rFonts w:ascii="Times New Roman" w:hAnsi="Times New Roman" w:cs="Times New Roman" w:eastAsia="Times New Roman" w:hint="default"/>
          <w:spacing w:val="-4"/>
        </w:rPr>
        <w:t>9,966,098</w:t>
      </w:r>
      <w:r>
        <w:rPr>
          <w:spacing w:val="-4"/>
        </w:rPr>
        <w:t>股，占公司总股本</w:t>
      </w:r>
      <w:r>
        <w:rPr>
          <w:rFonts w:ascii="Times New Roman" w:hAnsi="Times New Roman" w:cs="Times New Roman" w:eastAsia="Times New Roman" w:hint="default"/>
          <w:spacing w:val="-4"/>
        </w:rPr>
        <w:t>1.3987%</w:t>
      </w:r>
      <w:r>
        <w:rPr>
          <w:spacing w:val="-4"/>
        </w:rPr>
        <w:t>，本次申请解除限售的股东为</w:t>
      </w:r>
      <w:r>
        <w:rPr>
          <w:rFonts w:ascii="Times New Roman" w:hAnsi="Times New Roman" w:cs="Times New Roman" w:eastAsia="Times New Roman" w:hint="default"/>
          <w:spacing w:val="-4"/>
        </w:rPr>
        <w:t>6</w:t>
      </w:r>
      <w:r>
        <w:rPr>
          <w:spacing w:val="-4"/>
        </w:rPr>
        <w:t>名，其中法人股东</w:t>
      </w:r>
      <w:r>
        <w:rPr>
          <w:rFonts w:ascii="Times New Roman" w:hAnsi="Times New Roman" w:cs="Times New Roman" w:eastAsia="Times New Roman" w:hint="default"/>
          <w:spacing w:val="-4"/>
        </w:rPr>
        <w:t>1</w:t>
      </w:r>
      <w:r>
        <w:rPr>
          <w:spacing w:val="-4"/>
        </w:rPr>
        <w:t>名，</w:t>
      </w:r>
      <w:r>
        <w:rPr>
          <w:spacing w:val="-35"/>
        </w:rPr>
        <w:t> </w:t>
      </w:r>
      <w:r>
        <w:rPr/>
        <w:t>自然人股东</w:t>
      </w:r>
      <w:r>
        <w:rPr>
          <w:rFonts w:ascii="Times New Roman" w:hAnsi="Times New Roman" w:cs="Times New Roman" w:eastAsia="Times New Roman" w:hint="default"/>
        </w:rPr>
        <w:t>5</w:t>
      </w:r>
      <w:r>
        <w:rPr/>
        <w:t>名。</w:t>
      </w:r>
    </w:p>
    <w:p>
      <w:pPr>
        <w:pStyle w:val="BodyText"/>
        <w:spacing w:line="386" w:lineRule="auto" w:before="76"/>
        <w:ind w:right="1128" w:firstLine="420"/>
        <w:jc w:val="both"/>
      </w:pPr>
      <w:r>
        <w:rPr>
          <w:rFonts w:ascii="Times New Roman" w:hAnsi="Times New Roman" w:cs="Times New Roman" w:eastAsia="Times New Roman" w:hint="default"/>
        </w:rPr>
        <w:t>5</w:t>
      </w:r>
      <w:r>
        <w:rPr/>
        <w:t>、根据公司与上海庞增投资管理中心（有限合伙）出具的《关于在一定期限内不转让摩登大道时尚</w:t>
      </w:r>
      <w:r>
        <w:rPr>
          <w:w w:val="100"/>
        </w:rPr>
        <w:t> </w:t>
      </w:r>
      <w:r>
        <w:rPr>
          <w:spacing w:val="-2"/>
          <w:w w:val="100"/>
        </w:rPr>
        <w:t>集团股份有限公司募集配套资金之非公开发行股票所认购股份的承诺函及股份锁定申请》，至</w:t>
      </w:r>
      <w:r>
        <w:rPr>
          <w:rFonts w:ascii="Times New Roman" w:hAnsi="Times New Roman" w:cs="Times New Roman" w:eastAsia="Times New Roman" w:hint="default"/>
          <w:spacing w:val="-2"/>
          <w:w w:val="100"/>
        </w:rPr>
        <w:t>2018</w:t>
      </w:r>
      <w:r>
        <w:rPr>
          <w:spacing w:val="-2"/>
          <w:w w:val="100"/>
        </w:rPr>
        <w:t>年</w:t>
      </w:r>
      <w:r>
        <w:rPr>
          <w:rFonts w:ascii="Times New Roman" w:hAnsi="Times New Roman" w:cs="Times New Roman" w:eastAsia="Times New Roman" w:hint="default"/>
          <w:spacing w:val="-2"/>
          <w:w w:val="100"/>
        </w:rPr>
        <w:t>9</w:t>
      </w:r>
      <w:r>
        <w:rPr>
          <w:spacing w:val="-2"/>
          <w:w w:val="100"/>
        </w:rPr>
        <w:t>月</w:t>
      </w:r>
      <w:r>
        <w:rPr>
          <w:rFonts w:ascii="Times New Roman" w:hAnsi="Times New Roman" w:cs="Times New Roman" w:eastAsia="Times New Roman" w:hint="default"/>
          <w:spacing w:val="-2"/>
          <w:w w:val="100"/>
        </w:rPr>
        <w:t>4</w:t>
      </w:r>
      <w:r>
        <w:rPr>
          <w:rFonts w:ascii="Times New Roman" w:hAnsi="Times New Roman" w:cs="Times New Roman" w:eastAsia="Times New Roman" w:hint="default"/>
          <w:spacing w:val="-31"/>
          <w:w w:val="100"/>
        </w:rPr>
        <w:t> </w:t>
      </w:r>
      <w:r>
        <w:rPr>
          <w:spacing w:val="-3"/>
        </w:rPr>
        <w:t>日股份限售期已满</w:t>
      </w:r>
      <w:r>
        <w:rPr>
          <w:rFonts w:ascii="Times New Roman" w:hAnsi="Times New Roman" w:cs="Times New Roman" w:eastAsia="Times New Roman" w:hint="default"/>
          <w:spacing w:val="-3"/>
        </w:rPr>
        <w:t>12</w:t>
      </w:r>
      <w:r>
        <w:rPr>
          <w:spacing w:val="-3"/>
        </w:rPr>
        <w:t>个月。本次解除限售股份的数量为</w:t>
      </w:r>
      <w:r>
        <w:rPr>
          <w:rFonts w:ascii="Times New Roman" w:hAnsi="Times New Roman" w:cs="Times New Roman" w:eastAsia="Times New Roman" w:hint="default"/>
          <w:spacing w:val="-3"/>
        </w:rPr>
        <w:t>23,424,569</w:t>
      </w:r>
      <w:r>
        <w:rPr>
          <w:spacing w:val="-3"/>
        </w:rPr>
        <w:t>股</w:t>
      </w:r>
      <w:r>
        <w:rPr>
          <w:rFonts w:ascii="Times New Roman" w:hAnsi="Times New Roman" w:cs="Times New Roman" w:eastAsia="Times New Roman" w:hint="default"/>
          <w:spacing w:val="-3"/>
        </w:rPr>
        <w:t>,</w:t>
      </w:r>
      <w:r>
        <w:rPr>
          <w:spacing w:val="-3"/>
        </w:rPr>
        <w:t>占公司总股份</w:t>
      </w:r>
      <w:r>
        <w:rPr>
          <w:rFonts w:ascii="Times New Roman" w:hAnsi="Times New Roman" w:cs="Times New Roman" w:eastAsia="Times New Roman" w:hint="default"/>
          <w:spacing w:val="-3"/>
        </w:rPr>
        <w:t>3.2876%</w:t>
      </w:r>
      <w:r>
        <w:rPr>
          <w:spacing w:val="-3"/>
        </w:rPr>
        <w:t>。本次申请解除</w:t>
      </w:r>
      <w:r>
        <w:rPr>
          <w:spacing w:val="-39"/>
        </w:rPr>
        <w:t> </w:t>
      </w:r>
      <w:r>
        <w:rPr>
          <w:spacing w:val="-39"/>
        </w:rPr>
      </w:r>
      <w:r>
        <w:rPr/>
        <w:t>限售的股东为</w:t>
      </w:r>
      <w:r>
        <w:rPr>
          <w:rFonts w:ascii="Times New Roman" w:hAnsi="Times New Roman" w:cs="Times New Roman" w:eastAsia="Times New Roman" w:hint="default"/>
        </w:rPr>
        <w:t>1</w:t>
      </w:r>
      <w:r>
        <w:rPr/>
        <w:t>名法人股东。</w:t>
      </w:r>
    </w:p>
    <w:p>
      <w:pPr>
        <w:spacing w:before="97"/>
        <w:ind w:left="113" w:right="0" w:firstLine="0"/>
        <w:jc w:val="both"/>
        <w:rPr>
          <w:rFonts w:ascii="宋体" w:hAnsi="宋体" w:cs="宋体" w:eastAsia="宋体" w:hint="default"/>
          <w:sz w:val="18"/>
          <w:szCs w:val="18"/>
        </w:rPr>
      </w:pPr>
      <w:r>
        <w:rPr>
          <w:rFonts w:ascii="宋体" w:hAnsi="宋体" w:cs="宋体" w:eastAsia="宋体" w:hint="default"/>
          <w:b/>
          <w:bCs/>
          <w:sz w:val="18"/>
          <w:szCs w:val="18"/>
        </w:rPr>
        <w:t>股份变动的批准情况</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line="441" w:lineRule="auto" w:before="0"/>
        <w:ind w:left="113" w:right="912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股份变动的过户情况</w:t>
      </w:r>
      <w:r>
        <w:rPr>
          <w:rFonts w:ascii="宋体" w:hAnsi="宋体" w:cs="宋体" w:eastAsia="宋体" w:hint="default"/>
          <w:sz w:val="18"/>
          <w:szCs w:val="18"/>
        </w:rPr>
      </w:r>
    </w:p>
    <w:p>
      <w:pPr>
        <w:spacing w:before="40"/>
        <w:ind w:left="113"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386" w:lineRule="auto"/>
        <w:ind w:right="1126" w:firstLine="420"/>
        <w:jc w:val="both"/>
      </w:pPr>
      <w:r>
        <w:rPr/>
        <w:t>公司</w:t>
      </w:r>
      <w:r>
        <w:rPr>
          <w:rFonts w:ascii="Times New Roman" w:hAnsi="Times New Roman" w:cs="Times New Roman" w:eastAsia="Times New Roman" w:hint="default"/>
        </w:rPr>
        <w:t>2017</w:t>
      </w:r>
      <w:r>
        <w:rPr/>
        <w:t>年度权益分派方案已获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2017</w:t>
      </w:r>
      <w:r>
        <w:rPr/>
        <w:t>年年度股东大会审议通过，本次权益分派</w:t>
      </w:r>
      <w:r>
        <w:rPr>
          <w:w w:val="100"/>
        </w:rPr>
        <w:t> </w:t>
      </w:r>
      <w:r>
        <w:rPr>
          <w:spacing w:val="-2"/>
        </w:rPr>
        <w:t>方案的具体内容为：以截至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445,324,903</w:t>
      </w:r>
      <w:r>
        <w:rPr>
          <w:spacing w:val="-2"/>
        </w:rPr>
        <w:t>股为基数，以资本公积金向股权登记日</w:t>
      </w:r>
      <w:r>
        <w:rPr>
          <w:spacing w:val="-23"/>
        </w:rPr>
        <w:t> </w:t>
      </w:r>
      <w:r>
        <w:rPr>
          <w:spacing w:val="-23"/>
        </w:rPr>
      </w:r>
      <w:r>
        <w:rPr>
          <w:spacing w:val="-4"/>
        </w:rPr>
        <w:t>登记在册的全体股东每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6</w:t>
      </w:r>
      <w:r>
        <w:rPr>
          <w:spacing w:val="-4"/>
        </w:rPr>
        <w:t>股，共计转增</w:t>
      </w:r>
      <w:r>
        <w:rPr>
          <w:rFonts w:ascii="Times New Roman" w:hAnsi="Times New Roman" w:cs="Times New Roman" w:eastAsia="Times New Roman" w:hint="default"/>
          <w:spacing w:val="-4"/>
        </w:rPr>
        <w:t>267,194,941</w:t>
      </w:r>
      <w:r>
        <w:rPr>
          <w:spacing w:val="-4"/>
        </w:rPr>
        <w:t>股，转增后公司总股本将增加至</w:t>
      </w:r>
      <w:r>
        <w:rPr>
          <w:rFonts w:ascii="Times New Roman" w:hAnsi="Times New Roman" w:cs="Times New Roman" w:eastAsia="Times New Roman" w:hint="default"/>
          <w:spacing w:val="-4"/>
        </w:rPr>
        <w:t>712,519,844</w:t>
      </w:r>
      <w:r>
        <w:rPr>
          <w:spacing w:val="-4"/>
        </w:rPr>
        <w:t>股；</w:t>
      </w:r>
      <w:r>
        <w:rPr>
          <w:spacing w:val="-7"/>
        </w:rPr>
        <w:t> </w:t>
      </w:r>
      <w:r>
        <w:rPr>
          <w:spacing w:val="-5"/>
          <w:w w:val="100"/>
        </w:rPr>
        <w:t>同时以</w:t>
      </w:r>
      <w:r>
        <w:rPr>
          <w:rFonts w:ascii="Times New Roman" w:hAnsi="Times New Roman" w:cs="Times New Roman" w:eastAsia="Times New Roman" w:hint="default"/>
          <w:spacing w:val="-5"/>
          <w:w w:val="100"/>
        </w:rPr>
        <w:t>2017</w:t>
      </w:r>
      <w:r>
        <w:rPr>
          <w:spacing w:val="-5"/>
          <w:w w:val="100"/>
        </w:rPr>
        <w:t>年</w:t>
      </w:r>
      <w:r>
        <w:rPr>
          <w:rFonts w:ascii="Times New Roman" w:hAnsi="Times New Roman" w:cs="Times New Roman" w:eastAsia="Times New Roman" w:hint="default"/>
          <w:spacing w:val="-5"/>
          <w:w w:val="100"/>
        </w:rPr>
        <w:t>12</w:t>
      </w:r>
      <w:r>
        <w:rPr>
          <w:spacing w:val="-5"/>
          <w:w w:val="100"/>
        </w:rPr>
        <w:t>月</w:t>
      </w:r>
      <w:r>
        <w:rPr>
          <w:rFonts w:ascii="Times New Roman" w:hAnsi="Times New Roman" w:cs="Times New Roman" w:eastAsia="Times New Roman" w:hint="default"/>
          <w:spacing w:val="-5"/>
          <w:w w:val="100"/>
        </w:rPr>
        <w:t>31</w:t>
      </w:r>
      <w:r>
        <w:rPr>
          <w:spacing w:val="-5"/>
          <w:w w:val="100"/>
        </w:rPr>
        <w:t>日公司总股本</w:t>
      </w:r>
      <w:r>
        <w:rPr>
          <w:rFonts w:ascii="Times New Roman" w:hAnsi="Times New Roman" w:cs="Times New Roman" w:eastAsia="Times New Roman" w:hint="default"/>
          <w:spacing w:val="-5"/>
          <w:w w:val="100"/>
        </w:rPr>
        <w:t>445,324,903</w:t>
      </w:r>
      <w:r>
        <w:rPr>
          <w:spacing w:val="-5"/>
          <w:w w:val="100"/>
        </w:rPr>
        <w:t>股为基数，向全体股东每</w:t>
      </w:r>
      <w:r>
        <w:rPr>
          <w:rFonts w:ascii="Times New Roman" w:hAnsi="Times New Roman" w:cs="Times New Roman" w:eastAsia="Times New Roman" w:hint="default"/>
          <w:spacing w:val="-5"/>
          <w:w w:val="100"/>
        </w:rPr>
        <w:t>10</w:t>
      </w:r>
      <w:r>
        <w:rPr>
          <w:spacing w:val="-5"/>
          <w:w w:val="100"/>
        </w:rPr>
        <w:t>股派发现金股利人民币</w:t>
      </w:r>
      <w:r>
        <w:rPr>
          <w:rFonts w:ascii="Times New Roman" w:hAnsi="Times New Roman" w:cs="Times New Roman" w:eastAsia="Times New Roman" w:hint="default"/>
          <w:spacing w:val="-5"/>
          <w:w w:val="100"/>
        </w:rPr>
        <w:t>0.15</w:t>
      </w:r>
      <w:r>
        <w:rPr>
          <w:spacing w:val="-5"/>
          <w:w w:val="100"/>
        </w:rPr>
        <w:t>元（含</w:t>
      </w:r>
    </w:p>
    <w:p>
      <w:pPr>
        <w:spacing w:after="0" w:line="386"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right="1128"/>
        <w:jc w:val="both"/>
      </w:pPr>
      <w:r>
        <w:rPr>
          <w:spacing w:val="-5"/>
          <w:w w:val="100"/>
        </w:rPr>
        <w:t>税），共计派发现金股利</w:t>
      </w:r>
      <w:r>
        <w:rPr>
          <w:rFonts w:ascii="Times New Roman" w:hAnsi="Times New Roman" w:cs="Times New Roman" w:eastAsia="Times New Roman" w:hint="default"/>
          <w:spacing w:val="-5"/>
          <w:w w:val="100"/>
        </w:rPr>
        <w:t>6,679,873.55</w:t>
      </w:r>
      <w:r>
        <w:rPr>
          <w:spacing w:val="-5"/>
          <w:w w:val="100"/>
        </w:rPr>
        <w:t>元（含税）。本次分派对象为：截止</w:t>
      </w:r>
      <w:r>
        <w:rPr>
          <w:rFonts w:ascii="Times New Roman" w:hAnsi="Times New Roman" w:cs="Times New Roman" w:eastAsia="Times New Roman" w:hint="default"/>
          <w:spacing w:val="-5"/>
          <w:w w:val="100"/>
        </w:rPr>
        <w:t>2018</w:t>
      </w:r>
      <w:r>
        <w:rPr>
          <w:spacing w:val="-5"/>
          <w:w w:val="100"/>
        </w:rPr>
        <w:t>年</w:t>
      </w:r>
      <w:r>
        <w:rPr>
          <w:rFonts w:ascii="Times New Roman" w:hAnsi="Times New Roman" w:cs="Times New Roman" w:eastAsia="Times New Roman" w:hint="default"/>
          <w:spacing w:val="-5"/>
          <w:w w:val="100"/>
        </w:rPr>
        <w:t>5</w:t>
      </w:r>
      <w:r>
        <w:rPr>
          <w:spacing w:val="-5"/>
          <w:w w:val="100"/>
        </w:rPr>
        <w:t>月</w:t>
      </w:r>
      <w:r>
        <w:rPr>
          <w:rFonts w:ascii="Times New Roman" w:hAnsi="Times New Roman" w:cs="Times New Roman" w:eastAsia="Times New Roman" w:hint="default"/>
          <w:spacing w:val="-5"/>
          <w:w w:val="100"/>
        </w:rPr>
        <w:t>30</w:t>
      </w:r>
      <w:r>
        <w:rPr>
          <w:spacing w:val="-5"/>
          <w:w w:val="100"/>
        </w:rPr>
        <w:t>日下午深圳证券交易</w:t>
      </w:r>
      <w:r>
        <w:rPr>
          <w:spacing w:val="-62"/>
          <w:w w:val="100"/>
        </w:rPr>
        <w:t> </w:t>
      </w:r>
      <w:r>
        <w:rPr>
          <w:spacing w:val="-62"/>
          <w:w w:val="100"/>
        </w:rPr>
      </w:r>
      <w:r>
        <w:rPr>
          <w:spacing w:val="-2"/>
        </w:rPr>
        <w:t>所收市后，在中国证券登记结算有限责任公司深圳分公司（以下简称</w:t>
      </w:r>
      <w:r>
        <w:rPr>
          <w:rFonts w:ascii="Times New Roman" w:hAnsi="Times New Roman" w:cs="Times New Roman" w:eastAsia="Times New Roman" w:hint="default"/>
          <w:spacing w:val="-2"/>
        </w:rPr>
        <w:t>“</w:t>
      </w:r>
      <w:r>
        <w:rPr>
          <w:spacing w:val="-2"/>
        </w:rPr>
        <w:t>中国结算深圳分公司</w:t>
      </w:r>
      <w:r>
        <w:rPr>
          <w:rFonts w:ascii="Times New Roman" w:hAnsi="Times New Roman" w:cs="Times New Roman" w:eastAsia="Times New Roman" w:hint="default"/>
          <w:spacing w:val="-2"/>
        </w:rPr>
        <w:t>”</w:t>
      </w:r>
      <w:r>
        <w:rPr>
          <w:spacing w:val="-2"/>
        </w:rPr>
        <w:t>）登记在册的</w:t>
      </w:r>
      <w:r>
        <w:rPr>
          <w:spacing w:val="-21"/>
        </w:rPr>
        <w:t> </w:t>
      </w:r>
      <w:r>
        <w:rPr>
          <w:spacing w:val="-21"/>
        </w:rPr>
      </w:r>
      <w:r>
        <w:rPr/>
        <w:t>本公司全体股东。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日，公司所送（转）股直接记入股东证券账户。</w:t>
      </w:r>
    </w:p>
    <w:p>
      <w:pPr>
        <w:spacing w:before="99"/>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股份回购的实施进展情况</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pStyle w:val="BodyText"/>
        <w:spacing w:line="393" w:lineRule="auto"/>
        <w:ind w:right="0"/>
        <w:jc w:val="left"/>
      </w:pPr>
      <w:r>
        <w:rPr>
          <w:sz w:val="18"/>
          <w:szCs w:val="18"/>
        </w:rPr>
        <w:t>√ 适用 □</w:t>
      </w:r>
      <w:r>
        <w:rPr>
          <w:spacing w:val="3"/>
          <w:sz w:val="18"/>
          <w:szCs w:val="18"/>
        </w:rPr>
        <w:t> </w:t>
      </w:r>
      <w:r>
        <w:rPr>
          <w:sz w:val="18"/>
          <w:szCs w:val="18"/>
        </w:rPr>
        <w:t>不适用</w:t>
      </w:r>
      <w:r>
        <w:rPr>
          <w:sz w:val="18"/>
          <w:szCs w:val="18"/>
        </w:rPr>
        <w:t> </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日召开的第四届董事会第五次会议审议通过了《关于回购公司股份预案的议案》并予</w:t>
      </w:r>
      <w:r>
        <w:rPr>
          <w:spacing w:val="-30"/>
        </w:rPr>
        <w:t> </w:t>
      </w:r>
      <w:r>
        <w:rPr>
          <w:spacing w:val="-30"/>
        </w:rPr>
      </w:r>
      <w:r>
        <w:rPr/>
        <w:t>以披露相关内容。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日，公司召开了</w:t>
      </w:r>
      <w:r>
        <w:rPr>
          <w:rFonts w:ascii="Times New Roman" w:hAnsi="Times New Roman" w:cs="Times New Roman" w:eastAsia="Times New Roman" w:hint="default"/>
        </w:rPr>
        <w:t>2018</w:t>
      </w:r>
      <w:r>
        <w:rPr/>
        <w:t>年第二次临时股东大会，审议通过了《关于回购公司</w:t>
      </w:r>
      <w:r>
        <w:rPr>
          <w:spacing w:val="-29"/>
        </w:rPr>
        <w:t> </w:t>
      </w:r>
      <w:r>
        <w:rPr>
          <w:spacing w:val="-29"/>
        </w:rPr>
      </w:r>
      <w:r>
        <w:rPr>
          <w:spacing w:val="-6"/>
          <w:w w:val="100"/>
        </w:rPr>
        <w:t>股份预案的议案》。公司于</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10</w:t>
      </w:r>
      <w:r>
        <w:rPr>
          <w:spacing w:val="-6"/>
          <w:w w:val="100"/>
        </w:rPr>
        <w:t>月</w:t>
      </w:r>
      <w:r>
        <w:rPr>
          <w:rFonts w:ascii="Times New Roman" w:hAnsi="Times New Roman" w:cs="Times New Roman" w:eastAsia="Times New Roman" w:hint="default"/>
          <w:spacing w:val="-6"/>
          <w:w w:val="100"/>
        </w:rPr>
        <w:t>16</w:t>
      </w:r>
      <w:r>
        <w:rPr>
          <w:spacing w:val="-6"/>
          <w:w w:val="100"/>
        </w:rPr>
        <w:t>日披露了《回购股份报告书》。截至报告期末，公司尚未实施股份</w:t>
      </w:r>
      <w:r>
        <w:rPr>
          <w:spacing w:val="-104"/>
          <w:w w:val="100"/>
        </w:rPr>
        <w:t> </w:t>
      </w:r>
      <w:r>
        <w:rPr>
          <w:spacing w:val="-104"/>
          <w:w w:val="100"/>
        </w:rPr>
      </w:r>
      <w:r>
        <w:rPr/>
        <w:t>回购的行为。</w:t>
      </w:r>
    </w:p>
    <w:p>
      <w:pPr>
        <w:spacing w:before="122"/>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采用集中竞价方式减持回购股份的实施进展情况</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pStyle w:val="BodyText"/>
        <w:spacing w:line="393" w:lineRule="auto"/>
        <w:ind w:right="0"/>
        <w:jc w:val="left"/>
      </w:pPr>
      <w:r>
        <w:rPr>
          <w:sz w:val="18"/>
          <w:szCs w:val="18"/>
        </w:rPr>
        <w:t>√ 适用 □</w:t>
      </w:r>
      <w:r>
        <w:rPr>
          <w:spacing w:val="3"/>
          <w:sz w:val="18"/>
          <w:szCs w:val="18"/>
        </w:rPr>
        <w:t> </w:t>
      </w:r>
      <w:r>
        <w:rPr>
          <w:sz w:val="18"/>
          <w:szCs w:val="18"/>
        </w:rPr>
        <w:t>不适用</w:t>
      </w:r>
      <w:r>
        <w:rPr>
          <w:sz w:val="18"/>
          <w:szCs w:val="18"/>
        </w:rPr>
        <w:t> </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日召开的第四届董事会第五次会议审议通过了《关于回购公司股份预案的议案》并予</w:t>
      </w:r>
      <w:r>
        <w:rPr>
          <w:spacing w:val="-30"/>
        </w:rPr>
        <w:t> </w:t>
      </w:r>
      <w:r>
        <w:rPr>
          <w:spacing w:val="-30"/>
        </w:rPr>
      </w:r>
      <w:r>
        <w:rPr/>
        <w:t>以披露相关内容。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日，公司召开了</w:t>
      </w:r>
      <w:r>
        <w:rPr>
          <w:rFonts w:ascii="Times New Roman" w:hAnsi="Times New Roman" w:cs="Times New Roman" w:eastAsia="Times New Roman" w:hint="default"/>
        </w:rPr>
        <w:t>2018</w:t>
      </w:r>
      <w:r>
        <w:rPr/>
        <w:t>年第二次临时股东大会，审议通过了《关于回购公司</w:t>
      </w:r>
      <w:r>
        <w:rPr>
          <w:spacing w:val="-29"/>
        </w:rPr>
        <w:t> </w:t>
      </w:r>
      <w:r>
        <w:rPr>
          <w:spacing w:val="-29"/>
        </w:rPr>
      </w:r>
      <w:r>
        <w:rPr>
          <w:spacing w:val="-6"/>
          <w:w w:val="100"/>
        </w:rPr>
        <w:t>股份预案的议案》。公司于</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10</w:t>
      </w:r>
      <w:r>
        <w:rPr>
          <w:spacing w:val="-6"/>
          <w:w w:val="100"/>
        </w:rPr>
        <w:t>月</w:t>
      </w:r>
      <w:r>
        <w:rPr>
          <w:rFonts w:ascii="Times New Roman" w:hAnsi="Times New Roman" w:cs="Times New Roman" w:eastAsia="Times New Roman" w:hint="default"/>
          <w:spacing w:val="-6"/>
          <w:w w:val="100"/>
        </w:rPr>
        <w:t>16</w:t>
      </w:r>
      <w:r>
        <w:rPr>
          <w:spacing w:val="-6"/>
          <w:w w:val="100"/>
        </w:rPr>
        <w:t>日披露了《回购股份报告书》。截至报告期末，公司尚未采用集中</w:t>
      </w:r>
      <w:r>
        <w:rPr>
          <w:spacing w:val="-104"/>
          <w:w w:val="100"/>
        </w:rPr>
        <w:t> </w:t>
      </w:r>
      <w:r>
        <w:rPr>
          <w:spacing w:val="-104"/>
          <w:w w:val="100"/>
        </w:rPr>
      </w:r>
      <w:r>
        <w:rPr/>
        <w:t>竞价方式减持回购股份。</w:t>
      </w:r>
    </w:p>
    <w:p>
      <w:pPr>
        <w:spacing w:before="122"/>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股份变动对最近一年和最近一期基本每股收益和稀释每股收益、归属于公司普通股股东的每股净资产等财务指标的影响</w:t>
      </w:r>
      <w:r>
        <w:rPr>
          <w:rFonts w:ascii="宋体" w:hAnsi="宋体" w:cs="宋体" w:eastAsia="宋体" w:hint="default"/>
          <w:sz w:val="18"/>
          <w:szCs w:val="18"/>
        </w:rPr>
      </w:r>
    </w:p>
    <w:p>
      <w:pPr>
        <w:spacing w:line="240" w:lineRule="auto" w:before="9"/>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386" w:lineRule="auto"/>
        <w:ind w:right="0" w:firstLine="420"/>
        <w:jc w:val="left"/>
      </w:pPr>
      <w:r>
        <w:rPr>
          <w:spacing w:val="-2"/>
        </w:rPr>
        <w:t>本次权益分派完成后，</w:t>
      </w:r>
      <w:r>
        <w:rPr>
          <w:rFonts w:ascii="Times New Roman" w:hAnsi="Times New Roman" w:cs="Times New Roman" w:eastAsia="Times New Roman" w:hint="default"/>
          <w:spacing w:val="-2"/>
        </w:rPr>
        <w:t>2017</w:t>
      </w:r>
      <w:r>
        <w:rPr>
          <w:spacing w:val="-2"/>
        </w:rPr>
        <w:t>年基本每股收益由分派前的</w:t>
      </w:r>
      <w:r>
        <w:rPr>
          <w:rFonts w:ascii="Times New Roman" w:hAnsi="Times New Roman" w:cs="Times New Roman" w:eastAsia="Times New Roman" w:hint="default"/>
          <w:spacing w:val="-2"/>
        </w:rPr>
        <w:t>0.3133</w:t>
      </w:r>
      <w:r>
        <w:rPr>
          <w:spacing w:val="-2"/>
        </w:rPr>
        <w:t>元</w:t>
      </w:r>
      <w:r>
        <w:rPr>
          <w:rFonts w:ascii="Times New Roman" w:hAnsi="Times New Roman" w:cs="Times New Roman" w:eastAsia="Times New Roman" w:hint="default"/>
          <w:spacing w:val="-2"/>
        </w:rPr>
        <w:t>/</w:t>
      </w:r>
      <w:r>
        <w:rPr>
          <w:spacing w:val="-2"/>
        </w:rPr>
        <w:t>股，下降为</w:t>
      </w:r>
      <w:r>
        <w:rPr>
          <w:rFonts w:ascii="Times New Roman" w:hAnsi="Times New Roman" w:cs="Times New Roman" w:eastAsia="Times New Roman" w:hint="default"/>
          <w:spacing w:val="-2"/>
        </w:rPr>
        <w:t>0.1958</w:t>
      </w:r>
      <w:r>
        <w:rPr>
          <w:spacing w:val="-2"/>
        </w:rPr>
        <w:t>元</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2018</w:t>
      </w:r>
      <w:r>
        <w:rPr>
          <w:spacing w:val="-2"/>
        </w:rPr>
        <w:t>年基本</w:t>
      </w:r>
      <w:r>
        <w:rPr>
          <w:w w:val="100"/>
        </w:rPr>
        <w:t> </w:t>
      </w:r>
      <w:r>
        <w:rPr/>
        <w:t>每股收益由分派前的</w:t>
      </w:r>
      <w:r>
        <w:rPr>
          <w:rFonts w:ascii="Times New Roman" w:hAnsi="Times New Roman" w:cs="Times New Roman" w:eastAsia="Times New Roman" w:hint="default"/>
        </w:rPr>
        <w:t>0.0625</w:t>
      </w:r>
      <w:r>
        <w:rPr/>
        <w:t>元</w:t>
      </w:r>
      <w:r>
        <w:rPr>
          <w:rFonts w:ascii="Times New Roman" w:hAnsi="Times New Roman" w:cs="Times New Roman" w:eastAsia="Times New Roman" w:hint="default"/>
        </w:rPr>
        <w:t>/</w:t>
      </w:r>
      <w:r>
        <w:rPr/>
        <w:t>股，下降为</w:t>
      </w:r>
      <w:r>
        <w:rPr>
          <w:rFonts w:ascii="Times New Roman" w:hAnsi="Times New Roman" w:cs="Times New Roman" w:eastAsia="Times New Roman" w:hint="default"/>
        </w:rPr>
        <w:t>0.0391</w:t>
      </w:r>
      <w:r>
        <w:rPr/>
        <w:t>元</w:t>
      </w:r>
      <w:r>
        <w:rPr>
          <w:rFonts w:ascii="Times New Roman" w:hAnsi="Times New Roman" w:cs="Times New Roman" w:eastAsia="Times New Roman" w:hint="default"/>
        </w:rPr>
        <w:t>/</w:t>
      </w:r>
      <w:r>
        <w:rPr/>
        <w:t>股。</w:t>
      </w:r>
    </w:p>
    <w:p>
      <w:pPr>
        <w:pStyle w:val="BodyText"/>
        <w:spacing w:line="240" w:lineRule="auto" w:before="76"/>
        <w:ind w:left="533" w:right="0"/>
        <w:jc w:val="left"/>
      </w:pPr>
      <w:r>
        <w:rPr/>
        <w:t>本次权益分派完成后，</w:t>
      </w:r>
      <w:r>
        <w:rPr>
          <w:rFonts w:ascii="Times New Roman" w:hAnsi="Times New Roman" w:cs="Times New Roman" w:eastAsia="Times New Roman" w:hint="default"/>
        </w:rPr>
        <w:t>2017</w:t>
      </w:r>
      <w:r>
        <w:rPr/>
        <w:t>年末归属于普通股股东的每股净资产为</w:t>
      </w:r>
      <w:r>
        <w:rPr>
          <w:rFonts w:ascii="Times New Roman" w:hAnsi="Times New Roman" w:cs="Times New Roman" w:eastAsia="Times New Roman" w:hint="default"/>
        </w:rPr>
        <w:t>3.32</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2018</w:t>
      </w:r>
      <w:r>
        <w:rPr/>
        <w:t>年末每股净资产为</w:t>
      </w:r>
    </w:p>
    <w:p>
      <w:pPr>
        <w:pStyle w:val="BodyText"/>
        <w:spacing w:line="240" w:lineRule="auto" w:before="177"/>
        <w:ind w:right="0"/>
        <w:jc w:val="left"/>
      </w:pPr>
      <w:r>
        <w:rPr>
          <w:rFonts w:ascii="Times New Roman" w:hAnsi="Times New Roman" w:cs="Times New Roman" w:eastAsia="Times New Roman" w:hint="default"/>
        </w:rPr>
        <w:t>3.34</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4"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499"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499" w:right="135" w:hanging="361"/>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东莞市长久创 业投资行（有 限合伙）</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8,051,742</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4,831,045</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12,882,787</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7"/>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1,932,418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1,159,451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3,091,869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翁华银</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16,103,484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9,662,090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25,765,574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寇凤英</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1,610,348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966,209</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2,576,557</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李恩平</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14,654,171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8,792,503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23,446,674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何琳</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11,272,439</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6,763,463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18,035,902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江德湖</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16,103,484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9,662,090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25,765,574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梁美玲</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2,898,627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1,739,176</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4,637,803</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7"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摩登大道时尚 集团股份有限 公司－第一期 员工持股计划</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11,014,771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6,608,862</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17,623,633</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9"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广州瑞德金晟 投资管理合伙 企业（有限合 伙）</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6,280,353</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3,768,212</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10,048,565</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曾李青</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5,994,194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2,877,213</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3,596,516</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6,713,497</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颜庆华</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5,639,152</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2,706,792</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3,383,491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6,315,851</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陈国兴</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1,937,161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929,837</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1,162,297</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2,169,621</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赵威</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2,557,966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1,227,823</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1,534,780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2,864,923</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刘金柱</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2,557,966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1,227,823</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1,534,780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2,864,923</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武汉悦然心动 投资管理中心</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2,076,271</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996,610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1,245,763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2,325,424</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49"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上海庞增投资 管理中心（有 限合伙）－庞 增添益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 募投资基金</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14,640,356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23,424,569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8,784,213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37,800,000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22,680,000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60,480,000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9,000,000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5,400,000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13,200,000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19,200,000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7,200,000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5,400,000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8,640,000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3,240,000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189,524,903</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62,430,667</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113,714,941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240,809,177</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91" w:lineRule="auto"/>
        <w:ind w:right="1125"/>
        <w:jc w:val="left"/>
      </w:pPr>
      <w:r>
        <w:rPr>
          <w:sz w:val="18"/>
          <w:szCs w:val="18"/>
        </w:rPr>
        <w:t>√ 适用 □</w:t>
      </w:r>
      <w:r>
        <w:rPr>
          <w:spacing w:val="3"/>
          <w:sz w:val="18"/>
          <w:szCs w:val="18"/>
        </w:rPr>
        <w:t> </w:t>
      </w:r>
      <w:r>
        <w:rPr>
          <w:sz w:val="18"/>
          <w:szCs w:val="18"/>
        </w:rPr>
        <w:t>不适用</w:t>
      </w:r>
      <w:r>
        <w:rPr>
          <w:sz w:val="18"/>
          <w:szCs w:val="18"/>
        </w:rPr>
        <w:t> </w:t>
      </w:r>
      <w:r>
        <w:rPr>
          <w:spacing w:val="-2"/>
          <w:w w:val="100"/>
        </w:rPr>
        <w:t>摩登大道时尚集团股份有限公司（以下简称“公司”）第四届董事会第三次会议和</w:t>
      </w:r>
      <w:r>
        <w:rPr>
          <w:rFonts w:ascii="Times New Roman" w:hAnsi="Times New Roman" w:cs="Times New Roman" w:eastAsia="Times New Roman" w:hint="default"/>
          <w:spacing w:val="-2"/>
          <w:w w:val="100"/>
        </w:rPr>
        <w:t>2017</w:t>
      </w:r>
      <w:r>
        <w:rPr>
          <w:spacing w:val="-2"/>
          <w:w w:val="100"/>
        </w:rPr>
        <w:t>年度股东大会审议</w:t>
      </w:r>
      <w:r>
        <w:rPr>
          <w:spacing w:val="-89"/>
          <w:w w:val="100"/>
        </w:rPr>
        <w:t> </w:t>
      </w:r>
      <w:r>
        <w:rPr>
          <w:spacing w:val="-89"/>
          <w:w w:val="100"/>
        </w:rPr>
      </w:r>
      <w:r>
        <w:rPr/>
        <w:t>批准以截至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445,324,903 </w:t>
      </w:r>
      <w:r>
        <w:rPr/>
        <w:t>股为基数，以资本公积金向股权登记日登记在册的全</w:t>
      </w:r>
      <w:r>
        <w:rPr>
          <w:spacing w:val="-85"/>
        </w:rPr>
        <w:t> </w:t>
      </w:r>
      <w:r>
        <w:rPr>
          <w:spacing w:val="-85"/>
        </w:rPr>
      </w:r>
      <w:r>
        <w:rPr/>
        <w:t>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267,194,941</w:t>
      </w:r>
      <w:r>
        <w:rPr/>
        <w:t>股，转增后公司总股本将增加至</w:t>
      </w:r>
      <w:r>
        <w:rPr>
          <w:rFonts w:ascii="Times New Roman" w:hAnsi="Times New Roman" w:cs="Times New Roman" w:eastAsia="Times New Roman" w:hint="default"/>
        </w:rPr>
        <w:t>712,519,844</w:t>
      </w:r>
      <w:r>
        <w:rPr>
          <w:rFonts w:ascii="Times New Roman" w:hAnsi="Times New Roman" w:cs="Times New Roman" w:eastAsia="Times New Roman" w:hint="default"/>
          <w:spacing w:val="41"/>
        </w:rPr>
        <w:t> </w:t>
      </w:r>
      <w:r>
        <w:rPr>
          <w:spacing w:val="-3"/>
        </w:rPr>
        <w:t>股。在公司实施</w:t>
      </w:r>
      <w:r>
        <w:rPr>
          <w:w w:val="100"/>
        </w:rPr>
        <w:t> </w:t>
      </w:r>
      <w:r>
        <w:rPr>
          <w:spacing w:val="-3"/>
        </w:rPr>
        <w:t>上述利润分配预案后，公司可供分配利润尚余</w:t>
      </w:r>
      <w:r>
        <w:rPr>
          <w:rFonts w:ascii="Times New Roman" w:hAnsi="Times New Roman" w:cs="Times New Roman" w:eastAsia="Times New Roman" w:hint="default"/>
          <w:spacing w:val="-3"/>
        </w:rPr>
        <w:t>238,857,096.56</w:t>
      </w:r>
      <w:r>
        <w:rPr>
          <w:spacing w:val="-3"/>
        </w:rPr>
        <w:t>元，全额结转下一年度。本次所送（转）股于</w:t>
      </w:r>
      <w:r>
        <w:rPr>
          <w:spacing w:val="-30"/>
        </w:rPr>
        <w:t> </w:t>
      </w:r>
      <w:r>
        <w:rPr>
          <w:spacing w:val="-30"/>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日直接记入股东证券账户。</w:t>
      </w:r>
    </w:p>
    <w:p>
      <w:pPr>
        <w:spacing w:line="240" w:lineRule="auto" w:before="5"/>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197"/>
        <w:gridCol w:w="1196"/>
        <w:gridCol w:w="1196"/>
        <w:gridCol w:w="1195"/>
        <w:gridCol w:w="1199"/>
        <w:gridCol w:w="1194"/>
        <w:gridCol w:w="1198"/>
      </w:tblGrid>
      <w:tr>
        <w:trPr>
          <w:trHeight w:val="2278"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2"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19,340</w:t>
            </w:r>
          </w:p>
        </w:tc>
        <w:tc>
          <w:tcPr>
            <w:tcW w:w="11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4" w:right="180"/>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21,030</w:t>
            </w:r>
          </w:p>
        </w:tc>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9"/>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1" w:right="180"/>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6" w:lineRule="auto" w:before="19"/>
              <w:ind w:left="101" w:right="101"/>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0" w:type="dxa"/>
            <w:gridSpan w:val="8"/>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469"/>
        <w:gridCol w:w="1412"/>
        <w:gridCol w:w="790"/>
        <w:gridCol w:w="785"/>
        <w:gridCol w:w="790"/>
        <w:gridCol w:w="787"/>
        <w:gridCol w:w="841"/>
        <w:gridCol w:w="1349"/>
        <w:gridCol w:w="1349"/>
      </w:tblGrid>
      <w:tr>
        <w:trPr>
          <w:trHeight w:val="402" w:hRule="exact"/>
        </w:trPr>
        <w:tc>
          <w:tcPr>
            <w:tcW w:w="1469"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99" w:right="11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85"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17" w:right="117"/>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90" w:type="dxa"/>
            <w:vMerge w:val="restart"/>
            <w:tcBorders>
              <w:top w:val="single" w:sz="4" w:space="0" w:color="933734"/>
              <w:left w:val="single" w:sz="4" w:space="0" w:color="933734"/>
              <w:right w:val="single" w:sz="4" w:space="0" w:color="933734"/>
            </w:tcBorders>
            <w:shd w:val="clear" w:color="auto" w:fill="E4B8B7"/>
          </w:tcPr>
          <w:p>
            <w:pPr>
              <w:pStyle w:val="TableParagraph"/>
              <w:spacing w:line="319" w:lineRule="auto" w:before="49"/>
              <w:ind w:left="122" w:right="11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87" w:type="dxa"/>
            <w:vMerge w:val="restart"/>
            <w:tcBorders>
              <w:top w:val="single" w:sz="4" w:space="0" w:color="933734"/>
              <w:left w:val="single" w:sz="4" w:space="0" w:color="933734"/>
              <w:right w:val="single" w:sz="4" w:space="0" w:color="933734"/>
            </w:tcBorders>
            <w:shd w:val="clear" w:color="auto" w:fill="E4B8B7"/>
          </w:tcPr>
          <w:p>
            <w:pPr>
              <w:pStyle w:val="TableParagraph"/>
              <w:spacing w:line="319" w:lineRule="auto" w:before="49"/>
              <w:ind w:left="117" w:right="119"/>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41" w:type="dxa"/>
            <w:vMerge w:val="restart"/>
            <w:tcBorders>
              <w:top w:val="single" w:sz="4" w:space="0" w:color="933734"/>
              <w:left w:val="single" w:sz="4" w:space="0" w:color="933734"/>
              <w:right w:val="single" w:sz="4" w:space="0" w:color="933734"/>
            </w:tcBorders>
            <w:shd w:val="clear" w:color="auto" w:fill="E4B8B7"/>
          </w:tcPr>
          <w:p>
            <w:pPr>
              <w:pStyle w:val="TableParagraph"/>
              <w:spacing w:line="319" w:lineRule="auto" w:before="49"/>
              <w:ind w:left="144" w:right="146"/>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5" w:hRule="exact"/>
        </w:trPr>
        <w:tc>
          <w:tcPr>
            <w:tcW w:w="1469" w:type="dxa"/>
            <w:vMerge/>
            <w:tcBorders>
              <w:left w:val="single" w:sz="4" w:space="0" w:color="933734"/>
              <w:bottom w:val="single" w:sz="4" w:space="0" w:color="933734"/>
              <w:right w:val="single" w:sz="4" w:space="0" w:color="933734"/>
            </w:tcBorders>
            <w:shd w:val="clear" w:color="auto" w:fill="E4B8B7"/>
          </w:tcPr>
          <w:p>
            <w:pPr/>
          </w:p>
        </w:tc>
        <w:tc>
          <w:tcPr>
            <w:tcW w:w="1412" w:type="dxa"/>
            <w:vMerge/>
            <w:tcBorders>
              <w:left w:val="single" w:sz="4" w:space="0" w:color="933734"/>
              <w:bottom w:val="single" w:sz="4" w:space="0" w:color="933734"/>
              <w:right w:val="single" w:sz="4" w:space="0" w:color="933734"/>
            </w:tcBorders>
            <w:shd w:val="clear" w:color="auto" w:fill="E4B8B7"/>
          </w:tcPr>
          <w:p>
            <w:pPr/>
          </w:p>
        </w:tc>
        <w:tc>
          <w:tcPr>
            <w:tcW w:w="790" w:type="dxa"/>
            <w:vMerge/>
            <w:tcBorders>
              <w:left w:val="single" w:sz="4" w:space="0" w:color="933734"/>
              <w:bottom w:val="single" w:sz="4" w:space="0" w:color="933734"/>
              <w:right w:val="single" w:sz="4" w:space="0" w:color="933734"/>
            </w:tcBorders>
            <w:shd w:val="clear" w:color="auto" w:fill="E4B8B7"/>
          </w:tcPr>
          <w:p>
            <w:pPr/>
          </w:p>
        </w:tc>
        <w:tc>
          <w:tcPr>
            <w:tcW w:w="785" w:type="dxa"/>
            <w:vMerge/>
            <w:tcBorders>
              <w:left w:val="single" w:sz="4" w:space="0" w:color="933734"/>
              <w:bottom w:val="single" w:sz="4" w:space="0" w:color="933734"/>
              <w:right w:val="single" w:sz="4" w:space="0" w:color="933734"/>
            </w:tcBorders>
            <w:shd w:val="clear" w:color="auto" w:fill="E4B8B7"/>
          </w:tcPr>
          <w:p>
            <w:pPr/>
          </w:p>
        </w:tc>
        <w:tc>
          <w:tcPr>
            <w:tcW w:w="790" w:type="dxa"/>
            <w:vMerge/>
            <w:tcBorders>
              <w:left w:val="single" w:sz="4" w:space="0" w:color="933734"/>
              <w:bottom w:val="single" w:sz="4" w:space="0" w:color="933734"/>
              <w:right w:val="single" w:sz="4" w:space="0" w:color="933734"/>
            </w:tcBorders>
            <w:shd w:val="clear" w:color="auto" w:fill="E4B8B7"/>
          </w:tcPr>
          <w:p>
            <w:pPr/>
          </w:p>
        </w:tc>
        <w:tc>
          <w:tcPr>
            <w:tcW w:w="787" w:type="dxa"/>
            <w:vMerge/>
            <w:tcBorders>
              <w:left w:val="single" w:sz="4" w:space="0" w:color="933734"/>
              <w:bottom w:val="single" w:sz="4" w:space="0" w:color="933734"/>
              <w:right w:val="single" w:sz="4" w:space="0" w:color="933734"/>
            </w:tcBorders>
            <w:shd w:val="clear" w:color="auto" w:fill="E4B8B7"/>
          </w:tcPr>
          <w:p>
            <w:pPr/>
          </w:p>
        </w:tc>
        <w:tc>
          <w:tcPr>
            <w:tcW w:w="841" w:type="dxa"/>
            <w:vMerge/>
            <w:tcBorders>
              <w:left w:val="single" w:sz="4" w:space="0" w:color="933734"/>
              <w:bottom w:val="single" w:sz="4" w:space="0" w:color="933734"/>
              <w:right w:val="single" w:sz="4" w:space="0" w:color="933734"/>
            </w:tcBorders>
            <w:shd w:val="clear" w:color="auto" w:fill="E4B8B7"/>
          </w:tcPr>
          <w:p>
            <w:pPr/>
          </w:p>
        </w:tc>
        <w:tc>
          <w:tcPr>
            <w:tcW w:w="134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273"/>
              <w:jc w:val="left"/>
              <w:rPr>
                <w:rFonts w:ascii="宋体" w:hAnsi="宋体" w:cs="宋体" w:eastAsia="宋体" w:hint="default"/>
                <w:sz w:val="18"/>
                <w:szCs w:val="18"/>
              </w:rPr>
            </w:pPr>
            <w:r>
              <w:rPr>
                <w:rFonts w:ascii="宋体" w:hAnsi="宋体" w:cs="宋体" w:eastAsia="宋体" w:hint="default"/>
                <w:sz w:val="18"/>
                <w:szCs w:val="18"/>
              </w:rPr>
              <w:t>广州瑞丰集团 股份有限公司</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28.56%</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79" w:right="0"/>
              <w:jc w:val="left"/>
              <w:rPr>
                <w:rFonts w:ascii="Times New Roman" w:hAnsi="Times New Roman" w:cs="Times New Roman" w:eastAsia="Times New Roman" w:hint="default"/>
                <w:sz w:val="18"/>
                <w:szCs w:val="18"/>
              </w:rPr>
            </w:pPr>
            <w:r>
              <w:rPr>
                <w:rFonts w:ascii="Times New Roman"/>
                <w:sz w:val="18"/>
              </w:rPr>
              <w:t>203,52</w:t>
            </w:r>
          </w:p>
          <w:p>
            <w:pPr>
              <w:pStyle w:val="TableParagraph"/>
              <w:spacing w:line="240" w:lineRule="auto" w:before="102"/>
              <w:ind w:left="268" w:right="0"/>
              <w:jc w:val="left"/>
              <w:rPr>
                <w:rFonts w:ascii="Times New Roman" w:hAnsi="Times New Roman" w:cs="Times New Roman" w:eastAsia="Times New Roman" w:hint="default"/>
                <w:sz w:val="18"/>
                <w:szCs w:val="18"/>
              </w:rPr>
            </w:pPr>
            <w:r>
              <w:rPr>
                <w:rFonts w:ascii="Times New Roman"/>
                <w:sz w:val="18"/>
              </w:rPr>
              <w:t>0,000</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76,320,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203,520</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154,522,000</w:t>
            </w:r>
          </w:p>
        </w:tc>
      </w:tr>
      <w:tr>
        <w:trPr>
          <w:trHeight w:val="713"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9.32%</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66,389,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603</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15,989,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603</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60,480,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000</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5,909,6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03</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50,800,000</w:t>
            </w:r>
          </w:p>
        </w:tc>
      </w:tr>
      <w:tr>
        <w:trPr>
          <w:trHeight w:val="715"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江德湖</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3.62%</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25,771,</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574</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9,668,0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90</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25,765,</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574</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25,600,000</w:t>
            </w:r>
          </w:p>
        </w:tc>
      </w:tr>
      <w:tr>
        <w:trPr>
          <w:trHeight w:val="713"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翁华银</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3.62%</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25,765,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574</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9,662,0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90</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25,765,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574</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25,600,000</w:t>
            </w:r>
          </w:p>
        </w:tc>
      </w:tr>
      <w:tr>
        <w:trPr>
          <w:trHeight w:val="715"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李恩平</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23,446,</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674</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8,792,5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03</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23,446,</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674</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23,296,000</w:t>
            </w:r>
          </w:p>
        </w:tc>
      </w:tr>
      <w:tr>
        <w:trPr>
          <w:trHeight w:val="1649"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上海庞增投资 管理中心（有限 合伙）－庞增添 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号私募投资 基金</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4" w:right="0"/>
              <w:jc w:val="left"/>
              <w:rPr>
                <w:rFonts w:ascii="Times New Roman" w:hAnsi="Times New Roman" w:cs="Times New Roman" w:eastAsia="Times New Roman" w:hint="default"/>
                <w:sz w:val="18"/>
                <w:szCs w:val="18"/>
              </w:rPr>
            </w:pPr>
            <w:r>
              <w:rPr>
                <w:rFonts w:ascii="Times New Roman"/>
                <w:sz w:val="18"/>
              </w:rPr>
              <w:t>23,424,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569</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Times New Roman"/>
                <w:sz w:val="18"/>
              </w:rPr>
              <w:t>8,784,2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13</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7" w:right="0"/>
              <w:jc w:val="left"/>
              <w:rPr>
                <w:rFonts w:ascii="Times New Roman" w:hAnsi="Times New Roman" w:cs="Times New Roman" w:eastAsia="Times New Roman" w:hint="default"/>
                <w:sz w:val="18"/>
                <w:szCs w:val="18"/>
              </w:rPr>
            </w:pPr>
            <w:r>
              <w:rPr>
                <w:rFonts w:ascii="Times New Roman"/>
                <w:sz w:val="18"/>
              </w:rPr>
              <w:t>23,424,</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569</w:t>
            </w:r>
          </w:p>
        </w:tc>
        <w:tc>
          <w:tcPr>
            <w:tcW w:w="1349" w:type="dxa"/>
            <w:tcBorders>
              <w:top w:val="single" w:sz="4" w:space="0" w:color="933734"/>
              <w:left w:val="single" w:sz="4" w:space="0" w:color="933734"/>
              <w:bottom w:val="single" w:sz="4" w:space="0" w:color="933734"/>
              <w:right w:val="single" w:sz="4" w:space="0" w:color="933734"/>
            </w:tcBorders>
          </w:tcPr>
          <w:p>
            <w:pPr/>
          </w:p>
        </w:tc>
        <w:tc>
          <w:tcPr>
            <w:tcW w:w="1349"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2.69%</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19,200,000</w:t>
            </w:r>
          </w:p>
        </w:tc>
      </w:tr>
      <w:tr>
        <w:trPr>
          <w:trHeight w:val="713"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何琳</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18,035,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902</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6,763,4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63</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18,035,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902</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17,920,000</w:t>
            </w:r>
          </w:p>
        </w:tc>
      </w:tr>
      <w:tr>
        <w:trPr>
          <w:trHeight w:val="1339"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273"/>
              <w:jc w:val="both"/>
              <w:rPr>
                <w:rFonts w:ascii="宋体" w:hAnsi="宋体" w:cs="宋体" w:eastAsia="宋体" w:hint="default"/>
                <w:sz w:val="18"/>
                <w:szCs w:val="18"/>
              </w:rPr>
            </w:pPr>
            <w:r>
              <w:rPr>
                <w:rFonts w:ascii="宋体" w:hAnsi="宋体" w:cs="宋体" w:eastAsia="宋体" w:hint="default"/>
                <w:sz w:val="18"/>
                <w:szCs w:val="18"/>
              </w:rPr>
              <w:t>摩登大道时尚 集团股份有限 公司－第一期 员工持股计划</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2.47%</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17,623,</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633</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6,608,8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62</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17,623,</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633</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933734"/>
              <w:left w:val="single" w:sz="4" w:space="0" w:color="933734"/>
              <w:bottom w:val="single" w:sz="4" w:space="0" w:color="933734"/>
              <w:right w:val="single" w:sz="4" w:space="0" w:color="933734"/>
            </w:tcBorders>
          </w:tcPr>
          <w:p>
            <w:pPr/>
          </w:p>
        </w:tc>
        <w:tc>
          <w:tcPr>
            <w:tcW w:w="1349"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41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2.47%</w:t>
            </w:r>
          </w:p>
        </w:tc>
        <w:tc>
          <w:tcPr>
            <w:tcW w:w="7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17,600,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13,200,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000</w:t>
            </w:r>
          </w:p>
        </w:tc>
        <w:tc>
          <w:tcPr>
            <w:tcW w:w="84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4,400,0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17,600,000</w:t>
            </w:r>
          </w:p>
        </w:tc>
      </w:tr>
      <w:tr>
        <w:trPr>
          <w:trHeight w:val="1028" w:hRule="exact"/>
        </w:trPr>
        <w:tc>
          <w:tcPr>
            <w:tcW w:w="288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2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90" w:type="dxa"/>
            <w:gridSpan w:val="7"/>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林永飞持有瑞丰股份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股权，林永飞、翁武强、翁武游为一致行动人。</w:t>
            </w:r>
          </w:p>
        </w:tc>
      </w:tr>
      <w:tr>
        <w:trPr>
          <w:trHeight w:val="402" w:hRule="exact"/>
        </w:trPr>
        <w:tc>
          <w:tcPr>
            <w:tcW w:w="9571" w:type="dxa"/>
            <w:gridSpan w:val="9"/>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gridSpan w:val="2"/>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gridSpan w:val="2"/>
            <w:vMerge/>
            <w:tcBorders>
              <w:left w:val="single" w:sz="4" w:space="0" w:color="933734"/>
              <w:bottom w:val="single" w:sz="4" w:space="0" w:color="933734"/>
              <w:right w:val="single" w:sz="4" w:space="0" w:color="933734"/>
            </w:tcBorders>
            <w:shd w:val="clear" w:color="auto" w:fill="E4B8B7"/>
          </w:tcPr>
          <w:p>
            <w:pPr/>
          </w:p>
        </w:tc>
        <w:tc>
          <w:tcPr>
            <w:tcW w:w="3992" w:type="dxa"/>
            <w:gridSpan w:val="5"/>
            <w:vMerge/>
            <w:tcBorders>
              <w:left w:val="single" w:sz="4" w:space="0" w:color="933734"/>
              <w:bottom w:val="single" w:sz="4" w:space="0" w:color="933734"/>
              <w:right w:val="single" w:sz="4" w:space="0" w:color="933734"/>
            </w:tcBorders>
            <w:shd w:val="clear" w:color="auto" w:fill="E4B8B7"/>
          </w:tcPr>
          <w:p>
            <w:pPr/>
          </w:p>
        </w:tc>
        <w:tc>
          <w:tcPr>
            <w:tcW w:w="134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881"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3992" w:type="dxa"/>
            <w:gridSpan w:val="5"/>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203,520,000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203,520,000</w:t>
            </w:r>
          </w:p>
        </w:tc>
      </w:tr>
      <w:tr>
        <w:trPr>
          <w:trHeight w:val="403" w:hRule="exact"/>
        </w:trPr>
        <w:tc>
          <w:tcPr>
            <w:tcW w:w="2881"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上海庞增投资管理中心（有限合</w:t>
            </w:r>
          </w:p>
        </w:tc>
        <w:tc>
          <w:tcPr>
            <w:tcW w:w="3992" w:type="dxa"/>
            <w:gridSpan w:val="5"/>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23,424,569</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23,424,569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81"/>
        <w:gridCol w:w="3992"/>
        <w:gridCol w:w="1349"/>
        <w:gridCol w:w="1349"/>
      </w:tblGrid>
      <w:tr>
        <w:trPr>
          <w:trHeight w:val="363"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6"/>
                <w:sz w:val="18"/>
                <w:szCs w:val="18"/>
              </w:rPr>
              <w:t>伙）－庞增添益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号私募投资基金</w:t>
            </w:r>
          </w:p>
        </w:tc>
        <w:tc>
          <w:tcPr>
            <w:tcW w:w="3992" w:type="dxa"/>
            <w:tcBorders>
              <w:top w:val="single" w:sz="4" w:space="0" w:color="933734"/>
              <w:left w:val="single" w:sz="4" w:space="0" w:color="933734"/>
              <w:bottom w:val="single" w:sz="4" w:space="0" w:color="933734"/>
              <w:right w:val="single" w:sz="4" w:space="0" w:color="933734"/>
            </w:tcBorders>
          </w:tcPr>
          <w:p>
            <w:pPr/>
          </w:p>
        </w:tc>
        <w:tc>
          <w:tcPr>
            <w:tcW w:w="1349" w:type="dxa"/>
            <w:tcBorders>
              <w:top w:val="single" w:sz="4" w:space="0" w:color="933734"/>
              <w:left w:val="single" w:sz="4" w:space="0" w:color="933734"/>
              <w:bottom w:val="single" w:sz="4" w:space="0" w:color="933734"/>
              <w:right w:val="single" w:sz="4" w:space="0" w:color="933734"/>
            </w:tcBorders>
          </w:tcPr>
          <w:p>
            <w:pPr/>
          </w:p>
        </w:tc>
        <w:tc>
          <w:tcPr>
            <w:tcW w:w="1349"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3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19,200,000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19,200,000</w:t>
            </w:r>
          </w:p>
        </w:tc>
      </w:tr>
      <w:tr>
        <w:trPr>
          <w:trHeight w:val="403"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3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12,960,000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12,960,000</w:t>
            </w:r>
          </w:p>
        </w:tc>
      </w:tr>
      <w:tr>
        <w:trPr>
          <w:trHeight w:val="401"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章熠</w:t>
            </w:r>
          </w:p>
        </w:tc>
        <w:tc>
          <w:tcPr>
            <w:tcW w:w="3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7,027,432</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7,027,432</w:t>
            </w:r>
          </w:p>
        </w:tc>
      </w:tr>
      <w:tr>
        <w:trPr>
          <w:trHeight w:val="403"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6,636,800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6,636,800</w:t>
            </w:r>
          </w:p>
        </w:tc>
      </w:tr>
      <w:tr>
        <w:trPr>
          <w:trHeight w:val="401"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5,909,603</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5,909,603</w:t>
            </w:r>
          </w:p>
        </w:tc>
      </w:tr>
      <w:tr>
        <w:trPr>
          <w:trHeight w:val="403"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4,400,000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4,400,000</w:t>
            </w:r>
          </w:p>
        </w:tc>
      </w:tr>
      <w:tr>
        <w:trPr>
          <w:trHeight w:val="401"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贺峰</w:t>
            </w:r>
          </w:p>
        </w:tc>
        <w:tc>
          <w:tcPr>
            <w:tcW w:w="3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4,080,916</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4,080,916</w:t>
            </w:r>
          </w:p>
        </w:tc>
      </w:tr>
      <w:tr>
        <w:trPr>
          <w:trHeight w:val="403" w:hRule="exact"/>
        </w:trPr>
        <w:tc>
          <w:tcPr>
            <w:tcW w:w="288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杨庆彬</w:t>
            </w:r>
          </w:p>
        </w:tc>
        <w:tc>
          <w:tcPr>
            <w:tcW w:w="3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4,027,600</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4,027,600</w:t>
            </w:r>
          </w:p>
        </w:tc>
      </w:tr>
      <w:tr>
        <w:trPr>
          <w:trHeight w:val="1337" w:hRule="exact"/>
        </w:trPr>
        <w:tc>
          <w:tcPr>
            <w:tcW w:w="288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103" w:right="15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690"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林永飞持有瑞丰股份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股权，林永飞、翁武强、翁武游为一致行动人。</w:t>
            </w:r>
          </w:p>
        </w:tc>
      </w:tr>
      <w:tr>
        <w:trPr>
          <w:trHeight w:val="1027" w:hRule="exact"/>
        </w:trPr>
        <w:tc>
          <w:tcPr>
            <w:tcW w:w="288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3" w:right="1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6690" w:type="dxa"/>
            <w:gridSpan w:val="3"/>
            <w:tcBorders>
              <w:top w:val="single" w:sz="4" w:space="0" w:color="933734"/>
              <w:left w:val="single" w:sz="4" w:space="0" w:color="933734"/>
              <w:bottom w:val="single" w:sz="4" w:space="0" w:color="933734"/>
              <w:right w:val="single" w:sz="4" w:space="0" w:color="933734"/>
            </w:tcBorders>
          </w:tcPr>
          <w:p>
            <w:pPr>
              <w:pStyle w:val="TableParagraph"/>
              <w:spacing w:line="309" w:lineRule="auto" w:before="49"/>
              <w:ind w:left="105" w:right="180"/>
              <w:jc w:val="left"/>
              <w:rPr>
                <w:rFonts w:ascii="宋体" w:hAnsi="宋体" w:cs="宋体" w:eastAsia="宋体" w:hint="default"/>
                <w:sz w:val="18"/>
                <w:szCs w:val="18"/>
              </w:rPr>
            </w:pPr>
            <w:r>
              <w:rPr>
                <w:rFonts w:ascii="宋体" w:hAnsi="宋体" w:cs="宋体" w:eastAsia="宋体" w:hint="default"/>
                <w:sz w:val="18"/>
                <w:szCs w:val="18"/>
              </w:rPr>
              <w:t>前十名无限售条件股东：章熠通过客户信用交易担保证券账户持有股份 </w:t>
            </w:r>
            <w:r>
              <w:rPr>
                <w:rFonts w:ascii="Times New Roman" w:hAnsi="Times New Roman" w:cs="Times New Roman" w:eastAsia="Times New Roman" w:hint="default"/>
                <w:sz w:val="18"/>
                <w:szCs w:val="18"/>
              </w:rPr>
              <w:t>3,676,732 </w:t>
            </w:r>
            <w:r>
              <w:rPr>
                <w:rFonts w:ascii="宋体" w:hAnsi="宋体" w:cs="宋体" w:eastAsia="宋体" w:hint="default"/>
                <w:sz w:val="18"/>
                <w:szCs w:val="18"/>
              </w:rPr>
              <w:t>股股票、广州瑞丰集团股份有限公司通过客户信用交易担保证券账户持有股份 </w:t>
            </w:r>
            <w:r>
              <w:rPr>
                <w:rFonts w:ascii="Times New Roman" w:hAnsi="Times New Roman" w:cs="Times New Roman" w:eastAsia="Times New Roman" w:hint="default"/>
                <w:sz w:val="18"/>
                <w:szCs w:val="18"/>
              </w:rPr>
              <w:t>28,400,000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3"/>
        <w:rPr>
          <w:rFonts w:ascii="Times New Roman" w:hAnsi="Times New Roman" w:cs="Times New Roman" w:eastAsia="Times New Roman" w:hint="default"/>
          <w:sz w:val="7"/>
          <w:szCs w:val="7"/>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名普通股股东、前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名无限售条件普通股股东在报告期内是否进行约定购回交易</w:t>
      </w:r>
      <w:r>
        <w:rPr>
          <w:rFonts w:ascii="宋体" w:hAnsi="宋体" w:cs="宋体" w:eastAsia="宋体" w:hint="default"/>
          <w:sz w:val="18"/>
          <w:szCs w:val="18"/>
        </w:rPr>
      </w:r>
    </w:p>
    <w:p>
      <w:pPr>
        <w:spacing w:line="240" w:lineRule="auto" w:before="8"/>
        <w:rPr>
          <w:rFonts w:ascii="宋体" w:hAnsi="宋体" w:cs="宋体" w:eastAsia="宋体" w:hint="default"/>
          <w:b/>
          <w:bCs/>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13"/>
          <w:szCs w:val="13"/>
        </w:rPr>
      </w:pPr>
    </w:p>
    <w:p>
      <w:pPr>
        <w:pStyle w:val="BodyText"/>
        <w:spacing w:line="240" w:lineRule="auto"/>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3" w:right="8584" w:firstLine="0"/>
        <w:jc w:val="left"/>
        <w:rPr>
          <w:rFonts w:ascii="宋体" w:hAnsi="宋体" w:cs="宋体" w:eastAsia="宋体" w:hint="default"/>
          <w:sz w:val="18"/>
          <w:szCs w:val="18"/>
        </w:rPr>
      </w:pPr>
      <w:r>
        <w:rPr>
          <w:rFonts w:ascii="宋体" w:hAnsi="宋体" w:cs="宋体" w:eastAsia="宋体" w:hint="default"/>
          <w:b/>
          <w:bCs/>
          <w:sz w:val="18"/>
          <w:szCs w:val="18"/>
        </w:rPr>
        <w:t>控股股东性质：自然人控股</w:t>
      </w:r>
      <w:r>
        <w:rPr>
          <w:rFonts w:ascii="宋体" w:hAnsi="宋体" w:cs="宋体" w:eastAsia="宋体" w:hint="default"/>
          <w:b/>
          <w:bCs/>
          <w:w w:val="99"/>
          <w:sz w:val="18"/>
          <w:szCs w:val="18"/>
        </w:rPr>
        <w:t> </w:t>
      </w:r>
      <w:r>
        <w:rPr>
          <w:rFonts w:ascii="宋体" w:hAnsi="宋体" w:cs="宋体" w:eastAsia="宋体" w:hint="default"/>
          <w:b/>
          <w:bCs/>
          <w:sz w:val="18"/>
          <w:szCs w:val="18"/>
        </w:rPr>
        <w:t>控股股东类型：法人</w:t>
      </w:r>
      <w:r>
        <w:rPr>
          <w:rFonts w:ascii="宋体" w:hAnsi="宋体" w:cs="宋体" w:eastAsia="宋体" w:hint="default"/>
          <w:sz w:val="18"/>
          <w:szCs w:val="18"/>
        </w:rPr>
      </w:r>
    </w:p>
    <w:tbl>
      <w:tblPr>
        <w:tblW w:w="0" w:type="auto"/>
        <w:jc w:val="left"/>
        <w:tblInd w:w="108" w:type="dxa"/>
        <w:tblLayout w:type="fixed"/>
        <w:tblCellMar>
          <w:top w:w="0" w:type="dxa"/>
          <w:left w:w="0" w:type="dxa"/>
          <w:bottom w:w="0" w:type="dxa"/>
          <w:right w:w="0" w:type="dxa"/>
        </w:tblCellMar>
        <w:tblLook w:val="01E0"/>
      </w:tblPr>
      <w:tblGrid>
        <w:gridCol w:w="1997"/>
        <w:gridCol w:w="1829"/>
        <w:gridCol w:w="1894"/>
        <w:gridCol w:w="1935"/>
        <w:gridCol w:w="1916"/>
      </w:tblGrid>
      <w:tr>
        <w:trPr>
          <w:trHeight w:val="713" w:hRule="exact"/>
        </w:trPr>
        <w:tc>
          <w:tcPr>
            <w:tcW w:w="19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732" w:right="161"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2" w:hRule="exact"/>
        </w:trPr>
        <w:tc>
          <w:tcPr>
            <w:tcW w:w="19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4" w:lineRule="auto"/>
              <w:ind w:left="103" w:right="261"/>
              <w:jc w:val="left"/>
              <w:rPr>
                <w:rFonts w:ascii="宋体" w:hAnsi="宋体" w:cs="宋体" w:eastAsia="宋体" w:hint="default"/>
                <w:sz w:val="18"/>
                <w:szCs w:val="18"/>
              </w:rPr>
            </w:pPr>
            <w:r>
              <w:rPr>
                <w:rFonts w:ascii="宋体" w:hAnsi="宋体" w:cs="宋体" w:eastAsia="宋体" w:hint="default"/>
                <w:sz w:val="18"/>
                <w:szCs w:val="18"/>
              </w:rPr>
              <w:t>广州瑞丰集团股份有 限公司</w:t>
            </w:r>
          </w:p>
        </w:tc>
        <w:tc>
          <w:tcPr>
            <w:tcW w:w="182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8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55"/>
              <w:jc w:val="center"/>
              <w:rPr>
                <w:rFonts w:ascii="Times New Roman" w:hAnsi="Times New Roman" w:cs="Times New Roman" w:eastAsia="Times New Roman" w:hint="default"/>
                <w:sz w:val="18"/>
                <w:szCs w:val="18"/>
              </w:rPr>
            </w:pPr>
            <w:r>
              <w:rPr>
                <w:rFonts w:ascii="Times New Roman"/>
                <w:sz w:val="18"/>
              </w:rPr>
              <w:t>91440101677792193Y</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5" w:right="10"/>
              <w:jc w:val="left"/>
              <w:rPr>
                <w:rFonts w:ascii="宋体" w:hAnsi="宋体" w:cs="宋体" w:eastAsia="宋体" w:hint="default"/>
                <w:sz w:val="18"/>
                <w:szCs w:val="18"/>
              </w:rPr>
            </w:pPr>
            <w:r>
              <w:rPr>
                <w:rFonts w:ascii="宋体" w:hAnsi="宋体" w:cs="宋体" w:eastAsia="宋体" w:hint="default"/>
                <w:sz w:val="18"/>
                <w:szCs w:val="18"/>
              </w:rPr>
              <w:t>利用自有资金进行对 外投资，投资咨询； </w:t>
            </w:r>
            <w:r>
              <w:rPr>
                <w:rFonts w:ascii="宋体" w:hAnsi="宋体" w:cs="宋体" w:eastAsia="宋体" w:hint="default"/>
                <w:spacing w:val="-2"/>
                <w:sz w:val="18"/>
                <w:szCs w:val="18"/>
              </w:rPr>
              <w:t>场地出租；物业管理；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为企业资产重组、并 购提供咨询服务。</w:t>
            </w:r>
          </w:p>
        </w:tc>
      </w:tr>
      <w:tr>
        <w:trPr>
          <w:trHeight w:val="1337" w:hRule="exact"/>
        </w:trPr>
        <w:tc>
          <w:tcPr>
            <w:tcW w:w="19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261"/>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574" w:type="dxa"/>
            <w:gridSpan w:val="4"/>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3"/>
        <w:rPr>
          <w:rFonts w:ascii="宋体" w:hAnsi="宋体" w:cs="宋体" w:eastAsia="宋体" w:hint="default"/>
          <w:b/>
          <w:bCs/>
          <w:sz w:val="7"/>
          <w:szCs w:val="7"/>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控股股东报告期内变更</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t>公司报告期控股股东未发生变更。</w:t>
      </w:r>
    </w:p>
    <w:p>
      <w:pPr>
        <w:spacing w:after="0" w:line="240" w:lineRule="auto"/>
        <w:jc w:val="left"/>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57" w:lineRule="auto" w:before="0"/>
        <w:ind w:left="11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316"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2391"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C00000"/>
              <w:left w:val="single" w:sz="4" w:space="0" w:color="C00000"/>
              <w:bottom w:val="single" w:sz="4" w:space="0" w:color="C00000"/>
              <w:right w:val="single" w:sz="4" w:space="0" w:color="C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C00000"/>
              <w:left w:val="single" w:sz="4" w:space="0" w:color="C00000"/>
              <w:bottom w:val="single" w:sz="4" w:space="0" w:color="C00000"/>
              <w:right w:val="single" w:sz="4" w:space="0" w:color="C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公司董事长、瑞丰股份董事长</w:t>
            </w:r>
          </w:p>
        </w:tc>
      </w:tr>
      <w:tr>
        <w:trPr>
          <w:trHeight w:val="715" w:hRule="exact"/>
        </w:trPr>
        <w:tc>
          <w:tcPr>
            <w:tcW w:w="2393" w:type="dxa"/>
            <w:tcBorders>
              <w:top w:val="single" w:sz="4" w:space="0" w:color="C00000"/>
              <w:left w:val="single" w:sz="4" w:space="0" w:color="C00000"/>
              <w:bottom w:val="single" w:sz="4" w:space="0" w:color="C00000"/>
              <w:right w:val="single" w:sz="4" w:space="0" w:color="C00000"/>
            </w:tcBorders>
            <w:shd w:val="clear" w:color="auto" w:fill="E4B8B7"/>
          </w:tcPr>
          <w:p>
            <w:pPr>
              <w:pStyle w:val="TableParagraph"/>
              <w:spacing w:line="297" w:lineRule="auto" w:before="51"/>
              <w:ind w:left="103" w:right="2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7" w:type="dxa"/>
            <w:gridSpan w:val="3"/>
            <w:tcBorders>
              <w:top w:val="single" w:sz="4" w:space="0" w:color="C00000"/>
              <w:left w:val="single" w:sz="4" w:space="0" w:color="C00000"/>
              <w:bottom w:val="single" w:sz="4" w:space="0" w:color="C00000"/>
              <w:right w:val="single" w:sz="4" w:space="0" w:color="C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实际控制人报告期内变更</w:t>
      </w:r>
      <w:r>
        <w:rPr>
          <w:rFonts w:ascii="宋体" w:hAnsi="宋体" w:cs="宋体" w:eastAsia="宋体" w:hint="default"/>
          <w:sz w:val="18"/>
          <w:szCs w:val="18"/>
        </w:rPr>
      </w:r>
    </w:p>
    <w:p>
      <w:pPr>
        <w:spacing w:line="441" w:lineRule="auto" w:before="115"/>
        <w:ind w:left="113" w:right="677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z w:val="21"/>
          <w:szCs w:val="21"/>
        </w:rPr>
        <w:t>公司报告期实际控制人未发生变更。</w:t>
      </w:r>
      <w:r>
        <w:rPr>
          <w:rFonts w:ascii="宋体" w:hAnsi="宋体" w:cs="宋体" w:eastAsia="宋体" w:hint="default"/>
          <w:w w:val="100"/>
          <w:sz w:val="21"/>
          <w:szCs w:val="21"/>
        </w:rPr>
        <w:t> </w:t>
      </w:r>
      <w:r>
        <w:rPr>
          <w:rFonts w:ascii="宋体" w:hAnsi="宋体" w:cs="宋体" w:eastAsia="宋体" w:hint="default"/>
          <w:b/>
          <w:bCs/>
          <w:sz w:val="18"/>
          <w:szCs w:val="18"/>
        </w:rPr>
        <w:t>公司与实际控制人之间的产权及控制关系的方框图</w:t>
      </w:r>
      <w:r>
        <w:rPr>
          <w:rFonts w:ascii="宋体" w:hAnsi="宋体" w:cs="宋体" w:eastAsia="宋体" w:hint="default"/>
          <w:sz w:val="18"/>
          <w:szCs w:val="18"/>
        </w:rPr>
      </w:r>
    </w:p>
    <w:p>
      <w:pPr>
        <w:spacing w:line="240" w:lineRule="auto" w:before="3"/>
        <w:rPr>
          <w:rFonts w:ascii="宋体" w:hAnsi="宋体" w:cs="宋体" w:eastAsia="宋体" w:hint="default"/>
          <w:b/>
          <w:bCs/>
          <w:sz w:val="11"/>
          <w:szCs w:val="11"/>
        </w:rPr>
      </w:pPr>
    </w:p>
    <w:p>
      <w:pPr>
        <w:spacing w:line="2955" w:lineRule="exact"/>
        <w:ind w:left="1889" w:right="0" w:firstLine="0"/>
        <w:rPr>
          <w:rFonts w:ascii="宋体" w:hAnsi="宋体" w:cs="宋体" w:eastAsia="宋体" w:hint="default"/>
          <w:sz w:val="20"/>
          <w:szCs w:val="20"/>
        </w:rPr>
      </w:pPr>
      <w:r>
        <w:rPr>
          <w:rFonts w:ascii="宋体" w:hAnsi="宋体" w:cs="宋体" w:eastAsia="宋体" w:hint="default"/>
          <w:position w:val="-58"/>
          <w:sz w:val="20"/>
          <w:szCs w:val="20"/>
        </w:rPr>
        <w:pict>
          <v:group style="width:283.8pt;height:147.75pt;mso-position-horizontal-relative:char;mso-position-vertical-relative:line" coordorigin="0,0" coordsize="5676,2955">
            <v:shape style="position:absolute;left:1848;top:1862;width:1277;height:288" type="#_x0000_t75" stroked="false">
              <v:imagedata r:id="rId21" o:title=""/>
            </v:shape>
            <v:group style="position:absolute;left:2652;top:1786;width:209;height:596" coordorigin="2652,1786" coordsize="209,596">
              <v:shape style="position:absolute;left:2652;top:1786;width:209;height:596" coordorigin="2652,1786" coordsize="209,596" path="m2677,2176l2666,2182,2655,2189,2652,2202,2756,2381,2782,2337,2734,2337,2734,2253,2697,2190,2690,2180,2677,2176xe" filled="true" fillcolor="#bd4a47" stroked="false">
                <v:path arrowok="t"/>
                <v:fill type="solid"/>
              </v:shape>
              <v:shape style="position:absolute;left:2652;top:1786;width:209;height:596" coordorigin="2652,1786" coordsize="209,596" path="m2734,2254l2734,2337,2779,2337,2779,2325,2737,2325,2756,2292,2734,2254xe" filled="true" fillcolor="#bd4a47" stroked="false">
                <v:path arrowok="t"/>
                <v:fill type="solid"/>
              </v:shape>
              <v:shape style="position:absolute;left:2652;top:1786;width:209;height:596" coordorigin="2652,1786" coordsize="209,596" path="m2835,2176l2822,2180,2815,2190,2779,2253,2779,2337,2782,2337,2860,2202,2857,2189,2835,2176xe" filled="true" fillcolor="#bd4a47" stroked="false">
                <v:path arrowok="t"/>
                <v:fill type="solid"/>
              </v:shape>
              <v:shape style="position:absolute;left:2652;top:1786;width:209;height:596" coordorigin="2652,1786" coordsize="209,596" path="m2756,2292l2737,2325,2775,2325,2756,2292xe" filled="true" fillcolor="#bd4a47" stroked="false">
                <v:path arrowok="t"/>
                <v:fill type="solid"/>
              </v:shape>
              <v:shape style="position:absolute;left:2652;top:1786;width:209;height:596" coordorigin="2652,1786" coordsize="209,596" path="m2779,2253l2756,2292,2775,2325,2779,2325,2779,2253xe" filled="true" fillcolor="#bd4a47" stroked="false">
                <v:path arrowok="t"/>
                <v:fill type="solid"/>
              </v:shape>
              <v:shape style="position:absolute;left:2652;top:1786;width:209;height:596" coordorigin="2652,1786" coordsize="209,596" path="m2779,1786l2734,1786,2734,2254,2756,2292,2779,2254,2779,1786xe" filled="true" fillcolor="#bd4a47" stroked="false">
                <v:path arrowok="t"/>
                <v:fill type="solid"/>
              </v:shape>
              <v:shape style="position:absolute;left:4529;top:1144;width:1056;height:446" type="#_x0000_t75" stroked="false">
                <v:imagedata r:id="rId22" o:title=""/>
              </v:shape>
            </v:group>
            <v:group style="position:absolute;left:4326;top:584;width:209;height:1787" coordorigin="4326,584" coordsize="209,1787">
              <v:shape style="position:absolute;left:4326;top:584;width:209;height:1787" coordorigin="4326,584" coordsize="209,1787" path="m4351,2167l4340,2173,4329,2180,4326,2193,4433,2371,4458,2327,4410,2327,4409,2243,4365,2170,4351,2167xe" filled="true" fillcolor="#bd4a47" stroked="false">
                <v:path arrowok="t"/>
                <v:fill type="solid"/>
              </v:shape>
              <v:shape style="position:absolute;left:4326;top:584;width:209;height:1787" coordorigin="4326,584" coordsize="209,1787" path="m4409,2243l4410,2327,4455,2326,4455,2315,4413,2315,4432,2282,4409,2243xe" filled="true" fillcolor="#bd4a47" stroked="false">
                <v:path arrowok="t"/>
                <v:fill type="solid"/>
              </v:shape>
              <v:shape style="position:absolute;left:4326;top:584;width:209;height:1787" coordorigin="4326,584" coordsize="209,1787" path="m4509,2165l4496,2168,4490,2179,4454,2243,4455,2326,4410,2327,4458,2327,4529,2201,4535,2190,4531,2177,4520,2171,4509,2165xe" filled="true" fillcolor="#bd4a47" stroked="false">
                <v:path arrowok="t"/>
                <v:fill type="solid"/>
              </v:shape>
              <v:shape style="position:absolute;left:4326;top:584;width:209;height:1787" coordorigin="4326,584" coordsize="209,1787" path="m4432,2282l4413,2315,4452,2315,4432,2282xe" filled="true" fillcolor="#bd4a47" stroked="false">
                <v:path arrowok="t"/>
                <v:fill type="solid"/>
              </v:shape>
              <v:shape style="position:absolute;left:4326;top:584;width:209;height:1787" coordorigin="4326,584" coordsize="209,1787" path="m4454,2243l4432,2282,4452,2315,4413,2315,4455,2315,4454,2243xe" filled="true" fillcolor="#bd4a47" stroked="false">
                <v:path arrowok="t"/>
                <v:fill type="solid"/>
              </v:shape>
              <v:shape style="position:absolute;left:4326;top:584;width:209;height:1787" coordorigin="4326,584" coordsize="209,1787" path="m4430,584l4385,585,4409,2243,4432,2282,4454,2243,4430,584xe" filled="true" fillcolor="#bd4a47" stroked="false">
                <v:path arrowok="t"/>
                <v:fill type="solid"/>
              </v:shape>
            </v:group>
            <v:group style="position:absolute;left:1911;top:2371;width:3745;height:565" coordorigin="1911,2371" coordsize="3745,565">
              <v:shape style="position:absolute;left:1911;top:2371;width:3745;height:565" coordorigin="1911,2371" coordsize="3745,565" path="m1911,2465l1919,2428,1939,2398,1969,2378,2005,2371,5562,2371,5599,2378,5628,2398,5649,2428,5656,2465,5656,2841,5649,2878,5628,2908,5599,2928,5562,2935,2005,2935,1969,2928,1939,2908,1919,2878,1911,2841,1911,2465xe" filled="false" stroked="true" strokeweight="2pt" strokecolor="#c0504d">
                <v:path arrowok="t"/>
              </v:shape>
              <v:shape style="position:absolute;left:1958;top:2491;width:3650;height:324" type="#_x0000_t75" stroked="false">
                <v:imagedata r:id="rId23" o:title=""/>
              </v:shape>
              <v:shape style="position:absolute;left:2018;top:739;width:811;height:314" type="#_x0000_t75" stroked="false">
                <v:imagedata r:id="rId24" o:title=""/>
              </v:shape>
            </v:group>
            <v:group style="position:absolute;left:2652;top:574;width:209;height:648" coordorigin="2652,574" coordsize="209,648">
              <v:shape style="position:absolute;left:2652;top:574;width:209;height:648" coordorigin="2652,574" coordsize="209,648" path="m2677,1016l2666,1023,2655,1029,2652,1043,2658,1053,2756,1222,2782,1177,2734,1177,2734,1094,2697,1031,2690,1020,2677,1016xe" filled="true" fillcolor="#bd4a47" stroked="false">
                <v:path arrowok="t"/>
                <v:fill type="solid"/>
              </v:shape>
              <v:shape style="position:absolute;left:2652;top:574;width:209;height:648" coordorigin="2652,574" coordsize="209,648" path="m2734,1094l2734,1177,2779,1177,2779,1166,2737,1166,2756,1132,2734,1094xe" filled="true" fillcolor="#bd4a47" stroked="false">
                <v:path arrowok="t"/>
                <v:fill type="solid"/>
              </v:shape>
              <v:shape style="position:absolute;left:2652;top:574;width:209;height:648" coordorigin="2652,574" coordsize="209,648" path="m2835,1016l2822,1020,2779,1094,2779,1177,2782,1177,2854,1053,2860,1043,2857,1029,2846,1023,2835,1016xe" filled="true" fillcolor="#bd4a47" stroked="false">
                <v:path arrowok="t"/>
                <v:fill type="solid"/>
              </v:shape>
              <v:shape style="position:absolute;left:2652;top:574;width:209;height:648" coordorigin="2652,574" coordsize="209,648" path="m2756,1132l2737,1166,2775,1166,2756,1132xe" filled="true" fillcolor="#bd4a47" stroked="false">
                <v:path arrowok="t"/>
                <v:fill type="solid"/>
              </v:shape>
              <v:shape style="position:absolute;left:2652;top:574;width:209;height:648" coordorigin="2652,574" coordsize="209,648" path="m2779,1094l2756,1132,2775,1166,2779,1166,2779,1094xe" filled="true" fillcolor="#bd4a47" stroked="false">
                <v:path arrowok="t"/>
                <v:fill type="solid"/>
              </v:shape>
              <v:shape style="position:absolute;left:2652;top:574;width:209;height:648" coordorigin="2652,574" coordsize="209,648" path="m2779,574l2734,574,2734,1094,2756,1132,2779,1094,2779,574xe" filled="true" fillcolor="#bd4a47" stroked="false">
                <v:path arrowok="t"/>
                <v:fill type="solid"/>
              </v:shape>
            </v:group>
            <v:group style="position:absolute;left:20;top:1211;width:3493;height:575" coordorigin="20,1211" coordsize="3493,575">
              <v:shape style="position:absolute;left:20;top:1211;width:3493;height:575" coordorigin="20,1211" coordsize="3493,575" path="m20,1307l28,1270,48,1239,78,1219,116,1211,3417,1211,3454,1219,3485,1239,3505,1270,3513,1307,3513,1690,3505,1727,3485,1758,3454,1778,3417,1786,116,1786,78,1778,48,1758,28,1727,20,1690,20,1307xe" filled="false" stroked="true" strokeweight="2.0pt" strokecolor="#c0504d">
                <v:path arrowok="t"/>
              </v:shape>
              <v:shape style="position:absolute;left:67;top:1331;width:3398;height:334" type="#_x0000_t75" stroked="false">
                <v:imagedata r:id="rId25" o:title=""/>
              </v:shape>
            </v:group>
            <v:group style="position:absolute;left:2138;top:20;width:3026;height:565" coordorigin="2138,20" coordsize="3026,565">
              <v:shape style="position:absolute;left:2138;top:20;width:3026;height:565" coordorigin="2138,20" coordsize="3026,565" path="m2138,114l2146,77,2166,48,2196,27,2232,20,5070,20,5107,27,5137,48,5157,77,5164,114,5164,490,5157,527,5137,557,5107,577,5070,584,2232,584,2196,577,2166,557,2146,527,2138,490,2138,114xe" filled="false" stroked="true" strokeweight="2pt" strokecolor="#c0504d">
                <v:path arrowok="t"/>
              </v:shape>
              <v:shape style="position:absolute;left:2186;top:141;width:2930;height:324" type="#_x0000_t75" stroked="false">
                <v:imagedata r:id="rId26" o:title=""/>
              </v:shape>
              <v:shape style="position:absolute;left:3380;top:244;width:54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林永飞</w:t>
                      </w:r>
                      <w:r>
                        <w:rPr>
                          <w:rFonts w:ascii="宋体" w:hAnsi="宋体" w:cs="宋体" w:eastAsia="宋体" w:hint="default"/>
                          <w:sz w:val="18"/>
                          <w:szCs w:val="18"/>
                        </w:rPr>
                      </w:r>
                    </w:p>
                  </w:txbxContent>
                </v:textbox>
                <w10:wrap type="none"/>
              </v:shape>
              <v:shape style="position:absolute;left:2163;top:832;width:480;height:240" type="#_x0000_t202" filled="false" stroked="false">
                <v:textbox inset="0,0,0,0">
                  <w:txbxContent>
                    <w:p>
                      <w:pPr>
                        <w:spacing w:line="240" w:lineRule="exact" w:before="0"/>
                        <w:ind w:left="0" w:right="0" w:firstLine="0"/>
                        <w:jc w:val="left"/>
                        <w:rPr>
                          <w:rFonts w:ascii="Times New Roman" w:hAnsi="Times New Roman" w:cs="Times New Roman" w:eastAsia="Times New Roman" w:hint="default"/>
                          <w:sz w:val="24"/>
                          <w:szCs w:val="24"/>
                        </w:rPr>
                      </w:pPr>
                      <w:r>
                        <w:rPr>
                          <w:rFonts w:ascii="Times New Roman"/>
                          <w:b/>
                          <w:sz w:val="24"/>
                        </w:rPr>
                        <w:t>70%</w:t>
                      </w:r>
                      <w:r>
                        <w:rPr>
                          <w:rFonts w:ascii="Times New Roman"/>
                          <w:sz w:val="24"/>
                        </w:rPr>
                      </w:r>
                    </w:p>
                  </w:txbxContent>
                </v:textbox>
                <w10:wrap type="none"/>
              </v:shape>
              <v:shape style="position:absolute;left:4674;top:1235;width:660;height:240" type="#_x0000_t202" filled="false" stroked="false">
                <v:textbox inset="0,0,0,0">
                  <w:txbxContent>
                    <w:p>
                      <w:pPr>
                        <w:spacing w:line="240" w:lineRule="exact" w:before="0"/>
                        <w:ind w:left="0" w:right="0" w:firstLine="0"/>
                        <w:jc w:val="left"/>
                        <w:rPr>
                          <w:rFonts w:ascii="Times New Roman" w:hAnsi="Times New Roman" w:cs="Times New Roman" w:eastAsia="Times New Roman" w:hint="default"/>
                          <w:sz w:val="24"/>
                          <w:szCs w:val="24"/>
                        </w:rPr>
                      </w:pPr>
                      <w:r>
                        <w:rPr>
                          <w:rFonts w:ascii="Times New Roman"/>
                          <w:b/>
                          <w:sz w:val="24"/>
                        </w:rPr>
                        <w:t>9.32%</w:t>
                      </w:r>
                      <w:r>
                        <w:rPr>
                          <w:rFonts w:ascii="Times New Roman"/>
                          <w:sz w:val="24"/>
                        </w:rPr>
                      </w:r>
                    </w:p>
                  </w:txbxContent>
                </v:textbox>
                <w10:wrap type="none"/>
              </v:shape>
              <v:shape style="position:absolute;left:680;top:1437;width:2169;height:75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广州瑞丰集团股份有限公司</w:t>
                      </w:r>
                      <w:r>
                        <w:rPr>
                          <w:rFonts w:ascii="宋体" w:hAnsi="宋体" w:cs="宋体" w:eastAsia="宋体" w:hint="default"/>
                          <w:sz w:val="18"/>
                          <w:szCs w:val="18"/>
                        </w:rPr>
                      </w:r>
                    </w:p>
                    <w:p>
                      <w:pPr>
                        <w:spacing w:line="240" w:lineRule="auto" w:before="7"/>
                        <w:rPr>
                          <w:rFonts w:ascii="宋体" w:hAnsi="宋体" w:cs="宋体" w:eastAsia="宋体" w:hint="default"/>
                          <w:b/>
                          <w:bCs/>
                          <w:sz w:val="23"/>
                          <w:szCs w:val="23"/>
                        </w:rPr>
                      </w:pPr>
                    </w:p>
                    <w:p>
                      <w:pPr>
                        <w:spacing w:line="271" w:lineRule="exact" w:before="0"/>
                        <w:ind w:left="1312" w:right="0" w:firstLine="0"/>
                        <w:jc w:val="left"/>
                        <w:rPr>
                          <w:rFonts w:ascii="Times New Roman" w:hAnsi="Times New Roman" w:cs="Times New Roman" w:eastAsia="Times New Roman" w:hint="default"/>
                          <w:sz w:val="24"/>
                          <w:szCs w:val="24"/>
                        </w:rPr>
                      </w:pPr>
                      <w:r>
                        <w:rPr>
                          <w:rFonts w:ascii="Times New Roman"/>
                          <w:b/>
                          <w:sz w:val="21"/>
                        </w:rPr>
                        <w:t>28.56</w:t>
                      </w:r>
                      <w:r>
                        <w:rPr>
                          <w:rFonts w:ascii="Times New Roman"/>
                          <w:b/>
                          <w:sz w:val="24"/>
                        </w:rPr>
                        <w:t>%</w:t>
                      </w:r>
                      <w:r>
                        <w:rPr>
                          <w:rFonts w:ascii="Times New Roman"/>
                          <w:sz w:val="24"/>
                        </w:rPr>
                      </w:r>
                    </w:p>
                  </w:txbxContent>
                </v:textbox>
                <w10:wrap type="none"/>
              </v:shape>
              <v:shape style="position:absolute;left:2518;top:2597;width:253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摩登大道时尚集团股份有限公司</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58"/>
          <w:sz w:val="20"/>
          <w:szCs w:val="20"/>
        </w:rPr>
      </w:r>
    </w:p>
    <w:p>
      <w:pPr>
        <w:spacing w:line="240" w:lineRule="auto" w:before="8"/>
        <w:rPr>
          <w:rFonts w:ascii="宋体" w:hAnsi="宋体" w:cs="宋体" w:eastAsia="宋体" w:hint="default"/>
          <w:b/>
          <w:bCs/>
          <w:sz w:val="18"/>
          <w:szCs w:val="18"/>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实际控制人通过信托或其他资产管理方式控制公司</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24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240" w:lineRule="auto"/>
        <w:ind w:right="0"/>
        <w:jc w:val="left"/>
      </w:pPr>
      <w:r>
        <w:rPr/>
        <w:t>报告期公司不存在优先股。</w:t>
      </w:r>
    </w:p>
    <w:p>
      <w:pPr>
        <w:spacing w:after="0" w:line="240" w:lineRule="auto"/>
        <w:jc w:val="left"/>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1639" w:right="0"/>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1339" w:hRule="exact"/>
        </w:trPr>
        <w:tc>
          <w:tcPr>
            <w:tcW w:w="79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4" w:right="120"/>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27" w:right="122"/>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8,906,4</w:t>
            </w:r>
          </w:p>
          <w:p>
            <w:pPr>
              <w:pStyle w:val="TableParagraph"/>
              <w:spacing w:line="240" w:lineRule="auto" w:before="103"/>
              <w:ind w:left="506" w:right="0"/>
              <w:jc w:val="left"/>
              <w:rPr>
                <w:rFonts w:ascii="Times New Roman" w:hAnsi="Times New Roman" w:cs="Times New Roman" w:eastAsia="Times New Roman" w:hint="default"/>
                <w:sz w:val="18"/>
                <w:szCs w:val="18"/>
              </w:rPr>
            </w:pPr>
            <w:r>
              <w:rPr>
                <w:rFonts w:ascii="Times New Roman"/>
                <w:sz w:val="18"/>
              </w:rPr>
              <w:t>98</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24,896,</w:t>
            </w:r>
          </w:p>
          <w:p>
            <w:pPr>
              <w:pStyle w:val="TableParagraph"/>
              <w:spacing w:line="240" w:lineRule="auto" w:before="103"/>
              <w:ind w:left="417" w:right="0"/>
              <w:jc w:val="left"/>
              <w:rPr>
                <w:rFonts w:ascii="Times New Roman" w:hAnsi="Times New Roman" w:cs="Times New Roman" w:eastAsia="Times New Roman" w:hint="default"/>
                <w:sz w:val="18"/>
                <w:szCs w:val="18"/>
              </w:rPr>
            </w:pPr>
            <w:r>
              <w:rPr>
                <w:rFonts w:ascii="Times New Roman"/>
                <w:sz w:val="18"/>
              </w:rPr>
              <w:t>101</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66,389,</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603</w:t>
            </w:r>
          </w:p>
        </w:tc>
      </w:tr>
      <w:tr>
        <w:trPr>
          <w:trHeight w:val="1027"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17,600,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r>
      <w:tr>
        <w:trPr>
          <w:trHeight w:val="1961"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李斐</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理、董 事会秘 书兼财 务总监</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徐响玲</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张勤勇</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赖小妍</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675" w:hRule="exact"/>
        </w:trPr>
        <w:tc>
          <w:tcPr>
            <w:tcW w:w="799"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323"/>
              <w:jc w:val="right"/>
              <w:rPr>
                <w:rFonts w:ascii="宋体" w:hAnsi="宋体" w:cs="宋体" w:eastAsia="宋体" w:hint="default"/>
                <w:sz w:val="18"/>
                <w:szCs w:val="18"/>
              </w:rPr>
            </w:pPr>
            <w:r>
              <w:rPr>
                <w:rFonts w:ascii="宋体" w:hAnsi="宋体" w:cs="宋体" w:eastAsia="宋体" w:hint="default"/>
                <w:sz w:val="18"/>
                <w:szCs w:val="18"/>
              </w:rPr>
              <w:t>主席</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9"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r>
      <w:tr>
        <w:trPr>
          <w:trHeight w:val="1649"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董事、 董事会 秘书兼 财务总 监</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监事会 主席、 职工监 事</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61,400,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8,906,4</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98</w:t>
            </w:r>
          </w:p>
        </w:tc>
        <w:tc>
          <w:tcPr>
            <w:tcW w:w="7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31,496,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101</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83,989,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603</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2"/>
        <w:gridCol w:w="1330"/>
        <w:gridCol w:w="4247"/>
      </w:tblGrid>
      <w:tr>
        <w:trPr>
          <w:trHeight w:val="401" w:hRule="exact"/>
        </w:trPr>
        <w:tc>
          <w:tcPr>
            <w:tcW w:w="133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李斐</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34"/>
              <w:jc w:val="both"/>
              <w:rPr>
                <w:rFonts w:ascii="宋体" w:hAnsi="宋体" w:cs="宋体" w:eastAsia="宋体" w:hint="default"/>
                <w:sz w:val="18"/>
                <w:szCs w:val="18"/>
              </w:rPr>
            </w:pPr>
            <w:r>
              <w:rPr>
                <w:rFonts w:ascii="宋体" w:hAnsi="宋体" w:cs="宋体" w:eastAsia="宋体" w:hint="default"/>
                <w:sz w:val="18"/>
                <w:szCs w:val="18"/>
              </w:rPr>
              <w:t>董事、副总经 理、董事会秘 书兼财务总监</w:t>
            </w:r>
          </w:p>
        </w:tc>
        <w:tc>
          <w:tcPr>
            <w:tcW w:w="13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徐响玲</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1025" w:hRule="exact"/>
        </w:trPr>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34"/>
              <w:jc w:val="both"/>
              <w:rPr>
                <w:rFonts w:ascii="宋体" w:hAnsi="宋体" w:cs="宋体" w:eastAsia="宋体" w:hint="default"/>
                <w:sz w:val="18"/>
                <w:szCs w:val="18"/>
              </w:rPr>
            </w:pPr>
            <w:r>
              <w:rPr>
                <w:rFonts w:ascii="宋体" w:hAnsi="宋体" w:cs="宋体" w:eastAsia="宋体" w:hint="default"/>
                <w:sz w:val="18"/>
                <w:szCs w:val="18"/>
              </w:rPr>
              <w:t>董事、董事会 秘书兼财务总 监</w:t>
            </w:r>
          </w:p>
        </w:tc>
        <w:tc>
          <w:tcPr>
            <w:tcW w:w="13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3" w:hRule="exact"/>
        </w:trPr>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32"/>
          <w:szCs w:val="3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公司现任董事、监事、高级管理人员专业背景、主要工作经历以及目前在公司的主要职责</w:t>
      </w:r>
      <w:r>
        <w:rPr>
          <w:rFonts w:ascii="宋体" w:hAnsi="宋体" w:cs="宋体" w:eastAsia="宋体" w:hint="default"/>
          <w:sz w:val="18"/>
          <w:szCs w:val="18"/>
        </w:rPr>
      </w:r>
    </w:p>
    <w:p>
      <w:pPr>
        <w:spacing w:line="240" w:lineRule="auto" w:before="2"/>
        <w:rPr>
          <w:rFonts w:ascii="宋体" w:hAnsi="宋体" w:cs="宋体" w:eastAsia="宋体" w:hint="default"/>
          <w:b/>
          <w:bCs/>
          <w:sz w:val="19"/>
          <w:szCs w:val="19"/>
        </w:rPr>
      </w:pPr>
    </w:p>
    <w:p>
      <w:pPr>
        <w:pStyle w:val="BodyText"/>
        <w:spacing w:line="386" w:lineRule="auto"/>
        <w:ind w:right="1126" w:firstLine="420"/>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日召开了第三届董事会第三十次会议及第三届</w:t>
      </w:r>
      <w:r>
        <w:rPr>
          <w:w w:val="100"/>
        </w:rPr>
        <w:t> </w:t>
      </w:r>
      <w:r>
        <w:rPr/>
        <w:t>监事会第二十四次会议及 、职工大会</w:t>
      </w:r>
      <w:r>
        <w:rPr>
          <w:rFonts w:ascii="Times New Roman" w:hAnsi="Times New Roman" w:cs="Times New Roman" w:eastAsia="Times New Roman" w:hint="default"/>
        </w:rPr>
        <w:t>2018</w:t>
      </w:r>
      <w:r>
        <w:rPr/>
        <w:t>年第一次会议、</w:t>
      </w:r>
      <w:r>
        <w:rPr>
          <w:rFonts w:ascii="Times New Roman" w:hAnsi="Times New Roman" w:cs="Times New Roman" w:eastAsia="Times New Roman" w:hint="default"/>
        </w:rPr>
        <w:t>2018</w:t>
      </w:r>
      <w:r>
        <w:rPr>
          <w:rFonts w:ascii="Times New Roman" w:hAnsi="Times New Roman" w:cs="Times New Roman" w:eastAsia="Times New Roman" w:hint="default"/>
          <w:spacing w:val="20"/>
        </w:rPr>
        <w:t> </w:t>
      </w:r>
      <w:r>
        <w:rPr/>
        <w:t>年第一次临时股东大会，选举出林永飞先</w:t>
      </w:r>
      <w:r>
        <w:rPr>
          <w:w w:val="100"/>
        </w:rPr>
        <w:t> </w:t>
      </w:r>
      <w:r>
        <w:rPr/>
        <w:t>生、翁武强先生、李斐先生、徐响玲女士 </w:t>
      </w:r>
      <w:r>
        <w:rPr>
          <w:rFonts w:ascii="Times New Roman" w:hAnsi="Times New Roman" w:cs="Times New Roman" w:eastAsia="Times New Roman" w:hint="default"/>
        </w:rPr>
        <w:t>4  </w:t>
      </w:r>
      <w:r>
        <w:rPr/>
        <w:t>位非独立董事及刘运国先生、郭葆春女士、梁洪流先生</w:t>
      </w:r>
      <w:r>
        <w:rPr>
          <w:rFonts w:ascii="Times New Roman" w:hAnsi="Times New Roman" w:cs="Times New Roman" w:eastAsia="Times New Roman" w:hint="default"/>
        </w:rPr>
        <w:t>3  </w:t>
      </w:r>
      <w:r>
        <w:rPr>
          <w:rFonts w:ascii="Times New Roman" w:hAnsi="Times New Roman" w:cs="Times New Roman" w:eastAsia="Times New Roman" w:hint="default"/>
          <w:spacing w:val="31"/>
        </w:rPr>
        <w:t> </w:t>
      </w:r>
      <w:r>
        <w:rPr/>
        <w:t>位</w:t>
      </w:r>
    </w:p>
    <w:p>
      <w:pPr>
        <w:spacing w:after="0" w:line="386"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left="213" w:right="1126"/>
        <w:jc w:val="both"/>
      </w:pPr>
      <w:r>
        <w:rPr>
          <w:spacing w:val="-2"/>
        </w:rPr>
        <w:t>独立董事组成公司第四届董事会成员；选举出张勤勇先生为公司第四届监事会职工代表监事及赖小妍女士</w:t>
      </w:r>
      <w:r>
        <w:rPr>
          <w:spacing w:val="-43"/>
        </w:rPr>
        <w:t> </w:t>
      </w:r>
      <w:r>
        <w:rPr>
          <w:spacing w:val="-43"/>
        </w:rPr>
      </w:r>
      <w:r>
        <w:rPr>
          <w:spacing w:val="-2"/>
        </w:rPr>
        <w:t>和陈马迪先生为公司第四届监事会股东代表监事，公司第四届监事会由陈马迪先生、赖小妍女士、张勤勇</w:t>
      </w:r>
      <w:r>
        <w:rPr>
          <w:spacing w:val="-42"/>
        </w:rPr>
        <w:t> </w:t>
      </w:r>
      <w:r>
        <w:rPr>
          <w:spacing w:val="-42"/>
        </w:rPr>
      </w:r>
      <w:r>
        <w:rPr/>
        <w:t>先生</w:t>
      </w:r>
      <w:r>
        <w:rPr>
          <w:rFonts w:ascii="Times New Roman" w:hAnsi="Times New Roman" w:cs="Times New Roman" w:eastAsia="Times New Roman" w:hint="default"/>
        </w:rPr>
        <w:t>3</w:t>
      </w:r>
      <w:r>
        <w:rPr/>
        <w:t>人共同组成。</w:t>
      </w:r>
    </w:p>
    <w:p>
      <w:pPr>
        <w:pStyle w:val="Heading4"/>
        <w:spacing w:line="240" w:lineRule="auto" w:before="55"/>
        <w:ind w:left="107" w:right="953"/>
        <w:jc w:val="left"/>
        <w:rPr>
          <w:b w:val="0"/>
          <w:bCs w:val="0"/>
        </w:rPr>
      </w:pPr>
      <w:r>
        <w:rPr/>
        <w:t>（一）董事会成员</w:t>
      </w:r>
      <w:r>
        <w:rPr>
          <w:b w:val="0"/>
          <w:bCs w:val="0"/>
        </w:rPr>
      </w:r>
    </w:p>
    <w:p>
      <w:pPr>
        <w:spacing w:line="240" w:lineRule="auto" w:before="9"/>
        <w:rPr>
          <w:rFonts w:ascii="宋体" w:hAnsi="宋体" w:cs="宋体" w:eastAsia="宋体" w:hint="default"/>
          <w:b/>
          <w:bCs/>
          <w:sz w:val="17"/>
          <w:szCs w:val="17"/>
        </w:rPr>
      </w:pPr>
    </w:p>
    <w:p>
      <w:pPr>
        <w:pStyle w:val="BodyText"/>
        <w:spacing w:line="393" w:lineRule="auto"/>
        <w:ind w:left="213" w:right="1126" w:firstLine="422"/>
        <w:jc w:val="both"/>
      </w:pPr>
      <w:r>
        <w:rPr>
          <w:rFonts w:ascii="宋体" w:hAnsi="宋体" w:cs="宋体" w:eastAsia="宋体" w:hint="default"/>
          <w:b/>
          <w:bCs/>
          <w:spacing w:val="-2"/>
        </w:rPr>
        <w:t>林永飞先生：</w:t>
      </w:r>
      <w:r>
        <w:rPr>
          <w:spacing w:val="-2"/>
        </w:rPr>
        <w:t>中国国籍，中山大学</w:t>
      </w:r>
      <w:r>
        <w:rPr>
          <w:rFonts w:ascii="Times New Roman" w:hAnsi="Times New Roman" w:cs="Times New Roman" w:eastAsia="Times New Roman" w:hint="default"/>
          <w:spacing w:val="-2"/>
        </w:rPr>
        <w:t>EMBA</w:t>
      </w:r>
      <w:r>
        <w:rPr>
          <w:spacing w:val="-2"/>
        </w:rPr>
        <w:t>研修班毕业，现任公司董事长，广州天河立嘉小额贷款有限</w:t>
      </w:r>
      <w:r>
        <w:rPr>
          <w:w w:val="100"/>
        </w:rPr>
        <w:t> </w:t>
      </w:r>
      <w:r>
        <w:rPr>
          <w:spacing w:val="-2"/>
        </w:rPr>
        <w:t>公司董事，武汉悦然心动网络科技有限公司董事，兼任广州市第十五届人大代表。曾任广州市第十四届人</w:t>
      </w:r>
      <w:r>
        <w:rPr>
          <w:spacing w:val="-44"/>
        </w:rPr>
        <w:t> </w:t>
      </w:r>
      <w:r>
        <w:rPr>
          <w:spacing w:val="-44"/>
        </w:rPr>
      </w:r>
      <w:r>
        <w:rPr/>
        <w:t>大代表；</w:t>
      </w:r>
      <w:r>
        <w:rPr>
          <w:rFonts w:ascii="Times New Roman" w:hAnsi="Times New Roman" w:cs="Times New Roman" w:eastAsia="Times New Roman" w:hint="default"/>
        </w:rPr>
        <w:t>2002 </w:t>
      </w:r>
      <w:r>
        <w:rPr/>
        <w:t>年至今，历任本公司执行董事、总经理、董事长；</w:t>
      </w:r>
      <w:r>
        <w:rPr>
          <w:rFonts w:ascii="Times New Roman" w:hAnsi="Times New Roman" w:cs="Times New Roman" w:eastAsia="Times New Roman" w:hint="default"/>
        </w:rPr>
        <w:t>2008</w:t>
      </w:r>
      <w:r>
        <w:rPr>
          <w:rFonts w:ascii="Times New Roman" w:hAnsi="Times New Roman" w:cs="Times New Roman" w:eastAsia="Times New Roman" w:hint="default"/>
          <w:spacing w:val="22"/>
        </w:rPr>
        <w:t> </w:t>
      </w:r>
      <w:r>
        <w:rPr/>
        <w:t>年至今任广州瑞丰集团股份有限公</w:t>
      </w:r>
      <w:r>
        <w:rPr>
          <w:w w:val="100"/>
        </w:rPr>
        <w:t> </w:t>
      </w:r>
      <w:r>
        <w:rPr/>
        <w:t>司董事长。</w:t>
      </w:r>
    </w:p>
    <w:p>
      <w:pPr>
        <w:pStyle w:val="BodyText"/>
        <w:spacing w:line="403" w:lineRule="auto" w:before="100"/>
        <w:ind w:left="213" w:right="1126" w:firstLine="422"/>
        <w:jc w:val="both"/>
      </w:pPr>
      <w:r>
        <w:rPr>
          <w:rFonts w:ascii="宋体" w:hAnsi="宋体" w:cs="宋体" w:eastAsia="宋体" w:hint="default"/>
          <w:b/>
          <w:bCs/>
          <w:spacing w:val="-6"/>
        </w:rPr>
        <w:t>翁武强先生：</w:t>
      </w:r>
      <w:r>
        <w:rPr>
          <w:spacing w:val="-6"/>
        </w:rPr>
        <w:t>中国国籍，长江商学院</w:t>
      </w:r>
      <w:r>
        <w:rPr>
          <w:rFonts w:ascii="Times New Roman" w:hAnsi="Times New Roman" w:cs="Times New Roman" w:eastAsia="Times New Roman" w:hint="default"/>
          <w:spacing w:val="-6"/>
        </w:rPr>
        <w:t>EMBA</w:t>
      </w:r>
      <w:r>
        <w:rPr>
          <w:spacing w:val="-6"/>
        </w:rPr>
        <w:t>在读，现任公司董事、总经理，卡奴迪路服饰股份（香港）</w:t>
      </w:r>
      <w:r>
        <w:rPr>
          <w:w w:val="100"/>
        </w:rPr>
        <w:t> </w:t>
      </w:r>
      <w:r>
        <w:rPr>
          <w:spacing w:val="-2"/>
        </w:rPr>
        <w:t>有限公司董事，卡奴迪路国际有限公司董事，广州狮丹贸易有限公司执行董事，广州连卡悦圆发展有限公</w:t>
      </w:r>
      <w:r>
        <w:rPr>
          <w:spacing w:val="-43"/>
        </w:rPr>
        <w:t> </w:t>
      </w:r>
      <w:r>
        <w:rPr>
          <w:spacing w:val="-43"/>
        </w:rPr>
      </w:r>
      <w:r>
        <w:rPr>
          <w:spacing w:val="-2"/>
        </w:rPr>
        <w:t>司执行董事，山南卡奴迪路商贸有限公司执行董事，广州连卡福名品管理有限公司执行董事，广州卡奴迪</w:t>
      </w:r>
      <w:r>
        <w:rPr>
          <w:spacing w:val="-44"/>
        </w:rPr>
        <w:t> </w:t>
      </w:r>
      <w:r>
        <w:rPr>
          <w:spacing w:val="-44"/>
        </w:rPr>
      </w:r>
      <w:r>
        <w:rPr>
          <w:spacing w:val="-2"/>
        </w:rPr>
        <w:t>路国际品牌管理有限公司执行董事，广州摩登大道贸易有限公司公司执行董事，广州中侨汇免税品有限公</w:t>
      </w:r>
      <w:r>
        <w:rPr>
          <w:spacing w:val="-43"/>
        </w:rPr>
        <w:t> </w:t>
      </w:r>
      <w:r>
        <w:rPr>
          <w:spacing w:val="-43"/>
        </w:rPr>
      </w:r>
      <w:r>
        <w:rPr>
          <w:spacing w:val="-2"/>
        </w:rPr>
        <w:t>司执行董事，摩登大道时尚电子商务有限公司执行董事，摩登大道时尚传媒有限公司执行董事，杭州连卡</w:t>
      </w:r>
      <w:r>
        <w:rPr>
          <w:spacing w:val="-43"/>
        </w:rPr>
        <w:t> </w:t>
      </w:r>
      <w:r>
        <w:rPr>
          <w:spacing w:val="-43"/>
        </w:rPr>
      </w:r>
      <w:r>
        <w:rPr/>
        <w:t>恒福品牌管理有限公司董事， </w:t>
      </w:r>
      <w:r>
        <w:rPr>
          <w:rFonts w:ascii="Times New Roman" w:hAnsi="Times New Roman" w:cs="Times New Roman" w:eastAsia="Times New Roman" w:hint="default"/>
          <w:spacing w:val="-4"/>
        </w:rPr>
        <w:t>LEVITAS S.P.A.</w:t>
      </w:r>
      <w:r>
        <w:rPr>
          <w:spacing w:val="-4"/>
        </w:rPr>
        <w:t>董事会主席，广州摩登魔镜时尚科技有限公司执行董事，武</w:t>
      </w:r>
      <w:r>
        <w:rPr>
          <w:spacing w:val="-88"/>
        </w:rPr>
        <w:t> </w:t>
      </w:r>
      <w:r>
        <w:rPr>
          <w:spacing w:val="-88"/>
        </w:rPr>
      </w:r>
      <w:r>
        <w:rPr>
          <w:spacing w:val="-2"/>
        </w:rPr>
        <w:t>汉悦然心动网络科技有限公司董事，广州连卡新技术开发有限公司执行董事，广州伊韵电子商贸有限公司</w:t>
      </w:r>
      <w:r>
        <w:rPr>
          <w:spacing w:val="-43"/>
        </w:rPr>
        <w:t> </w:t>
      </w:r>
      <w:r>
        <w:rPr>
          <w:spacing w:val="-43"/>
        </w:rPr>
      </w:r>
      <w:r>
        <w:rPr/>
        <w:t>董事长</w:t>
      </w:r>
      <w:r>
        <w:rPr>
          <w:spacing w:val="75"/>
        </w:rPr>
        <w:t> </w:t>
      </w:r>
      <w:r>
        <w:rPr>
          <w:rFonts w:ascii="宋体" w:hAnsi="宋体" w:cs="宋体" w:eastAsia="宋体" w:hint="default"/>
        </w:rPr>
        <w:t>,</w:t>
      </w:r>
      <w:r>
        <w:rPr/>
        <w:t>美年电子商贸（广州）有限公司执行董事兼总经理</w:t>
      </w:r>
      <w:r>
        <w:rPr>
          <w:rFonts w:ascii="宋体" w:hAnsi="宋体" w:cs="宋体" w:eastAsia="宋体" w:hint="default"/>
        </w:rPr>
        <w:t>,</w:t>
      </w:r>
      <w:r>
        <w:rPr/>
        <w:t>广州摩登时尚鞋业有限公司执行董事兼总经</w:t>
      </w:r>
      <w:r>
        <w:rPr>
          <w:spacing w:val="-97"/>
        </w:rPr>
        <w:t> </w:t>
      </w:r>
      <w:r>
        <w:rPr>
          <w:spacing w:val="-97"/>
        </w:rPr>
      </w:r>
      <w:r>
        <w:rPr/>
        <w:t>理</w:t>
      </w:r>
      <w:r>
        <w:rPr>
          <w:rFonts w:ascii="宋体" w:hAnsi="宋体" w:cs="宋体" w:eastAsia="宋体" w:hint="default"/>
        </w:rPr>
        <w:t>,</w:t>
      </w:r>
      <w:r>
        <w:rPr/>
        <w:t>广州瑞丰集团股份有限公司董事。</w:t>
      </w:r>
      <w:r>
        <w:rPr>
          <w:rFonts w:ascii="Times New Roman" w:hAnsi="Times New Roman" w:cs="Times New Roman" w:eastAsia="Times New Roman" w:hint="default"/>
        </w:rPr>
        <w:t>2002</w:t>
      </w:r>
      <w:r>
        <w:rPr>
          <w:rFonts w:ascii="Times New Roman" w:hAnsi="Times New Roman" w:cs="Times New Roman" w:eastAsia="Times New Roman" w:hint="default"/>
          <w:spacing w:val="25"/>
        </w:rPr>
        <w:t> </w:t>
      </w:r>
      <w:r>
        <w:rPr/>
        <w:t>年至今，历任本公司营销总监、董事和总经理。</w:t>
      </w:r>
    </w:p>
    <w:p>
      <w:pPr>
        <w:pStyle w:val="BodyText"/>
        <w:spacing w:line="386" w:lineRule="auto" w:before="60"/>
        <w:ind w:left="213" w:right="1128" w:firstLine="422"/>
        <w:jc w:val="both"/>
      </w:pPr>
      <w:r>
        <w:rPr>
          <w:rFonts w:ascii="宋体" w:hAnsi="宋体" w:cs="宋体" w:eastAsia="宋体" w:hint="default"/>
          <w:b/>
          <w:bCs/>
          <w:spacing w:val="-2"/>
        </w:rPr>
        <w:t>李斐先生：</w:t>
      </w:r>
      <w:r>
        <w:rPr>
          <w:spacing w:val="-2"/>
        </w:rPr>
        <w:t>中国国籍，</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月入职本公司，担任助理总经理，现任公司董事、副总经理、董事会</w:t>
      </w:r>
      <w:r>
        <w:rPr>
          <w:w w:val="100"/>
        </w:rPr>
        <w:t> </w:t>
      </w:r>
      <w:r>
        <w:rPr/>
        <w:t>秘书兼财务总监。</w:t>
      </w:r>
    </w:p>
    <w:p>
      <w:pPr>
        <w:pStyle w:val="BodyText"/>
        <w:spacing w:line="386" w:lineRule="auto" w:before="103"/>
        <w:ind w:left="213" w:right="1130" w:firstLine="422"/>
        <w:jc w:val="both"/>
      </w:pPr>
      <w:r>
        <w:rPr>
          <w:rFonts w:ascii="宋体" w:hAnsi="宋体" w:cs="宋体" w:eastAsia="宋体" w:hint="default"/>
          <w:b/>
          <w:bCs/>
        </w:rPr>
        <w:t>徐响玲女士：</w:t>
      </w:r>
      <w:r>
        <w:rPr/>
        <w:t>中国国籍，现任公司董事。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月任本公司审计部负责人，现任公司</w:t>
      </w:r>
      <w:r>
        <w:rPr>
          <w:w w:val="100"/>
        </w:rPr>
        <w:t> </w:t>
      </w:r>
      <w:r>
        <w:rPr/>
        <w:t>财务副总监。</w:t>
      </w:r>
    </w:p>
    <w:p>
      <w:pPr>
        <w:pStyle w:val="BodyText"/>
        <w:spacing w:line="408" w:lineRule="auto" w:before="106"/>
        <w:ind w:left="213" w:right="1126" w:firstLine="422"/>
        <w:jc w:val="both"/>
      </w:pPr>
      <w:r>
        <w:rPr>
          <w:rFonts w:ascii="宋体" w:hAnsi="宋体" w:cs="宋体" w:eastAsia="宋体" w:hint="default"/>
          <w:b/>
          <w:bCs/>
          <w:spacing w:val="-2"/>
        </w:rPr>
        <w:t>刘运国先生：</w:t>
      </w:r>
      <w:r>
        <w:rPr>
          <w:spacing w:val="-2"/>
        </w:rPr>
        <w:t>中国国籍，现任中山大学管理学院会计学系教授、博士生导师，中山大学成本与管理会</w:t>
      </w:r>
      <w:r>
        <w:rPr>
          <w:w w:val="100"/>
        </w:rPr>
        <w:t> </w:t>
      </w:r>
      <w:r>
        <w:rPr>
          <w:spacing w:val="-2"/>
          <w:w w:val="100"/>
        </w:rPr>
        <w:t>计研究中心主任，中国会计学会管理会计专业委员会委员，财政部会计学术领军人才（首期），中国成本</w:t>
      </w:r>
      <w:r>
        <w:rPr>
          <w:spacing w:val="-94"/>
          <w:w w:val="100"/>
        </w:rPr>
        <w:t> </w:t>
      </w:r>
      <w:r>
        <w:rPr>
          <w:spacing w:val="-94"/>
          <w:w w:val="100"/>
        </w:rPr>
      </w:r>
      <w:r>
        <w:rPr/>
        <w:t>研究会常务理事，兼任中山大学新华学院（民办高校）会计学院院长。</w:t>
      </w:r>
    </w:p>
    <w:p>
      <w:pPr>
        <w:pStyle w:val="BodyText"/>
        <w:spacing w:line="408" w:lineRule="auto" w:before="87"/>
        <w:ind w:left="213" w:right="1126" w:firstLine="422"/>
        <w:jc w:val="both"/>
      </w:pPr>
      <w:r>
        <w:rPr>
          <w:rFonts w:ascii="宋体" w:hAnsi="宋体" w:cs="宋体" w:eastAsia="宋体" w:hint="default"/>
          <w:b/>
          <w:bCs/>
          <w:spacing w:val="-2"/>
        </w:rPr>
        <w:t>郭葆春女士：</w:t>
      </w:r>
      <w:r>
        <w:rPr>
          <w:spacing w:val="-2"/>
        </w:rPr>
        <w:t>中国国籍，现任暨南大学会计系副教授，硕士生导师，暨南大学财税决策与风险管控研</w:t>
      </w:r>
      <w:r>
        <w:rPr>
          <w:w w:val="100"/>
        </w:rPr>
        <w:t> </w:t>
      </w:r>
      <w:r>
        <w:rPr>
          <w:spacing w:val="-2"/>
        </w:rPr>
        <w:t>究中心主任，中国会计学会会计基础理论专业委员会委员，广东省财政厅专家库成员，广东省高级会计师</w:t>
      </w:r>
      <w:r>
        <w:rPr>
          <w:spacing w:val="-43"/>
        </w:rPr>
        <w:t> </w:t>
      </w:r>
      <w:r>
        <w:rPr>
          <w:spacing w:val="-43"/>
        </w:rPr>
      </w:r>
      <w:r>
        <w:rPr/>
        <w:t>评委，国家自然科学基金、教育部人文社科基金评委。</w:t>
      </w:r>
    </w:p>
    <w:p>
      <w:pPr>
        <w:pStyle w:val="BodyText"/>
        <w:spacing w:line="408" w:lineRule="auto" w:before="84"/>
        <w:ind w:left="213" w:right="1126" w:firstLine="422"/>
        <w:jc w:val="both"/>
      </w:pPr>
      <w:r>
        <w:rPr>
          <w:rFonts w:ascii="宋体" w:hAnsi="宋体" w:cs="宋体" w:eastAsia="宋体" w:hint="default"/>
          <w:b/>
          <w:bCs/>
          <w:spacing w:val="-2"/>
        </w:rPr>
        <w:t>梁洪流先生：</w:t>
      </w:r>
      <w:r>
        <w:rPr>
          <w:spacing w:val="-2"/>
        </w:rPr>
        <w:t>中国国籍，现任福建衡兴明业律师事务所高级合伙人、副主任。曾担任厦门市城建国有</w:t>
      </w:r>
      <w:r>
        <w:rPr>
          <w:w w:val="100"/>
        </w:rPr>
        <w:t> </w:t>
      </w:r>
      <w:r>
        <w:rPr/>
        <w:t>资产投资有限公司董事会秘书兼办公室主任、厦门天健发展股份有限公司监事会主席。</w:t>
      </w:r>
    </w:p>
    <w:p>
      <w:pPr>
        <w:spacing w:after="0" w:line="408" w:lineRule="auto"/>
        <w:jc w:val="both"/>
        <w:sectPr>
          <w:pgSz w:w="11910" w:h="16840"/>
          <w:pgMar w:header="906" w:footer="1079" w:top="1100" w:bottom="1260" w:left="920" w:right="0"/>
        </w:sectPr>
      </w:pPr>
    </w:p>
    <w:p>
      <w:pPr>
        <w:spacing w:line="240" w:lineRule="auto" w:before="9"/>
        <w:rPr>
          <w:rFonts w:ascii="宋体" w:hAnsi="宋体" w:cs="宋体" w:eastAsia="宋体" w:hint="default"/>
          <w:sz w:val="27"/>
          <w:szCs w:val="27"/>
        </w:rPr>
      </w:pPr>
    </w:p>
    <w:p>
      <w:pPr>
        <w:pStyle w:val="Heading4"/>
        <w:spacing w:line="240" w:lineRule="auto" w:before="36"/>
        <w:ind w:left="107" w:right="953"/>
        <w:jc w:val="left"/>
        <w:rPr>
          <w:b w:val="0"/>
          <w:bCs w:val="0"/>
        </w:rPr>
      </w:pPr>
      <w:r>
        <w:rPr/>
        <w:t>（二）监事会成员</w:t>
      </w:r>
      <w:r>
        <w:rPr>
          <w:b w:val="0"/>
          <w:bCs w:val="0"/>
        </w:rPr>
      </w:r>
    </w:p>
    <w:p>
      <w:pPr>
        <w:spacing w:line="240" w:lineRule="auto" w:before="12"/>
        <w:rPr>
          <w:rFonts w:ascii="宋体" w:hAnsi="宋体" w:cs="宋体" w:eastAsia="宋体" w:hint="default"/>
          <w:b/>
          <w:bCs/>
          <w:sz w:val="17"/>
          <w:szCs w:val="17"/>
        </w:rPr>
      </w:pPr>
    </w:p>
    <w:p>
      <w:pPr>
        <w:pStyle w:val="BodyText"/>
        <w:spacing w:line="420" w:lineRule="auto"/>
        <w:ind w:left="635" w:right="953" w:hanging="3"/>
        <w:jc w:val="left"/>
      </w:pPr>
      <w:r>
        <w:rPr>
          <w:spacing w:val="-2"/>
        </w:rPr>
        <w:t>本公司共有</w:t>
      </w:r>
      <w:r>
        <w:rPr>
          <w:rFonts w:ascii="Times New Roman" w:hAnsi="Times New Roman" w:cs="Times New Roman" w:eastAsia="Times New Roman" w:hint="default"/>
          <w:spacing w:val="-2"/>
        </w:rPr>
        <w:t>3</w:t>
      </w:r>
      <w:r>
        <w:rPr>
          <w:spacing w:val="-2"/>
        </w:rPr>
        <w:t>名监事，其中职工代表监事</w:t>
      </w:r>
      <w:r>
        <w:rPr>
          <w:rFonts w:ascii="Times New Roman" w:hAnsi="Times New Roman" w:cs="Times New Roman" w:eastAsia="Times New Roman" w:hint="default"/>
          <w:spacing w:val="-2"/>
        </w:rPr>
        <w:t>1</w:t>
      </w:r>
      <w:r>
        <w:rPr>
          <w:spacing w:val="-2"/>
        </w:rPr>
        <w:t>名。近五年监事的主要工作经历如下：</w:t>
      </w:r>
      <w:r>
        <w:rPr>
          <w:spacing w:val="-42"/>
        </w:rPr>
        <w:t> </w:t>
      </w:r>
      <w:r>
        <w:rPr>
          <w:spacing w:val="-42"/>
        </w:rPr>
      </w:r>
      <w:r>
        <w:rPr>
          <w:rFonts w:ascii="宋体" w:hAnsi="宋体" w:cs="宋体" w:eastAsia="宋体" w:hint="default"/>
          <w:b/>
          <w:bCs/>
        </w:rPr>
        <w:t>陈马迪先生：</w:t>
      </w:r>
      <w:r>
        <w:rPr/>
        <w:t>中国国籍，现任公司监事。</w:t>
      </w:r>
      <w:r>
        <w:rPr>
          <w:rFonts w:ascii="Times New Roman" w:hAnsi="Times New Roman" w:cs="Times New Roman" w:eastAsia="Times New Roman" w:hint="default"/>
        </w:rPr>
        <w:t>2002</w:t>
      </w:r>
      <w:r>
        <w:rPr/>
        <w:t>年至今，任职本公司</w:t>
      </w:r>
      <w:r>
        <w:rPr>
          <w:rFonts w:ascii="Times New Roman" w:hAnsi="Times New Roman" w:cs="Times New Roman" w:eastAsia="Times New Roman" w:hint="default"/>
        </w:rPr>
        <w:t>IT</w:t>
      </w:r>
      <w:r>
        <w:rPr/>
        <w:t>总监。</w:t>
      </w:r>
      <w:r>
        <w:rPr>
          <w:w w:val="100"/>
        </w:rPr>
        <w:t> </w:t>
      </w:r>
      <w:r>
        <w:rPr>
          <w:rFonts w:ascii="宋体" w:hAnsi="宋体" w:cs="宋体" w:eastAsia="宋体" w:hint="default"/>
          <w:b/>
          <w:bCs/>
        </w:rPr>
        <w:t>赖小妍女士：</w:t>
      </w:r>
      <w:r>
        <w:rPr/>
        <w:t>中国香港籍，现任公司监事。</w:t>
      </w:r>
      <w:r>
        <w:rPr>
          <w:rFonts w:ascii="Times New Roman" w:hAnsi="Times New Roman" w:cs="Times New Roman" w:eastAsia="Times New Roman" w:hint="default"/>
        </w:rPr>
        <w:t>2002</w:t>
      </w:r>
      <w:r>
        <w:rPr/>
        <w:t>年至今，任职于本公司。</w:t>
      </w:r>
      <w:r>
        <w:rPr>
          <w:w w:val="100"/>
        </w:rPr>
        <w:t> </w:t>
      </w:r>
      <w:r>
        <w:rPr>
          <w:rFonts w:ascii="宋体" w:hAnsi="宋体" w:cs="宋体" w:eastAsia="宋体" w:hint="default"/>
          <w:b/>
          <w:bCs/>
        </w:rPr>
        <w:t>张勤勇先生：</w:t>
      </w:r>
      <w:r>
        <w:rPr/>
        <w:t>中国国籍，现任公司监事。</w:t>
      </w:r>
      <w:r>
        <w:rPr>
          <w:rFonts w:ascii="Times New Roman" w:hAnsi="Times New Roman" w:cs="Times New Roman" w:eastAsia="Times New Roman" w:hint="default"/>
        </w:rPr>
        <w:t>2002</w:t>
      </w:r>
      <w:r>
        <w:rPr/>
        <w:t>年至今，任职于本公司。</w:t>
      </w:r>
    </w:p>
    <w:p>
      <w:pPr>
        <w:pStyle w:val="BodyText"/>
        <w:spacing w:line="444" w:lineRule="auto" w:before="41"/>
        <w:ind w:left="633" w:right="953" w:hanging="527"/>
        <w:jc w:val="left"/>
      </w:pPr>
      <w:r>
        <w:rPr>
          <w:rFonts w:ascii="宋体" w:hAnsi="宋体" w:cs="宋体" w:eastAsia="宋体" w:hint="default"/>
          <w:b/>
          <w:bCs/>
        </w:rPr>
        <w:t>（三）高级管理人员</w:t>
      </w:r>
      <w:r>
        <w:rPr>
          <w:rFonts w:ascii="宋体" w:hAnsi="宋体" w:cs="宋体" w:eastAsia="宋体" w:hint="default"/>
          <w:b/>
          <w:bCs/>
          <w:spacing w:val="-103"/>
        </w:rPr>
        <w:t> </w:t>
      </w:r>
      <w:r>
        <w:rPr>
          <w:spacing w:val="-2"/>
        </w:rPr>
        <w:t>本公司高级管理人员翁武强先生、李斐先生专业背景、主要工作经历以及目前在公司的主要职责详见</w:t>
      </w:r>
    </w:p>
    <w:p>
      <w:pPr>
        <w:pStyle w:val="BodyText"/>
        <w:spacing w:line="240" w:lineRule="auto" w:before="14"/>
        <w:ind w:left="107" w:right="953"/>
        <w:jc w:val="left"/>
      </w:pPr>
      <w:r>
        <w:rPr>
          <w:spacing w:val="-106"/>
          <w:w w:val="100"/>
        </w:rPr>
        <w:t>“</w:t>
      </w:r>
      <w:r>
        <w:rPr>
          <w:w w:val="100"/>
        </w:rPr>
        <w:t>（一</w:t>
      </w:r>
      <w:r>
        <w:rPr>
          <w:spacing w:val="-3"/>
          <w:w w:val="100"/>
        </w:rPr>
        <w:t>）</w:t>
      </w:r>
      <w:r>
        <w:rPr>
          <w:w w:val="100"/>
        </w:rPr>
        <w:t>董</w:t>
      </w:r>
      <w:r>
        <w:rPr>
          <w:spacing w:val="-3"/>
          <w:w w:val="100"/>
        </w:rPr>
        <w:t>事</w:t>
      </w:r>
      <w:r>
        <w:rPr>
          <w:w w:val="100"/>
        </w:rPr>
        <w:t>会</w:t>
      </w:r>
      <w:r>
        <w:rPr>
          <w:spacing w:val="-3"/>
          <w:w w:val="100"/>
        </w:rPr>
        <w:t>成</w:t>
      </w:r>
      <w:r>
        <w:rPr>
          <w:w w:val="100"/>
        </w:rPr>
        <w:t>员</w:t>
      </w:r>
      <w:r>
        <w:rPr>
          <w:spacing w:val="-108"/>
          <w:w w:val="100"/>
        </w:rPr>
        <w:t>”</w:t>
      </w:r>
      <w:r>
        <w:rPr>
          <w:w w:val="100"/>
        </w:rPr>
        <w:t>。</w:t>
      </w:r>
    </w:p>
    <w:p>
      <w:pPr>
        <w:spacing w:line="240" w:lineRule="auto" w:before="9"/>
        <w:rPr>
          <w:rFonts w:ascii="宋体" w:hAnsi="宋体" w:cs="宋体" w:eastAsia="宋体" w:hint="default"/>
          <w:sz w:val="19"/>
          <w:szCs w:val="19"/>
        </w:rPr>
      </w:pPr>
    </w:p>
    <w:p>
      <w:pPr>
        <w:spacing w:before="0"/>
        <w:ind w:left="194" w:right="9125" w:firstLine="0"/>
        <w:jc w:val="center"/>
        <w:rPr>
          <w:rFonts w:ascii="宋体" w:hAnsi="宋体" w:cs="宋体" w:eastAsia="宋体" w:hint="default"/>
          <w:sz w:val="18"/>
          <w:szCs w:val="18"/>
        </w:rPr>
      </w:pPr>
      <w:r>
        <w:rPr>
          <w:rFonts w:ascii="宋体" w:hAnsi="宋体" w:cs="宋体" w:eastAsia="宋体" w:hint="default"/>
          <w:b/>
          <w:bCs/>
          <w:sz w:val="18"/>
          <w:szCs w:val="18"/>
        </w:rPr>
        <w:t>在股东单位任职情况</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101" w:right="9125" w:firstLine="0"/>
        <w:jc w:val="center"/>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1217"/>
        <w:gridCol w:w="3231"/>
        <w:gridCol w:w="1078"/>
        <w:gridCol w:w="1213"/>
        <w:gridCol w:w="1346"/>
        <w:gridCol w:w="1486"/>
      </w:tblGrid>
      <w:tr>
        <w:trPr>
          <w:trHeight w:val="1025" w:hRule="exact"/>
        </w:trPr>
        <w:tc>
          <w:tcPr>
            <w:tcW w:w="121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3" w:right="15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3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72" w:right="173"/>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2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1" w:right="14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4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6" w:right="106"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23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7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3" w:type="dxa"/>
            <w:tcBorders>
              <w:top w:val="single" w:sz="4" w:space="0" w:color="933734"/>
              <w:left w:val="single" w:sz="4" w:space="0" w:color="933734"/>
              <w:bottom w:val="single" w:sz="4" w:space="0" w:color="933734"/>
              <w:right w:val="single" w:sz="4" w:space="0" w:color="933734"/>
            </w:tcBorders>
          </w:tcPr>
          <w:p>
            <w:pPr/>
          </w:p>
        </w:tc>
        <w:tc>
          <w:tcPr>
            <w:tcW w:w="1346" w:type="dxa"/>
            <w:tcBorders>
              <w:top w:val="single" w:sz="4" w:space="0" w:color="933734"/>
              <w:left w:val="single" w:sz="4" w:space="0" w:color="933734"/>
              <w:bottom w:val="single" w:sz="4" w:space="0" w:color="933734"/>
              <w:right w:val="single" w:sz="4" w:space="0" w:color="933734"/>
            </w:tcBorders>
          </w:tcPr>
          <w:p>
            <w:pPr/>
          </w:p>
        </w:tc>
        <w:tc>
          <w:tcPr>
            <w:tcW w:w="14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3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7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3" w:type="dxa"/>
            <w:tcBorders>
              <w:top w:val="single" w:sz="4" w:space="0" w:color="933734"/>
              <w:left w:val="single" w:sz="4" w:space="0" w:color="933734"/>
              <w:bottom w:val="single" w:sz="4" w:space="0" w:color="933734"/>
              <w:right w:val="single" w:sz="4" w:space="0" w:color="933734"/>
            </w:tcBorders>
          </w:tcPr>
          <w:p>
            <w:pPr/>
          </w:p>
        </w:tc>
        <w:tc>
          <w:tcPr>
            <w:tcW w:w="1346" w:type="dxa"/>
            <w:tcBorders>
              <w:top w:val="single" w:sz="4" w:space="0" w:color="933734"/>
              <w:left w:val="single" w:sz="4" w:space="0" w:color="933734"/>
              <w:bottom w:val="single" w:sz="4" w:space="0" w:color="933734"/>
              <w:right w:val="single" w:sz="4" w:space="0" w:color="933734"/>
            </w:tcBorders>
          </w:tcPr>
          <w:p>
            <w:pPr/>
          </w:p>
        </w:tc>
        <w:tc>
          <w:tcPr>
            <w:tcW w:w="14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6"/>
          <w:szCs w:val="6"/>
        </w:rPr>
      </w:pPr>
    </w:p>
    <w:p>
      <w:pPr>
        <w:spacing w:before="44"/>
        <w:ind w:left="213" w:right="953" w:firstLine="0"/>
        <w:jc w:val="left"/>
        <w:rPr>
          <w:rFonts w:ascii="宋体" w:hAnsi="宋体" w:cs="宋体" w:eastAsia="宋体" w:hint="default"/>
          <w:sz w:val="18"/>
          <w:szCs w:val="18"/>
        </w:rPr>
      </w:pPr>
      <w:r>
        <w:rPr>
          <w:rFonts w:ascii="宋体" w:hAnsi="宋体" w:cs="宋体" w:eastAsia="宋体" w:hint="default"/>
          <w:b/>
          <w:bCs/>
          <w:sz w:val="18"/>
          <w:szCs w:val="18"/>
        </w:rPr>
        <w:t>在其他单位任职情况</w:t>
      </w:r>
      <w:r>
        <w:rPr>
          <w:rFonts w:ascii="宋体" w:hAnsi="宋体" w:cs="宋体" w:eastAsia="宋体" w:hint="default"/>
          <w:sz w:val="18"/>
          <w:szCs w:val="18"/>
        </w:rPr>
      </w:r>
    </w:p>
    <w:p>
      <w:pPr>
        <w:spacing w:line="240" w:lineRule="auto" w:before="9"/>
        <w:rPr>
          <w:rFonts w:ascii="宋体" w:hAnsi="宋体" w:cs="宋体" w:eastAsia="宋体" w:hint="default"/>
          <w:b/>
          <w:bCs/>
          <w:sz w:val="14"/>
          <w:szCs w:val="14"/>
        </w:rPr>
      </w:pPr>
    </w:p>
    <w:p>
      <w:pPr>
        <w:spacing w:before="0"/>
        <w:ind w:left="213" w:right="95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1025" w:hRule="exact"/>
        </w:trPr>
        <w:tc>
          <w:tcPr>
            <w:tcW w:w="12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20" w:right="16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82" w:right="179"/>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2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20" w:right="15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41" w:right="142"/>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武汉悦然心动网络科技有限公司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广州狮丹贸易有限公司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广州连卡福名品管理有限公司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摩登大道时尚电子商务有限公司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79" w:top="1100" w:bottom="1260" w:left="9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363" w:hRule="exact"/>
        </w:trPr>
        <w:tc>
          <w:tcPr>
            <w:tcW w:w="1234" w:type="dxa"/>
            <w:tcBorders>
              <w:top w:val="single" w:sz="4" w:space="0" w:color="933734"/>
              <w:left w:val="single" w:sz="4" w:space="0" w:color="933734"/>
              <w:bottom w:val="single" w:sz="4" w:space="0" w:color="933734"/>
              <w:right w:val="single" w:sz="4" w:space="0" w:color="933734"/>
            </w:tcBorders>
          </w:tcPr>
          <w:p>
            <w:pPr/>
          </w:p>
        </w:tc>
        <w:tc>
          <w:tcPr>
            <w:tcW w:w="3277" w:type="dxa"/>
            <w:tcBorders>
              <w:top w:val="single" w:sz="4" w:space="0" w:color="933734"/>
              <w:left w:val="single" w:sz="4" w:space="0" w:color="933734"/>
              <w:bottom w:val="single" w:sz="4" w:space="0" w:color="933734"/>
              <w:right w:val="single" w:sz="4" w:space="0" w:color="933734"/>
            </w:tcBorders>
          </w:tcPr>
          <w:p>
            <w:pP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广州中侨汇免税品有限公司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摩登大道时尚传媒有限公司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董事会主 席</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连卡福（衡阳）商业广场有限公司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广州摩登魔镜时尚科技有限公司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武汉悦然心动网络科技有限公司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广州摩登大道贸易有限公司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广州连卡新技术开发有限公司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广州伊韵电子商贸有限公司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美年电子商贸（广州）有限公司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广州摩登时尚鞋业有限公司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李斐</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伊戈尔电气股份有限公司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中山大学</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博士生导 师</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深圳香江控股股份有限公司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长威信息科技发展股份有限公司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广东大雅智能厨电股份有限公司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广州市卓越里程教育科技股份有限公司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中山大学新华学院（民办高校）</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会计学院 院长</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硕士生导 师</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广东久量股份有限公司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杏林护理之家股份有限公司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广州市金钟汽车零件股份有限公司</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32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福建衡兴明业律师事务所</w:t>
            </w:r>
          </w:p>
        </w:tc>
        <w:tc>
          <w:tcPr>
            <w:tcW w:w="109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54"/>
              <w:jc w:val="left"/>
              <w:rPr>
                <w:rFonts w:ascii="宋体" w:hAnsi="宋体" w:cs="宋体" w:eastAsia="宋体" w:hint="default"/>
                <w:sz w:val="18"/>
                <w:szCs w:val="18"/>
              </w:rPr>
            </w:pPr>
            <w:r>
              <w:rPr>
                <w:rFonts w:ascii="宋体" w:hAnsi="宋体" w:cs="宋体" w:eastAsia="宋体" w:hint="default"/>
                <w:sz w:val="18"/>
                <w:szCs w:val="18"/>
              </w:rPr>
              <w:t>高级合伙 人</w:t>
            </w:r>
          </w:p>
        </w:tc>
        <w:tc>
          <w:tcPr>
            <w:tcW w:w="1229" w:type="dxa"/>
            <w:tcBorders>
              <w:top w:val="single" w:sz="4" w:space="0" w:color="933734"/>
              <w:left w:val="single" w:sz="4" w:space="0" w:color="933734"/>
              <w:bottom w:val="single" w:sz="4" w:space="0" w:color="933734"/>
              <w:right w:val="single" w:sz="4" w:space="0" w:color="933734"/>
            </w:tcBorders>
          </w:tcPr>
          <w:p>
            <w:pPr/>
          </w:p>
        </w:tc>
        <w:tc>
          <w:tcPr>
            <w:tcW w:w="1361" w:type="dxa"/>
            <w:tcBorders>
              <w:top w:val="single" w:sz="4" w:space="0" w:color="933734"/>
              <w:left w:val="single" w:sz="4" w:space="0" w:color="933734"/>
              <w:bottom w:val="single" w:sz="4" w:space="0" w:color="933734"/>
              <w:right w:val="single" w:sz="4" w:space="0" w:color="933734"/>
            </w:tcBorders>
          </w:tcPr>
          <w:p>
            <w:pPr/>
          </w:p>
        </w:tc>
        <w:tc>
          <w:tcPr>
            <w:tcW w:w="1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32"/>
        <w:gridCol w:w="8335"/>
      </w:tblGrid>
      <w:tr>
        <w:trPr>
          <w:trHeight w:val="1028" w:hRule="exact"/>
        </w:trPr>
        <w:tc>
          <w:tcPr>
            <w:tcW w:w="12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2" w:right="218"/>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Times New Roman" w:hAnsi="Times New Roman" w:cs="Times New Roman" w:eastAsia="Times New Roman" w:hint="default"/>
          <w:sz w:val="7"/>
          <w:szCs w:val="7"/>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公司现任及报告期内离任董事、监事和高级管理人员近三年证券监管机构处罚的情况</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32"/>
          <w:szCs w:val="3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董事、监事、高级管理人员报酬的决策程序、确定依据、实际支付情况</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408" w:lineRule="auto"/>
        <w:ind w:right="1126" w:firstLine="420"/>
        <w:jc w:val="both"/>
      </w:pPr>
      <w:r>
        <w:rPr>
          <w:spacing w:val="-11"/>
          <w:w w:val="100"/>
        </w:rPr>
        <w:t>报告期内，公司按《章程》、《董事会薪酬与考核委员会工作制度》、《绩效管理制度》等公司内部控制</w:t>
      </w:r>
      <w:r>
        <w:rPr>
          <w:w w:val="100"/>
        </w:rPr>
        <w:t> </w:t>
      </w:r>
      <w:r>
        <w:rPr>
          <w:spacing w:val="-2"/>
        </w:rPr>
        <w:t>制度的相关规定，由第四届董事会薪酬与考核委员会会同公司总经理办公室、人力资源部等相关部门联合</w:t>
      </w:r>
      <w:r>
        <w:rPr>
          <w:spacing w:val="-44"/>
        </w:rPr>
        <w:t> </w:t>
      </w:r>
      <w:r>
        <w:rPr>
          <w:spacing w:val="-44"/>
        </w:rPr>
      </w:r>
      <w:r>
        <w:rPr>
          <w:spacing w:val="-2"/>
        </w:rPr>
        <w:t>进行具体考核。报告期内，公司董事、监事和高级管理人员薪酬支付合理、及时，符合监管机构及公司相</w:t>
      </w:r>
      <w:r>
        <w:rPr>
          <w:spacing w:val="-43"/>
        </w:rPr>
        <w:t> </w:t>
      </w:r>
      <w:r>
        <w:rPr>
          <w:spacing w:val="-43"/>
        </w:rPr>
      </w:r>
      <w:r>
        <w:rPr/>
        <w:t>关制度的要求。</w:t>
      </w:r>
    </w:p>
    <w:p>
      <w:pPr>
        <w:spacing w:before="11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公司报告期内董事、监事和高级管理人员报酬情况</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5"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39" w:right="134"/>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41" w:right="135"/>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28.68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36.95</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李斐</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董事、副总经 理、董事会秘 书、财务总监</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89.65</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徐响玲</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30.87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23.98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赖小妍</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20.42</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张勤勇</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21.36</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281.91</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公司董事、高级管理人员报告期内被授予的股权激励情况</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131</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1,293</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1,424</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1,424</w:t>
            </w:r>
          </w:p>
        </w:tc>
      </w:tr>
      <w:tr>
        <w:trPr>
          <w:trHeight w:val="408"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9"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137</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875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174</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49</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189</w:t>
            </w:r>
          </w:p>
        </w:tc>
      </w:tr>
      <w:tr>
        <w:trPr>
          <w:trHeight w:val="408"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1,424</w:t>
            </w:r>
          </w:p>
        </w:tc>
      </w:tr>
      <w:tr>
        <w:trPr>
          <w:trHeight w:val="396" w:hRule="exact"/>
        </w:trPr>
        <w:tc>
          <w:tcPr>
            <w:tcW w:w="957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48</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293</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329</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754</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1,424</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right="0" w:firstLine="420"/>
        <w:jc w:val="left"/>
      </w:pPr>
      <w:r>
        <w:rPr>
          <w:spacing w:val="-4"/>
        </w:rPr>
        <w:t>公司倡导家园文化，重视团队建设，为保持队伍稳定，以保障公司健康可持续发展，公司严格遵守</w:t>
      </w:r>
      <w:r>
        <w:rPr>
          <w:rFonts w:ascii="Times New Roman" w:hAnsi="Times New Roman" w:cs="Times New Roman" w:eastAsia="Times New Roman" w:hint="default"/>
          <w:spacing w:val="-4"/>
        </w:rPr>
        <w:t>“</w:t>
      </w:r>
      <w:r>
        <w:rPr>
          <w:spacing w:val="-4"/>
        </w:rPr>
        <w:t>按</w:t>
      </w:r>
      <w:r>
        <w:rPr>
          <w:w w:val="100"/>
        </w:rPr>
        <w:t> </w:t>
      </w:r>
      <w:r>
        <w:rPr>
          <w:spacing w:val="-4"/>
        </w:rPr>
        <w:t>劳分配</w:t>
      </w:r>
      <w:r>
        <w:rPr>
          <w:rFonts w:ascii="Times New Roman" w:hAnsi="Times New Roman" w:cs="Times New Roman" w:eastAsia="Times New Roman" w:hint="default"/>
          <w:spacing w:val="-4"/>
        </w:rPr>
        <w:t>”</w:t>
      </w:r>
      <w:r>
        <w:rPr>
          <w:spacing w:val="-4"/>
        </w:rPr>
        <w:t>与</w:t>
      </w:r>
      <w:r>
        <w:rPr>
          <w:rFonts w:ascii="Times New Roman" w:hAnsi="Times New Roman" w:cs="Times New Roman" w:eastAsia="Times New Roman" w:hint="default"/>
          <w:spacing w:val="-4"/>
        </w:rPr>
        <w:t>“</w:t>
      </w:r>
      <w:r>
        <w:rPr>
          <w:spacing w:val="-4"/>
        </w:rPr>
        <w:t>绩效考核</w:t>
      </w:r>
      <w:r>
        <w:rPr>
          <w:rFonts w:ascii="Times New Roman" w:hAnsi="Times New Roman" w:cs="Times New Roman" w:eastAsia="Times New Roman" w:hint="default"/>
          <w:spacing w:val="-4"/>
        </w:rPr>
        <w:t>”</w:t>
      </w:r>
      <w:r>
        <w:rPr>
          <w:spacing w:val="-4"/>
        </w:rPr>
        <w:t>并重的原则，依据有效的绩效考核体系进行岗位考核，同时结合外部市场的薪酬调研</w:t>
      </w:r>
      <w:r>
        <w:rPr>
          <w:spacing w:val="-17"/>
        </w:rPr>
        <w:t> </w:t>
      </w:r>
      <w:r>
        <w:rPr>
          <w:spacing w:val="-17"/>
        </w:rPr>
      </w:r>
      <w:r>
        <w:rPr/>
        <w:t>数据，通过薪酬与绩效管理联动方式构建具有竞争力、公正公平的薪酬体系，同时为拓宽职业发展通道，</w:t>
      </w:r>
      <w:r>
        <w:rPr>
          <w:spacing w:val="-24"/>
        </w:rPr>
        <w:t> </w:t>
      </w:r>
      <w:r>
        <w:rPr>
          <w:spacing w:val="-24"/>
        </w:rPr>
      </w:r>
      <w:r>
        <w:rPr>
          <w:spacing w:val="-2"/>
        </w:rPr>
        <w:t>实现员工与公司的共同持续成长，公司建立了多元化的职业发展通道。除常规的管理类晋升通道，公司结</w:t>
      </w:r>
      <w:r>
        <w:rPr>
          <w:spacing w:val="-43"/>
        </w:rPr>
        <w:t> </w:t>
      </w:r>
      <w:r>
        <w:rPr>
          <w:spacing w:val="-43"/>
        </w:rPr>
      </w:r>
      <w:r>
        <w:rPr>
          <w:spacing w:val="-2"/>
        </w:rPr>
        <w:t>合实际建立了技术研发类、营销类发展通道，使得不同岗位员工都有相应的发展通道，打破了管理类独木</w:t>
      </w:r>
      <w:r>
        <w:rPr>
          <w:spacing w:val="-45"/>
        </w:rPr>
        <w:t> </w:t>
      </w:r>
      <w:r>
        <w:rPr>
          <w:spacing w:val="-45"/>
        </w:rPr>
      </w:r>
      <w:r>
        <w:rPr>
          <w:spacing w:val="-2"/>
        </w:rPr>
        <w:t>桥的壁垒，同时公司实施岗位轮换机制，鼓励相关岗位的员工进行合理流动，培养复合型人才，为公司激</w:t>
      </w:r>
      <w:r>
        <w:rPr>
          <w:spacing w:val="-47"/>
        </w:rPr>
        <w:t> </w:t>
      </w:r>
      <w:r>
        <w:rPr>
          <w:spacing w:val="-47"/>
        </w:rPr>
      </w:r>
      <w:r>
        <w:rPr>
          <w:spacing w:val="-12"/>
          <w:w w:val="100"/>
        </w:rPr>
        <w:t>励、保留人才提供有力保障，真正做到“以人为本”、“量才适用”。</w:t>
      </w:r>
    </w:p>
    <w:p>
      <w:pPr>
        <w:pStyle w:val="BodyText"/>
        <w:spacing w:line="240" w:lineRule="auto" w:before="91"/>
        <w:ind w:left="533" w:right="0"/>
        <w:jc w:val="left"/>
      </w:pPr>
      <w:r>
        <w:rPr/>
        <w:t>报告期内，职工薪酬总额</w:t>
      </w:r>
      <w:r>
        <w:rPr>
          <w:rFonts w:ascii="宋体" w:hAnsi="宋体" w:cs="宋体" w:eastAsia="宋体" w:hint="default"/>
        </w:rPr>
        <w:t>(</w:t>
      </w:r>
      <w:r>
        <w:rPr/>
        <w:t>计入成本部分</w:t>
      </w:r>
      <w:r>
        <w:rPr>
          <w:rFonts w:ascii="宋体" w:hAnsi="宋体" w:cs="宋体" w:eastAsia="宋体" w:hint="default"/>
        </w:rPr>
        <w:t>)</w:t>
      </w:r>
      <w:r>
        <w:rPr/>
        <w:t>为</w:t>
      </w:r>
      <w:r>
        <w:rPr>
          <w:rFonts w:ascii="Times New Roman" w:hAnsi="Times New Roman" w:cs="Times New Roman" w:eastAsia="Times New Roman" w:hint="default"/>
        </w:rPr>
        <w:t>20,145.85</w:t>
      </w:r>
      <w:r>
        <w:rPr/>
        <w:t>万元，占公司营业总成本的</w:t>
      </w:r>
      <w:r>
        <w:rPr>
          <w:rFonts w:ascii="Times New Roman" w:hAnsi="Times New Roman" w:cs="Times New Roman" w:eastAsia="Times New Roman" w:hint="default"/>
        </w:rPr>
        <w:t>12.92%</w:t>
      </w:r>
      <w:r>
        <w:rPr/>
        <w:t>。截至</w:t>
      </w:r>
      <w:r>
        <w:rPr>
          <w:rFonts w:ascii="Times New Roman" w:hAnsi="Times New Roman" w:cs="Times New Roman" w:eastAsia="Times New Roman" w:hint="default"/>
        </w:rPr>
        <w:t>2018</w:t>
      </w:r>
      <w:r>
        <w:rPr/>
        <w:t>年</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right="0"/>
        <w:jc w:val="left"/>
      </w:pP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日，公司核心技术人员为</w:t>
      </w:r>
      <w:r>
        <w:rPr>
          <w:rFonts w:ascii="Times New Roman" w:hAnsi="Times New Roman" w:cs="Times New Roman" w:eastAsia="Times New Roman" w:hint="default"/>
          <w:spacing w:val="-3"/>
        </w:rPr>
        <w:t>174</w:t>
      </w:r>
      <w:r>
        <w:rPr>
          <w:spacing w:val="-3"/>
        </w:rPr>
        <w:t>人，占全体员工人数的</w:t>
      </w:r>
      <w:r>
        <w:rPr>
          <w:rFonts w:ascii="Times New Roman" w:hAnsi="Times New Roman" w:cs="Times New Roman" w:eastAsia="Times New Roman" w:hint="default"/>
          <w:spacing w:val="-3"/>
        </w:rPr>
        <w:t>12.22%</w:t>
      </w:r>
      <w:r>
        <w:rPr>
          <w:spacing w:val="-3"/>
        </w:rPr>
        <w:t>，上年同期核心技术人员为</w:t>
      </w:r>
      <w:r>
        <w:rPr>
          <w:rFonts w:ascii="Times New Roman" w:hAnsi="Times New Roman" w:cs="Times New Roman" w:eastAsia="Times New Roman" w:hint="default"/>
          <w:spacing w:val="-3"/>
        </w:rPr>
        <w:t>104</w:t>
      </w:r>
      <w:r>
        <w:rPr>
          <w:spacing w:val="-3"/>
        </w:rPr>
        <w:t>人，占全</w:t>
      </w:r>
      <w:r>
        <w:rPr>
          <w:spacing w:val="2"/>
        </w:rPr>
        <w:t> </w:t>
      </w:r>
      <w:r>
        <w:rPr>
          <w:spacing w:val="2"/>
        </w:rPr>
      </w:r>
      <w:r>
        <w:rPr/>
        <w:t>体员工人数的</w:t>
      </w:r>
      <w:r>
        <w:rPr>
          <w:rFonts w:ascii="Times New Roman" w:hAnsi="Times New Roman" w:cs="Times New Roman" w:eastAsia="Times New Roman" w:hint="default"/>
        </w:rPr>
        <w:t>8.94%;</w:t>
      </w:r>
      <w:r>
        <w:rPr/>
        <w:t>截至报告期末，核心技术人员薪酬占全体员工薪酬的</w:t>
      </w:r>
      <w:r>
        <w:rPr>
          <w:rFonts w:ascii="Times New Roman" w:hAnsi="Times New Roman" w:cs="Times New Roman" w:eastAsia="Times New Roman" w:hint="default"/>
        </w:rPr>
        <w:t>16.74%</w:t>
      </w:r>
      <w:r>
        <w:rPr/>
        <w:t>，上年同期为</w:t>
      </w:r>
      <w:r>
        <w:rPr>
          <w:rFonts w:ascii="Times New Roman" w:hAnsi="Times New Roman" w:cs="Times New Roman" w:eastAsia="Times New Roman" w:hint="default"/>
        </w:rPr>
        <w:t>8.59%</w:t>
      </w:r>
      <w:r>
        <w:rPr/>
        <w:t>。</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spacing w:val="-2"/>
        </w:rPr>
        <w:t>培训是提高员工专业技能与综合素质的重要途径。公司足额提取年度职工教育经费，建立了完善的培</w:t>
      </w:r>
      <w:r>
        <w:rPr>
          <w:w w:val="100"/>
        </w:rPr>
        <w:t> </w:t>
      </w:r>
      <w:r>
        <w:rPr>
          <w:spacing w:val="-2"/>
        </w:rPr>
        <w:t>训体系，为员工提供多维度、具有较强针对性的教育培训课程。根据培训对象不同，公司为总部员工、终</w:t>
      </w:r>
      <w:r>
        <w:rPr>
          <w:spacing w:val="-43"/>
        </w:rPr>
        <w:t> </w:t>
      </w:r>
      <w:r>
        <w:rPr>
          <w:spacing w:val="-43"/>
        </w:rPr>
      </w:r>
      <w:r>
        <w:rPr>
          <w:spacing w:val="-2"/>
        </w:rPr>
        <w:t>端员工、新员工和转岗员工等设置了相应的培训课程；根据各岗位需求不同，设置了管理、技术等几大类</w:t>
      </w:r>
      <w:r>
        <w:rPr>
          <w:spacing w:val="-47"/>
        </w:rPr>
        <w:t> </w:t>
      </w:r>
      <w:r>
        <w:rPr>
          <w:spacing w:val="-47"/>
        </w:rPr>
      </w:r>
      <w:r>
        <w:rPr>
          <w:spacing w:val="-2"/>
        </w:rPr>
        <w:t>培训课程。同时，为不断提升员工的英语水平，使员工能更快速的适应公司国际化步伐，公司专门组织了</w:t>
      </w:r>
      <w:r>
        <w:rPr>
          <w:spacing w:val="-47"/>
        </w:rPr>
        <w:t> </w:t>
      </w:r>
      <w:r>
        <w:rPr>
          <w:spacing w:val="-47"/>
        </w:rPr>
      </w:r>
      <w:r>
        <w:rPr/>
        <w:t>英语提升培训，并根据不同水平划分班级，不定期邀请外教来公司对员工进行因材施教。</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27"/>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625" w:right="4640"/>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16"/>
          <w:w w:val="100"/>
        </w:rPr>
        <w:t>公司严格按照《公司法》、《证券法》、《上市公司治理准则》、《深圳证券交易所股票上市规则》和中国</w:t>
      </w:r>
      <w:r>
        <w:rPr>
          <w:w w:val="100"/>
        </w:rPr>
        <w:t> </w:t>
      </w:r>
      <w:r>
        <w:rPr/>
        <w:t>证监会有关法律法规的要求，规范运作，不断完善公司的法人治理结构，建立健全内部管理和控制制度，</w:t>
      </w:r>
      <w:r>
        <w:rPr>
          <w:spacing w:val="-24"/>
        </w:rPr>
        <w:t> </w:t>
      </w:r>
      <w:r>
        <w:rPr>
          <w:spacing w:val="-24"/>
        </w:rPr>
      </w:r>
      <w:r>
        <w:rPr/>
        <w:t>持续深入开展公司治理活动，进一步规范公司运作，不断提高公司治理水平。 报告期内，公司公开披露</w:t>
      </w:r>
      <w:r>
        <w:rPr>
          <w:spacing w:val="-25"/>
        </w:rPr>
        <w:t> </w:t>
      </w:r>
      <w:r>
        <w:rPr>
          <w:spacing w:val="-25"/>
        </w:rPr>
      </w:r>
      <w:r>
        <w:rPr/>
        <w:t>的制度如下：</w:t>
      </w:r>
    </w:p>
    <w:p>
      <w:pPr>
        <w:spacing w:line="240" w:lineRule="auto" w:before="9"/>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08"/>
        <w:gridCol w:w="1985"/>
        <w:gridCol w:w="3826"/>
        <w:gridCol w:w="3119"/>
      </w:tblGrid>
      <w:tr>
        <w:trPr>
          <w:trHeight w:val="403" w:hRule="exact"/>
        </w:trPr>
        <w:tc>
          <w:tcPr>
            <w:tcW w:w="708"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5"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批露日期</w:t>
            </w:r>
          </w:p>
        </w:tc>
        <w:tc>
          <w:tcPr>
            <w:tcW w:w="3826"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311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信息披露媒体</w:t>
            </w:r>
          </w:p>
        </w:tc>
      </w:tr>
      <w:tr>
        <w:trPr>
          <w:trHeight w:val="439" w:hRule="exact"/>
        </w:trPr>
        <w:tc>
          <w:tcPr>
            <w:tcW w:w="708"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1</w:t>
            </w:r>
          </w:p>
        </w:tc>
        <w:tc>
          <w:tcPr>
            <w:tcW w:w="1985" w:type="dxa"/>
            <w:tcBorders>
              <w:top w:val="single" w:sz="10" w:space="0" w:color="933734"/>
              <w:left w:val="single" w:sz="6" w:space="0" w:color="933734"/>
              <w:bottom w:val="single" w:sz="6" w:space="0" w:color="933734"/>
              <w:right w:val="single" w:sz="6" w:space="0" w:color="933734"/>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826" w:type="dxa"/>
            <w:tcBorders>
              <w:top w:val="single" w:sz="10" w:space="0" w:color="933734"/>
              <w:left w:val="single" w:sz="6" w:space="0" w:color="933734"/>
              <w:bottom w:val="single" w:sz="6" w:space="0" w:color="933734"/>
              <w:right w:val="single" w:sz="6" w:space="0" w:color="933734"/>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3119" w:type="dxa"/>
            <w:tcBorders>
              <w:top w:val="single" w:sz="10" w:space="0" w:color="933734"/>
              <w:left w:val="single" w:sz="6" w:space="0" w:color="933734"/>
              <w:bottom w:val="single" w:sz="6" w:space="0" w:color="933734"/>
              <w:right w:val="single" w:sz="6" w:space="0" w:color="933734"/>
            </w:tcBorders>
          </w:tcPr>
          <w:p>
            <w:pPr>
              <w:pStyle w:val="TableParagraph"/>
              <w:spacing w:line="240" w:lineRule="auto" w:before="65"/>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sz w:val="5"/>
          <w:szCs w:val="5"/>
        </w:rPr>
      </w:pPr>
    </w:p>
    <w:p>
      <w:pPr>
        <w:pStyle w:val="BodyText"/>
        <w:spacing w:line="408" w:lineRule="auto" w:before="36"/>
        <w:ind w:right="1126" w:firstLine="420"/>
        <w:jc w:val="both"/>
      </w:pPr>
      <w:r>
        <w:rPr>
          <w:spacing w:val="-2"/>
        </w:rPr>
        <w:t>截至本报告期末，公司治理实际情况符合中国证监会发布的有关上市公司治理的规范性文件，未收到</w:t>
      </w:r>
      <w:r>
        <w:rPr>
          <w:w w:val="100"/>
        </w:rPr>
        <w:t> </w:t>
      </w:r>
      <w:r>
        <w:rPr/>
        <w:t>被监管部门采取行政监管措施的有关文件。</w:t>
      </w:r>
    </w:p>
    <w:p>
      <w:pPr>
        <w:spacing w:before="107"/>
        <w:ind w:left="113" w:right="0" w:firstLine="0"/>
        <w:jc w:val="both"/>
        <w:rPr>
          <w:rFonts w:ascii="宋体" w:hAnsi="宋体" w:cs="宋体" w:eastAsia="宋体" w:hint="default"/>
          <w:sz w:val="18"/>
          <w:szCs w:val="18"/>
        </w:rPr>
      </w:pPr>
      <w:r>
        <w:rPr>
          <w:rFonts w:ascii="宋体" w:hAnsi="宋体" w:cs="宋体" w:eastAsia="宋体" w:hint="default"/>
          <w:b/>
          <w:bCs/>
          <w:sz w:val="18"/>
          <w:szCs w:val="18"/>
        </w:rPr>
        <w:t>公司治理的实际状况与中国证监会发布的有关上市公司治理的规范性文件是否存在重大差异</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13"/>
          <w:szCs w:val="13"/>
        </w:rPr>
      </w:pPr>
    </w:p>
    <w:p>
      <w:pPr>
        <w:pStyle w:val="BodyText"/>
        <w:spacing w:line="240" w:lineRule="auto"/>
        <w:ind w:right="0"/>
        <w:jc w:val="both"/>
      </w:pPr>
      <w:r>
        <w:rPr/>
        <w:t>公司治理的实际状况与中国证监会发布的有关上市公司治理的规范性文件不存在重大差异。</w:t>
      </w:r>
    </w:p>
    <w:p>
      <w:pPr>
        <w:spacing w:line="240" w:lineRule="auto" w:before="9"/>
        <w:rPr>
          <w:rFonts w:ascii="宋体" w:hAnsi="宋体" w:cs="宋体" w:eastAsia="宋体" w:hint="default"/>
          <w:sz w:val="29"/>
          <w:szCs w:val="2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26" w:firstLine="420"/>
        <w:jc w:val="both"/>
      </w:pPr>
      <w:r>
        <w:rPr>
          <w:spacing w:val="-7"/>
          <w:w w:val="100"/>
        </w:rPr>
        <w:t>公司成立以来，严格按照《公司法》、《证券法》等有关法律、法规和公司章程的要求规范运作，具有</w:t>
      </w:r>
      <w:r>
        <w:rPr>
          <w:w w:val="100"/>
        </w:rPr>
        <w:t> </w:t>
      </w:r>
      <w:r>
        <w:rPr>
          <w:spacing w:val="-7"/>
        </w:rPr>
        <w:t>独立完整的供应、生产、销售、研发系统，完全独立运作、独立承担责任和风险。公司与控股股东在业务、</w:t>
      </w:r>
      <w:r>
        <w:rPr>
          <w:spacing w:val="-16"/>
        </w:rPr>
        <w:t> </w:t>
      </w:r>
      <w:r>
        <w:rPr>
          <w:spacing w:val="-16"/>
        </w:rPr>
      </w:r>
      <w:r>
        <w:rPr/>
        <w:t>人员、资产、机构、财务等方面完全分开，具有独立完整的业务及自主经营能力。</w:t>
      </w:r>
    </w:p>
    <w:p>
      <w:pPr>
        <w:pStyle w:val="BodyText"/>
        <w:spacing w:line="417" w:lineRule="auto" w:before="87"/>
        <w:ind w:left="533" w:right="1126" w:firstLine="2"/>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100"/>
        </w:rPr>
        <w:t> </w:t>
      </w:r>
      <w:r>
        <w:rPr>
          <w:spacing w:val="-3"/>
        </w:rPr>
        <w:t>公司主要从事自有品牌卡奴迪路（</w:t>
      </w:r>
      <w:r>
        <w:rPr>
          <w:rFonts w:ascii="Times New Roman" w:hAnsi="Times New Roman" w:cs="Times New Roman" w:eastAsia="Times New Roman" w:hint="default"/>
          <w:spacing w:val="-3"/>
        </w:rPr>
        <w:t>CANUDILO</w:t>
      </w:r>
      <w:r>
        <w:rPr>
          <w:spacing w:val="-3"/>
        </w:rPr>
        <w:t>）高级男装服饰的研发设计、品牌推广和零售管理，并</w:t>
      </w:r>
    </w:p>
    <w:p>
      <w:pPr>
        <w:pStyle w:val="BodyText"/>
        <w:spacing w:line="408" w:lineRule="auto" w:before="5"/>
        <w:ind w:right="1126"/>
        <w:jc w:val="both"/>
      </w:pPr>
      <w:r>
        <w:rPr>
          <w:spacing w:val="-2"/>
        </w:rPr>
        <w:t>代理销售国际一线品牌的服饰、箱包、皮具等产品。公司拥有从事上述业务完整、独立的设计、采购、销</w:t>
      </w:r>
      <w:r>
        <w:rPr>
          <w:spacing w:val="-42"/>
        </w:rPr>
        <w:t> </w:t>
      </w:r>
      <w:r>
        <w:rPr>
          <w:spacing w:val="-42"/>
        </w:rPr>
      </w:r>
      <w:r>
        <w:rPr>
          <w:spacing w:val="-7"/>
        </w:rPr>
        <w:t>售系统和专业人员，具有独立开展业务的能力，拥有独立的经营决策权和管理权，并完全独立于控股股东、</w:t>
      </w:r>
      <w:r>
        <w:rPr>
          <w:spacing w:val="-17"/>
        </w:rPr>
        <w:t> </w:t>
      </w:r>
      <w:r>
        <w:rPr>
          <w:spacing w:val="-17"/>
        </w:rPr>
      </w:r>
      <w:r>
        <w:rPr>
          <w:spacing w:val="-2"/>
        </w:rPr>
        <w:t>实际控制人及其控制的其他企业。公司与控股股东、实际控制人及其控制的其他企业间不存在同业竞争或</w:t>
      </w:r>
      <w:r>
        <w:rPr>
          <w:spacing w:val="-44"/>
        </w:rPr>
        <w:t> </w:t>
      </w:r>
      <w:r>
        <w:rPr>
          <w:spacing w:val="-44"/>
        </w:rPr>
      </w:r>
      <w:r>
        <w:rPr/>
        <w:t>者显失公允的关联交易。本公司拥有独立完整的业务，具备独立面向市场自主经营的能力。</w:t>
      </w:r>
    </w:p>
    <w:p>
      <w:pPr>
        <w:pStyle w:val="BodyText"/>
        <w:spacing w:line="420" w:lineRule="auto" w:before="87"/>
        <w:ind w:left="533" w:right="1126" w:firstLine="2"/>
        <w:jc w:val="left"/>
      </w:pPr>
      <w:r>
        <w:rPr>
          <w:rFonts w:ascii="Times New Roman" w:hAnsi="Times New Roman" w:cs="Times New Roman" w:eastAsia="Times New Roman" w:hint="default"/>
          <w:b/>
          <w:bCs/>
        </w:rPr>
        <w:t>2</w:t>
      </w:r>
      <w:r>
        <w:rPr>
          <w:rFonts w:ascii="宋体" w:hAnsi="宋体" w:cs="宋体" w:eastAsia="宋体" w:hint="default"/>
          <w:b/>
          <w:bCs/>
        </w:rPr>
        <w:t>、资产完整</w:t>
      </w:r>
      <w:r>
        <w:rPr>
          <w:rFonts w:ascii="宋体" w:hAnsi="宋体" w:cs="宋体" w:eastAsia="宋体" w:hint="default"/>
          <w:b/>
          <w:bCs/>
          <w:w w:val="100"/>
        </w:rPr>
        <w:t> </w:t>
      </w:r>
      <w:r>
        <w:rPr>
          <w:spacing w:val="-2"/>
        </w:rPr>
        <w:t>公司拥有独立、完整的办公经营场所，以及与设计、销售经营有关的土地使用权、商标、专利、非专</w:t>
      </w:r>
    </w:p>
    <w:p>
      <w:pPr>
        <w:pStyle w:val="BodyText"/>
        <w:spacing w:line="240" w:lineRule="auto" w:before="35"/>
        <w:ind w:right="0"/>
        <w:jc w:val="both"/>
      </w:pPr>
      <w:r>
        <w:rPr/>
        <w:t>利技术的所有权或者使用权，具有独立完整的设计、销售等配套设施及固定资产。公司没有以自身资产、</w:t>
      </w:r>
    </w:p>
    <w:p>
      <w:pPr>
        <w:spacing w:after="0" w:line="240"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0"/>
        <w:jc w:val="left"/>
      </w:pPr>
      <w:r>
        <w:rPr>
          <w:spacing w:val="-2"/>
        </w:rPr>
        <w:t>权益或信誉为各股东、实际控制人及其控制的其他企业提供担保，对所有资产拥有完全的控制支配权，不</w:t>
      </w:r>
      <w:r>
        <w:rPr>
          <w:spacing w:val="-44"/>
        </w:rPr>
        <w:t> </w:t>
      </w:r>
      <w:r>
        <w:rPr>
          <w:spacing w:val="-44"/>
        </w:rPr>
      </w:r>
      <w:r>
        <w:rPr/>
        <w:t>存在资产、资金被各股东、实际控制人及其控制的其他企业违规占用而损害公司利益的情况。</w:t>
      </w:r>
    </w:p>
    <w:p>
      <w:pPr>
        <w:pStyle w:val="BodyText"/>
        <w:spacing w:line="417" w:lineRule="auto" w:before="87"/>
        <w:ind w:left="533" w:right="1126" w:firstLine="2"/>
        <w:jc w:val="left"/>
      </w:pPr>
      <w:r>
        <w:rPr>
          <w:rFonts w:ascii="Times New Roman" w:hAnsi="Times New Roman" w:cs="Times New Roman" w:eastAsia="Times New Roman" w:hint="default"/>
          <w:b/>
          <w:bCs/>
        </w:rPr>
        <w:t>3</w:t>
      </w:r>
      <w:r>
        <w:rPr>
          <w:rFonts w:ascii="宋体" w:hAnsi="宋体" w:cs="宋体" w:eastAsia="宋体" w:hint="default"/>
          <w:b/>
          <w:bCs/>
        </w:rPr>
        <w:t>、人员独立</w:t>
      </w:r>
      <w:r>
        <w:rPr>
          <w:rFonts w:ascii="宋体" w:hAnsi="宋体" w:cs="宋体" w:eastAsia="宋体" w:hint="default"/>
          <w:b/>
          <w:bCs/>
          <w:w w:val="100"/>
        </w:rPr>
        <w:t> </w:t>
      </w:r>
      <w:r>
        <w:rPr>
          <w:spacing w:val="-7"/>
          <w:w w:val="100"/>
        </w:rPr>
        <w:t>公司董事、监事及高级管理人员均严格按照《公司法》、《公司章程》规定的程序推选和任免，不存在</w:t>
      </w:r>
    </w:p>
    <w:p>
      <w:pPr>
        <w:pStyle w:val="BodyText"/>
        <w:spacing w:line="408" w:lineRule="auto" w:before="37"/>
        <w:ind w:right="0"/>
        <w:jc w:val="left"/>
      </w:pPr>
      <w:r>
        <w:rPr/>
        <w:t>股东超越公司股东大会和董事会做出人事任免决定的情况。公司的人事及工资管理与股东单位完全分离，</w:t>
      </w:r>
      <w:r>
        <w:rPr>
          <w:spacing w:val="-24"/>
        </w:rPr>
        <w:t> </w:t>
      </w:r>
      <w:r>
        <w:rPr>
          <w:spacing w:val="-24"/>
        </w:rPr>
      </w:r>
      <w:r>
        <w:rPr>
          <w:spacing w:val="-2"/>
        </w:rPr>
        <w:t>公司总经理、副总经理、财务负责人和董事会秘书等高级管理人员未在控股股东、实际控制人及其控制的</w:t>
      </w:r>
      <w:r>
        <w:rPr>
          <w:spacing w:val="-43"/>
        </w:rPr>
        <w:t> </w:t>
      </w:r>
      <w:r>
        <w:rPr>
          <w:spacing w:val="-43"/>
        </w:rPr>
      </w:r>
      <w:r>
        <w:rPr>
          <w:spacing w:val="-2"/>
        </w:rPr>
        <w:t>其他企业中担任除董事、监事以外的其他职务，未在控股股东、实际控制人及其控制的其他企业领薪；公</w:t>
      </w:r>
      <w:r>
        <w:rPr>
          <w:spacing w:val="-47"/>
        </w:rPr>
        <w:t> </w:t>
      </w:r>
      <w:r>
        <w:rPr>
          <w:spacing w:val="-47"/>
        </w:rPr>
      </w:r>
      <w:r>
        <w:rPr>
          <w:spacing w:val="-2"/>
        </w:rPr>
        <w:t>司财务人员未在控股股东、实际控制人及其控制的其他企业中兼职；公司董事、高级管理人员不存在兼任</w:t>
      </w:r>
      <w:r>
        <w:rPr>
          <w:spacing w:val="-44"/>
        </w:rPr>
        <w:t> </w:t>
      </w:r>
      <w:r>
        <w:rPr>
          <w:spacing w:val="-44"/>
        </w:rPr>
      </w:r>
      <w:r>
        <w:rPr/>
        <w:t>监事的情形。同时，公司建立并独立执行人力资源及薪酬管理制度。</w:t>
      </w:r>
    </w:p>
    <w:p>
      <w:pPr>
        <w:pStyle w:val="BodyText"/>
        <w:spacing w:line="420" w:lineRule="auto" w:before="87"/>
        <w:ind w:left="533" w:right="1126" w:firstLine="2"/>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100"/>
        </w:rPr>
        <w:t> </w:t>
      </w:r>
      <w:r>
        <w:rPr>
          <w:spacing w:val="-3"/>
        </w:rPr>
        <w:t>公司通过股东大会、董事会、监事会以及独立董事制度，强化了公司的分权制衡和相互监督，形成了</w:t>
      </w:r>
    </w:p>
    <w:p>
      <w:pPr>
        <w:pStyle w:val="BodyText"/>
        <w:spacing w:line="408" w:lineRule="auto" w:before="35"/>
        <w:ind w:right="1126"/>
        <w:jc w:val="both"/>
      </w:pPr>
      <w:r>
        <w:rPr>
          <w:spacing w:val="-7"/>
        </w:rPr>
        <w:t>有效的法人治理结构。在内部机构设置上，公司建立了适应自身发展需要的组织机构，明确了各机构职能，</w:t>
      </w:r>
      <w:r>
        <w:rPr>
          <w:spacing w:val="-17"/>
        </w:rPr>
        <w:t> </w:t>
      </w:r>
      <w:r>
        <w:rPr>
          <w:spacing w:val="-17"/>
        </w:rPr>
      </w:r>
      <w:r>
        <w:rPr>
          <w:spacing w:val="-2"/>
        </w:rPr>
        <w:t>定员定岗，并制定了相应的内部管理与控制制度，独立开展生产经营活动。公司与控股股东、实际控制人</w:t>
      </w:r>
      <w:r>
        <w:rPr>
          <w:spacing w:val="-50"/>
        </w:rPr>
        <w:t> </w:t>
      </w:r>
      <w:r>
        <w:rPr>
          <w:spacing w:val="-50"/>
        </w:rPr>
      </w:r>
      <w:r>
        <w:rPr>
          <w:spacing w:val="-2"/>
        </w:rPr>
        <w:t>及其控制的其他企业间不存在机构混同的情形。自公司设立以来，未发生股东干预本公司正常生产经营活</w:t>
      </w:r>
      <w:r>
        <w:rPr>
          <w:spacing w:val="-43"/>
        </w:rPr>
        <w:t> </w:t>
      </w:r>
      <w:r>
        <w:rPr>
          <w:spacing w:val="-43"/>
        </w:rPr>
      </w:r>
      <w:r>
        <w:rPr/>
        <w:t>动的情况。</w:t>
      </w:r>
    </w:p>
    <w:p>
      <w:pPr>
        <w:pStyle w:val="BodyText"/>
        <w:spacing w:line="420" w:lineRule="auto" w:before="85"/>
        <w:ind w:left="533" w:right="1126" w:firstLine="2"/>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100"/>
        </w:rPr>
        <w:t> </w:t>
      </w:r>
      <w:r>
        <w:rPr>
          <w:spacing w:val="-3"/>
        </w:rPr>
        <w:t>公司在财务上规范运作、独立运行，设立了独立的财务部门，配备了独立的财务人员，建立了独立的</w:t>
      </w:r>
    </w:p>
    <w:p>
      <w:pPr>
        <w:pStyle w:val="BodyText"/>
        <w:spacing w:line="408" w:lineRule="auto" w:before="35"/>
        <w:ind w:right="0"/>
        <w:jc w:val="left"/>
      </w:pPr>
      <w:r>
        <w:rPr>
          <w:spacing w:val="-13"/>
          <w:w w:val="100"/>
        </w:rPr>
        <w:t>会计核算体系，制定了《财务管理制度》、《关联交易决策制度》、《投资决策管理制度》、《对外担保制度》</w:t>
      </w:r>
      <w:r>
        <w:rPr>
          <w:spacing w:val="-79"/>
          <w:w w:val="100"/>
        </w:rPr>
        <w:t> </w:t>
      </w:r>
      <w:r>
        <w:rPr>
          <w:spacing w:val="-79"/>
          <w:w w:val="100"/>
        </w:rPr>
      </w:r>
      <w:r>
        <w:rPr>
          <w:spacing w:val="-2"/>
        </w:rPr>
        <w:t>等多项内控制度且严格执行，独立进行财务决策，享有充分独立的资金调配权，财务会计制度和财务管理</w:t>
      </w:r>
      <w:r>
        <w:rPr>
          <w:spacing w:val="-42"/>
        </w:rPr>
        <w:t> </w:t>
      </w:r>
      <w:r>
        <w:rPr>
          <w:spacing w:val="-42"/>
        </w:rPr>
      </w:r>
      <w:r>
        <w:rPr/>
        <w:t>制度符合上市公司的要求。</w:t>
      </w:r>
    </w:p>
    <w:p>
      <w:pPr>
        <w:pStyle w:val="BodyText"/>
        <w:spacing w:line="408" w:lineRule="auto" w:before="87"/>
        <w:ind w:right="1126" w:firstLine="420"/>
        <w:jc w:val="both"/>
      </w:pPr>
      <w:r>
        <w:rPr>
          <w:spacing w:val="-2"/>
        </w:rPr>
        <w:t>公司开设独立的银行账户，作为独立的纳税人，依法独立进行纳税申报和履行纳税义务。公司根据企</w:t>
      </w:r>
      <w:r>
        <w:rPr>
          <w:w w:val="100"/>
        </w:rPr>
        <w:t> </w:t>
      </w:r>
      <w:r>
        <w:rPr>
          <w:spacing w:val="-2"/>
        </w:rPr>
        <w:t>业发展规划，自主决定投资计划和资金安排，不存在公司股东干预公司财务决策、资金使用的情况；不存</w:t>
      </w:r>
      <w:r>
        <w:rPr>
          <w:spacing w:val="-47"/>
        </w:rPr>
        <w:t> </w:t>
      </w:r>
      <w:r>
        <w:rPr>
          <w:spacing w:val="-47"/>
        </w:rPr>
      </w:r>
      <w:r>
        <w:rPr>
          <w:spacing w:val="-2"/>
        </w:rPr>
        <w:t>在以资产、权益或信誉为股东单位、下属公司或任何个人的债务提供担保，或以本公司名义的借款、授信</w:t>
      </w:r>
      <w:r>
        <w:rPr>
          <w:spacing w:val="-50"/>
        </w:rPr>
        <w:t> </w:t>
      </w:r>
      <w:r>
        <w:rPr>
          <w:spacing w:val="-50"/>
        </w:rPr>
      </w:r>
      <w:r>
        <w:rPr/>
        <w:t>额度转借给前述法人或个人使用的情形。</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133"/>
        <w:gridCol w:w="2055"/>
      </w:tblGrid>
      <w:tr>
        <w:trPr>
          <w:trHeight w:val="403" w:hRule="exact"/>
        </w:trPr>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97"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46.86%</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both"/>
              <w:rPr>
                <w:rFonts w:ascii="宋体" w:hAnsi="宋体" w:cs="宋体" w:eastAsia="宋体" w:hint="default"/>
                <w:sz w:val="18"/>
                <w:szCs w:val="18"/>
              </w:rPr>
            </w:pPr>
            <w:r>
              <w:rPr>
                <w:rFonts w:ascii="宋体" w:hAnsi="宋体" w:cs="宋体" w:eastAsia="宋体" w:hint="default"/>
                <w:sz w:val="18"/>
                <w:szCs w:val="18"/>
              </w:rPr>
              <w:t>详见披露于巨潮资讯网</w:t>
            </w:r>
          </w:p>
          <w:p>
            <w:pPr>
              <w:pStyle w:val="TableParagraph"/>
              <w:spacing w:line="300" w:lineRule="auto" w:before="74"/>
              <w:ind w:left="105" w:right="53"/>
              <w:jc w:val="both"/>
              <w:rPr>
                <w:rFonts w:ascii="宋体" w:hAnsi="宋体" w:cs="宋体" w:eastAsia="宋体" w:hint="default"/>
                <w:sz w:val="18"/>
                <w:szCs w:val="18"/>
              </w:rPr>
            </w:pPr>
            <w:r>
              <w:rPr>
                <w:rFonts w:ascii="宋体" w:hAnsi="宋体" w:cs="宋体" w:eastAsia="宋体" w:hint="default"/>
                <w:sz w:val="18"/>
                <w:szCs w:val="18"/>
              </w:rPr>
              <w:t>（</w:t>
            </w:r>
            <w:hyperlink r:id="rId29">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m.cn</w:t>
            </w:r>
            <w:r>
              <w:rPr>
                <w:rFonts w:ascii="宋体" w:hAnsi="宋体" w:cs="宋体" w:eastAsia="宋体" w:hint="default"/>
                <w:spacing w:val="-8"/>
                <w:sz w:val="18"/>
                <w:szCs w:val="18"/>
              </w:rPr>
              <w:t>）和《证券时报》、</w:t>
            </w:r>
          </w:p>
          <w:p>
            <w:pPr>
              <w:pStyle w:val="TableParagraph"/>
              <w:spacing w:line="314" w:lineRule="auto" w:before="13"/>
              <w:ind w:left="105" w:right="99"/>
              <w:jc w:val="both"/>
              <w:rPr>
                <w:rFonts w:ascii="宋体" w:hAnsi="宋体" w:cs="宋体" w:eastAsia="宋体" w:hint="default"/>
                <w:sz w:val="18"/>
                <w:szCs w:val="18"/>
              </w:rPr>
            </w:pPr>
            <w:r>
              <w:rPr>
                <w:rFonts w:ascii="宋体" w:hAnsi="宋体" w:cs="宋体" w:eastAsia="宋体" w:hint="default"/>
                <w:spacing w:val="-17"/>
                <w:sz w:val="18"/>
                <w:szCs w:val="18"/>
              </w:rPr>
              <w:t>《中国证券报》、《上海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证券报》、《证券日报》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 </w:t>
            </w:r>
            <w:r>
              <w:rPr>
                <w:rFonts w:ascii="宋体" w:hAnsi="宋体" w:cs="宋体" w:eastAsia="宋体" w:hint="default"/>
                <w:spacing w:val="-14"/>
                <w:sz w:val="18"/>
                <w:szCs w:val="18"/>
              </w:rPr>
              <w:t>股大东会决议公告》（公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2018-006</w:t>
            </w:r>
            <w:r>
              <w:rPr>
                <w:rFonts w:ascii="宋体" w:hAnsi="宋体" w:cs="宋体" w:eastAsia="宋体" w:hint="default"/>
                <w:sz w:val="18"/>
                <w:szCs w:val="18"/>
              </w:rPr>
              <w:t>）</w:t>
            </w:r>
          </w:p>
        </w:tc>
      </w:tr>
      <w:tr>
        <w:trPr>
          <w:trHeight w:val="2587"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44.89%</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详见披露于巨潮资讯网</w:t>
            </w:r>
          </w:p>
          <w:p>
            <w:pPr>
              <w:pStyle w:val="TableParagraph"/>
              <w:spacing w:line="300" w:lineRule="auto" w:before="76"/>
              <w:ind w:left="105" w:right="53"/>
              <w:jc w:val="left"/>
              <w:rPr>
                <w:rFonts w:ascii="宋体" w:hAnsi="宋体" w:cs="宋体" w:eastAsia="宋体" w:hint="default"/>
                <w:sz w:val="18"/>
                <w:szCs w:val="18"/>
              </w:rPr>
            </w:pPr>
            <w:r>
              <w:rPr>
                <w:rFonts w:ascii="宋体" w:hAnsi="宋体" w:cs="宋体" w:eastAsia="宋体" w:hint="default"/>
                <w:sz w:val="18"/>
                <w:szCs w:val="18"/>
              </w:rPr>
              <w:t>（</w:t>
            </w:r>
            <w:hyperlink r:id="rId29">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m.cn</w:t>
            </w:r>
            <w:r>
              <w:rPr>
                <w:rFonts w:ascii="宋体" w:hAnsi="宋体" w:cs="宋体" w:eastAsia="宋体" w:hint="default"/>
                <w:spacing w:val="-8"/>
                <w:sz w:val="18"/>
                <w:szCs w:val="18"/>
              </w:rPr>
              <w:t>）和《证券时报》、</w:t>
            </w:r>
          </w:p>
          <w:p>
            <w:pPr>
              <w:pStyle w:val="TableParagraph"/>
              <w:spacing w:line="314" w:lineRule="auto" w:before="13"/>
              <w:ind w:left="105" w:right="99"/>
              <w:jc w:val="left"/>
              <w:rPr>
                <w:rFonts w:ascii="宋体" w:hAnsi="宋体" w:cs="宋体" w:eastAsia="宋体" w:hint="default"/>
                <w:sz w:val="18"/>
                <w:szCs w:val="18"/>
              </w:rPr>
            </w:pPr>
            <w:r>
              <w:rPr>
                <w:rFonts w:ascii="宋体" w:hAnsi="宋体" w:cs="宋体" w:eastAsia="宋体" w:hint="default"/>
                <w:spacing w:val="-17"/>
                <w:sz w:val="18"/>
                <w:szCs w:val="18"/>
              </w:rPr>
              <w:t>《中国证券报》、《上海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证券报》、《证券日报》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年年度股大东 </w:t>
            </w:r>
            <w:r>
              <w:rPr>
                <w:rFonts w:ascii="宋体" w:hAnsi="宋体" w:cs="宋体" w:eastAsia="宋体" w:hint="default"/>
                <w:spacing w:val="-10"/>
                <w:sz w:val="18"/>
                <w:szCs w:val="18"/>
              </w:rPr>
              <w:t>会决议公告》（公告编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2018-058</w:t>
            </w:r>
            <w:r>
              <w:rPr>
                <w:rFonts w:ascii="宋体" w:hAnsi="宋体" w:cs="宋体" w:eastAsia="宋体" w:hint="default"/>
                <w:sz w:val="18"/>
                <w:szCs w:val="18"/>
              </w:rPr>
              <w:t>）</w:t>
            </w:r>
          </w:p>
        </w:tc>
      </w:tr>
      <w:tr>
        <w:trPr>
          <w:trHeight w:val="2585"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97"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60.10%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both"/>
              <w:rPr>
                <w:rFonts w:ascii="宋体" w:hAnsi="宋体" w:cs="宋体" w:eastAsia="宋体" w:hint="default"/>
                <w:sz w:val="18"/>
                <w:szCs w:val="18"/>
              </w:rPr>
            </w:pPr>
            <w:r>
              <w:rPr>
                <w:rFonts w:ascii="宋体" w:hAnsi="宋体" w:cs="宋体" w:eastAsia="宋体" w:hint="default"/>
                <w:sz w:val="18"/>
                <w:szCs w:val="18"/>
              </w:rPr>
              <w:t>详见披露于巨潮资讯网</w:t>
            </w:r>
          </w:p>
          <w:p>
            <w:pPr>
              <w:pStyle w:val="TableParagraph"/>
              <w:spacing w:line="300" w:lineRule="auto" w:before="74"/>
              <w:ind w:left="105" w:right="53"/>
              <w:jc w:val="both"/>
              <w:rPr>
                <w:rFonts w:ascii="宋体" w:hAnsi="宋体" w:cs="宋体" w:eastAsia="宋体" w:hint="default"/>
                <w:sz w:val="18"/>
                <w:szCs w:val="18"/>
              </w:rPr>
            </w:pPr>
            <w:r>
              <w:rPr>
                <w:rFonts w:ascii="宋体" w:hAnsi="宋体" w:cs="宋体" w:eastAsia="宋体" w:hint="default"/>
                <w:sz w:val="18"/>
                <w:szCs w:val="18"/>
              </w:rPr>
              <w:t>（</w:t>
            </w:r>
            <w:hyperlink r:id="rId29">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m.cn</w:t>
            </w:r>
            <w:r>
              <w:rPr>
                <w:rFonts w:ascii="宋体" w:hAnsi="宋体" w:cs="宋体" w:eastAsia="宋体" w:hint="default"/>
                <w:spacing w:val="-8"/>
                <w:sz w:val="18"/>
                <w:szCs w:val="18"/>
              </w:rPr>
              <w:t>）和《证券时报》、</w:t>
            </w:r>
          </w:p>
          <w:p>
            <w:pPr>
              <w:pStyle w:val="TableParagraph"/>
              <w:spacing w:line="314" w:lineRule="auto" w:before="13"/>
              <w:ind w:left="105" w:right="99"/>
              <w:jc w:val="both"/>
              <w:rPr>
                <w:rFonts w:ascii="宋体" w:hAnsi="宋体" w:cs="宋体" w:eastAsia="宋体" w:hint="default"/>
                <w:sz w:val="18"/>
                <w:szCs w:val="18"/>
              </w:rPr>
            </w:pPr>
            <w:r>
              <w:rPr>
                <w:rFonts w:ascii="宋体" w:hAnsi="宋体" w:cs="宋体" w:eastAsia="宋体" w:hint="default"/>
                <w:spacing w:val="-17"/>
                <w:sz w:val="18"/>
                <w:szCs w:val="18"/>
              </w:rPr>
              <w:t>《中国证券报》、《上海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证券报》、《证券日报》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 </w:t>
            </w:r>
            <w:r>
              <w:rPr>
                <w:rFonts w:ascii="宋体" w:hAnsi="宋体" w:cs="宋体" w:eastAsia="宋体" w:hint="default"/>
                <w:spacing w:val="-14"/>
                <w:sz w:val="18"/>
                <w:szCs w:val="18"/>
              </w:rPr>
              <w:t>股大东会决议公告》（公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2018-099</w:t>
            </w:r>
            <w:r>
              <w:rPr>
                <w:rFonts w:ascii="宋体" w:hAnsi="宋体" w:cs="宋体" w:eastAsia="宋体" w:hint="default"/>
                <w:sz w:val="18"/>
                <w:szCs w:val="18"/>
              </w:rPr>
              <w:t>）</w:t>
            </w:r>
          </w:p>
        </w:tc>
      </w:tr>
      <w:tr>
        <w:trPr>
          <w:trHeight w:val="2588"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57.51%</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both"/>
              <w:rPr>
                <w:rFonts w:ascii="宋体" w:hAnsi="宋体" w:cs="宋体" w:eastAsia="宋体" w:hint="default"/>
                <w:sz w:val="18"/>
                <w:szCs w:val="18"/>
              </w:rPr>
            </w:pPr>
            <w:r>
              <w:rPr>
                <w:rFonts w:ascii="宋体" w:hAnsi="宋体" w:cs="宋体" w:eastAsia="宋体" w:hint="default"/>
                <w:sz w:val="18"/>
                <w:szCs w:val="18"/>
              </w:rPr>
              <w:t>详见披露于巨潮资讯网</w:t>
            </w:r>
          </w:p>
          <w:p>
            <w:pPr>
              <w:pStyle w:val="TableParagraph"/>
              <w:spacing w:line="300" w:lineRule="auto" w:before="76"/>
              <w:ind w:left="105" w:right="53"/>
              <w:jc w:val="both"/>
              <w:rPr>
                <w:rFonts w:ascii="宋体" w:hAnsi="宋体" w:cs="宋体" w:eastAsia="宋体" w:hint="default"/>
                <w:sz w:val="18"/>
                <w:szCs w:val="18"/>
              </w:rPr>
            </w:pPr>
            <w:r>
              <w:rPr>
                <w:rFonts w:ascii="宋体" w:hAnsi="宋体" w:cs="宋体" w:eastAsia="宋体" w:hint="default"/>
                <w:sz w:val="18"/>
                <w:szCs w:val="18"/>
              </w:rPr>
              <w:t>（</w:t>
            </w:r>
            <w:hyperlink r:id="rId29">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m.cn</w:t>
            </w:r>
            <w:r>
              <w:rPr>
                <w:rFonts w:ascii="宋体" w:hAnsi="宋体" w:cs="宋体" w:eastAsia="宋体" w:hint="default"/>
                <w:spacing w:val="-8"/>
                <w:sz w:val="18"/>
                <w:szCs w:val="18"/>
              </w:rPr>
              <w:t>）和《证券时报》、</w:t>
            </w:r>
          </w:p>
          <w:p>
            <w:pPr>
              <w:pStyle w:val="TableParagraph"/>
              <w:spacing w:line="314" w:lineRule="auto" w:before="13"/>
              <w:ind w:left="105" w:right="99"/>
              <w:jc w:val="both"/>
              <w:rPr>
                <w:rFonts w:ascii="宋体" w:hAnsi="宋体" w:cs="宋体" w:eastAsia="宋体" w:hint="default"/>
                <w:sz w:val="18"/>
                <w:szCs w:val="18"/>
              </w:rPr>
            </w:pPr>
            <w:r>
              <w:rPr>
                <w:rFonts w:ascii="宋体" w:hAnsi="宋体" w:cs="宋体" w:eastAsia="宋体" w:hint="default"/>
                <w:spacing w:val="-17"/>
                <w:sz w:val="18"/>
                <w:szCs w:val="18"/>
              </w:rPr>
              <w:t>《中国证券报》、《上海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证券报》、《证券日报》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年第三次临时 </w:t>
            </w:r>
            <w:r>
              <w:rPr>
                <w:rFonts w:ascii="宋体" w:hAnsi="宋体" w:cs="宋体" w:eastAsia="宋体" w:hint="default"/>
                <w:spacing w:val="-14"/>
                <w:sz w:val="18"/>
                <w:szCs w:val="18"/>
              </w:rPr>
              <w:t>股大东会决议公告》（公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2018-127</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28"/>
          <w:pgSz w:w="11910" w:h="16840"/>
          <w:pgMar w:header="906" w:footer="1079" w:top="1100" w:bottom="126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3" w:hRule="exact"/>
        </w:trPr>
        <w:tc>
          <w:tcPr>
            <w:tcW w:w="9573" w:type="dxa"/>
            <w:gridSpan w:val="8"/>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7" w:hRule="exact"/>
        </w:trPr>
        <w:tc>
          <w:tcPr>
            <w:tcW w:w="142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15" w:right="125"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3"/>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18" w:right="122"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95" w:right="123"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29" w:right="122"/>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07"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3" w:hRule="exact"/>
        </w:trPr>
        <w:tc>
          <w:tcPr>
            <w:tcW w:w="14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116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116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2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116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5"/>
        <w:rPr>
          <w:rFonts w:ascii="宋体" w:hAnsi="宋体" w:cs="宋体" w:eastAsia="宋体" w:hint="default"/>
          <w:b/>
          <w:bCs/>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连续两次未亲自出席董事会的说明</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报告期内独立董事不存在连续两次未亲自出席董事会的情况。</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32"/>
          <w:szCs w:val="3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独立董事对公司有关事项是否提出异议</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13"/>
          <w:szCs w:val="13"/>
        </w:rPr>
      </w:pPr>
    </w:p>
    <w:p>
      <w:pPr>
        <w:pStyle w:val="BodyText"/>
        <w:spacing w:line="240" w:lineRule="auto"/>
        <w:ind w:right="0"/>
        <w:jc w:val="left"/>
      </w:pPr>
      <w:r>
        <w:rPr/>
        <w:t>报告期内独立董事对公司有关事项未提出异议。</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32"/>
          <w:szCs w:val="3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独立董事对公司有关建议是否被采纳</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line="439" w:lineRule="auto" w:before="0"/>
        <w:ind w:left="113" w:right="677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w:t>
      </w:r>
      <w:r>
        <w:rPr>
          <w:rFonts w:ascii="宋体" w:hAnsi="宋体" w:cs="宋体" w:eastAsia="宋体" w:hint="default"/>
          <w:b/>
          <w:bCs/>
          <w:sz w:val="18"/>
          <w:szCs w:val="18"/>
        </w:rPr>
        <w:t>独立董事对公司有关建议被采纳或未被采纳的说明</w:t>
      </w:r>
      <w:r>
        <w:rPr>
          <w:rFonts w:ascii="宋体" w:hAnsi="宋体" w:cs="宋体" w:eastAsia="宋体" w:hint="default"/>
          <w:sz w:val="18"/>
          <w:szCs w:val="18"/>
        </w:rPr>
      </w:r>
    </w:p>
    <w:p>
      <w:pPr>
        <w:pStyle w:val="BodyText"/>
        <w:spacing w:line="408" w:lineRule="auto" w:before="98"/>
        <w:ind w:right="1126" w:firstLine="420"/>
        <w:jc w:val="both"/>
      </w:pPr>
      <w:r>
        <w:rPr>
          <w:spacing w:val="-2"/>
        </w:rPr>
        <w:t>报告期内，公司独立董事恪尽职守、廉洁自律、忠实勤勉、依法严格履行了职责，出席了公司的历次</w:t>
      </w:r>
      <w:r>
        <w:rPr>
          <w:w w:val="100"/>
        </w:rPr>
        <w:t> </w:t>
      </w:r>
      <w:r>
        <w:rPr>
          <w:spacing w:val="-2"/>
        </w:rPr>
        <w:t>董事会会议并独立、客观的发表意见。定期了解和听取公司经营情况的汇报，不定期通过现场调研、电话</w:t>
      </w:r>
      <w:r>
        <w:rPr>
          <w:spacing w:val="-47"/>
        </w:rPr>
        <w:t> </w:t>
      </w:r>
      <w:r>
        <w:rPr>
          <w:spacing w:val="-47"/>
        </w:rPr>
      </w:r>
      <w:r>
        <w:rPr>
          <w:spacing w:val="-2"/>
        </w:rPr>
        <w:t>和邮件等方式，与公司董事、监事、高级管理人员、内审部门及会计师进行了良好的沟通，对公司发展战</w:t>
      </w:r>
      <w:r>
        <w:rPr>
          <w:spacing w:val="-43"/>
        </w:rPr>
        <w:t> </w:t>
      </w:r>
      <w:r>
        <w:rPr>
          <w:spacing w:val="-43"/>
        </w:rPr>
      </w:r>
      <w:r>
        <w:rPr>
          <w:spacing w:val="-2"/>
        </w:rPr>
        <w:t>略、内部控制、重大投资等提供了专业意见，关注传媒、网络有关公司的相关报道，及时获悉公司各重大</w:t>
      </w:r>
      <w:r>
        <w:rPr>
          <w:spacing w:val="-43"/>
        </w:rPr>
        <w:t> </w:t>
      </w:r>
      <w:r>
        <w:rPr>
          <w:spacing w:val="-43"/>
        </w:rPr>
      </w:r>
      <w:r>
        <w:rPr>
          <w:spacing w:val="-7"/>
        </w:rPr>
        <w:t>事项的进展情况，对公司经营活动进行了有效监督，保证了公司决策的科学性。同时对公司重大资产重组、</w:t>
      </w:r>
      <w:r>
        <w:rPr>
          <w:spacing w:val="-17"/>
        </w:rPr>
        <w:t> </w:t>
      </w:r>
      <w:r>
        <w:rPr>
          <w:spacing w:val="-17"/>
        </w:rPr>
      </w:r>
      <w:r>
        <w:rPr>
          <w:spacing w:val="-2"/>
        </w:rPr>
        <w:t>续聘会计师事务所、募集资金使用、关联交易情况等重大事项进行审核并发表了独立意见，为完善公司监</w:t>
      </w:r>
      <w:r>
        <w:rPr>
          <w:spacing w:val="-44"/>
        </w:rPr>
        <w:t> </w:t>
      </w:r>
      <w:r>
        <w:rPr>
          <w:spacing w:val="-44"/>
        </w:rPr>
      </w:r>
      <w:r>
        <w:rPr/>
        <w:t>督机制、维护公司和全体股东的合法权益发挥了应有作用。</w:t>
      </w:r>
    </w:p>
    <w:p>
      <w:pPr>
        <w:spacing w:after="0" w:line="408" w:lineRule="auto"/>
        <w:jc w:val="both"/>
        <w:sectPr>
          <w:headerReference w:type="default" r:id="rId30"/>
          <w:pgSz w:w="11910" w:h="16840"/>
          <w:pgMar w:header="906" w:footer="1079" w:top="1100" w:bottom="126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both"/>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ind w:right="1126" w:firstLine="420"/>
        <w:jc w:val="both"/>
      </w:pPr>
      <w:r>
        <w:rPr>
          <w:spacing w:val="-7"/>
        </w:rPr>
        <w:t>公司董事会下设四个专门委员会，分别为审计委员会、战略委员会、提名委员会、薪酬与考核委员会。</w:t>
      </w:r>
      <w:r>
        <w:rPr>
          <w:w w:val="100"/>
        </w:rPr>
        <w:t> </w:t>
      </w:r>
      <w:r>
        <w:rPr>
          <w:rFonts w:ascii="Times New Roman" w:hAnsi="Times New Roman" w:cs="Times New Roman" w:eastAsia="Times New Roman" w:hint="default"/>
          <w:spacing w:val="-2"/>
        </w:rPr>
        <w:t>2018</w:t>
      </w:r>
      <w:r>
        <w:rPr>
          <w:spacing w:val="-2"/>
        </w:rPr>
        <w:t>年各专门委员会本着勤勉尽责的原则，按照有关法律法规、规范性文件及公司各专门委员会工作细则</w:t>
      </w:r>
      <w:r>
        <w:rPr>
          <w:spacing w:val="-40"/>
        </w:rPr>
        <w:t> </w:t>
      </w:r>
      <w:r>
        <w:rPr>
          <w:spacing w:val="-40"/>
        </w:rPr>
      </w:r>
      <w:r>
        <w:rPr/>
        <w:t>的有关规定开展相关工作，报告期内，各专门委员会履职情况如下：</w:t>
      </w:r>
    </w:p>
    <w:p>
      <w:pPr>
        <w:pStyle w:val="Heading4"/>
        <w:spacing w:line="240" w:lineRule="auto" w:before="93"/>
        <w:ind w:left="430" w:right="0"/>
        <w:jc w:val="left"/>
        <w:rPr>
          <w:b w:val="0"/>
          <w:bCs w:val="0"/>
        </w:rPr>
      </w:pPr>
      <w:r>
        <w:rPr/>
        <w:t>（一）审计委员会</w:t>
      </w:r>
      <w:r>
        <w:rPr>
          <w:b w:val="0"/>
          <w:bCs w:val="0"/>
        </w:rPr>
      </w:r>
    </w:p>
    <w:p>
      <w:pPr>
        <w:spacing w:line="240" w:lineRule="auto" w:before="12"/>
        <w:rPr>
          <w:rFonts w:ascii="宋体" w:hAnsi="宋体" w:cs="宋体" w:eastAsia="宋体" w:hint="default"/>
          <w:b/>
          <w:bCs/>
          <w:sz w:val="17"/>
          <w:szCs w:val="17"/>
        </w:rPr>
      </w:pPr>
    </w:p>
    <w:p>
      <w:pPr>
        <w:pStyle w:val="BodyText"/>
        <w:spacing w:line="398" w:lineRule="auto"/>
        <w:ind w:right="1126" w:firstLine="420"/>
        <w:jc w:val="both"/>
      </w:pPr>
      <w:r>
        <w:rPr>
          <w:rFonts w:ascii="Times New Roman" w:hAnsi="Times New Roman" w:cs="Times New Roman" w:eastAsia="Times New Roman" w:hint="default"/>
          <w:spacing w:val="-11"/>
          <w:w w:val="100"/>
        </w:rPr>
        <w:t>2018</w:t>
      </w:r>
      <w:r>
        <w:rPr>
          <w:spacing w:val="-11"/>
          <w:w w:val="100"/>
        </w:rPr>
        <w:t>年，公司董事会审计委员会依据《公司章程》、《审计委员会议事规则》、《内部审计制度》等相关</w:t>
      </w:r>
      <w:r>
        <w:rPr>
          <w:w w:val="100"/>
        </w:rPr>
        <w:t> </w:t>
      </w:r>
      <w:r>
        <w:rPr>
          <w:spacing w:val="-2"/>
        </w:rPr>
        <w:t>规定规范运作，召开了审计委员会的会议，详细了解公司财务状况和经营情况，严格审查公司内部控制制</w:t>
      </w:r>
      <w:r>
        <w:rPr>
          <w:spacing w:val="-44"/>
        </w:rPr>
        <w:t> </w:t>
      </w:r>
      <w:r>
        <w:rPr>
          <w:spacing w:val="-44"/>
        </w:rPr>
      </w:r>
      <w:r>
        <w:rPr/>
        <w:t>度及执行情况。同时，也参与了对审计机构</w:t>
      </w:r>
      <w:r>
        <w:rPr>
          <w:rFonts w:ascii="Times New Roman" w:hAnsi="Times New Roman" w:cs="Times New Roman" w:eastAsia="Times New Roman" w:hint="default"/>
        </w:rPr>
        <w:t>2017</w:t>
      </w:r>
      <w:r>
        <w:rPr/>
        <w:t>年度审计工作的评价和总结。主要开展以下工作：</w:t>
      </w:r>
    </w:p>
    <w:p>
      <w:pPr>
        <w:pStyle w:val="BodyText"/>
        <w:spacing w:line="400" w:lineRule="auto" w:before="65"/>
        <w:ind w:right="1126" w:firstLine="420"/>
        <w:jc w:val="both"/>
      </w:pPr>
      <w:r>
        <w:rPr>
          <w:rFonts w:ascii="Times New Roman" w:hAnsi="Times New Roman" w:cs="Times New Roman" w:eastAsia="Times New Roman" w:hint="default"/>
        </w:rPr>
        <w:t>1</w:t>
      </w:r>
      <w:r>
        <w:rPr/>
        <w:t>、审计部作为审计委员会下设的日常办事机构，在审计委员会的授权范围内，行使审计监督权，依</w:t>
      </w:r>
      <w:r>
        <w:rPr>
          <w:w w:val="100"/>
        </w:rPr>
        <w:t> </w:t>
      </w:r>
      <w:r>
        <w:rPr>
          <w:spacing w:val="-2"/>
        </w:rPr>
        <w:t>法检查公司会计帐目及其相关资产，对财务收支的真实性、合法性、有效性进行监督和评价，对公司的资</w:t>
      </w:r>
      <w:r>
        <w:rPr>
          <w:spacing w:val="-47"/>
        </w:rPr>
        <w:t> </w:t>
      </w:r>
      <w:r>
        <w:rPr>
          <w:spacing w:val="-47"/>
        </w:rPr>
      </w:r>
      <w:r>
        <w:rPr>
          <w:spacing w:val="-2"/>
        </w:rPr>
        <w:t>金运作、资产利用情况及其他财务运作情况进行分析评价，保证公司资产的真实和完整。通过审计工作的</w:t>
      </w:r>
      <w:r>
        <w:rPr>
          <w:spacing w:val="-42"/>
        </w:rPr>
        <w:t> </w:t>
      </w:r>
      <w:r>
        <w:rPr>
          <w:spacing w:val="-42"/>
        </w:rPr>
      </w:r>
      <w:r>
        <w:rPr/>
        <w:t>开展，达到规避公司经营风险、提高公司经济效益的目的。</w:t>
      </w:r>
    </w:p>
    <w:p>
      <w:pPr>
        <w:pStyle w:val="BodyText"/>
        <w:spacing w:line="400" w:lineRule="auto" w:before="91"/>
        <w:ind w:right="0" w:firstLine="504"/>
        <w:jc w:val="left"/>
      </w:pPr>
      <w:r>
        <w:rPr>
          <w:rFonts w:ascii="Times New Roman" w:hAnsi="Times New Roman" w:cs="Times New Roman" w:eastAsia="Times New Roman" w:hint="default"/>
        </w:rPr>
        <w:t>2</w:t>
      </w:r>
      <w:r>
        <w:rPr/>
        <w:t>、在审计工作中，认真履行了相关责任和义务，对财务报表进行审阅，与公司财务负责人、年审注</w:t>
      </w:r>
      <w:r>
        <w:rPr>
          <w:w w:val="100"/>
        </w:rPr>
        <w:t> </w:t>
      </w:r>
      <w:r>
        <w:rPr/>
        <w:t>册会计师进行了充分、有效沟通，积极了解公司经营状况，并关注本次年报审计工作的安排及进展情况，</w:t>
      </w:r>
      <w:r>
        <w:rPr>
          <w:spacing w:val="-24"/>
        </w:rPr>
        <w:t> </w:t>
      </w:r>
      <w:r>
        <w:rPr>
          <w:spacing w:val="-24"/>
        </w:rPr>
      </w:r>
      <w:r>
        <w:rPr>
          <w:spacing w:val="-2"/>
        </w:rPr>
        <w:t>重视解决在审计过程中发现的有关问题，充分发挥了审计委员会在年报中的监督作用。经审核认为财务会</w:t>
      </w:r>
      <w:r>
        <w:rPr>
          <w:spacing w:val="-42"/>
        </w:rPr>
        <w:t> </w:t>
      </w:r>
      <w:r>
        <w:rPr>
          <w:spacing w:val="-42"/>
        </w:rPr>
      </w:r>
      <w:r>
        <w:rPr/>
        <w:t>计报表能够真实反映公司的财务状况和经营成果。</w:t>
      </w:r>
    </w:p>
    <w:p>
      <w:pPr>
        <w:pStyle w:val="BodyText"/>
        <w:spacing w:line="441" w:lineRule="auto" w:before="93"/>
        <w:ind w:left="533" w:right="1124" w:hanging="104"/>
        <w:jc w:val="left"/>
      </w:pPr>
      <w:r>
        <w:rPr>
          <w:rFonts w:ascii="宋体" w:hAnsi="宋体" w:cs="宋体" w:eastAsia="宋体" w:hint="default"/>
          <w:b/>
          <w:bCs/>
        </w:rPr>
        <w:t>（二）战略委员会</w:t>
      </w:r>
      <w:r>
        <w:rPr>
          <w:rFonts w:ascii="宋体" w:hAnsi="宋体" w:cs="宋体" w:eastAsia="宋体" w:hint="default"/>
          <w:b/>
          <w:bCs/>
          <w:spacing w:val="-103"/>
        </w:rPr>
        <w:t> </w:t>
      </w:r>
      <w:r>
        <w:rPr>
          <w:spacing w:val="-11"/>
          <w:w w:val="100"/>
        </w:rPr>
        <w:t>董事会下设的战略委员会根据《公司法》、《上市公司治理准则》、《董事会战略委员会议事规则》及其</w:t>
      </w:r>
    </w:p>
    <w:p>
      <w:pPr>
        <w:pStyle w:val="BodyText"/>
        <w:spacing w:line="400" w:lineRule="auto" w:before="16"/>
        <w:ind w:right="1126"/>
        <w:jc w:val="both"/>
      </w:pPr>
      <w:r>
        <w:rPr>
          <w:spacing w:val="-2"/>
        </w:rPr>
        <w:t>它有关规定，积极履行职责。</w:t>
      </w:r>
      <w:r>
        <w:rPr>
          <w:rFonts w:ascii="Times New Roman" w:hAnsi="Times New Roman" w:cs="Times New Roman" w:eastAsia="Times New Roman" w:hint="default"/>
          <w:spacing w:val="-2"/>
        </w:rPr>
        <w:t>2018</w:t>
      </w:r>
      <w:r>
        <w:rPr>
          <w:spacing w:val="-2"/>
        </w:rPr>
        <w:t>年，战略委员会召开会议，会议根据公司发展战略，对筹划发行股份购</w:t>
      </w:r>
      <w:r>
        <w:rPr>
          <w:spacing w:val="-40"/>
        </w:rPr>
        <w:t> </w:t>
      </w:r>
      <w:r>
        <w:rPr>
          <w:spacing w:val="-40"/>
        </w:rPr>
      </w:r>
      <w:r>
        <w:rPr>
          <w:spacing w:val="-7"/>
        </w:rPr>
        <w:t>买资产、重大资产重组、募集资金规划使用等项目，听取了公司管理层对公司的未来发展规划和投资计划，</w:t>
      </w:r>
      <w:r>
        <w:rPr>
          <w:spacing w:val="-20"/>
        </w:rPr>
        <w:t> </w:t>
      </w:r>
      <w:r>
        <w:rPr>
          <w:spacing w:val="-20"/>
        </w:rPr>
      </w:r>
      <w:r>
        <w:rPr>
          <w:spacing w:val="-2"/>
        </w:rPr>
        <w:t>并针对性地进行讨论，及时分析市场状况作出相应调整，促进公司规避市场风险，有效利用公司资源。对</w:t>
      </w:r>
      <w:r>
        <w:rPr>
          <w:spacing w:val="-47"/>
        </w:rPr>
        <w:t> </w:t>
      </w:r>
      <w:r>
        <w:rPr>
          <w:spacing w:val="-47"/>
        </w:rPr>
      </w:r>
      <w:r>
        <w:rPr/>
        <w:t>公司重大项目投资进行了认真审阅，保证了董事会决策的科学性和有效性。</w:t>
      </w:r>
    </w:p>
    <w:p>
      <w:pPr>
        <w:pStyle w:val="BodyText"/>
        <w:spacing w:line="408" w:lineRule="auto" w:before="93"/>
        <w:ind w:right="1126" w:firstLine="420"/>
        <w:jc w:val="both"/>
      </w:pPr>
      <w:r>
        <w:rPr>
          <w:spacing w:val="-2"/>
        </w:rPr>
        <w:t>经审核认为，公司管理层所提出的发展战略规划，项目内容及决策程序符合《公司章程》和《深圳证</w:t>
      </w:r>
      <w:r>
        <w:rPr>
          <w:w w:val="100"/>
        </w:rPr>
        <w:t> </w:t>
      </w:r>
      <w:r>
        <w:rPr>
          <w:spacing w:val="-2"/>
        </w:rPr>
        <w:t>券交易所中小企业板上市公司规范运作指引》的相关规定，符合公司实际经营需要，也符合全体股东的利</w:t>
      </w:r>
      <w:r>
        <w:rPr>
          <w:spacing w:val="-42"/>
        </w:rPr>
        <w:t> </w:t>
      </w:r>
      <w:r>
        <w:rPr>
          <w:spacing w:val="-42"/>
        </w:rPr>
      </w:r>
      <w:r>
        <w:rPr>
          <w:spacing w:val="-2"/>
        </w:rPr>
        <w:t>益，与公司的长远发展目标相符；公司所作出的发展战略符合公司实际情况，对公司发展具有现实指导意</w:t>
      </w:r>
      <w:r>
        <w:rPr>
          <w:spacing w:val="-43"/>
        </w:rPr>
        <w:t> </w:t>
      </w:r>
      <w:r>
        <w:rPr>
          <w:spacing w:val="-43"/>
        </w:rPr>
      </w:r>
      <w:r>
        <w:rPr/>
        <w:t>义。</w:t>
      </w:r>
    </w:p>
    <w:p>
      <w:pPr>
        <w:pStyle w:val="BodyText"/>
        <w:spacing w:line="441" w:lineRule="auto" w:before="87"/>
        <w:ind w:left="533" w:right="0" w:hanging="104"/>
        <w:jc w:val="left"/>
      </w:pPr>
      <w:r>
        <w:rPr>
          <w:rFonts w:ascii="宋体" w:hAnsi="宋体" w:cs="宋体" w:eastAsia="宋体" w:hint="default"/>
          <w:b/>
          <w:bCs/>
        </w:rPr>
        <w:t>（三）提名委员会</w:t>
      </w:r>
      <w:r>
        <w:rPr>
          <w:rFonts w:ascii="宋体" w:hAnsi="宋体" w:cs="宋体" w:eastAsia="宋体" w:hint="default"/>
          <w:b/>
          <w:bCs/>
          <w:spacing w:val="-103"/>
        </w:rPr>
        <w:t> </w:t>
      </w:r>
      <w:r>
        <w:rPr>
          <w:spacing w:val="-16"/>
          <w:w w:val="100"/>
        </w:rPr>
        <w:t>董事会下设的提名委员会根据《公司法》、《上市公司治理准则》、《公司章程》、《董事会提名委员会议</w:t>
      </w:r>
    </w:p>
    <w:p>
      <w:pPr>
        <w:spacing w:after="0" w:line="441" w:lineRule="auto"/>
        <w:jc w:val="left"/>
        <w:sectPr>
          <w:headerReference w:type="default" r:id="rId31"/>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3" w:lineRule="auto" w:before="36"/>
        <w:ind w:right="1126"/>
        <w:jc w:val="both"/>
      </w:pPr>
      <w:r>
        <w:rPr>
          <w:spacing w:val="-2"/>
        </w:rPr>
        <w:t>事规则》及其它有关规定，本着勤勉尽责的原则，</w:t>
      </w:r>
      <w:r>
        <w:rPr>
          <w:rFonts w:ascii="Times New Roman" w:hAnsi="Times New Roman" w:cs="Times New Roman" w:eastAsia="Times New Roman" w:hint="default"/>
          <w:spacing w:val="-2"/>
        </w:rPr>
        <w:t>2018</w:t>
      </w:r>
      <w:r>
        <w:rPr>
          <w:spacing w:val="-2"/>
        </w:rPr>
        <w:t>年度履行了自身的工作职责。</w:t>
      </w:r>
      <w:r>
        <w:rPr>
          <w:rFonts w:ascii="Times New Roman" w:hAnsi="Times New Roman" w:cs="Times New Roman" w:eastAsia="Times New Roman" w:hint="default"/>
          <w:spacing w:val="-2"/>
        </w:rPr>
        <w:t>2018</w:t>
      </w:r>
      <w:r>
        <w:rPr>
          <w:spacing w:val="-2"/>
        </w:rPr>
        <w:t>年主要负责对公</w:t>
      </w:r>
      <w:r>
        <w:rPr>
          <w:spacing w:val="-44"/>
        </w:rPr>
        <w:t> </w:t>
      </w:r>
      <w:r>
        <w:rPr>
          <w:spacing w:val="-44"/>
        </w:rPr>
      </w:r>
      <w:r>
        <w:rPr>
          <w:spacing w:val="-2"/>
        </w:rPr>
        <w:t>司董事及高级管理人员的人选，设定选择标准，根据公司内部程序进行选择，审查并提出建议，报董事会</w:t>
      </w:r>
      <w:r>
        <w:rPr>
          <w:spacing w:val="-44"/>
        </w:rPr>
        <w:t> </w:t>
      </w:r>
      <w:r>
        <w:rPr>
          <w:spacing w:val="-44"/>
        </w:rPr>
      </w:r>
      <w:r>
        <w:rPr>
          <w:spacing w:val="-2"/>
        </w:rPr>
        <w:t>审议，对高级管理人员翁武强先生及李斐先生的提名及任职资格的审查，并提交董事会审议，通过了《关</w:t>
      </w:r>
      <w:r>
        <w:rPr>
          <w:spacing w:val="-47"/>
        </w:rPr>
        <w:t> </w:t>
      </w:r>
      <w:r>
        <w:rPr>
          <w:spacing w:val="-47"/>
        </w:rPr>
      </w:r>
      <w:r>
        <w:rPr>
          <w:spacing w:val="-7"/>
          <w:w w:val="100"/>
        </w:rPr>
        <w:t>于聘任公司总经理的议案》、《关于聘任公司董事会秘书的议案》及《关于聘任公司其他高级管理人员的议</w:t>
      </w:r>
      <w:r>
        <w:rPr>
          <w:spacing w:val="-79"/>
          <w:w w:val="100"/>
        </w:rPr>
        <w:t> </w:t>
      </w:r>
      <w:r>
        <w:rPr>
          <w:spacing w:val="-79"/>
          <w:w w:val="100"/>
        </w:rPr>
      </w:r>
      <w:r>
        <w:rPr>
          <w:spacing w:val="-36"/>
          <w:w w:val="100"/>
        </w:rPr>
        <w:t>案》。</w:t>
      </w:r>
    </w:p>
    <w:p>
      <w:pPr>
        <w:spacing w:line="441" w:lineRule="auto" w:before="91"/>
        <w:ind w:left="617" w:right="0" w:hanging="188"/>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w w:val="100"/>
          <w:sz w:val="21"/>
          <w:szCs w:val="21"/>
        </w:rPr>
        <w:t> </w:t>
      </w:r>
      <w:r>
        <w:rPr>
          <w:rFonts w:ascii="宋体" w:hAnsi="宋体" w:cs="宋体" w:eastAsia="宋体" w:hint="default"/>
          <w:sz w:val="21"/>
          <w:szCs w:val="21"/>
        </w:rPr>
        <w:t>董事会下设薪酬与考核委员会由</w:t>
      </w:r>
      <w:r>
        <w:rPr>
          <w:rFonts w:ascii="Times New Roman" w:hAnsi="Times New Roman" w:cs="Times New Roman" w:eastAsia="Times New Roman" w:hint="default"/>
          <w:sz w:val="21"/>
          <w:szCs w:val="21"/>
        </w:rPr>
        <w:t>3</w:t>
      </w:r>
      <w:r>
        <w:rPr>
          <w:rFonts w:ascii="宋体" w:hAnsi="宋体" w:cs="宋体" w:eastAsia="宋体" w:hint="default"/>
          <w:sz w:val="21"/>
          <w:szCs w:val="21"/>
        </w:rPr>
        <w:t>名董事组成，报告期内，公司薪酬与考核委员会按照《公司章程》</w:t>
      </w:r>
    </w:p>
    <w:p>
      <w:pPr>
        <w:pStyle w:val="BodyText"/>
        <w:spacing w:line="273" w:lineRule="exact"/>
        <w:ind w:right="0"/>
        <w:jc w:val="both"/>
      </w:pPr>
      <w:r>
        <w:rPr/>
        <w:t>和《薪酬与考核委员会议事规则》的规定，对公司董事、监事、高管人员</w:t>
      </w:r>
      <w:r>
        <w:rPr>
          <w:rFonts w:ascii="Times New Roman" w:hAnsi="Times New Roman" w:cs="Times New Roman" w:eastAsia="Times New Roman" w:hint="default"/>
        </w:rPr>
        <w:t>2018</w:t>
      </w:r>
      <w:r>
        <w:rPr/>
        <w:t>年履行职务情况进行了考察</w:t>
      </w:r>
    </w:p>
    <w:p>
      <w:pPr>
        <w:pStyle w:val="BodyText"/>
        <w:spacing w:line="386" w:lineRule="auto" w:before="178"/>
        <w:ind w:right="0"/>
        <w:jc w:val="left"/>
      </w:pPr>
      <w:r>
        <w:rPr>
          <w:spacing w:val="-2"/>
        </w:rPr>
        <w:t>和评价，并对</w:t>
      </w:r>
      <w:r>
        <w:rPr>
          <w:rFonts w:ascii="Times New Roman" w:hAnsi="Times New Roman" w:cs="Times New Roman" w:eastAsia="Times New Roman" w:hint="default"/>
          <w:spacing w:val="-2"/>
        </w:rPr>
        <w:t>2018</w:t>
      </w:r>
      <w:r>
        <w:rPr>
          <w:spacing w:val="-2"/>
        </w:rPr>
        <w:t>年度薪酬进行了审核，认为上述人员为公司持续、稳定发展起到了积极的作用，所披露</w:t>
      </w:r>
      <w:r>
        <w:rPr>
          <w:spacing w:val="-47"/>
        </w:rPr>
        <w:t> </w:t>
      </w:r>
      <w:r>
        <w:rPr>
          <w:spacing w:val="-47"/>
        </w:rPr>
      </w:r>
      <w:r>
        <w:rPr/>
        <w:t>的薪酬是合理和真实的，薪酬发放履行了决策程序，切实地履行薪酬与考核委员会委员的各项职责。</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32"/>
          <w:szCs w:val="32"/>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b/>
          <w:bCs/>
          <w:sz w:val="18"/>
          <w:szCs w:val="18"/>
        </w:rPr>
        <w:t>监事会在报告期内的监督活动中发现公司是否存在风险</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13"/>
          <w:szCs w:val="13"/>
        </w:rPr>
      </w:pPr>
    </w:p>
    <w:p>
      <w:pPr>
        <w:pStyle w:val="BodyText"/>
        <w:spacing w:line="240" w:lineRule="auto"/>
        <w:ind w:right="0"/>
        <w:jc w:val="both"/>
      </w:pPr>
      <w:r>
        <w:rPr/>
        <w:t>监事会对报告期内的监督事项无异议。</w:t>
      </w:r>
    </w:p>
    <w:p>
      <w:pPr>
        <w:spacing w:line="240" w:lineRule="auto" w:before="12"/>
        <w:rPr>
          <w:rFonts w:ascii="宋体" w:hAnsi="宋体" w:cs="宋体" w:eastAsia="宋体" w:hint="default"/>
          <w:sz w:val="29"/>
          <w:szCs w:val="2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420"/>
        <w:jc w:val="left"/>
      </w:pPr>
      <w:r>
        <w:rPr/>
        <w:t>公司董事会设立了薪酬与考核委员会，建立了公正、合理、有效的高级管理人员绩效考核评价体系，</w:t>
      </w:r>
      <w:r>
        <w:rPr>
          <w:w w:val="100"/>
        </w:rPr>
        <w:t> </w:t>
      </w:r>
      <w:r>
        <w:rPr>
          <w:spacing w:val="-2"/>
        </w:rPr>
        <w:t>公司高级管理人员直接对董事会负责，接受董事会的考核，实行明确责任，量化考核，实行责权利统一的</w:t>
      </w:r>
      <w:r>
        <w:rPr>
          <w:spacing w:val="-47"/>
        </w:rPr>
        <w:t> </w:t>
      </w:r>
      <w:r>
        <w:rPr>
          <w:spacing w:val="-47"/>
        </w:rPr>
      </w:r>
      <w:r>
        <w:rPr>
          <w:spacing w:val="-2"/>
        </w:rPr>
        <w:t>激励机制，根据高级管理人员的绩效进行考核及实施对应的处罚。公司的激励机制符合公司现状及相关法</w:t>
      </w:r>
      <w:r>
        <w:rPr>
          <w:spacing w:val="-42"/>
        </w:rPr>
        <w:t> </w:t>
      </w:r>
      <w:r>
        <w:rPr>
          <w:spacing w:val="-42"/>
        </w:rPr>
      </w:r>
      <w:r>
        <w:rPr>
          <w:spacing w:val="-2"/>
          <w:w w:val="100"/>
        </w:rPr>
        <w:t>律、法规、《公司章程》及《董事会薪酬与考核委员会工作制度》等规定，在提升公司价值的同时实现员</w:t>
      </w:r>
      <w:r>
        <w:rPr>
          <w:spacing w:val="-94"/>
          <w:w w:val="100"/>
        </w:rPr>
        <w:t> </w:t>
      </w:r>
      <w:r>
        <w:rPr>
          <w:spacing w:val="-94"/>
          <w:w w:val="100"/>
        </w:rPr>
      </w:r>
      <w:r>
        <w:rPr/>
        <w:t>工与公司共同发展，有效促进了公司持续健康发展。</w:t>
      </w:r>
    </w:p>
    <w:p>
      <w:pPr>
        <w:spacing w:line="240" w:lineRule="auto" w:before="6"/>
        <w:rPr>
          <w:rFonts w:ascii="宋体" w:hAnsi="宋体" w:cs="宋体" w:eastAsia="宋体" w:hint="default"/>
          <w:sz w:val="18"/>
          <w:szCs w:val="18"/>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6"/>
      </w:tblGrid>
      <w:tr>
        <w:trPr>
          <w:trHeight w:val="403" w:hRule="exact"/>
        </w:trPr>
        <w:tc>
          <w:tcPr>
            <w:tcW w:w="3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日在巨潮资讯网披露的《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w:t>
            </w:r>
          </w:p>
        </w:tc>
      </w:tr>
    </w:tbl>
    <w:p>
      <w:pPr>
        <w:spacing w:after="0" w:line="240" w:lineRule="auto"/>
        <w:jc w:val="left"/>
        <w:rPr>
          <w:rFonts w:ascii="宋体" w:hAnsi="宋体" w:cs="宋体" w:eastAsia="宋体" w:hint="default"/>
          <w:sz w:val="18"/>
          <w:szCs w:val="18"/>
        </w:rPr>
        <w:sectPr>
          <w:headerReference w:type="default" r:id="rId32"/>
          <w:pgSz w:w="11910" w:h="16840"/>
          <w:pgMar w:header="906" w:footer="1079" w:top="1100" w:bottom="126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835"/>
        <w:gridCol w:w="360"/>
        <w:gridCol w:w="3044"/>
        <w:gridCol w:w="3332"/>
      </w:tblGrid>
      <w:tr>
        <w:trPr>
          <w:trHeight w:val="363" w:hRule="exact"/>
        </w:trPr>
        <w:tc>
          <w:tcPr>
            <w:tcW w:w="3195" w:type="dxa"/>
            <w:gridSpan w:val="2"/>
            <w:tcBorders>
              <w:top w:val="single" w:sz="4" w:space="0" w:color="933734"/>
              <w:left w:val="single" w:sz="4" w:space="0" w:color="933734"/>
              <w:bottom w:val="single" w:sz="4" w:space="0" w:color="933734"/>
              <w:right w:val="single" w:sz="4" w:space="0" w:color="933734"/>
            </w:tcBorders>
            <w:shd w:val="clear" w:color="auto" w:fill="E4B8B7"/>
          </w:tcPr>
          <w:p>
            <w:pPr/>
          </w:p>
        </w:tc>
        <w:tc>
          <w:tcPr>
            <w:tcW w:w="6376"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价报告》</w:t>
            </w:r>
          </w:p>
        </w:tc>
      </w:tr>
      <w:tr>
        <w:trPr>
          <w:trHeight w:val="713" w:hRule="exact"/>
        </w:trPr>
        <w:tc>
          <w:tcPr>
            <w:tcW w:w="3195"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6"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6" w:type="dxa"/>
            <w:gridSpan w:val="2"/>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28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40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082" w:hRule="exact"/>
        </w:trPr>
        <w:tc>
          <w:tcPr>
            <w:tcW w:w="28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04" w:type="dxa"/>
            <w:gridSpan w:val="2"/>
            <w:tcBorders>
              <w:top w:val="single" w:sz="4" w:space="0" w:color="933734"/>
              <w:left w:val="single" w:sz="4" w:space="0" w:color="933734"/>
              <w:bottom w:val="single" w:sz="4" w:space="0" w:color="933734"/>
              <w:right w:val="single" w:sz="4" w:space="0" w:color="933734"/>
            </w:tcBorders>
          </w:tcPr>
          <w:p>
            <w:pPr>
              <w:pStyle w:val="TableParagraph"/>
              <w:spacing w:line="309" w:lineRule="auto" w:before="49"/>
              <w:ind w:left="105" w:right="96"/>
              <w:jc w:val="left"/>
              <w:rPr>
                <w:rFonts w:ascii="宋体" w:hAnsi="宋体" w:cs="宋体" w:eastAsia="宋体" w:hint="default"/>
                <w:sz w:val="18"/>
                <w:szCs w:val="18"/>
              </w:rPr>
            </w:pPr>
            <w:r>
              <w:rPr>
                <w:rFonts w:ascii="宋体" w:hAnsi="宋体" w:cs="宋体" w:eastAsia="宋体" w:hint="default"/>
                <w:sz w:val="18"/>
                <w:szCs w:val="18"/>
              </w:rPr>
              <w:t>一、重大缺陷：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公司董事、监事和高级 管理人员的舞弊行为，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 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注册会计师发现的却未被 公司内部控制识别的当期财务报告中的 重大错报，</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审计委员会和审计部对公司 的对外财务报告和财务报告内部控制监 督无效；二、重要缺陷：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 计准则选择和应用会计政策，</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 舞弊程序和控制措施，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 殊交易的账务处理没有建立相应的控制 机制或没有实施且没有相应的补偿性控 制，</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对于期末财务报告过程的控制存在 一项或多项缺陷且不能合理保证编制的 </w:t>
            </w:r>
            <w:r>
              <w:rPr>
                <w:rFonts w:ascii="宋体" w:hAnsi="宋体" w:cs="宋体" w:eastAsia="宋体" w:hint="default"/>
                <w:spacing w:val="-3"/>
                <w:sz w:val="18"/>
                <w:szCs w:val="18"/>
              </w:rPr>
              <w:t>财务报表达到真实、准确的目标；三、一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般缺陷：除上述重大缺陷、重要缺陷之外</w:t>
            </w:r>
            <w:r>
              <w:rPr>
                <w:rFonts w:ascii="宋体" w:hAnsi="宋体" w:cs="宋体" w:eastAsia="宋体" w:hint="default"/>
                <w:sz w:val="18"/>
                <w:szCs w:val="18"/>
              </w:rPr>
              <w:t> 的其他控制缺陷。</w:t>
            </w:r>
          </w:p>
        </w:tc>
        <w:tc>
          <w:tcPr>
            <w:tcW w:w="33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25"/>
              <w:ind w:left="103" w:right="107"/>
              <w:jc w:val="left"/>
              <w:rPr>
                <w:rFonts w:ascii="宋体" w:hAnsi="宋体" w:cs="宋体" w:eastAsia="宋体" w:hint="default"/>
                <w:sz w:val="18"/>
                <w:szCs w:val="18"/>
              </w:rPr>
            </w:pPr>
            <w:r>
              <w:rPr>
                <w:rFonts w:ascii="宋体" w:hAnsi="宋体" w:cs="宋体" w:eastAsia="宋体" w:hint="default"/>
                <w:sz w:val="18"/>
                <w:szCs w:val="18"/>
              </w:rPr>
              <w:t>一、重大缺陷：决策程序导致重大失误</w:t>
            </w:r>
            <w:r>
              <w:rPr>
                <w:rFonts w:ascii="Times New Roman" w:hAnsi="Times New Roman" w:cs="Times New Roman" w:eastAsia="Times New Roman" w:hint="default"/>
                <w:sz w:val="18"/>
                <w:szCs w:val="18"/>
              </w:rPr>
              <w:t>; </w:t>
            </w:r>
            <w:r>
              <w:rPr>
                <w:rFonts w:ascii="宋体" w:hAnsi="宋体" w:cs="宋体" w:eastAsia="宋体" w:hint="default"/>
                <w:sz w:val="18"/>
                <w:szCs w:val="18"/>
              </w:rPr>
              <w:t>重要业务缺乏制度控制或系统性失效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 缺乏有效的补偿性控制</w:t>
            </w:r>
            <w:r>
              <w:rPr>
                <w:rFonts w:ascii="Times New Roman" w:hAnsi="Times New Roman" w:cs="Times New Roman" w:eastAsia="Times New Roman" w:hint="default"/>
                <w:sz w:val="18"/>
                <w:szCs w:val="18"/>
              </w:rPr>
              <w:t>;</w:t>
            </w:r>
            <w:r>
              <w:rPr>
                <w:rFonts w:ascii="宋体" w:hAnsi="宋体" w:cs="宋体" w:eastAsia="宋体" w:hint="default"/>
                <w:sz w:val="18"/>
                <w:szCs w:val="18"/>
              </w:rPr>
              <w:t>中高级管理人员 和高级技术人员流失严重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内部控制评价 的结果特别是重大缺陷未得到整改</w:t>
            </w:r>
            <w:r>
              <w:rPr>
                <w:rFonts w:ascii="Times New Roman" w:hAnsi="Times New Roman" w:cs="Times New Roman" w:eastAsia="Times New Roman" w:hint="default"/>
                <w:sz w:val="18"/>
                <w:szCs w:val="18"/>
              </w:rPr>
              <w:t>;</w:t>
            </w:r>
            <w:r>
              <w:rPr>
                <w:rFonts w:ascii="宋体" w:hAnsi="宋体" w:cs="宋体" w:eastAsia="宋体" w:hint="default"/>
                <w:sz w:val="18"/>
                <w:szCs w:val="18"/>
              </w:rPr>
              <w:t>其他 对公司产生重大负面影响的情形，二、 重要缺陷：决策程序导致出现一般性失 误</w:t>
            </w:r>
            <w:r>
              <w:rPr>
                <w:rFonts w:ascii="Times New Roman" w:hAnsi="Times New Roman" w:cs="Times New Roman" w:eastAsia="Times New Roman" w:hint="default"/>
                <w:sz w:val="18"/>
                <w:szCs w:val="18"/>
              </w:rPr>
              <w:t>;</w:t>
            </w:r>
            <w:r>
              <w:rPr>
                <w:rFonts w:ascii="宋体" w:hAnsi="宋体" w:cs="宋体" w:eastAsia="宋体" w:hint="default"/>
                <w:sz w:val="18"/>
                <w:szCs w:val="18"/>
              </w:rPr>
              <w:t>重要业务制度或系统存在缺陷</w:t>
            </w:r>
            <w:r>
              <w:rPr>
                <w:rFonts w:ascii="Times New Roman" w:hAnsi="Times New Roman" w:cs="Times New Roman" w:eastAsia="Times New Roman" w:hint="default"/>
                <w:sz w:val="18"/>
                <w:szCs w:val="18"/>
              </w:rPr>
              <w:t>;</w:t>
            </w:r>
            <w:r>
              <w:rPr>
                <w:rFonts w:ascii="宋体" w:hAnsi="宋体" w:cs="宋体" w:eastAsia="宋体" w:hint="default"/>
                <w:sz w:val="18"/>
                <w:szCs w:val="18"/>
              </w:rPr>
              <w:t>关键 岗位业务人员流失严重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内部控制评价的 结果特别是重要缺陷未得到整改</w:t>
            </w:r>
            <w:r>
              <w:rPr>
                <w:rFonts w:ascii="Times New Roman" w:hAnsi="Times New Roman" w:cs="Times New Roman" w:eastAsia="Times New Roman" w:hint="default"/>
                <w:sz w:val="18"/>
                <w:szCs w:val="18"/>
              </w:rPr>
              <w:t>;</w:t>
            </w:r>
            <w:r>
              <w:rPr>
                <w:rFonts w:ascii="宋体" w:hAnsi="宋体" w:cs="宋体" w:eastAsia="宋体" w:hint="default"/>
                <w:sz w:val="18"/>
                <w:szCs w:val="18"/>
              </w:rPr>
              <w:t>其他对 公司产生较大负面影响的情形；三、一 般缺陷：决策程序效率不高</w:t>
            </w:r>
            <w:r>
              <w:rPr>
                <w:rFonts w:ascii="Times New Roman" w:hAnsi="Times New Roman" w:cs="Times New Roman" w:eastAsia="Times New Roman" w:hint="default"/>
                <w:sz w:val="18"/>
                <w:szCs w:val="18"/>
              </w:rPr>
              <w:t>;</w:t>
            </w:r>
            <w:r>
              <w:rPr>
                <w:rFonts w:ascii="宋体" w:hAnsi="宋体" w:cs="宋体" w:eastAsia="宋体" w:hint="default"/>
                <w:sz w:val="18"/>
                <w:szCs w:val="18"/>
              </w:rPr>
              <w:t>一般业务制 度或系统存在缺陷</w:t>
            </w:r>
            <w:r>
              <w:rPr>
                <w:rFonts w:ascii="Times New Roman" w:hAnsi="Times New Roman" w:cs="Times New Roman" w:eastAsia="Times New Roman" w:hint="default"/>
                <w:sz w:val="18"/>
                <w:szCs w:val="18"/>
              </w:rPr>
              <w:t>;</w:t>
            </w:r>
            <w:r>
              <w:rPr>
                <w:rFonts w:ascii="宋体" w:hAnsi="宋体" w:cs="宋体" w:eastAsia="宋体" w:hint="default"/>
                <w:sz w:val="18"/>
                <w:szCs w:val="18"/>
              </w:rPr>
              <w:t>一般岗位业务人员流 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一般缺陷未得到整改。</w:t>
            </w:r>
          </w:p>
        </w:tc>
      </w:tr>
      <w:tr>
        <w:trPr>
          <w:trHeight w:val="1963" w:hRule="exact"/>
        </w:trPr>
        <w:tc>
          <w:tcPr>
            <w:tcW w:w="28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04" w:type="dxa"/>
            <w:gridSpan w:val="2"/>
            <w:tcBorders>
              <w:top w:val="single" w:sz="4" w:space="0" w:color="933734"/>
              <w:left w:val="single" w:sz="4" w:space="0" w:color="933734"/>
              <w:bottom w:val="single" w:sz="4" w:space="0" w:color="933734"/>
              <w:right w:val="single" w:sz="4" w:space="0" w:color="933734"/>
            </w:tcBorders>
          </w:tcPr>
          <w:p>
            <w:pPr>
              <w:pStyle w:val="TableParagraph"/>
              <w:spacing w:line="309" w:lineRule="auto" w:before="49"/>
              <w:ind w:left="105" w:right="10"/>
              <w:jc w:val="left"/>
              <w:rPr>
                <w:rFonts w:ascii="宋体" w:hAnsi="宋体" w:cs="宋体" w:eastAsia="宋体" w:hint="default"/>
                <w:sz w:val="18"/>
                <w:szCs w:val="18"/>
              </w:rPr>
            </w:pPr>
            <w:r>
              <w:rPr>
                <w:rFonts w:ascii="宋体" w:hAnsi="宋体" w:cs="宋体" w:eastAsia="宋体" w:hint="default"/>
                <w:spacing w:val="-8"/>
                <w:sz w:val="18"/>
                <w:szCs w:val="18"/>
              </w:rPr>
              <w:t>一、重大缺陷：财务报告的潜在错报金额：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错报≥经营收入总额</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，二、重要缺陷：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财务报告的潜在错报金额：经营收入总额</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经营收入总额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，三、一 </w:t>
            </w:r>
            <w:r>
              <w:rPr>
                <w:rFonts w:ascii="宋体" w:hAnsi="宋体" w:cs="宋体" w:eastAsia="宋体" w:hint="default"/>
                <w:spacing w:val="-3"/>
                <w:sz w:val="18"/>
                <w:szCs w:val="18"/>
              </w:rPr>
              <w:t>般缺陷：财务报告的潜在错报金额：错报</w:t>
            </w:r>
          </w:p>
          <w:p>
            <w:pPr>
              <w:pStyle w:val="TableParagraph"/>
              <w:spacing w:line="240" w:lineRule="auto" w:before="2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经营收入总额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tc>
        <w:tc>
          <w:tcPr>
            <w:tcW w:w="33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7"/>
              <w:jc w:val="left"/>
              <w:rPr>
                <w:rFonts w:ascii="宋体" w:hAnsi="宋体" w:cs="宋体" w:eastAsia="宋体" w:hint="default"/>
                <w:sz w:val="18"/>
                <w:szCs w:val="18"/>
              </w:rPr>
            </w:pPr>
            <w:r>
              <w:rPr>
                <w:rFonts w:ascii="宋体" w:hAnsi="宋体" w:cs="宋体" w:eastAsia="宋体" w:hint="default"/>
                <w:spacing w:val="-11"/>
                <w:sz w:val="18"/>
                <w:szCs w:val="18"/>
              </w:rPr>
              <w:t>一、重大缺陷：直接财产损失≥</w:t>
            </w:r>
            <w:r>
              <w:rPr>
                <w:rFonts w:ascii="Times New Roman" w:hAnsi="Times New Roman" w:cs="Times New Roman" w:eastAsia="Times New Roman" w:hint="default"/>
                <w:spacing w:val="-11"/>
                <w:sz w:val="18"/>
                <w:szCs w:val="18"/>
              </w:rPr>
              <w:t>500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r>
              <w:rPr>
                <w:rFonts w:ascii="宋体" w:hAnsi="宋体" w:cs="宋体" w:eastAsia="宋体" w:hint="default"/>
                <w:spacing w:val="-86"/>
                <w:sz w:val="18"/>
                <w:szCs w:val="18"/>
              </w:rPr>
              <w:t> </w:t>
            </w:r>
            <w:r>
              <w:rPr>
                <w:rFonts w:ascii="宋体" w:hAnsi="宋体" w:cs="宋体" w:eastAsia="宋体" w:hint="default"/>
                <w:spacing w:val="-8"/>
                <w:sz w:val="18"/>
                <w:szCs w:val="18"/>
              </w:rPr>
              <w:t>二、重要缺陷：</w:t>
            </w:r>
            <w:r>
              <w:rPr>
                <w:rFonts w:ascii="Times New Roman" w:hAnsi="Times New Roman" w:cs="Times New Roman" w:eastAsia="Times New Roman" w:hint="default"/>
                <w:spacing w:val="-8"/>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万元≤直接财产损失</w:t>
            </w:r>
          </w:p>
          <w:p>
            <w:pPr>
              <w:pStyle w:val="TableParagraph"/>
              <w:spacing w:line="300" w:lineRule="auto" w:before="1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&lt;500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万元，三、一般缺陷：直接财产损 失</w:t>
            </w:r>
            <w:r>
              <w:rPr>
                <w:rFonts w:ascii="Times New Roman" w:hAnsi="Times New Roman" w:cs="Times New Roman" w:eastAsia="Times New Roman" w:hint="default"/>
                <w:sz w:val="18"/>
                <w:szCs w:val="18"/>
              </w:rPr>
              <w:t>&lt;100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1" w:hRule="exact"/>
        </w:trPr>
        <w:tc>
          <w:tcPr>
            <w:tcW w:w="28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6"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6"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6"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8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6" w:type="dxa"/>
            <w:gridSpan w:val="3"/>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571"/>
      </w:tblGrid>
      <w:tr>
        <w:trPr>
          <w:trHeight w:val="403" w:hRule="exact"/>
        </w:trPr>
        <w:tc>
          <w:tcPr>
            <w:tcW w:w="95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1"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我们认为，</w:t>
            </w:r>
            <w:r>
              <w:rPr>
                <w:rFonts w:ascii="宋体" w:hAnsi="宋体" w:cs="宋体" w:eastAsia="宋体" w:hint="default"/>
                <w:spacing w:val="-5"/>
                <w:sz w:val="18"/>
                <w:szCs w:val="18"/>
              </w:rPr>
              <w:t> </w:t>
            </w:r>
            <w:r>
              <w:rPr>
                <w:rFonts w:ascii="宋体" w:hAnsi="宋体" w:cs="宋体" w:eastAsia="宋体" w:hint="default"/>
                <w:sz w:val="18"/>
                <w:szCs w:val="18"/>
              </w:rPr>
              <w:t>贵公司按照《企业内部控制基本规范》以及其他控制标准于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 务报表编制相关的有效的内部控制。</w:t>
            </w:r>
          </w:p>
        </w:tc>
      </w:tr>
    </w:tbl>
    <w:p>
      <w:pPr>
        <w:spacing w:after="0" w:line="297"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5" w:hRule="exact"/>
        </w:trPr>
        <w:tc>
          <w:tcPr>
            <w:tcW w:w="26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内部控制审计报告全文披露日 期</w:t>
            </w:r>
          </w:p>
        </w:tc>
        <w:tc>
          <w:tcPr>
            <w:tcW w:w="69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3" w:hRule="exact"/>
        </w:trPr>
        <w:tc>
          <w:tcPr>
            <w:tcW w:w="26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内部控制审计报告全文披露索 引</w:t>
            </w:r>
          </w:p>
        </w:tc>
        <w:tc>
          <w:tcPr>
            <w:tcW w:w="69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详见巨潮资讯网《摩登大道时尚集团股份有限公司内部控制鉴证报告》</w:t>
            </w:r>
          </w:p>
        </w:tc>
      </w:tr>
      <w:tr>
        <w:trPr>
          <w:trHeight w:val="403" w:hRule="exact"/>
        </w:trPr>
        <w:tc>
          <w:tcPr>
            <w:tcW w:w="26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会计师事务所是否出具非标准意见的内部控制审计报告</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line="439" w:lineRule="auto" w:before="0"/>
        <w:ind w:left="113" w:right="4609"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w:t>
      </w:r>
      <w:r>
        <w:rPr>
          <w:rFonts w:ascii="宋体" w:hAnsi="宋体" w:cs="宋体" w:eastAsia="宋体" w:hint="default"/>
          <w:b/>
          <w:bCs/>
          <w:sz w:val="18"/>
          <w:szCs w:val="18"/>
        </w:rPr>
        <w:t>会计师事务所出具的内部控制审计报告与董事会的自我评价报告意见是否一致</w:t>
      </w:r>
      <w:r>
        <w:rPr>
          <w:rFonts w:ascii="宋体" w:hAnsi="宋体" w:cs="宋体" w:eastAsia="宋体" w:hint="default"/>
          <w:sz w:val="18"/>
          <w:szCs w:val="18"/>
        </w:rPr>
      </w:r>
    </w:p>
    <w:p>
      <w:pPr>
        <w:spacing w:before="43"/>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08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0"/>
        <w:rPr>
          <w:rFonts w:ascii="宋体" w:hAnsi="宋体" w:cs="宋体" w:eastAsia="宋体" w:hint="default"/>
          <w:b/>
          <w:bCs/>
          <w:sz w:val="32"/>
          <w:szCs w:val="32"/>
        </w:rPr>
      </w:pPr>
    </w:p>
    <w:p>
      <w:pPr>
        <w:spacing w:line="434" w:lineRule="auto" w:before="219"/>
        <w:ind w:left="113" w:right="2079" w:firstLine="0"/>
        <w:jc w:val="left"/>
        <w:rPr>
          <w:rFonts w:ascii="宋体" w:hAnsi="宋体" w:cs="宋体" w:eastAsia="宋体" w:hint="default"/>
          <w:sz w:val="18"/>
          <w:szCs w:val="18"/>
        </w:rPr>
      </w:pPr>
      <w:r>
        <w:rPr>
          <w:rFonts w:ascii="宋体" w:hAnsi="宋体" w:cs="宋体" w:eastAsia="宋体" w:hint="default"/>
          <w:b/>
          <w:bCs/>
          <w:sz w:val="18"/>
          <w:szCs w:val="18"/>
        </w:rPr>
        <w:t>公司是否存在公开发行并在证券交易所上市，且在年度报告批准报出日未到期或到期未能全额兑付的公司债券</w:t>
      </w:r>
      <w:r>
        <w:rPr>
          <w:rFonts w:ascii="宋体" w:hAnsi="宋体" w:cs="宋体" w:eastAsia="宋体" w:hint="default"/>
          <w:b/>
          <w:bCs/>
          <w:w w:val="99"/>
          <w:sz w:val="18"/>
          <w:szCs w:val="18"/>
        </w:rPr>
        <w:t> </w:t>
      </w:r>
      <w:r>
        <w:rPr>
          <w:rFonts w:ascii="宋体" w:hAnsi="宋体" w:cs="宋体" w:eastAsia="宋体" w:hint="default"/>
          <w:sz w:val="18"/>
          <w:szCs w:val="18"/>
        </w:rPr>
        <w:t>否</w:t>
      </w:r>
    </w:p>
    <w:p>
      <w:pPr>
        <w:spacing w:after="0" w:line="434"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567" w:right="0"/>
        <w:jc w:val="left"/>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[2019]G18034580013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吉争雄、刘火旺</w:t>
            </w:r>
          </w:p>
        </w:tc>
      </w:tr>
    </w:tbl>
    <w:p>
      <w:pPr>
        <w:spacing w:line="240" w:lineRule="auto" w:before="13"/>
        <w:rPr>
          <w:rFonts w:ascii="宋体" w:hAnsi="宋体" w:cs="宋体" w:eastAsia="宋体" w:hint="default"/>
          <w:b/>
          <w:bCs/>
          <w:sz w:val="4"/>
          <w:szCs w:val="4"/>
        </w:rPr>
      </w:pPr>
    </w:p>
    <w:p>
      <w:pPr>
        <w:tabs>
          <w:tab w:pos="4270" w:val="left" w:leader="none"/>
          <w:tab w:pos="5154" w:val="left" w:leader="none"/>
          <w:tab w:pos="6037" w:val="left" w:leader="none"/>
        </w:tabs>
        <w:spacing w:line="539" w:lineRule="exact" w:before="0"/>
        <w:ind w:left="3387" w:right="0" w:firstLine="0"/>
        <w:jc w:val="left"/>
        <w:rPr>
          <w:rFonts w:ascii="宋体" w:hAnsi="宋体" w:cs="宋体" w:eastAsia="宋体" w:hint="default"/>
          <w:sz w:val="44"/>
          <w:szCs w:val="44"/>
        </w:rPr>
      </w:pPr>
      <w:r>
        <w:rPr>
          <w:rFonts w:ascii="宋体" w:hAnsi="宋体" w:cs="宋体" w:eastAsia="宋体" w:hint="default"/>
          <w:b/>
          <w:bCs/>
          <w:w w:val="95"/>
          <w:sz w:val="44"/>
          <w:szCs w:val="44"/>
        </w:rPr>
        <w:t>审</w:t>
        <w:tab/>
        <w:t>计</w:t>
        <w:tab/>
        <w:t>报</w:t>
        <w:tab/>
      </w:r>
      <w:r>
        <w:rPr>
          <w:rFonts w:ascii="宋体" w:hAnsi="宋体" w:cs="宋体" w:eastAsia="宋体" w:hint="default"/>
          <w:b/>
          <w:bCs/>
          <w:sz w:val="44"/>
          <w:szCs w:val="44"/>
        </w:rPr>
        <w:t>告</w:t>
      </w:r>
      <w:r>
        <w:rPr>
          <w:rFonts w:ascii="宋体" w:hAnsi="宋体" w:cs="宋体" w:eastAsia="宋体" w:hint="default"/>
          <w:sz w:val="44"/>
          <w:szCs w:val="44"/>
        </w:rPr>
      </w:r>
    </w:p>
    <w:p>
      <w:pPr>
        <w:spacing w:line="240" w:lineRule="auto" w:before="9"/>
        <w:rPr>
          <w:rFonts w:ascii="宋体" w:hAnsi="宋体" w:cs="宋体" w:eastAsia="宋体" w:hint="default"/>
          <w:b/>
          <w:bCs/>
          <w:sz w:val="41"/>
          <w:szCs w:val="41"/>
        </w:rPr>
      </w:pPr>
    </w:p>
    <w:p>
      <w:pPr>
        <w:pStyle w:val="Heading3"/>
        <w:spacing w:line="240" w:lineRule="auto"/>
        <w:ind w:left="5154" w:right="0"/>
        <w:jc w:val="left"/>
      </w:pPr>
      <w:r>
        <w:rPr/>
        <w:t>广会审字</w:t>
      </w:r>
      <w:r>
        <w:rPr>
          <w:rFonts w:ascii="Times New Roman" w:hAnsi="Times New Roman" w:cs="Times New Roman" w:eastAsia="Times New Roman" w:hint="default"/>
        </w:rPr>
        <w:t>[2019]G18034580013 </w:t>
      </w:r>
      <w:r>
        <w:rPr/>
        <w:t>号</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before="0"/>
        <w:ind w:left="113" w:right="0" w:firstLine="0"/>
        <w:jc w:val="both"/>
        <w:rPr>
          <w:rFonts w:ascii="宋体" w:hAnsi="宋体" w:cs="宋体" w:eastAsia="宋体" w:hint="default"/>
          <w:sz w:val="28"/>
          <w:szCs w:val="28"/>
        </w:rPr>
      </w:pPr>
      <w:r>
        <w:rPr>
          <w:rFonts w:ascii="宋体" w:hAnsi="宋体" w:cs="宋体" w:eastAsia="宋体" w:hint="default"/>
          <w:b/>
          <w:bCs/>
          <w:sz w:val="28"/>
          <w:szCs w:val="28"/>
        </w:rPr>
        <w:t>摩登大道时尚集团股份有限公司全体股东：</w:t>
      </w:r>
      <w:r>
        <w:rPr>
          <w:rFonts w:ascii="宋体" w:hAnsi="宋体" w:cs="宋体" w:eastAsia="宋体" w:hint="default"/>
          <w:sz w:val="28"/>
          <w:szCs w:val="28"/>
        </w:rPr>
      </w:r>
    </w:p>
    <w:p>
      <w:pPr>
        <w:spacing w:line="240" w:lineRule="auto" w:before="12"/>
        <w:rPr>
          <w:rFonts w:ascii="宋体" w:hAnsi="宋体" w:cs="宋体" w:eastAsia="宋体" w:hint="default"/>
          <w:b/>
          <w:bCs/>
          <w:sz w:val="38"/>
          <w:szCs w:val="38"/>
        </w:rPr>
      </w:pPr>
    </w:p>
    <w:p>
      <w:pPr>
        <w:pStyle w:val="Heading4"/>
        <w:spacing w:line="240" w:lineRule="auto"/>
        <w:ind w:left="535" w:right="0"/>
        <w:jc w:val="left"/>
        <w:rPr>
          <w:b w:val="0"/>
          <w:bCs w:val="0"/>
        </w:rPr>
      </w:pPr>
      <w:r>
        <w:rPr/>
        <w:t>一、审计意见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33" w:right="0"/>
        <w:jc w:val="left"/>
        <w:rPr>
          <w:rFonts w:ascii="Times New Roman" w:hAnsi="Times New Roman" w:cs="Times New Roman" w:eastAsia="Times New Roman" w:hint="default"/>
        </w:rPr>
      </w:pPr>
      <w:r>
        <w:rPr/>
        <w:t>我们审计了摩登大道时尚集团股份有限公司（以下简称摩登大道）财务报表，包括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w:t>
      </w:r>
      <w:r>
        <w:rPr>
          <w:spacing w:val="-24"/>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364" w:lineRule="auto" w:before="148"/>
        <w:ind w:right="1126"/>
        <w:jc w:val="both"/>
      </w:pPr>
      <w:r>
        <w:rPr/>
        <w:t>日的合并及母公司资产负债表，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年度的合并及母公司利润表、合并及母公司现金流量表、合并及母</w:t>
      </w:r>
      <w:r>
        <w:rPr>
          <w:w w:val="100"/>
        </w:rPr>
        <w:t> </w:t>
      </w:r>
      <w:r>
        <w:rPr/>
        <w:t>公司股东权益变动表以及相关财务报表附注。</w:t>
      </w:r>
    </w:p>
    <w:p>
      <w:pPr>
        <w:spacing w:line="240" w:lineRule="auto" w:before="2"/>
        <w:rPr>
          <w:rFonts w:ascii="宋体" w:hAnsi="宋体" w:cs="宋体" w:eastAsia="宋体" w:hint="default"/>
          <w:sz w:val="16"/>
          <w:szCs w:val="16"/>
        </w:rPr>
      </w:pPr>
    </w:p>
    <w:p>
      <w:pPr>
        <w:pStyle w:val="BodyText"/>
        <w:spacing w:line="240" w:lineRule="auto"/>
        <w:ind w:left="533" w:right="0"/>
        <w:jc w:val="left"/>
        <w:rPr>
          <w:rFonts w:ascii="Times New Roman" w:hAnsi="Times New Roman" w:cs="Times New Roman" w:eastAsia="Times New Roman" w:hint="default"/>
        </w:rPr>
      </w:pPr>
      <w:r>
        <w:rPr>
          <w:spacing w:val="-4"/>
        </w:rPr>
        <w:t>我们认为，后附的财务报表在所有重大方面按照企业会计准则的规定编制，公允反映了摩登大道</w:t>
      </w:r>
      <w:r>
        <w:rPr>
          <w:spacing w:val="32"/>
        </w:rPr>
        <w:t> </w:t>
      </w:r>
      <w:r>
        <w:rPr>
          <w:rFonts w:ascii="Times New Roman" w:hAnsi="Times New Roman" w:cs="Times New Roman" w:eastAsia="Times New Roman" w:hint="default"/>
        </w:rPr>
        <w:t>2018</w:t>
      </w:r>
    </w:p>
    <w:p>
      <w:pPr>
        <w:pStyle w:val="BodyText"/>
        <w:spacing w:line="240" w:lineRule="auto" w:before="148"/>
        <w:ind w:right="0"/>
        <w:jc w:val="both"/>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日的财务状况以及</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年度的经营成果和现金流量。</w:t>
      </w:r>
    </w:p>
    <w:p>
      <w:pPr>
        <w:spacing w:line="630" w:lineRule="atLeast" w:before="139"/>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BodyText"/>
        <w:spacing w:line="391" w:lineRule="auto" w:before="167"/>
        <w:ind w:right="1126"/>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部分进一步阐述了我们在这些准则下的责任。按照中国注册会计师职业道德守则，我们独立于摩</w:t>
      </w:r>
      <w:r>
        <w:rPr>
          <w:spacing w:val="-18"/>
        </w:rPr>
        <w:t> </w:t>
      </w:r>
      <w:r>
        <w:rPr>
          <w:spacing w:val="-18"/>
        </w:rPr>
      </w:r>
      <w:r>
        <w:rPr>
          <w:spacing w:val="-2"/>
        </w:rPr>
        <w:t>登大道，并履行了职业道德方面的其他责任。我们相信，我们获取的审计证据是充分、适当的，为发表审</w:t>
      </w:r>
      <w:r>
        <w:rPr>
          <w:spacing w:val="-43"/>
        </w:rPr>
        <w:t> </w:t>
      </w:r>
      <w:r>
        <w:rPr>
          <w:spacing w:val="-43"/>
        </w:rPr>
      </w:r>
      <w:r>
        <w:rPr/>
        <w:t>计意见提供了基础。</w:t>
      </w:r>
    </w:p>
    <w:p>
      <w:pPr>
        <w:spacing w:line="240" w:lineRule="auto" w:before="1"/>
        <w:rPr>
          <w:rFonts w:ascii="宋体" w:hAnsi="宋体" w:cs="宋体" w:eastAsia="宋体" w:hint="default"/>
          <w:sz w:val="29"/>
          <w:szCs w:val="29"/>
        </w:rPr>
      </w:pPr>
    </w:p>
    <w:p>
      <w:pPr>
        <w:pStyle w:val="Heading4"/>
        <w:spacing w:line="240" w:lineRule="auto"/>
        <w:ind w:left="535" w:right="0"/>
        <w:jc w:val="left"/>
        <w:rPr>
          <w:b w:val="0"/>
          <w:bCs w:val="0"/>
        </w:rPr>
      </w:pPr>
      <w:r>
        <w:rPr/>
        <w:t>三、关键审计事项</w:t>
      </w:r>
      <w:r>
        <w:rPr>
          <w:b w:val="0"/>
          <w:bCs w:val="0"/>
        </w:rPr>
      </w:r>
    </w:p>
    <w:p>
      <w:pPr>
        <w:spacing w:after="0" w:line="240" w:lineRule="auto"/>
        <w:jc w:val="left"/>
        <w:sectPr>
          <w:pgSz w:w="11910" w:h="16840"/>
          <w:pgMar w:header="906" w:footer="1079" w:top="1100" w:bottom="1260" w:left="102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453" w:lineRule="auto" w:before="36"/>
        <w:ind w:right="1126" w:firstLine="420"/>
        <w:jc w:val="both"/>
      </w:pPr>
      <w:r>
        <w:rPr>
          <w:spacing w:val="-2"/>
        </w:rPr>
        <w:t>关键审计事项是我们根据职业判断，认为对本期财务报表审计最为重要的事项。这些事项的应对以对</w:t>
      </w:r>
      <w:r>
        <w:rPr>
          <w:w w:val="100"/>
        </w:rPr>
        <w:t> </w:t>
      </w:r>
      <w:r>
        <w:rPr>
          <w:spacing w:val="-2"/>
        </w:rPr>
        <w:t>财务报表整体进行审计并形成审计意见为背景，我们不对这些事项单独发表意见。我们确定下列事项是需</w:t>
      </w:r>
      <w:r>
        <w:rPr>
          <w:spacing w:val="-43"/>
        </w:rPr>
        <w:t> </w:t>
      </w:r>
      <w:r>
        <w:rPr>
          <w:spacing w:val="-43"/>
        </w:rPr>
      </w:r>
      <w:r>
        <w:rPr/>
        <w:t>要在审计报告中沟通的关键审计事项。</w:t>
      </w:r>
    </w:p>
    <w:p>
      <w:pPr>
        <w:spacing w:line="240" w:lineRule="auto" w:before="6"/>
        <w:rPr>
          <w:rFonts w:ascii="宋体" w:hAnsi="宋体" w:cs="宋体" w:eastAsia="宋体" w:hint="default"/>
          <w:sz w:val="16"/>
          <w:szCs w:val="16"/>
        </w:rPr>
      </w:pPr>
    </w:p>
    <w:p>
      <w:pPr>
        <w:pStyle w:val="BodyText"/>
        <w:spacing w:line="240" w:lineRule="auto"/>
        <w:ind w:left="533" w:right="0"/>
        <w:jc w:val="left"/>
      </w:pPr>
      <w:r>
        <w:rPr/>
        <w:t>（一）收入确认</w:t>
      </w:r>
    </w:p>
    <w:p>
      <w:pPr>
        <w:spacing w:line="240" w:lineRule="auto" w:before="0"/>
        <w:rPr>
          <w:rFonts w:ascii="宋体" w:hAnsi="宋体" w:cs="宋体" w:eastAsia="宋体" w:hint="default"/>
          <w:sz w:val="20"/>
          <w:szCs w:val="20"/>
        </w:rPr>
      </w:pPr>
    </w:p>
    <w:p>
      <w:pPr>
        <w:pStyle w:val="BodyText"/>
        <w:spacing w:line="240" w:lineRule="auto" w:before="140"/>
        <w:ind w:left="5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p>
    <w:p>
      <w:pPr>
        <w:spacing w:line="240" w:lineRule="auto" w:before="4"/>
        <w:rPr>
          <w:rFonts w:ascii="宋体" w:hAnsi="宋体" w:cs="宋体" w:eastAsia="宋体" w:hint="default"/>
          <w:sz w:val="29"/>
          <w:szCs w:val="29"/>
        </w:rPr>
      </w:pPr>
    </w:p>
    <w:p>
      <w:pPr>
        <w:pStyle w:val="BodyText"/>
        <w:spacing w:line="429" w:lineRule="auto"/>
        <w:ind w:right="1121" w:firstLine="420"/>
        <w:jc w:val="left"/>
      </w:pPr>
      <w:r>
        <w:rPr/>
        <w:t>请参阅财务报表附注</w:t>
      </w:r>
      <w:r>
        <w:rPr>
          <w:rFonts w:ascii="Times New Roman" w:hAnsi="Times New Roman" w:cs="Times New Roman" w:eastAsia="Times New Roman" w:hint="default"/>
        </w:rPr>
        <w:t>“</w:t>
      </w:r>
      <w:r>
        <w:rPr/>
        <w:t>三、重要会计政策及会计估计</w:t>
      </w:r>
      <w:r>
        <w:rPr>
          <w:spacing w:val="7"/>
        </w:rPr>
        <w:t> </w:t>
      </w:r>
      <w:r>
        <w:rPr>
          <w:rFonts w:ascii="Times New Roman" w:hAnsi="Times New Roman" w:cs="Times New Roman" w:eastAsia="Times New Roman" w:hint="default"/>
        </w:rPr>
        <w:t>25</w:t>
      </w:r>
      <w:r>
        <w:rPr/>
        <w:t>、收入</w:t>
      </w:r>
      <w:r>
        <w:rPr>
          <w:rFonts w:ascii="Times New Roman" w:hAnsi="Times New Roman" w:cs="Times New Roman" w:eastAsia="Times New Roman" w:hint="default"/>
        </w:rPr>
        <w:t>”</w:t>
      </w:r>
      <w:r>
        <w:rPr/>
        <w:t>所述的会计政策、</w:t>
      </w:r>
      <w:r>
        <w:rPr>
          <w:rFonts w:ascii="Times New Roman" w:hAnsi="Times New Roman" w:cs="Times New Roman" w:eastAsia="Times New Roman" w:hint="default"/>
        </w:rPr>
        <w:t>“</w:t>
      </w:r>
      <w:r>
        <w:rPr/>
        <w:t>五、合并财务报表</w:t>
      </w:r>
      <w:r>
        <w:rPr>
          <w:w w:val="100"/>
        </w:rPr>
        <w:t> </w:t>
      </w:r>
      <w:r>
        <w:rPr/>
        <w:t>项目注释</w:t>
      </w:r>
      <w:r>
        <w:rPr>
          <w:spacing w:val="-59"/>
        </w:rPr>
        <w:t> </w:t>
      </w:r>
      <w:r>
        <w:rPr>
          <w:rFonts w:ascii="Times New Roman" w:hAnsi="Times New Roman" w:cs="Times New Roman" w:eastAsia="Times New Roman" w:hint="default"/>
        </w:rPr>
        <w:t>32</w:t>
      </w:r>
      <w:r>
        <w:rPr/>
        <w:t>、营业收入、营业成本</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十三、母公司财务报表主要项目注释</w:t>
      </w:r>
      <w:r>
        <w:rPr>
          <w:spacing w:val="-60"/>
        </w:rPr>
        <w:t> </w:t>
      </w:r>
      <w:r>
        <w:rPr>
          <w:rFonts w:ascii="Times New Roman" w:hAnsi="Times New Roman" w:cs="Times New Roman" w:eastAsia="Times New Roman" w:hint="default"/>
        </w:rPr>
        <w:t>4</w:t>
      </w:r>
      <w:r>
        <w:rPr/>
        <w:t>、营业收入、营业成本</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5"/>
          <w:szCs w:val="15"/>
        </w:rPr>
      </w:pPr>
    </w:p>
    <w:p>
      <w:pPr>
        <w:pStyle w:val="BodyText"/>
        <w:spacing w:line="453" w:lineRule="auto"/>
        <w:ind w:right="0" w:firstLine="420"/>
        <w:jc w:val="left"/>
      </w:pPr>
      <w:r>
        <w:rPr>
          <w:spacing w:val="-2"/>
        </w:rPr>
        <w:t>摩登大道的主要收入为服饰类销售收入及移动应用收入，收入是关键业绩指标，收入确认可能存在被</w:t>
      </w:r>
      <w:r>
        <w:rPr>
          <w:w w:val="100"/>
        </w:rPr>
        <w:t> </w:t>
      </w:r>
      <w:r>
        <w:rPr/>
        <w:t>操纵以达到目标或预期而产生潜在错报风险，因此我们将收入的确认识别为关键审计事项。</w:t>
      </w:r>
    </w:p>
    <w:p>
      <w:pPr>
        <w:spacing w:line="240" w:lineRule="auto" w:before="6"/>
        <w:rPr>
          <w:rFonts w:ascii="宋体" w:hAnsi="宋体" w:cs="宋体" w:eastAsia="宋体" w:hint="default"/>
          <w:sz w:val="16"/>
          <w:szCs w:val="16"/>
        </w:rPr>
      </w:pPr>
    </w:p>
    <w:p>
      <w:pPr>
        <w:pStyle w:val="BodyText"/>
        <w:spacing w:line="240" w:lineRule="auto"/>
        <w:ind w:left="5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p>
    <w:p>
      <w:pPr>
        <w:spacing w:line="240" w:lineRule="auto" w:before="7"/>
        <w:rPr>
          <w:rFonts w:ascii="宋体" w:hAnsi="宋体" w:cs="宋体" w:eastAsia="宋体" w:hint="default"/>
          <w:sz w:val="29"/>
          <w:szCs w:val="29"/>
        </w:rPr>
      </w:pPr>
    </w:p>
    <w:p>
      <w:pPr>
        <w:pStyle w:val="BodyText"/>
        <w:tabs>
          <w:tab w:pos="953" w:val="left" w:leader="none"/>
        </w:tabs>
        <w:spacing w:line="453" w:lineRule="auto"/>
        <w:ind w:right="1128" w:firstLine="420"/>
        <w:jc w:val="left"/>
      </w:pPr>
      <w:r>
        <w:rPr/>
        <w:t>①</w:t>
        <w:tab/>
      </w:r>
      <w:r>
        <w:rPr>
          <w:spacing w:val="-2"/>
        </w:rPr>
        <w:t>对摩登大道的销售与收款内部控制循环进行了解并执行穿行测试，并对收入结算单及收入确认等</w:t>
      </w:r>
      <w:r>
        <w:rPr>
          <w:w w:val="100"/>
        </w:rPr>
        <w:t> </w:t>
      </w:r>
      <w:r>
        <w:rPr/>
        <w:t>重要的控制点执行了控制测试；</w:t>
      </w:r>
    </w:p>
    <w:p>
      <w:pPr>
        <w:spacing w:line="240" w:lineRule="auto" w:before="6"/>
        <w:rPr>
          <w:rFonts w:ascii="宋体" w:hAnsi="宋体" w:cs="宋体" w:eastAsia="宋体" w:hint="default"/>
          <w:sz w:val="16"/>
          <w:szCs w:val="16"/>
        </w:rPr>
      </w:pPr>
    </w:p>
    <w:p>
      <w:pPr>
        <w:pStyle w:val="BodyText"/>
        <w:tabs>
          <w:tab w:pos="953" w:val="left" w:leader="none"/>
        </w:tabs>
        <w:spacing w:line="456" w:lineRule="auto"/>
        <w:ind w:right="1128" w:firstLine="420"/>
        <w:jc w:val="left"/>
      </w:pPr>
      <w:r>
        <w:rPr/>
        <w:t>②</w:t>
        <w:tab/>
      </w:r>
      <w:r>
        <w:rPr>
          <w:spacing w:val="-2"/>
        </w:rPr>
        <w:t>检查主要客户的合同，确定与收入结算有关的条款，并评价摩登大道收入确认是否符合会计准则</w:t>
      </w:r>
      <w:r>
        <w:rPr>
          <w:w w:val="100"/>
        </w:rPr>
        <w:t> </w:t>
      </w:r>
      <w:r>
        <w:rPr/>
        <w:t>的要求；</w:t>
      </w:r>
    </w:p>
    <w:p>
      <w:pPr>
        <w:spacing w:line="240" w:lineRule="auto" w:before="1"/>
        <w:rPr>
          <w:rFonts w:ascii="宋体" w:hAnsi="宋体" w:cs="宋体" w:eastAsia="宋体" w:hint="default"/>
          <w:sz w:val="16"/>
          <w:szCs w:val="16"/>
        </w:rPr>
      </w:pPr>
    </w:p>
    <w:p>
      <w:pPr>
        <w:pStyle w:val="BodyText"/>
        <w:tabs>
          <w:tab w:pos="953" w:val="left" w:leader="none"/>
        </w:tabs>
        <w:spacing w:line="456" w:lineRule="auto"/>
        <w:ind w:right="1128" w:firstLine="420"/>
        <w:jc w:val="left"/>
      </w:pPr>
      <w:r>
        <w:rPr/>
        <w:t>③</w:t>
        <w:tab/>
      </w:r>
      <w:r>
        <w:rPr>
          <w:spacing w:val="-2"/>
        </w:rPr>
        <w:t>抽取相关收入样本，检查其销售合同、入账记录及结算单记录，检查摩登大道收入确认原则是否</w:t>
      </w:r>
      <w:r>
        <w:rPr>
          <w:w w:val="100"/>
        </w:rPr>
        <w:t> </w:t>
      </w:r>
      <w:r>
        <w:rPr/>
        <w:t>与披露的会计政策一致；</w:t>
      </w:r>
    </w:p>
    <w:p>
      <w:pPr>
        <w:spacing w:line="240" w:lineRule="auto" w:before="4"/>
        <w:rPr>
          <w:rFonts w:ascii="宋体" w:hAnsi="宋体" w:cs="宋体" w:eastAsia="宋体" w:hint="default"/>
          <w:sz w:val="16"/>
          <w:szCs w:val="16"/>
        </w:rPr>
      </w:pPr>
    </w:p>
    <w:p>
      <w:pPr>
        <w:pStyle w:val="BodyText"/>
        <w:tabs>
          <w:tab w:pos="953" w:val="left" w:leader="none"/>
        </w:tabs>
        <w:spacing w:line="240" w:lineRule="auto"/>
        <w:ind w:left="533" w:right="0"/>
        <w:jc w:val="left"/>
      </w:pPr>
      <w:r>
        <w:rPr/>
        <w:t>④</w:t>
        <w:tab/>
        <w:t>营业收入执行截止测试，确认摩登大道的收入确认是否记录在正确的会计期间；</w:t>
      </w:r>
    </w:p>
    <w:p>
      <w:pPr>
        <w:spacing w:line="240" w:lineRule="auto" w:before="0"/>
        <w:rPr>
          <w:rFonts w:ascii="宋体" w:hAnsi="宋体" w:cs="宋体" w:eastAsia="宋体" w:hint="default"/>
          <w:sz w:val="20"/>
          <w:szCs w:val="20"/>
        </w:rPr>
      </w:pPr>
    </w:p>
    <w:p>
      <w:pPr>
        <w:pStyle w:val="BodyText"/>
        <w:spacing w:line="240" w:lineRule="auto" w:before="138"/>
        <w:ind w:left="533" w:right="0"/>
        <w:jc w:val="left"/>
      </w:pPr>
      <w:r>
        <w:rPr/>
        <w:t>⑤</w:t>
      </w:r>
      <w:r>
        <w:rPr>
          <w:spacing w:val="-8"/>
        </w:rPr>
        <w:t> </w:t>
      </w:r>
      <w:r>
        <w:rPr/>
        <w:t>对于移动应收收入，获取第三方应用平台数据，核查摩登大道当期广告收入结算数据；</w:t>
      </w:r>
    </w:p>
    <w:p>
      <w:pPr>
        <w:spacing w:line="240" w:lineRule="auto" w:before="0"/>
        <w:rPr>
          <w:rFonts w:ascii="宋体" w:hAnsi="宋体" w:cs="宋体" w:eastAsia="宋体" w:hint="default"/>
          <w:sz w:val="20"/>
          <w:szCs w:val="20"/>
        </w:rPr>
      </w:pPr>
    </w:p>
    <w:p>
      <w:pPr>
        <w:pStyle w:val="BodyText"/>
        <w:spacing w:line="456" w:lineRule="auto" w:before="141"/>
        <w:ind w:right="1121" w:firstLine="420"/>
        <w:jc w:val="left"/>
      </w:pPr>
      <w:r>
        <w:rPr/>
        <w:t>⑥</w:t>
      </w:r>
      <w:r>
        <w:rPr>
          <w:spacing w:val="77"/>
        </w:rPr>
        <w:t> </w:t>
      </w:r>
      <w:r>
        <w:rPr/>
        <w:t>对于移动应收收入，通过第三方应用平台数据，核查用户充值记录，结合银行账户收款记录，分</w:t>
      </w:r>
      <w:r>
        <w:rPr>
          <w:w w:val="100"/>
        </w:rPr>
        <w:t> </w:t>
      </w:r>
      <w:r>
        <w:rPr/>
        <w:t>析应用平台结算数据评估当期摩登大道确认的应用内付费收入的真实性及准确性；</w:t>
      </w:r>
    </w:p>
    <w:p>
      <w:pPr>
        <w:spacing w:line="240" w:lineRule="auto" w:before="1"/>
        <w:rPr>
          <w:rFonts w:ascii="宋体" w:hAnsi="宋体" w:cs="宋体" w:eastAsia="宋体" w:hint="default"/>
          <w:sz w:val="16"/>
          <w:szCs w:val="16"/>
        </w:rPr>
      </w:pPr>
    </w:p>
    <w:p>
      <w:pPr>
        <w:pStyle w:val="BodyText"/>
        <w:tabs>
          <w:tab w:pos="1058" w:val="left" w:leader="none"/>
        </w:tabs>
        <w:spacing w:line="240" w:lineRule="auto"/>
        <w:ind w:left="533" w:right="0"/>
        <w:jc w:val="left"/>
      </w:pPr>
      <w:r>
        <w:rPr/>
        <w:t>⑦</w:t>
        <w:tab/>
        <w:t>对主要客户及通过抽样形式选取其他客户，函证期末的应收账款余额；</w:t>
      </w:r>
    </w:p>
    <w:p>
      <w:pPr>
        <w:spacing w:line="240" w:lineRule="auto" w:before="0"/>
        <w:rPr>
          <w:rFonts w:ascii="宋体" w:hAnsi="宋体" w:cs="宋体" w:eastAsia="宋体" w:hint="default"/>
          <w:sz w:val="20"/>
          <w:szCs w:val="20"/>
        </w:rPr>
      </w:pPr>
    </w:p>
    <w:p>
      <w:pPr>
        <w:pStyle w:val="BodyText"/>
        <w:tabs>
          <w:tab w:pos="1058" w:val="left" w:leader="none"/>
        </w:tabs>
        <w:spacing w:line="240" w:lineRule="auto" w:before="140"/>
        <w:ind w:left="533" w:right="0"/>
        <w:jc w:val="left"/>
      </w:pPr>
      <w:r>
        <w:rPr/>
        <w:t>⑧</w:t>
        <w:tab/>
        <w:t>实施审计抽样并检查银行流水，确认摩登大道收入的真实性。</w:t>
      </w:r>
    </w:p>
    <w:p>
      <w:pPr>
        <w:spacing w:after="0" w:line="240" w:lineRule="auto"/>
        <w:jc w:val="left"/>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6"/>
        <w:ind w:left="533" w:right="0"/>
        <w:jc w:val="left"/>
      </w:pPr>
      <w:r>
        <w:rPr/>
        <w:t>（二）存货跌价准备</w:t>
      </w:r>
    </w:p>
    <w:p>
      <w:pPr>
        <w:spacing w:line="240" w:lineRule="auto" w:before="0"/>
        <w:rPr>
          <w:rFonts w:ascii="宋体" w:hAnsi="宋体" w:cs="宋体" w:eastAsia="宋体" w:hint="default"/>
          <w:sz w:val="20"/>
          <w:szCs w:val="20"/>
        </w:rPr>
      </w:pPr>
    </w:p>
    <w:p>
      <w:pPr>
        <w:pStyle w:val="BodyText"/>
        <w:spacing w:line="240" w:lineRule="auto" w:before="162"/>
        <w:ind w:left="5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p>
    <w:p>
      <w:pPr>
        <w:spacing w:line="240" w:lineRule="auto" w:before="13"/>
        <w:rPr>
          <w:rFonts w:ascii="宋体" w:hAnsi="宋体" w:cs="宋体" w:eastAsia="宋体" w:hint="default"/>
          <w:sz w:val="30"/>
          <w:szCs w:val="30"/>
        </w:rPr>
      </w:pPr>
    </w:p>
    <w:p>
      <w:pPr>
        <w:pStyle w:val="BodyText"/>
        <w:spacing w:line="446" w:lineRule="auto"/>
        <w:ind w:right="1126" w:firstLine="420"/>
        <w:jc w:val="left"/>
      </w:pPr>
      <w:r>
        <w:rPr/>
        <w:t>请参阅财务报表附注</w:t>
      </w:r>
      <w:r>
        <w:rPr>
          <w:rFonts w:ascii="Times New Roman" w:hAnsi="Times New Roman" w:cs="Times New Roman" w:eastAsia="Times New Roman" w:hint="default"/>
        </w:rPr>
        <w:t>“</w:t>
      </w:r>
      <w:r>
        <w:rPr/>
        <w:t>三、重要会计政策及会计估计 </w:t>
      </w:r>
      <w:r>
        <w:rPr>
          <w:rFonts w:ascii="Times New Roman" w:hAnsi="Times New Roman" w:cs="Times New Roman" w:eastAsia="Times New Roman" w:hint="default"/>
          <w:spacing w:val="-3"/>
        </w:rPr>
        <w:t>12</w:t>
      </w:r>
      <w:r>
        <w:rPr>
          <w:spacing w:val="-3"/>
        </w:rPr>
        <w:t>、存货</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5"/>
        </w:rPr>
        <w:t> </w:t>
      </w:r>
      <w:r>
        <w:rPr>
          <w:spacing w:val="-3"/>
        </w:rPr>
        <w:t>所述的会计政策、</w:t>
      </w:r>
      <w:r>
        <w:rPr>
          <w:rFonts w:ascii="Times New Roman" w:hAnsi="Times New Roman" w:cs="Times New Roman" w:eastAsia="Times New Roman" w:hint="default"/>
          <w:spacing w:val="-3"/>
        </w:rPr>
        <w:t>“</w:t>
      </w:r>
      <w:r>
        <w:rPr>
          <w:spacing w:val="-3"/>
        </w:rPr>
        <w:t>五、合并财务报表</w:t>
      </w:r>
      <w:r>
        <w:rPr>
          <w:w w:val="100"/>
        </w:rPr>
        <w:t> </w:t>
      </w:r>
      <w:r>
        <w:rPr/>
        <w:t>项目注释</w:t>
      </w:r>
      <w:r>
        <w:rPr>
          <w:spacing w:val="-54"/>
        </w:rPr>
        <w:t> </w:t>
      </w:r>
      <w:r>
        <w:rPr>
          <w:rFonts w:ascii="Times New Roman" w:hAnsi="Times New Roman" w:cs="Times New Roman" w:eastAsia="Times New Roman" w:hint="default"/>
        </w:rPr>
        <w:t>6</w:t>
      </w:r>
      <w:r>
        <w:rPr/>
        <w:t>、存货</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5"/>
          <w:szCs w:val="15"/>
        </w:rPr>
      </w:pPr>
    </w:p>
    <w:p>
      <w:pPr>
        <w:pStyle w:val="BodyText"/>
        <w:spacing w:line="240" w:lineRule="auto"/>
        <w:ind w:left="533" w:right="0"/>
        <w:jc w:val="left"/>
      </w:pPr>
      <w:r>
        <w:rPr/>
        <w:t>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日，摩登大道合并财务报表中存货账面余额为</w:t>
      </w:r>
      <w:r>
        <w:rPr>
          <w:spacing w:val="-46"/>
        </w:rPr>
        <w:t> </w:t>
      </w:r>
      <w:r>
        <w:rPr>
          <w:rFonts w:ascii="Times New Roman" w:hAnsi="Times New Roman" w:cs="Times New Roman" w:eastAsia="Times New Roman" w:hint="default"/>
        </w:rPr>
        <w:t>488,695,526.68</w:t>
      </w:r>
      <w:r>
        <w:rPr>
          <w:rFonts w:ascii="Times New Roman" w:hAnsi="Times New Roman" w:cs="Times New Roman" w:eastAsia="Times New Roman" w:hint="default"/>
          <w:spacing w:val="3"/>
        </w:rPr>
        <w:t> </w:t>
      </w:r>
      <w:r>
        <w:rPr>
          <w:spacing w:val="-6"/>
        </w:rPr>
        <w:t>元，存货跌价准备</w:t>
      </w:r>
    </w:p>
    <w:p>
      <w:pPr>
        <w:spacing w:line="240" w:lineRule="auto" w:before="1"/>
        <w:rPr>
          <w:rFonts w:ascii="宋体" w:hAnsi="宋体" w:cs="宋体" w:eastAsia="宋体" w:hint="default"/>
          <w:sz w:val="19"/>
          <w:szCs w:val="19"/>
        </w:rPr>
      </w:pPr>
    </w:p>
    <w:p>
      <w:pPr>
        <w:pStyle w:val="BodyText"/>
        <w:spacing w:line="446" w:lineRule="auto"/>
        <w:ind w:right="0"/>
        <w:jc w:val="left"/>
      </w:pPr>
      <w:r>
        <w:rPr/>
        <w:t>余额 </w:t>
      </w:r>
      <w:r>
        <w:rPr>
          <w:rFonts w:ascii="Times New Roman" w:hAnsi="Times New Roman" w:cs="Times New Roman" w:eastAsia="Times New Roman" w:hint="default"/>
        </w:rPr>
        <w:t>41,344,829.17 </w:t>
      </w:r>
      <w:r>
        <w:rPr>
          <w:spacing w:val="-4"/>
        </w:rPr>
        <w:t>元。由于摩登大道存货余额重大且存货跌价准备的计提涉及摩登大道管理层（以下简称</w:t>
      </w:r>
      <w:r>
        <w:rPr>
          <w:spacing w:val="-89"/>
        </w:rPr>
        <w:t> </w:t>
      </w:r>
      <w:r>
        <w:rPr>
          <w:spacing w:val="-89"/>
        </w:rPr>
      </w:r>
      <w:r>
        <w:rPr/>
        <w:t>管理层）的重大判断，因此将存货跌价准备作为关键审计事项。</w:t>
      </w:r>
    </w:p>
    <w:p>
      <w:pPr>
        <w:spacing w:line="240" w:lineRule="auto" w:before="5"/>
        <w:rPr>
          <w:rFonts w:ascii="宋体" w:hAnsi="宋体" w:cs="宋体" w:eastAsia="宋体" w:hint="default"/>
          <w:sz w:val="18"/>
          <w:szCs w:val="18"/>
        </w:rPr>
      </w:pPr>
    </w:p>
    <w:p>
      <w:pPr>
        <w:pStyle w:val="BodyText"/>
        <w:spacing w:line="240" w:lineRule="auto"/>
        <w:ind w:left="5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p>
    <w:p>
      <w:pPr>
        <w:spacing w:line="240" w:lineRule="auto" w:before="13"/>
        <w:rPr>
          <w:rFonts w:ascii="宋体" w:hAnsi="宋体" w:cs="宋体" w:eastAsia="宋体" w:hint="default"/>
          <w:sz w:val="30"/>
          <w:szCs w:val="30"/>
        </w:rPr>
      </w:pPr>
    </w:p>
    <w:p>
      <w:pPr>
        <w:pStyle w:val="BodyText"/>
        <w:spacing w:line="240" w:lineRule="auto"/>
        <w:ind w:left="533" w:right="0"/>
        <w:jc w:val="left"/>
      </w:pPr>
      <w:r>
        <w:rPr/>
        <w:t>①</w:t>
      </w:r>
      <w:r>
        <w:rPr>
          <w:spacing w:val="-6"/>
        </w:rPr>
        <w:t> </w:t>
      </w:r>
      <w:r>
        <w:rPr/>
        <w:t>了解、测试及评价管理层与存货相关的关键内部控制的设计和执行的有效性；</w:t>
      </w:r>
    </w:p>
    <w:p>
      <w:pPr>
        <w:spacing w:line="240" w:lineRule="auto" w:before="0"/>
        <w:rPr>
          <w:rFonts w:ascii="宋体" w:hAnsi="宋体" w:cs="宋体" w:eastAsia="宋体" w:hint="default"/>
          <w:sz w:val="20"/>
          <w:szCs w:val="20"/>
        </w:rPr>
      </w:pPr>
    </w:p>
    <w:p>
      <w:pPr>
        <w:pStyle w:val="BodyText"/>
        <w:spacing w:line="240" w:lineRule="auto" w:before="159"/>
        <w:ind w:left="533" w:right="0"/>
        <w:jc w:val="left"/>
      </w:pPr>
      <w:r>
        <w:rPr/>
        <w:t>②</w:t>
      </w:r>
      <w:r>
        <w:rPr>
          <w:spacing w:val="-5"/>
        </w:rPr>
        <w:t> </w:t>
      </w:r>
      <w:r>
        <w:rPr/>
        <w:t>对存货实施抽样监盘程序，检查存货的数量、观察存货状况等；</w:t>
      </w:r>
    </w:p>
    <w:p>
      <w:pPr>
        <w:spacing w:line="240" w:lineRule="auto" w:before="0"/>
        <w:rPr>
          <w:rFonts w:ascii="宋体" w:hAnsi="宋体" w:cs="宋体" w:eastAsia="宋体" w:hint="default"/>
          <w:sz w:val="20"/>
          <w:szCs w:val="20"/>
        </w:rPr>
      </w:pPr>
    </w:p>
    <w:p>
      <w:pPr>
        <w:pStyle w:val="BodyText"/>
        <w:spacing w:line="472" w:lineRule="auto" w:before="159"/>
        <w:ind w:right="0" w:firstLine="420"/>
        <w:jc w:val="left"/>
      </w:pPr>
      <w:r>
        <w:rPr/>
        <w:t>③</w:t>
      </w:r>
      <w:r>
        <w:rPr>
          <w:spacing w:val="64"/>
        </w:rPr>
        <w:t> </w:t>
      </w:r>
      <w:r>
        <w:rPr>
          <w:spacing w:val="-5"/>
        </w:rPr>
        <w:t>通过比较同类、同状态产品最近销售单价，以及根据季节性特征对产品未来售价变动趋势的复核，</w:t>
      </w:r>
      <w:r>
        <w:rPr>
          <w:w w:val="100"/>
        </w:rPr>
        <w:t> </w:t>
      </w:r>
      <w:r>
        <w:rPr/>
        <w:t>对管理层估计的预计售价进行评估，并与资产负债表日后的实际售价进行核对；</w:t>
      </w:r>
    </w:p>
    <w:p>
      <w:pPr>
        <w:spacing w:line="240" w:lineRule="auto" w:before="8"/>
        <w:rPr>
          <w:rFonts w:ascii="宋体" w:hAnsi="宋体" w:cs="宋体" w:eastAsia="宋体" w:hint="default"/>
          <w:sz w:val="16"/>
          <w:szCs w:val="16"/>
        </w:rPr>
      </w:pPr>
    </w:p>
    <w:p>
      <w:pPr>
        <w:pStyle w:val="BodyText"/>
        <w:spacing w:line="472" w:lineRule="auto"/>
        <w:ind w:right="0" w:firstLine="420"/>
        <w:jc w:val="left"/>
      </w:pPr>
      <w:r>
        <w:rPr/>
        <w:t>④</w:t>
      </w:r>
      <w:r>
        <w:rPr>
          <w:spacing w:val="39"/>
        </w:rPr>
        <w:t> </w:t>
      </w:r>
      <w:r>
        <w:rPr/>
        <w:t>获取并且评价摩登大道计提存货跌价准备相关假设和方法，通过比较同类产品的历史销售费用和</w:t>
      </w:r>
      <w:r>
        <w:rPr>
          <w:w w:val="100"/>
        </w:rPr>
        <w:t> </w:t>
      </w:r>
      <w:r>
        <w:rPr/>
        <w:t>相关税费，对管理层估计的销售费用和相关税费进行评估，并与资产负债表日后的实际发生额进行核对，</w:t>
      </w:r>
      <w:r>
        <w:rPr>
          <w:spacing w:val="-24"/>
        </w:rPr>
        <w:t> </w:t>
      </w:r>
      <w:r>
        <w:rPr>
          <w:spacing w:val="-24"/>
        </w:rPr>
      </w:r>
      <w:r>
        <w:rPr/>
        <w:t>评估其合理性；</w:t>
      </w:r>
    </w:p>
    <w:p>
      <w:pPr>
        <w:spacing w:line="240" w:lineRule="auto" w:before="8"/>
        <w:rPr>
          <w:rFonts w:ascii="宋体" w:hAnsi="宋体" w:cs="宋体" w:eastAsia="宋体" w:hint="default"/>
          <w:sz w:val="16"/>
          <w:szCs w:val="16"/>
        </w:rPr>
      </w:pPr>
    </w:p>
    <w:p>
      <w:pPr>
        <w:pStyle w:val="BodyText"/>
        <w:spacing w:line="472" w:lineRule="auto"/>
        <w:ind w:right="1125" w:firstLine="420"/>
        <w:jc w:val="left"/>
      </w:pPr>
      <w:r>
        <w:rPr/>
        <w:t>⑤</w:t>
      </w:r>
      <w:r>
        <w:rPr>
          <w:spacing w:val="73"/>
        </w:rPr>
        <w:t> </w:t>
      </w:r>
      <w:r>
        <w:rPr/>
        <w:t>取得存货的库龄清单，对其进行了分析性程序，判断是否存在长库龄导致存货可变现净值降低的</w:t>
      </w:r>
      <w:r>
        <w:rPr>
          <w:w w:val="100"/>
        </w:rPr>
        <w:t> </w:t>
      </w:r>
      <w:r>
        <w:rPr/>
        <w:t>风险。</w:t>
      </w:r>
    </w:p>
    <w:p>
      <w:pPr>
        <w:spacing w:line="240" w:lineRule="auto" w:before="3"/>
        <w:rPr>
          <w:rFonts w:ascii="宋体" w:hAnsi="宋体" w:cs="宋体" w:eastAsia="宋体" w:hint="default"/>
          <w:sz w:val="21"/>
          <w:szCs w:val="21"/>
        </w:rPr>
      </w:pPr>
    </w:p>
    <w:p>
      <w:pPr>
        <w:pStyle w:val="Heading4"/>
        <w:spacing w:line="240" w:lineRule="auto"/>
        <w:ind w:left="535" w:right="0"/>
        <w:jc w:val="left"/>
        <w:rPr>
          <w:b w:val="0"/>
          <w:bCs w:val="0"/>
        </w:rPr>
      </w:pPr>
      <w:r>
        <w:rPr/>
        <w:t>四、其他信息</w:t>
      </w:r>
      <w:r>
        <w:rPr>
          <w:b w:val="0"/>
          <w:bCs w:val="0"/>
        </w:rPr>
      </w:r>
    </w:p>
    <w:p>
      <w:pPr>
        <w:spacing w:line="240" w:lineRule="auto" w:before="12"/>
        <w:rPr>
          <w:rFonts w:ascii="宋体" w:hAnsi="宋体" w:cs="宋体" w:eastAsia="宋体" w:hint="default"/>
          <w:b/>
          <w:bCs/>
          <w:sz w:val="28"/>
          <w:szCs w:val="28"/>
        </w:rPr>
      </w:pPr>
    </w:p>
    <w:p>
      <w:pPr>
        <w:pStyle w:val="BodyText"/>
        <w:spacing w:line="412" w:lineRule="auto"/>
        <w:ind w:right="1122" w:firstLine="420"/>
        <w:jc w:val="left"/>
      </w:pPr>
      <w:r>
        <w:rPr/>
        <w:t>管理层对其他信息负责。其他信息包括摩登大道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年年度报告中涵盖的信息，但不包括财务报表</w:t>
      </w:r>
      <w:r>
        <w:rPr>
          <w:w w:val="100"/>
        </w:rPr>
        <w:t> </w:t>
      </w:r>
      <w:r>
        <w:rPr/>
        <w:t>和我们的审计报告。</w:t>
      </w:r>
    </w:p>
    <w:p>
      <w:pPr>
        <w:spacing w:line="240" w:lineRule="auto" w:before="8"/>
        <w:rPr>
          <w:rFonts w:ascii="宋体" w:hAnsi="宋体" w:cs="宋体" w:eastAsia="宋体" w:hint="default"/>
          <w:sz w:val="18"/>
          <w:szCs w:val="18"/>
        </w:rPr>
      </w:pPr>
    </w:p>
    <w:p>
      <w:pPr>
        <w:pStyle w:val="BodyText"/>
        <w:spacing w:line="240" w:lineRule="auto"/>
        <w:ind w:left="533" w:right="0"/>
        <w:jc w:val="left"/>
      </w:pPr>
      <w:r>
        <w:rPr/>
        <w:t>我们对财务报表发表的审计意见不涵盖其他信息，我们也不对其他信息发表任何形式的鉴证结论。</w:t>
      </w:r>
    </w:p>
    <w:p>
      <w:pPr>
        <w:spacing w:line="240" w:lineRule="auto" w:before="0"/>
        <w:rPr>
          <w:rFonts w:ascii="宋体" w:hAnsi="宋体" w:cs="宋体" w:eastAsia="宋体" w:hint="default"/>
          <w:sz w:val="20"/>
          <w:szCs w:val="20"/>
        </w:rPr>
      </w:pPr>
    </w:p>
    <w:p>
      <w:pPr>
        <w:pStyle w:val="BodyText"/>
        <w:spacing w:line="240" w:lineRule="auto" w:before="140"/>
        <w:ind w:left="533" w:right="0"/>
        <w:jc w:val="left"/>
      </w:pPr>
      <w:r>
        <w:rPr/>
        <w:t>结合我们对财务报表的审计，我们的责任是阅读其他信息，在此过程中，考虑其他信息是否与财务报</w:t>
      </w:r>
    </w:p>
    <w:p>
      <w:pPr>
        <w:spacing w:after="0" w:line="240" w:lineRule="auto"/>
        <w:jc w:val="left"/>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6"/>
        <w:ind w:right="0"/>
        <w:jc w:val="both"/>
      </w:pPr>
      <w:r>
        <w:rPr/>
        <w:t>表或我们在审计过程中了解到的情况存在重大不一致或者似乎存在重大错报。</w:t>
      </w:r>
    </w:p>
    <w:p>
      <w:pPr>
        <w:spacing w:line="240" w:lineRule="auto" w:before="0"/>
        <w:rPr>
          <w:rFonts w:ascii="宋体" w:hAnsi="宋体" w:cs="宋体" w:eastAsia="宋体" w:hint="default"/>
          <w:sz w:val="20"/>
          <w:szCs w:val="20"/>
        </w:rPr>
      </w:pPr>
    </w:p>
    <w:p>
      <w:pPr>
        <w:pStyle w:val="BodyText"/>
        <w:spacing w:line="453" w:lineRule="auto" w:before="140"/>
        <w:ind w:right="1128" w:firstLine="420"/>
        <w:jc w:val="both"/>
      </w:pPr>
      <w:r>
        <w:rPr>
          <w:spacing w:val="-2"/>
        </w:rPr>
        <w:t>基于我们已执行的工作，如果我们确定其他信息存在重大错报，我们应当报告该事实。在这方面，我</w:t>
      </w:r>
      <w:r>
        <w:rPr>
          <w:w w:val="100"/>
        </w:rPr>
        <w:t> </w:t>
      </w:r>
      <w:r>
        <w:rPr/>
        <w:t>们无任何事项需要报告。</w:t>
      </w:r>
    </w:p>
    <w:p>
      <w:pPr>
        <w:spacing w:line="676" w:lineRule="exact" w:before="75"/>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管理层负责按照企业会计准则的规定编制财务报表，使其实现公允反映，并设计、执行和维护必要的</w:t>
      </w:r>
    </w:p>
    <w:p>
      <w:pPr>
        <w:pStyle w:val="BodyText"/>
        <w:spacing w:line="240" w:lineRule="auto" w:before="138"/>
        <w:ind w:right="0"/>
        <w:jc w:val="both"/>
      </w:pPr>
      <w:r>
        <w:rPr/>
        <w:t>内部控制，以使财务报表不存在由于舞弊或错误导致的重大错报。</w:t>
      </w:r>
    </w:p>
    <w:p>
      <w:pPr>
        <w:spacing w:line="240" w:lineRule="auto" w:before="0"/>
        <w:rPr>
          <w:rFonts w:ascii="宋体" w:hAnsi="宋体" w:cs="宋体" w:eastAsia="宋体" w:hint="default"/>
          <w:sz w:val="20"/>
          <w:szCs w:val="20"/>
        </w:rPr>
      </w:pPr>
    </w:p>
    <w:p>
      <w:pPr>
        <w:pStyle w:val="BodyText"/>
        <w:spacing w:line="429" w:lineRule="auto" w:before="141"/>
        <w:ind w:right="1128" w:firstLine="420"/>
        <w:jc w:val="both"/>
      </w:pPr>
      <w:r>
        <w:rPr>
          <w:spacing w:val="-5"/>
          <w:w w:val="100"/>
        </w:rPr>
        <w:t>在编制财务报表时，管理层负责评估摩登大道的持续经营能力，披露与持续经营相关的事项</w:t>
      </w:r>
      <w:r>
        <w:rPr>
          <w:rFonts w:ascii="Times New Roman" w:hAnsi="Times New Roman" w:cs="Times New Roman" w:eastAsia="Times New Roman" w:hint="default"/>
          <w:spacing w:val="-5"/>
          <w:w w:val="100"/>
        </w:rPr>
        <w:t>(</w:t>
      </w:r>
      <w:r>
        <w:rPr>
          <w:spacing w:val="-5"/>
          <w:w w:val="100"/>
        </w:rPr>
        <w:t>如适用</w:t>
      </w:r>
      <w:r>
        <w:rPr>
          <w:rFonts w:ascii="Times New Roman" w:hAnsi="Times New Roman" w:cs="Times New Roman" w:eastAsia="Times New Roman" w:hint="default"/>
          <w:spacing w:val="-5"/>
          <w:w w:val="100"/>
        </w:rPr>
        <w:t>)</w:t>
      </w:r>
      <w:r>
        <w:rPr>
          <w:spacing w:val="-5"/>
          <w:w w:val="100"/>
        </w:rPr>
        <w:t>，</w:t>
      </w:r>
      <w:r>
        <w:rPr>
          <w:w w:val="100"/>
        </w:rPr>
        <w:t> </w:t>
      </w:r>
      <w:r>
        <w:rPr/>
        <w:t>并运用持续经营假设，除非管理层计划清算摩登大道、终止运营或别无其他现实的选择。</w:t>
      </w:r>
    </w:p>
    <w:p>
      <w:pPr>
        <w:spacing w:line="240" w:lineRule="auto" w:before="11"/>
        <w:rPr>
          <w:rFonts w:ascii="宋体" w:hAnsi="宋体" w:cs="宋体" w:eastAsia="宋体" w:hint="default"/>
          <w:sz w:val="17"/>
          <w:szCs w:val="17"/>
        </w:rPr>
      </w:pPr>
    </w:p>
    <w:p>
      <w:pPr>
        <w:pStyle w:val="BodyText"/>
        <w:spacing w:line="240" w:lineRule="auto"/>
        <w:ind w:left="533" w:right="0"/>
        <w:jc w:val="left"/>
      </w:pPr>
      <w:r>
        <w:rPr/>
        <w:t>治理层负责监督摩登大道的财务报告过程。</w:t>
      </w:r>
    </w:p>
    <w:p>
      <w:pPr>
        <w:spacing w:line="670" w:lineRule="atLeast" w:before="163"/>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spacing w:line="240" w:lineRule="auto" w:before="8"/>
        <w:rPr>
          <w:rFonts w:ascii="宋体" w:hAnsi="宋体" w:cs="宋体" w:eastAsia="宋体" w:hint="default"/>
          <w:sz w:val="18"/>
          <w:szCs w:val="18"/>
        </w:rPr>
      </w:pPr>
    </w:p>
    <w:p>
      <w:pPr>
        <w:pStyle w:val="BodyText"/>
        <w:spacing w:line="456" w:lineRule="auto"/>
        <w:ind w:right="1126"/>
        <w:jc w:val="both"/>
      </w:pPr>
      <w:r>
        <w:rPr>
          <w:spacing w:val="-2"/>
        </w:rPr>
        <w:t>审计意见的审计报告。合理保证是高水平的保证，但并不能保证按照审计准则执行的审计在某一重大错报</w:t>
      </w:r>
      <w:r>
        <w:rPr>
          <w:spacing w:val="-44"/>
        </w:rPr>
        <w:t> </w:t>
      </w:r>
      <w:r>
        <w:rPr>
          <w:spacing w:val="-44"/>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spacing w:line="240" w:lineRule="auto" w:before="1"/>
        <w:rPr>
          <w:rFonts w:ascii="宋体" w:hAnsi="宋体" w:cs="宋体" w:eastAsia="宋体" w:hint="default"/>
          <w:sz w:val="16"/>
          <w:szCs w:val="16"/>
        </w:rPr>
      </w:pPr>
    </w:p>
    <w:p>
      <w:pPr>
        <w:pStyle w:val="BodyText"/>
        <w:spacing w:line="456" w:lineRule="auto"/>
        <w:ind w:right="1128" w:firstLine="420"/>
        <w:jc w:val="both"/>
      </w:pPr>
      <w:r>
        <w:rPr>
          <w:spacing w:val="-2"/>
        </w:rPr>
        <w:t>在按照审计准则执行审计工作的过程中，我们运用职业判断，并保持职业怀疑。同时，我们也执行以</w:t>
      </w:r>
      <w:r>
        <w:rPr>
          <w:w w:val="100"/>
        </w:rPr>
        <w:t> </w:t>
      </w:r>
      <w:r>
        <w:rPr/>
        <w:t>下工作：</w:t>
      </w:r>
    </w:p>
    <w:p>
      <w:pPr>
        <w:spacing w:line="240" w:lineRule="auto" w:before="4"/>
        <w:rPr>
          <w:rFonts w:ascii="宋体" w:hAnsi="宋体" w:cs="宋体" w:eastAsia="宋体" w:hint="default"/>
          <w:sz w:val="16"/>
          <w:szCs w:val="16"/>
        </w:rPr>
      </w:pPr>
    </w:p>
    <w:p>
      <w:pPr>
        <w:pStyle w:val="BodyText"/>
        <w:spacing w:line="446" w:lineRule="auto"/>
        <w:ind w:right="1126" w:firstLine="42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7"/>
        </w:rPr>
        <w:t>险，并获取充分、适当的审计证据，作为发表审计意见的基础。由于舞弊可能涉及串通、伪造、故意遗漏、</w:t>
      </w:r>
      <w:r>
        <w:rPr>
          <w:spacing w:val="-22"/>
        </w:rPr>
        <w:t> </w:t>
      </w:r>
      <w:r>
        <w:rPr>
          <w:spacing w:val="-22"/>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spacing w:line="240" w:lineRule="auto" w:before="10"/>
        <w:rPr>
          <w:rFonts w:ascii="宋体" w:hAnsi="宋体" w:cs="宋体" w:eastAsia="宋体" w:hint="default"/>
          <w:sz w:val="16"/>
          <w:szCs w:val="16"/>
        </w:rPr>
      </w:pPr>
    </w:p>
    <w:p>
      <w:pPr>
        <w:pStyle w:val="BodyText"/>
        <w:spacing w:line="429" w:lineRule="auto"/>
        <w:ind w:right="1136" w:firstLine="42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r>
        <w:rPr>
          <w:w w:val="100"/>
        </w:rPr>
        <w:t> </w:t>
      </w:r>
      <w:r>
        <w:rPr/>
        <w:t>见。</w:t>
      </w:r>
    </w:p>
    <w:p>
      <w:pPr>
        <w:spacing w:after="0" w:line="429" w:lineRule="auto"/>
        <w:jc w:val="both"/>
        <w:sectPr>
          <w:pgSz w:w="11910" w:h="16840"/>
          <w:pgMar w:header="906" w:footer="1079" w:top="1100" w:bottom="1260" w:left="10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6"/>
        <w:ind w:left="53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7"/>
        <w:rPr>
          <w:rFonts w:ascii="宋体" w:hAnsi="宋体" w:cs="宋体" w:eastAsia="宋体" w:hint="default"/>
          <w:sz w:val="29"/>
          <w:szCs w:val="29"/>
        </w:rPr>
      </w:pPr>
    </w:p>
    <w:p>
      <w:pPr>
        <w:pStyle w:val="BodyText"/>
        <w:spacing w:line="448" w:lineRule="auto"/>
        <w:ind w:right="1126"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）对管理层使用持续经营假设的恰当性得出结论。同时，根据获取的审计证据，就可能导致对摩</w:t>
      </w:r>
      <w:r>
        <w:rPr>
          <w:w w:val="100"/>
        </w:rPr>
        <w:t> </w:t>
      </w:r>
      <w:r>
        <w:rPr>
          <w:spacing w:val="-2"/>
        </w:rPr>
        <w:t>登大道持续经营能力产生重大疑虑的事项或情况是否存在重大不确定性得出结论。如果我们得出结论认为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项或情况可能导致摩登大道不能持续经营。</w:t>
      </w:r>
    </w:p>
    <w:p>
      <w:pPr>
        <w:spacing w:line="240" w:lineRule="auto" w:before="10"/>
        <w:rPr>
          <w:rFonts w:ascii="宋体" w:hAnsi="宋体" w:cs="宋体" w:eastAsia="宋体" w:hint="default"/>
          <w:sz w:val="16"/>
          <w:szCs w:val="16"/>
        </w:rPr>
      </w:pPr>
    </w:p>
    <w:p>
      <w:pPr>
        <w:pStyle w:val="BodyText"/>
        <w:spacing w:line="429" w:lineRule="auto"/>
        <w:ind w:right="1128" w:firstLine="420"/>
        <w:jc w:val="both"/>
      </w:pPr>
      <w:r>
        <w:rPr>
          <w:spacing w:val="-5"/>
          <w:w w:val="100"/>
        </w:rPr>
        <w:t>（</w:t>
      </w:r>
      <w:r>
        <w:rPr>
          <w:rFonts w:ascii="Times New Roman" w:hAnsi="Times New Roman" w:cs="Times New Roman" w:eastAsia="Times New Roman" w:hint="default"/>
          <w:spacing w:val="-5"/>
          <w:w w:val="100"/>
        </w:rPr>
        <w:t>5</w:t>
      </w:r>
      <w:r>
        <w:rPr>
          <w:spacing w:val="-5"/>
          <w:w w:val="100"/>
        </w:rPr>
        <w:t>）评价财务报表的总体列报、结构和内容（包括披露），并评价财务报表是否公允反映相关交易和</w:t>
      </w:r>
      <w:r>
        <w:rPr>
          <w:w w:val="100"/>
        </w:rPr>
        <w:t> </w:t>
      </w:r>
      <w:r>
        <w:rPr/>
        <w:t>事项。</w:t>
      </w:r>
    </w:p>
    <w:p>
      <w:pPr>
        <w:spacing w:line="240" w:lineRule="auto" w:before="11"/>
        <w:rPr>
          <w:rFonts w:ascii="宋体" w:hAnsi="宋体" w:cs="宋体" w:eastAsia="宋体" w:hint="default"/>
          <w:sz w:val="17"/>
          <w:szCs w:val="17"/>
        </w:rPr>
      </w:pPr>
    </w:p>
    <w:p>
      <w:pPr>
        <w:pStyle w:val="BodyText"/>
        <w:spacing w:line="429" w:lineRule="auto"/>
        <w:ind w:right="1136" w:firstLine="420"/>
        <w:jc w:val="both"/>
      </w:pPr>
      <w:r>
        <w:rPr/>
        <w:t>（</w:t>
      </w:r>
      <w:r>
        <w:rPr>
          <w:rFonts w:ascii="Times New Roman" w:hAnsi="Times New Roman" w:cs="Times New Roman" w:eastAsia="Times New Roman" w:hint="default"/>
        </w:rPr>
        <w:t>6</w:t>
      </w:r>
      <w:r>
        <w:rPr/>
        <w:t>）就摩登大道中实体或业务活动的财务信息获取充分、适当的审计证据，以对合并财务报表发表</w:t>
      </w:r>
      <w:r>
        <w:rPr>
          <w:w w:val="100"/>
        </w:rPr>
        <w:t> </w:t>
      </w:r>
      <w:r>
        <w:rPr/>
        <w:t>审计意见。我们负责指导、监督和执行集团审计，并对审计意见承担全部责任。</w:t>
      </w:r>
    </w:p>
    <w:p>
      <w:pPr>
        <w:spacing w:line="240" w:lineRule="auto" w:before="1"/>
        <w:rPr>
          <w:rFonts w:ascii="宋体" w:hAnsi="宋体" w:cs="宋体" w:eastAsia="宋体" w:hint="default"/>
          <w:sz w:val="18"/>
          <w:szCs w:val="18"/>
        </w:rPr>
      </w:pPr>
    </w:p>
    <w:p>
      <w:pPr>
        <w:pStyle w:val="BodyText"/>
        <w:spacing w:line="453" w:lineRule="auto"/>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spacing w:line="240" w:lineRule="auto" w:before="6"/>
        <w:rPr>
          <w:rFonts w:ascii="宋体" w:hAnsi="宋体" w:cs="宋体" w:eastAsia="宋体" w:hint="default"/>
          <w:sz w:val="16"/>
          <w:szCs w:val="16"/>
        </w:rPr>
      </w:pPr>
    </w:p>
    <w:p>
      <w:pPr>
        <w:pStyle w:val="BodyText"/>
        <w:spacing w:line="456" w:lineRule="auto"/>
        <w:ind w:right="1126" w:firstLine="420"/>
        <w:jc w:val="both"/>
      </w:pPr>
      <w:r>
        <w:rPr>
          <w:spacing w:val="-2"/>
        </w:rPr>
        <w:t>我们还就已遵守与独立性相关的职业道德要求向治理层提供声明，并与治理层沟通可能被合理认为影</w:t>
      </w:r>
      <w:r>
        <w:rPr>
          <w:w w:val="100"/>
        </w:rPr>
        <w:t> </w:t>
      </w:r>
      <w:r>
        <w:rPr>
          <w:spacing w:val="-5"/>
          <w:w w:val="100"/>
        </w:rPr>
        <w:t>响我们独立性的所有关系和其他事项，以及相关的防范措施。（如适用）</w:t>
      </w:r>
    </w:p>
    <w:p>
      <w:pPr>
        <w:spacing w:line="240" w:lineRule="auto" w:before="5"/>
        <w:rPr>
          <w:rFonts w:ascii="宋体" w:hAnsi="宋体" w:cs="宋体" w:eastAsia="宋体" w:hint="default"/>
          <w:sz w:val="19"/>
          <w:szCs w:val="19"/>
        </w:rPr>
      </w:pPr>
    </w:p>
    <w:p>
      <w:pPr>
        <w:pStyle w:val="BodyText"/>
        <w:spacing w:line="453" w:lineRule="auto"/>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pStyle w:val="Heading2"/>
        <w:tabs>
          <w:tab w:pos="5173" w:val="left" w:leader="none"/>
        </w:tabs>
        <w:spacing w:line="240" w:lineRule="auto" w:before="151"/>
        <w:ind w:right="0"/>
        <w:jc w:val="left"/>
        <w:rPr>
          <w:b w:val="0"/>
          <w:bCs w:val="0"/>
        </w:rPr>
      </w:pPr>
      <w:r>
        <w:rPr>
          <w:w w:val="95"/>
        </w:rPr>
        <w:t>广东正中珠江会计师事务所（特殊普通合伙）</w:t>
        <w:tab/>
      </w:r>
      <w:r>
        <w:rPr/>
        <w:t>中国注册会计师：吉争雄</w:t>
      </w:r>
      <w:r>
        <w:rPr>
          <w:b w:val="0"/>
          <w:bCs w:val="0"/>
        </w:rPr>
      </w:r>
    </w:p>
    <w:p>
      <w:pPr>
        <w:pStyle w:val="Heading2"/>
        <w:spacing w:line="350" w:lineRule="auto" w:before="147"/>
        <w:ind w:left="5173" w:right="3043" w:firstLine="360"/>
        <w:jc w:val="left"/>
        <w:rPr>
          <w:b w:val="0"/>
          <w:bCs w:val="0"/>
        </w:rPr>
      </w:pPr>
      <w:r>
        <w:rPr/>
        <w:t>（项目合伙人）</w:t>
      </w:r>
      <w:r>
        <w:rPr>
          <w:w w:val="99"/>
        </w:rPr>
        <w:t> </w:t>
      </w:r>
      <w:r>
        <w:rPr/>
        <w:t>中国注册会计师：刘火旺</w:t>
      </w:r>
      <w:r>
        <w:rPr>
          <w:b w:val="0"/>
          <w:bCs w:val="0"/>
        </w:rPr>
      </w:r>
    </w:p>
    <w:p>
      <w:pPr>
        <w:spacing w:line="240" w:lineRule="auto" w:before="12"/>
        <w:rPr>
          <w:rFonts w:ascii="宋体" w:hAnsi="宋体" w:cs="宋体" w:eastAsia="宋体" w:hint="default"/>
          <w:b/>
          <w:bCs/>
          <w:sz w:val="22"/>
          <w:szCs w:val="22"/>
        </w:rPr>
      </w:pPr>
    </w:p>
    <w:p>
      <w:pPr>
        <w:pStyle w:val="Heading2"/>
        <w:tabs>
          <w:tab w:pos="3123" w:val="left" w:leader="none"/>
          <w:tab w:pos="5173" w:val="left" w:leader="none"/>
        </w:tabs>
        <w:spacing w:line="240" w:lineRule="auto"/>
        <w:ind w:left="1195" w:right="0"/>
        <w:jc w:val="left"/>
        <w:rPr>
          <w:b w:val="0"/>
          <w:bCs w:val="0"/>
        </w:rPr>
      </w:pPr>
      <w:r>
        <w:rPr/>
        <w:t>中国</w:t>
        <w:tab/>
        <w:t>广州</w:t>
        <w:tab/>
        <w:t>二〇一九年四月二十五日</w:t>
      </w:r>
      <w:r>
        <w:rPr>
          <w:b w:val="0"/>
          <w:bCs w:val="0"/>
        </w:rPr>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财务附注中报表的单位为：人民币元</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79" w:top="1100" w:bottom="1260" w:left="1020" w:right="0"/>
        </w:sect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编制单位：摩登大道时尚集团股份有限公司</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61"/>
        <w:ind w:left="113" w:right="-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80" w:bottom="280" w:left="1020" w:right="0"/>
          <w:cols w:num="3" w:equalWidth="0">
            <w:col w:w="3547" w:space="529"/>
            <w:col w:w="1602" w:space="3242"/>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5"/>
        <w:gridCol w:w="3406"/>
        <w:gridCol w:w="2970"/>
      </w:tblGrid>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70"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4"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303,212,593.43</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635,637,733.52</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103"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44,343,908.71</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368,155,364.57</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207,163,294.73</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13,703,438.88</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7,850,000.00</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354,451,925.69</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199,313,294.73</w:t>
            </w:r>
          </w:p>
        </w:tc>
      </w:tr>
      <w:tr>
        <w:trPr>
          <w:trHeight w:val="404"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131,556,808.43</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79,805,673.32</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54,115,403.14</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58,087,106.67</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2,322,528.75</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40,191.78</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447,350,697.51</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383,340,806.02</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25,713,876.51</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184,020,625.63</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1,374,448,652.30</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1,548,077,239.89</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70"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37,201,513.15</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37,201,513.15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380" w:bottom="28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95"/>
        <w:gridCol w:w="3406"/>
        <w:gridCol w:w="2970"/>
      </w:tblGrid>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73,000,000.00</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462,380,063.52</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28,768,013.11</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334,176,580.65</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503,903,338.04</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55,591,820.02</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271,216,976.10</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416,547,361.37</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444,037,014.95</w:t>
            </w:r>
          </w:p>
        </w:tc>
      </w:tr>
      <w:tr>
        <w:trPr>
          <w:trHeight w:val="404"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409,074,338.97</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447,119,424.23</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71,810,527.26</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78,780,838.14</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24,976,542.88</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19,314,620.72</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79,810,525.68</w:t>
            </w: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1,964,569,273.50</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1,833,341,738.44</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3,339,017,925.80</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3,381,418,978.33</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70"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110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1100"/>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123,101,246.95</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84,339,736.82</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42,087,479.70</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39,384,643.49</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110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23,313,766.57</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14,979,295.80</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13,440,083.67</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15,830,183.88</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117,814,647.56</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133,753,847.92</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962,513.59</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1,109,452.02</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95"/>
        <w:gridCol w:w="3406"/>
        <w:gridCol w:w="2970"/>
      </w:tblGrid>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49,242,375.57</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29,189,375.49</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131,331.61</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2,275.01</w:t>
            </w:r>
          </w:p>
        </w:tc>
      </w:tr>
      <w:tr>
        <w:trPr>
          <w:trHeight w:val="402"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599,130,931.63</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577,479,358.41</w:t>
            </w:r>
          </w:p>
        </w:tc>
      </w:tr>
      <w:tr>
        <w:trPr>
          <w:trHeight w:val="402"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70"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244,621,187.79</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313,784,063.44</w:t>
            </w:r>
          </w:p>
        </w:tc>
      </w:tr>
      <w:tr>
        <w:trPr>
          <w:trHeight w:val="404"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22,771,687.73</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23,403,168.70</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267,392,875.52</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337,187,232.14</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866,523,807.15</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914,666,590.55</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70"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712,519,844.00</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445,324,903.00</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1,363,041,559.99</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1,630,236,500.99</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-18,997,797.23</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-15,887,791.80</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2"/>
                <w:sz w:val="18"/>
              </w:rPr>
              <w:t>65,552,111.56</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58,058,037.56</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933734"/>
              <w:left w:val="single" w:sz="4" w:space="0" w:color="933734"/>
              <w:bottom w:val="single" w:sz="4" w:space="0" w:color="933734"/>
              <w:right w:val="single" w:sz="4" w:space="0" w:color="933734"/>
            </w:tcBorders>
          </w:tcPr>
          <w:p>
            <w:pPr/>
          </w:p>
        </w:tc>
        <w:tc>
          <w:tcPr>
            <w:tcW w:w="297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259,217,729.39</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245,536,970.11</w:t>
            </w:r>
          </w:p>
        </w:tc>
      </w:tr>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2,381,333,447.71</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2,363,268,619.86</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91,160,670.94</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103,483,767.92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70"/>
      </w:tblGrid>
      <w:tr>
        <w:trPr>
          <w:trHeight w:val="401" w:hRule="exact"/>
        </w:trPr>
        <w:tc>
          <w:tcPr>
            <w:tcW w:w="3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2,472,494,118.65</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2,466,752,387.78</w:t>
            </w:r>
          </w:p>
        </w:tc>
      </w:tr>
      <w:tr>
        <w:trPr>
          <w:trHeight w:val="403" w:hRule="exact"/>
        </w:trPr>
        <w:tc>
          <w:tcPr>
            <w:tcW w:w="3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3,339,017,925.80</w:t>
            </w:r>
          </w:p>
        </w:tc>
        <w:tc>
          <w:tcPr>
            <w:tcW w:w="29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3,381,418,978.33</w:t>
            </w:r>
          </w:p>
        </w:tc>
      </w:tr>
    </w:tbl>
    <w:p>
      <w:pPr>
        <w:spacing w:line="240" w:lineRule="auto" w:before="11"/>
        <w:rPr>
          <w:rFonts w:ascii="Times New Roman" w:hAnsi="Times New Roman" w:cs="Times New Roman" w:eastAsia="Times New Roman" w:hint="default"/>
          <w:sz w:val="22"/>
          <w:szCs w:val="22"/>
        </w:rPr>
      </w:pPr>
    </w:p>
    <w:p>
      <w:pPr>
        <w:tabs>
          <w:tab w:pos="3434" w:val="left" w:leader="none"/>
          <w:tab w:pos="7595" w:val="left" w:leader="none"/>
        </w:tabs>
        <w:spacing w:before="44"/>
        <w:ind w:left="0" w:right="1189" w:firstLine="0"/>
        <w:jc w:val="right"/>
        <w:rPr>
          <w:rFonts w:ascii="宋体" w:hAnsi="宋体" w:cs="宋体" w:eastAsia="宋体" w:hint="default"/>
          <w:sz w:val="18"/>
          <w:szCs w:val="18"/>
        </w:rPr>
      </w:pPr>
      <w:r>
        <w:rPr>
          <w:rFonts w:ascii="宋体" w:hAnsi="宋体" w:cs="宋体" w:eastAsia="宋体" w:hint="default"/>
          <w:b/>
          <w:bCs/>
          <w:w w:val="95"/>
          <w:sz w:val="18"/>
          <w:szCs w:val="18"/>
        </w:rPr>
        <w:t>法定代表人：林永飞</w:t>
        <w:tab/>
        <w:t>主管会计工作负责人：刘文焱</w:t>
        <w:tab/>
        <w:t>会计机构负责人：陈阿妮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4"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73,586,595.16</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357,248,655.01</w:t>
            </w:r>
          </w:p>
        </w:tc>
      </w:tr>
      <w:tr>
        <w:trPr>
          <w:trHeight w:val="71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2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163,730,114.72</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136,790,184.26</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7,734,448.38</w:t>
            </w: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155,995,666.34</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136,790,184.26</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130,800,112.47</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122,416,628.48</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1,071,426,086.44</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1,031,723,942.00</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2,280,000.00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40,191.78</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224,303,097.00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158,897,873.87</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3,229,528.46</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57,264,924.44</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1,667,075,534.25</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1,864,342,208.06</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73,000,000.00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701,857,325.93</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701,857,325.93</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462,380,063.52</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28,768,013.11</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327,586,096.85</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496,448,330.13</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53,514,078.56</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267,791,057.37</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45,070,270.49</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46,917,240.28</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17,347,677.57</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9,549,741.08</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7,610,242.55</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4,898,040.85</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44,611,302.48</w:t>
            </w: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1,732,977,057.95</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1,559,229,748.75</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3,400,052,592.20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3,423,571,956.81</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4"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71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2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67,388,921.23</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48,153,621.60</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24,126,145.02</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2"/>
                <w:sz w:val="18"/>
              </w:rPr>
              <w:t>83,111,857.19</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12,236,032.02</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6,177,570.72</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4,768,922.80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9,173,849.67</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169,697,811.33</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153,510,222.57</w:t>
            </w:r>
          </w:p>
        </w:tc>
      </w:tr>
      <w:tr>
        <w:trPr>
          <w:trHeight w:val="404"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908,790.97</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1,020,427.78</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131,331.61</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2,275.01</w:t>
            </w:r>
          </w:p>
        </w:tc>
      </w:tr>
      <w:tr>
        <w:trPr>
          <w:trHeight w:val="402"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548,349,164.01</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580,129,396.76</w:t>
            </w:r>
          </w:p>
        </w:tc>
      </w:tr>
      <w:tr>
        <w:trPr>
          <w:trHeight w:val="402"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240,000,000.00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240,000,000.00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788,349,164.01</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880,129,396.76</w:t>
            </w:r>
          </w:p>
        </w:tc>
      </w:tr>
      <w:tr>
        <w:trPr>
          <w:trHeight w:val="402"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712,519,844.00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445,324,903.00</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1,365,194,188.28</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1,632,389,129.28</w:t>
            </w:r>
          </w:p>
        </w:tc>
      </w:tr>
      <w:tr>
        <w:trPr>
          <w:trHeight w:val="404"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933734"/>
              <w:left w:val="single" w:sz="4" w:space="0" w:color="933734"/>
              <w:bottom w:val="single" w:sz="4" w:space="0" w:color="933734"/>
              <w:right w:val="single" w:sz="4" w:space="0" w:color="933734"/>
            </w:tcBorders>
          </w:tcPr>
          <w:p>
            <w:pPr/>
          </w:p>
        </w:tc>
        <w:tc>
          <w:tcPr>
            <w:tcW w:w="2967"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65,552,111.56</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58,058,037.56</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468,437,284.35</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407,670,490.21</w:t>
            </w:r>
          </w:p>
        </w:tc>
      </w:tr>
      <w:tr>
        <w:trPr>
          <w:trHeight w:val="401"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2,611,703,428.19</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2,543,442,560.05</w:t>
            </w:r>
          </w:p>
        </w:tc>
      </w:tr>
      <w:tr>
        <w:trPr>
          <w:trHeight w:val="403" w:hRule="exact"/>
        </w:trPr>
        <w:tc>
          <w:tcPr>
            <w:tcW w:w="33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3,400,052,592.20</w:t>
            </w:r>
          </w:p>
        </w:tc>
        <w:tc>
          <w:tcPr>
            <w:tcW w:w="29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3,423,571,956.81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1,562,080,400.82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921,279,626.39</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1,562,080,400.82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921,279,626.39</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2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512"/>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1,559,166,841.97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900,486,801.15</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914,461,410.12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417,823,860.91</w:t>
            </w:r>
          </w:p>
        </w:tc>
      </w:tr>
      <w:tr>
        <w:trPr>
          <w:trHeight w:val="404"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right="229"/>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512"/>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409"/>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30"/>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10,382,563.74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7,647,503.26</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3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368,811,851.85</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327,501,184.46</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23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113,179,791.99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78,257,250.17</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3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50,800,047.55</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22,165,125.44</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23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14,140,530.22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17,295,037.15</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18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17,516,741.70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18,789,493.51</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72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5,496,945.61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8,462,024.97</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0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87,390,646.50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29,796,839.76</w:t>
            </w:r>
          </w:p>
        </w:tc>
      </w:tr>
      <w:tr>
        <w:trPr>
          <w:trHeight w:val="404"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5,399,055.02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5,904,225.19</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2,398,206.46</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99,284,505.19</w:t>
            </w: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2"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-6,355.46</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-92,722.24</w:t>
            </w: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10,704,464.87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125,888,833.38</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4,832,564.00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2,574,845.49</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587,441.61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155,711.81</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14,949,587.26</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128,307,967.06</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7,054,002.88</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13,011,869.43</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7,895,584.38</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115,296,097.63</w:t>
            </w:r>
          </w:p>
        </w:tc>
      </w:tr>
      <w:tr>
        <w:trPr>
          <w:trHeight w:val="716"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2"/>
              <w:ind w:left="102"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7,895,584.38</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30,302,857.12</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84,993,240.51</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27,854,705.17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134,681,024.91</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-19,959,120.79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-19,384,927.28</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-2,110,005.44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-5,459,776.60</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1079" w:header="906"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3"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-3,110,005.43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-12,198,059.38</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19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-3,110,005.43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-12,198,059.38</w:t>
            </w:r>
          </w:p>
        </w:tc>
      </w:tr>
      <w:tr>
        <w:trPr>
          <w:trHeight w:val="716"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19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9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19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-3,110,005.43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-12,198,059.38</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452"/>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999,999.99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6,738,282.78</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5,785,578.94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109,836,321.03</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24,744,699.74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122,482,965.53</w:t>
            </w:r>
          </w:p>
        </w:tc>
      </w:tr>
      <w:tr>
        <w:trPr>
          <w:trHeight w:val="714"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-18,959,120.80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-12,646,644.50</w:t>
            </w:r>
          </w:p>
        </w:tc>
      </w:tr>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872"/>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0.0391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0.1958</w:t>
            </w:r>
          </w:p>
        </w:tc>
      </w:tr>
      <w:tr>
        <w:trPr>
          <w:trHeight w:val="404"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right="872"/>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0.0391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0.1958</w:t>
            </w:r>
          </w:p>
        </w:tc>
      </w:tr>
    </w:tbl>
    <w:p>
      <w:pPr>
        <w:tabs>
          <w:tab w:pos="3548" w:val="left" w:leader="none"/>
          <w:tab w:pos="7708" w:val="left" w:leader="none"/>
        </w:tabs>
        <w:spacing w:line="595" w:lineRule="auto" w:before="49"/>
        <w:ind w:left="113" w:right="118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b/>
          <w:bCs/>
          <w:w w:val="95"/>
          <w:sz w:val="18"/>
          <w:szCs w:val="18"/>
        </w:rPr>
        <w:t>法定代表人：林永飞</w:t>
        <w:tab/>
        <w:t>主管会计工作负责人：刘文焱</w:t>
        <w:tab/>
      </w:r>
      <w:r>
        <w:rPr>
          <w:rFonts w:ascii="宋体" w:hAnsi="宋体" w:cs="宋体" w:eastAsia="宋体" w:hint="default"/>
          <w:b/>
          <w:bCs/>
          <w:sz w:val="18"/>
          <w:szCs w:val="18"/>
        </w:rPr>
        <w:t>会计机构负责人：陈阿妮</w:t>
      </w:r>
      <w:r>
        <w:rPr>
          <w:rFonts w:ascii="宋体" w:hAnsi="宋体" w:cs="宋体" w:eastAsia="宋体" w:hint="default"/>
          <w:b/>
          <w:bCs/>
          <w:w w:val="99"/>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2"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34"/>
          <w:pgSz w:w="11910" w:h="16840"/>
          <w:pgMar w:footer="1079" w:header="906" w:top="1100" w:bottom="1260" w:left="1020" w:right="0"/>
          <w:pgNumType w:start="101"/>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447,866,256.54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358,093,927.16</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205,315,706.27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180,240,678.95</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7,632,795.99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4,222,066.99</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122,993,791.77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46,503,411.46</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58,546,676.50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30,057,184.93</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14,912,754.39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13,996,459.72</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-6,326,698.13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1,185,294.28</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0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16,541,634.77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14,264,995.36</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54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22,805,950.47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13,761,864.83</w:t>
            </w:r>
          </w:p>
        </w:tc>
      </w:tr>
      <w:tr>
        <w:trPr>
          <w:trHeight w:val="404"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18,788,008.81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9,900,699.64</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19,303.90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2,315,075.00</w:t>
            </w: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152"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50,485,487.39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396,367.96</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2"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-48,839.79</w:t>
            </w:r>
          </w:p>
        </w:tc>
      </w:tr>
      <w:tr>
        <w:trPr>
          <w:trHeight w:val="716"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76,508,012.23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74,650,734.36</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3,401,322.00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602,541.67</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267,928.91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40,358.78</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79,641,405.32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75,212,917.25</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4,700,665.29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11,378,806.82</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74,940,740.03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63,834,110.43</w:t>
            </w:r>
          </w:p>
        </w:tc>
      </w:tr>
      <w:tr>
        <w:trPr>
          <w:trHeight w:val="716"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1"/>
              <w:ind w:left="102"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74,940,740.03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63,834,110.43</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9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9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19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9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6"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452"/>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74,940,740.03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160" w:right="0"/>
              <w:jc w:val="left"/>
              <w:rPr>
                <w:rFonts w:ascii="Times New Roman" w:hAnsi="Times New Roman" w:cs="Times New Roman" w:eastAsia="Times New Roman" w:hint="default"/>
                <w:sz w:val="18"/>
                <w:szCs w:val="18"/>
              </w:rPr>
            </w:pPr>
            <w:r>
              <w:rPr>
                <w:rFonts w:ascii="Times New Roman"/>
                <w:sz w:val="18"/>
              </w:rPr>
              <w:t>63,834,110.43</w:t>
            </w:r>
          </w:p>
        </w:tc>
      </w:tr>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872"/>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872"/>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1,454,592,211.09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4" w:right="0"/>
              <w:jc w:val="left"/>
              <w:rPr>
                <w:rFonts w:ascii="Times New Roman" w:hAnsi="Times New Roman" w:cs="Times New Roman" w:eastAsia="Times New Roman" w:hint="default"/>
                <w:sz w:val="18"/>
                <w:szCs w:val="18"/>
              </w:rPr>
            </w:pPr>
            <w:r>
              <w:rPr>
                <w:rFonts w:ascii="Times New Roman"/>
                <w:sz w:val="18"/>
              </w:rPr>
              <w:t>948,840,581.75</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2,131,500.00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601,488.22</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266,570,034.92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307,206,505.86</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1,723,293,746.01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1,256,648,575.83</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1,048,497,855.12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526,643,913.06</w:t>
            </w:r>
          </w:p>
        </w:tc>
      </w:tr>
      <w:tr>
        <w:trPr>
          <w:trHeight w:val="404"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195,437,476.21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156,845,538.00</w:t>
            </w:r>
          </w:p>
        </w:tc>
      </w:tr>
      <w:tr>
        <w:trPr>
          <w:trHeight w:val="404"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75,602,319.80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56,895,687.81</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491,028,286.43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231,886,967.97</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1,810,565,937.56</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972,272,106.84</w:t>
            </w:r>
          </w:p>
        </w:tc>
      </w:tr>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-87,272,191.55</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284,376,468.99</w:t>
            </w:r>
          </w:p>
        </w:tc>
      </w:tr>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445,572,000.00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173,304,462.15</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1,794,489.53</w:t>
            </w: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200,898.07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16,768.08</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102,223,044.75</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787,344.92</w:t>
            </w: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448,354,732.52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275,544,274.98</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177,163,587.07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122,414,390.14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436,061,874.33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356,726,200.00</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127,765,142.49</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613,225,461.40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606,905,732.63</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-164,870,728.88</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-331,361,457.65</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6,216,714.14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217,490,668.91</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6,216,714.14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2,490,676.15</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380,000,000.00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8,339,989.43</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386,216,714.14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485,830,658.34</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459,109,875.57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234,133,064.44</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24,343,552.02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37,305,364.79</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270,877.91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3,483,083.63</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483,724,305.50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274,921,512.86</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-97,507,591.36</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210,909,145.48</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8,014,814.36</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-8,904,218.96</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-341,635,697.43</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155,019,937.86</w:t>
            </w:r>
          </w:p>
        </w:tc>
      </w:tr>
      <w:tr>
        <w:trPr>
          <w:trHeight w:val="716"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625,135,682.07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470,115,744.21</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283,499,984.64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625,135,682.07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404,029,748.60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422,943,679.54</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34,448,627.82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177,565,412.62</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438,478,376.42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600,509,092.16</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305,370,021.79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357,094,638.21</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23,529,702.22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16,672,744.38</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46,088,916.38</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32,864,573.11</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119,245,562.32</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51,082,198.09</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494,234,202.71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457,714,153.79</w:t>
            </w:r>
          </w:p>
        </w:tc>
      </w:tr>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-55,755,826.29</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142,794,938.37</w:t>
            </w:r>
          </w:p>
        </w:tc>
      </w:tr>
      <w:tr>
        <w:trPr>
          <w:trHeight w:val="402"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116,450,000.00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152,396,367.96</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50,525,679.17</w:t>
            </w: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8,561.00</w:t>
            </w: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166,975,679.17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152,404,928.96</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169,023,500.01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101,371,880.91</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466,957,026.40</w:t>
            </w:r>
          </w:p>
        </w:tc>
      </w:tr>
      <w:tr>
        <w:trPr>
          <w:trHeight w:val="71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299,023,500.01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568,328,907.31</w:t>
            </w: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-132,047,820.84</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-415,923,978.35</w:t>
            </w:r>
          </w:p>
        </w:tc>
      </w:tr>
      <w:tr>
        <w:trPr>
          <w:trHeight w:val="401"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303" w:type="dxa"/>
            <w:tcBorders>
              <w:top w:val="single" w:sz="4" w:space="0" w:color="933734"/>
              <w:left w:val="single" w:sz="4" w:space="0" w:color="933734"/>
              <w:bottom w:val="single" w:sz="4" w:space="0" w:color="933734"/>
              <w:right w:val="single" w:sz="4" w:space="0" w:color="933734"/>
            </w:tcBorders>
            <w:shd w:val="clear" w:color="auto" w:fill="E4B8B7"/>
          </w:tcPr>
          <w:p>
            <w:pPr/>
          </w:p>
        </w:tc>
      </w:tr>
      <w:tr>
        <w:trPr>
          <w:trHeight w:val="403" w:hRule="exact"/>
        </w:trPr>
        <w:tc>
          <w:tcPr>
            <w:tcW w:w="29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214,999,992.76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380,000,000.00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2,894,528.43</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380,000,000.00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477,894,521.19</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450,000,000.00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23,333,143.47</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32,491,696.38</w:t>
            </w:r>
          </w:p>
        </w:tc>
      </w:tr>
      <w:tr>
        <w:trPr>
          <w:trHeight w:val="71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270,877.91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3,483,083.63</w:t>
            </w:r>
          </w:p>
        </w:tc>
      </w:tr>
      <w:tr>
        <w:trPr>
          <w:trHeight w:val="404"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473,604,021.38</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235,974,780.01</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-93,604,021.38</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241,919,741.18</w:t>
            </w: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206,983.01</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-430,595.92</w:t>
            </w:r>
          </w:p>
        </w:tc>
      </w:tr>
      <w:tr>
        <w:trPr>
          <w:trHeight w:val="401"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-281,200,685.50</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-31,639,894.72</w:t>
            </w:r>
          </w:p>
        </w:tc>
      </w:tr>
      <w:tr>
        <w:trPr>
          <w:trHeight w:val="715"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346,746,603.56</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378,386,498.28</w:t>
            </w:r>
          </w:p>
        </w:tc>
      </w:tr>
      <w:tr>
        <w:trPr>
          <w:trHeight w:val="403" w:hRule="exact"/>
        </w:trPr>
        <w:tc>
          <w:tcPr>
            <w:tcW w:w="29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65,545,918.06</w:t>
            </w:r>
          </w:p>
        </w:tc>
        <w:tc>
          <w:tcPr>
            <w:tcW w:w="330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346,746,603.56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E4B8B7"/>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E4B8B7"/>
          </w:tcPr>
          <w:p>
            <w:pPr/>
          </w:p>
        </w:tc>
        <w:tc>
          <w:tcPr>
            <w:tcW w:w="660"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44"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438" w:type="dxa"/>
            <w:vMerge/>
            <w:tcBorders>
              <w:left w:val="single" w:sz="4" w:space="0" w:color="000000"/>
              <w:right w:val="single" w:sz="4" w:space="0" w:color="000000"/>
            </w:tcBorders>
            <w:shd w:val="clear" w:color="auto" w:fill="E4B8B7"/>
          </w:tcPr>
          <w:p>
            <w:pPr/>
          </w:p>
        </w:tc>
        <w:tc>
          <w:tcPr>
            <w:tcW w:w="562"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7" w:right="182"/>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2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48" w:right="144"/>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E4B8B7"/>
          </w:tcPr>
          <w:p>
            <w:pPr>
              <w:pStyle w:val="TableParagraph"/>
              <w:spacing w:line="316" w:lineRule="auto" w:before="53"/>
              <w:ind w:left="146" w:right="14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0" w:type="dxa"/>
            <w:vMerge/>
            <w:tcBorders>
              <w:left w:val="single" w:sz="4" w:space="0" w:color="000000"/>
              <w:right w:val="single" w:sz="4" w:space="0" w:color="000000"/>
            </w:tcBorders>
            <w:shd w:val="clear" w:color="auto" w:fill="E4B8B7"/>
          </w:tcPr>
          <w:p>
            <w:pPr/>
          </w:p>
        </w:tc>
      </w:tr>
      <w:tr>
        <w:trPr>
          <w:trHeight w:val="1027" w:hRule="exact"/>
        </w:trPr>
        <w:tc>
          <w:tcPr>
            <w:tcW w:w="1438" w:type="dxa"/>
            <w:vMerge/>
            <w:tcBorders>
              <w:left w:val="single" w:sz="4" w:space="0" w:color="000000"/>
              <w:bottom w:val="single" w:sz="4" w:space="0" w:color="000000"/>
              <w:right w:val="single" w:sz="4" w:space="0" w:color="000000"/>
            </w:tcBorders>
            <w:shd w:val="clear" w:color="auto" w:fill="E4B8B7"/>
          </w:tcPr>
          <w:p>
            <w:pPr/>
          </w:p>
        </w:tc>
        <w:tc>
          <w:tcPr>
            <w:tcW w:w="562" w:type="dxa"/>
            <w:vMerge/>
            <w:tcBorders>
              <w:left w:val="single" w:sz="4" w:space="0" w:color="000000"/>
              <w:bottom w:val="single" w:sz="4" w:space="0" w:color="000000"/>
              <w:right w:val="single" w:sz="4" w:space="0" w:color="000000"/>
            </w:tcBorders>
            <w:shd w:val="clear" w:color="auto" w:fill="E4B8B7"/>
          </w:tcPr>
          <w:p>
            <w:pPr/>
          </w:p>
        </w:tc>
        <w:tc>
          <w:tcPr>
            <w:tcW w:w="533"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6" w:lineRule="auto" w:before="49"/>
              <w:ind w:left="172"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0"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6" w:lineRule="auto" w:before="49"/>
              <w:ind w:left="170" w:right="16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E4B8B7"/>
          </w:tcPr>
          <w:p>
            <w:pPr/>
          </w:p>
        </w:tc>
        <w:tc>
          <w:tcPr>
            <w:tcW w:w="665" w:type="dxa"/>
            <w:vMerge/>
            <w:tcBorders>
              <w:left w:val="single" w:sz="4" w:space="0" w:color="000000"/>
              <w:bottom w:val="single" w:sz="4" w:space="0" w:color="000000"/>
              <w:right w:val="single" w:sz="4" w:space="0" w:color="000000"/>
            </w:tcBorders>
            <w:shd w:val="clear" w:color="auto" w:fill="E4B8B7"/>
          </w:tcPr>
          <w:p>
            <w:pPr/>
          </w:p>
        </w:tc>
        <w:tc>
          <w:tcPr>
            <w:tcW w:w="665" w:type="dxa"/>
            <w:vMerge/>
            <w:tcBorders>
              <w:left w:val="single" w:sz="4" w:space="0" w:color="000000"/>
              <w:bottom w:val="single" w:sz="4" w:space="0" w:color="000000"/>
              <w:right w:val="single" w:sz="4" w:space="0" w:color="000000"/>
            </w:tcBorders>
            <w:shd w:val="clear" w:color="auto" w:fill="E4B8B7"/>
          </w:tcPr>
          <w:p>
            <w:pPr/>
          </w:p>
        </w:tc>
        <w:tc>
          <w:tcPr>
            <w:tcW w:w="665" w:type="dxa"/>
            <w:vMerge/>
            <w:tcBorders>
              <w:left w:val="single" w:sz="4" w:space="0" w:color="000000"/>
              <w:bottom w:val="single" w:sz="4" w:space="0" w:color="000000"/>
              <w:right w:val="single" w:sz="4" w:space="0" w:color="000000"/>
            </w:tcBorders>
            <w:shd w:val="clear" w:color="auto" w:fill="E4B8B7"/>
          </w:tcPr>
          <w:p>
            <w:pPr/>
          </w:p>
        </w:tc>
        <w:tc>
          <w:tcPr>
            <w:tcW w:w="665" w:type="dxa"/>
            <w:vMerge/>
            <w:tcBorders>
              <w:left w:val="single" w:sz="4" w:space="0" w:color="000000"/>
              <w:bottom w:val="single" w:sz="4" w:space="0" w:color="000000"/>
              <w:right w:val="single" w:sz="4" w:space="0" w:color="000000"/>
            </w:tcBorders>
            <w:shd w:val="clear" w:color="auto" w:fill="E4B8B7"/>
          </w:tcPr>
          <w:p>
            <w:pPr/>
          </w:p>
        </w:tc>
        <w:tc>
          <w:tcPr>
            <w:tcW w:w="665" w:type="dxa"/>
            <w:vMerge/>
            <w:tcBorders>
              <w:left w:val="single" w:sz="4" w:space="0" w:color="000000"/>
              <w:bottom w:val="single" w:sz="4" w:space="0" w:color="000000"/>
              <w:right w:val="single" w:sz="4" w:space="0" w:color="000000"/>
            </w:tcBorders>
            <w:shd w:val="clear" w:color="auto" w:fill="E4B8B7"/>
          </w:tcPr>
          <w:p>
            <w:pPr/>
          </w:p>
        </w:tc>
        <w:tc>
          <w:tcPr>
            <w:tcW w:w="665" w:type="dxa"/>
            <w:vMerge/>
            <w:tcBorders>
              <w:left w:val="single" w:sz="4" w:space="0" w:color="000000"/>
              <w:bottom w:val="single" w:sz="4" w:space="0" w:color="000000"/>
              <w:right w:val="single" w:sz="4" w:space="0" w:color="000000"/>
            </w:tcBorders>
            <w:shd w:val="clear" w:color="auto" w:fill="E4B8B7"/>
          </w:tcPr>
          <w:p>
            <w:pPr/>
          </w:p>
        </w:tc>
        <w:tc>
          <w:tcPr>
            <w:tcW w:w="665" w:type="dxa"/>
            <w:vMerge/>
            <w:tcBorders>
              <w:left w:val="single" w:sz="4" w:space="0" w:color="000000"/>
              <w:bottom w:val="single" w:sz="4" w:space="0" w:color="000000"/>
              <w:right w:val="single" w:sz="4" w:space="0" w:color="000000"/>
            </w:tcBorders>
            <w:shd w:val="clear" w:color="auto" w:fill="E4B8B7"/>
          </w:tcPr>
          <w:p>
            <w:pPr/>
          </w:p>
        </w:tc>
        <w:tc>
          <w:tcPr>
            <w:tcW w:w="660" w:type="dxa"/>
            <w:vMerge/>
            <w:tcBorders>
              <w:left w:val="single" w:sz="4" w:space="0" w:color="000000"/>
              <w:bottom w:val="single" w:sz="4" w:space="0" w:color="000000"/>
              <w:right w:val="single" w:sz="4" w:space="0" w:color="000000"/>
            </w:tcBorders>
            <w:shd w:val="clear" w:color="auto" w:fill="E4B8B7"/>
          </w:tcPr>
          <w:p>
            <w:pPr/>
          </w:p>
        </w:tc>
      </w:tr>
      <w:tr>
        <w:trPr>
          <w:trHeight w:val="1337" w:hRule="exact"/>
        </w:trPr>
        <w:tc>
          <w:tcPr>
            <w:tcW w:w="14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3"/>
              <w:ind w:left="37" w:right="0"/>
              <w:jc w:val="center"/>
              <w:rPr>
                <w:rFonts w:ascii="Times New Roman" w:hAnsi="Times New Roman" w:cs="Times New Roman" w:eastAsia="Times New Roman" w:hint="default"/>
                <w:sz w:val="18"/>
                <w:szCs w:val="18"/>
              </w:rPr>
            </w:pPr>
            <w:r>
              <w:rPr>
                <w:rFonts w:ascii="Times New Roman"/>
                <w:sz w:val="18"/>
              </w:rPr>
              <w:t>324,</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sz w:val="18"/>
              </w:rPr>
              <w:t>,236,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87,79</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58,05</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8,037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245,5</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36,97</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0.11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103,4</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7.92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387.7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6" w:lineRule="auto" w:before="49"/>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4" w:lineRule="auto" w:before="49"/>
              <w:ind w:left="103" w:right="24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同一</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9" w:lineRule="auto" w:before="8"/>
              <w:ind w:left="102" w:right="242"/>
              <w:jc w:val="left"/>
              <w:rPr>
                <w:rFonts w:ascii="宋体" w:hAnsi="宋体" w:cs="宋体" w:eastAsia="宋体" w:hint="default"/>
                <w:sz w:val="18"/>
                <w:szCs w:val="18"/>
              </w:rPr>
            </w:pPr>
            <w:r>
              <w:rPr>
                <w:rFonts w:ascii="宋体" w:hAnsi="宋体" w:cs="宋体" w:eastAsia="宋体" w:hint="default"/>
                <w:sz w:val="18"/>
                <w:szCs w:val="18"/>
              </w:rPr>
              <w:t>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324,</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,236,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87,79</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58,05</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8,037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36,97</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0.11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103,4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7.92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387.7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1337"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941.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0,005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13,68</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0,759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23,09</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6.98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5,741</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,730.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87</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0,005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27,85</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4,705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59,12</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5,785</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94</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6,636</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,023.</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82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6,636</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,023.</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82</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7,216</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7,216</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14</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09"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09"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73,94</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5.89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9,871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.89</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-7,49</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4,074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00"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9,871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9,871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.89</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2"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center"/>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2"/>
              <w:ind w:left="37" w:right="0"/>
              <w:jc w:val="center"/>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941.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194,9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941.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07" w:lineRule="auto" w:before="51"/>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00"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07" w:lineRule="auto" w:before="51"/>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6"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2"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center"/>
              <w:rPr>
                <w:rFonts w:ascii="Times New Roman" w:hAnsi="Times New Roman" w:cs="Times New Roman" w:eastAsia="Times New Roman" w:hint="default"/>
                <w:sz w:val="18"/>
                <w:szCs w:val="18"/>
              </w:rPr>
            </w:pPr>
            <w:r>
              <w:rPr>
                <w:rFonts w:ascii="Times New Roman"/>
                <w:sz w:val="18"/>
              </w:rPr>
              <w:t>712,</w:t>
            </w:r>
          </w:p>
          <w:p>
            <w:pPr>
              <w:pStyle w:val="TableParagraph"/>
              <w:spacing w:line="240" w:lineRule="auto" w:before="102"/>
              <w:ind w:left="37" w:right="0"/>
              <w:jc w:val="center"/>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844.</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1,363</w:t>
            </w:r>
          </w:p>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,041,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559.9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97,79</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7.23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65,55</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pacing w:val="-3"/>
                <w:sz w:val="18"/>
              </w:rPr>
              <w:t>2,111.</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259,2</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17,72</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91,16</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0,670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.94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2,472</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,494,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118.6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3"/>
        <w:gridCol w:w="665"/>
        <w:gridCol w:w="679"/>
        <w:gridCol w:w="653"/>
        <w:gridCol w:w="658"/>
      </w:tblGrid>
      <w:tr>
        <w:trPr>
          <w:trHeight w:val="403" w:hRule="exact"/>
        </w:trPr>
        <w:tc>
          <w:tcPr>
            <w:tcW w:w="143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933734"/>
              <w:right w:val="single" w:sz="4" w:space="0" w:color="933734"/>
            </w:tcBorders>
            <w:shd w:val="clear" w:color="auto" w:fill="E4B8B7"/>
          </w:tcPr>
          <w:p>
            <w:pPr/>
          </w:p>
        </w:tc>
        <w:tc>
          <w:tcPr>
            <w:tcW w:w="6822" w:type="dxa"/>
            <w:gridSpan w:val="11"/>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tcBorders>
              <w:top w:val="single" w:sz="4" w:space="0" w:color="933734"/>
              <w:left w:val="single" w:sz="4" w:space="0" w:color="933734"/>
              <w:bottom w:val="nil" w:sz="6" w:space="0" w:color="auto"/>
              <w:right w:val="single" w:sz="4" w:space="0" w:color="933734"/>
            </w:tcBorders>
            <w:shd w:val="clear" w:color="auto" w:fill="E4B8B7"/>
          </w:tcPr>
          <w:p>
            <w:pPr/>
          </w:p>
        </w:tc>
        <w:tc>
          <w:tcPr>
            <w:tcW w:w="65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144"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4" w:hRule="exact"/>
        </w:trPr>
        <w:tc>
          <w:tcPr>
            <w:tcW w:w="1438" w:type="dxa"/>
            <w:vMerge/>
            <w:tcBorders>
              <w:left w:val="single" w:sz="4" w:space="0" w:color="933734"/>
              <w:right w:val="single" w:sz="4" w:space="0" w:color="933734"/>
            </w:tcBorders>
            <w:shd w:val="clear" w:color="auto" w:fill="E4B8B7"/>
          </w:tcPr>
          <w:p>
            <w:pPr/>
          </w:p>
        </w:tc>
        <w:tc>
          <w:tcPr>
            <w:tcW w:w="56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4"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6" w:right="144"/>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9" w:right="14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9"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5"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3" w:type="dxa"/>
            <w:vMerge w:val="restart"/>
            <w:tcBorders>
              <w:top w:val="nil" w:sz="6" w:space="0" w:color="auto"/>
              <w:left w:val="single" w:sz="4" w:space="0" w:color="933734"/>
              <w:right w:val="single" w:sz="4" w:space="0" w:color="933734"/>
            </w:tcBorders>
            <w:shd w:val="clear" w:color="auto" w:fill="E4B8B7"/>
          </w:tcPr>
          <w:p>
            <w:pPr>
              <w:pStyle w:val="TableParagraph"/>
              <w:spacing w:line="319" w:lineRule="auto" w:before="53"/>
              <w:ind w:left="141" w:right="141"/>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8" w:type="dxa"/>
            <w:vMerge/>
            <w:tcBorders>
              <w:left w:val="single" w:sz="4" w:space="0" w:color="933734"/>
              <w:right w:val="single" w:sz="4" w:space="0" w:color="933734"/>
            </w:tcBorders>
            <w:shd w:val="clear" w:color="auto" w:fill="E4B8B7"/>
          </w:tcPr>
          <w:p>
            <w:pPr/>
          </w:p>
        </w:tc>
      </w:tr>
      <w:tr>
        <w:trPr>
          <w:trHeight w:val="1025" w:hRule="exact"/>
        </w:trPr>
        <w:tc>
          <w:tcPr>
            <w:tcW w:w="1438" w:type="dxa"/>
            <w:vMerge/>
            <w:tcBorders>
              <w:left w:val="single" w:sz="4" w:space="0" w:color="933734"/>
              <w:bottom w:val="single" w:sz="4" w:space="0" w:color="933734"/>
              <w:right w:val="single" w:sz="4" w:space="0" w:color="933734"/>
            </w:tcBorders>
            <w:shd w:val="clear" w:color="auto" w:fill="E4B8B7"/>
          </w:tcPr>
          <w:p>
            <w:pPr/>
          </w:p>
        </w:tc>
        <w:tc>
          <w:tcPr>
            <w:tcW w:w="562" w:type="dxa"/>
            <w:vMerge/>
            <w:tcBorders>
              <w:left w:val="single" w:sz="4" w:space="0" w:color="933734"/>
              <w:bottom w:val="single" w:sz="4" w:space="0" w:color="933734"/>
              <w:right w:val="single" w:sz="4" w:space="0" w:color="933734"/>
            </w:tcBorders>
            <w:shd w:val="clear" w:color="auto" w:fill="E4B8B7"/>
          </w:tcPr>
          <w:p>
            <w:pPr/>
          </w:p>
        </w:tc>
        <w:tc>
          <w:tcPr>
            <w:tcW w:w="53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70"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72" w:right="16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72"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2" w:type="dxa"/>
            <w:vMerge/>
            <w:tcBorders>
              <w:left w:val="single" w:sz="4" w:space="0" w:color="933734"/>
              <w:bottom w:val="single" w:sz="4" w:space="0" w:color="933734"/>
              <w:right w:val="single" w:sz="4" w:space="0" w:color="933734"/>
            </w:tcBorders>
            <w:shd w:val="clear" w:color="auto" w:fill="E4B8B7"/>
          </w:tcPr>
          <w:p>
            <w:pPr/>
          </w:p>
        </w:tc>
        <w:tc>
          <w:tcPr>
            <w:tcW w:w="665" w:type="dxa"/>
            <w:vMerge/>
            <w:tcBorders>
              <w:left w:val="single" w:sz="4" w:space="0" w:color="933734"/>
              <w:bottom w:val="single" w:sz="4" w:space="0" w:color="933734"/>
              <w:right w:val="single" w:sz="4" w:space="0" w:color="933734"/>
            </w:tcBorders>
            <w:shd w:val="clear" w:color="auto" w:fill="E4B8B7"/>
          </w:tcPr>
          <w:p>
            <w:pPr/>
          </w:p>
        </w:tc>
        <w:tc>
          <w:tcPr>
            <w:tcW w:w="667" w:type="dxa"/>
            <w:vMerge/>
            <w:tcBorders>
              <w:left w:val="single" w:sz="4" w:space="0" w:color="933734"/>
              <w:bottom w:val="single" w:sz="4" w:space="0" w:color="933734"/>
              <w:right w:val="single" w:sz="4" w:space="0" w:color="933734"/>
            </w:tcBorders>
            <w:shd w:val="clear" w:color="auto" w:fill="E4B8B7"/>
          </w:tcPr>
          <w:p>
            <w:pPr/>
          </w:p>
        </w:tc>
        <w:tc>
          <w:tcPr>
            <w:tcW w:w="665" w:type="dxa"/>
            <w:vMerge/>
            <w:tcBorders>
              <w:left w:val="single" w:sz="4" w:space="0" w:color="933734"/>
              <w:bottom w:val="single" w:sz="4" w:space="0" w:color="933734"/>
              <w:right w:val="single" w:sz="4" w:space="0" w:color="933734"/>
            </w:tcBorders>
            <w:shd w:val="clear" w:color="auto" w:fill="E4B8B7"/>
          </w:tcPr>
          <w:p>
            <w:pPr/>
          </w:p>
        </w:tc>
        <w:tc>
          <w:tcPr>
            <w:tcW w:w="663" w:type="dxa"/>
            <w:vMerge/>
            <w:tcBorders>
              <w:left w:val="single" w:sz="4" w:space="0" w:color="933734"/>
              <w:bottom w:val="single" w:sz="4" w:space="0" w:color="933734"/>
              <w:right w:val="single" w:sz="4" w:space="0" w:color="933734"/>
            </w:tcBorders>
            <w:shd w:val="clear" w:color="auto" w:fill="E4B8B7"/>
          </w:tcPr>
          <w:p>
            <w:pPr/>
          </w:p>
        </w:tc>
        <w:tc>
          <w:tcPr>
            <w:tcW w:w="665" w:type="dxa"/>
            <w:vMerge/>
            <w:tcBorders>
              <w:left w:val="single" w:sz="4" w:space="0" w:color="933734"/>
              <w:bottom w:val="single" w:sz="4" w:space="0" w:color="933734"/>
              <w:right w:val="single" w:sz="4" w:space="0" w:color="933734"/>
            </w:tcBorders>
            <w:shd w:val="clear" w:color="auto" w:fill="E4B8B7"/>
          </w:tcPr>
          <w:p>
            <w:pPr/>
          </w:p>
        </w:tc>
        <w:tc>
          <w:tcPr>
            <w:tcW w:w="679" w:type="dxa"/>
            <w:vMerge/>
            <w:tcBorders>
              <w:left w:val="single" w:sz="4" w:space="0" w:color="933734"/>
              <w:bottom w:val="single" w:sz="4" w:space="0" w:color="933734"/>
              <w:right w:val="single" w:sz="4" w:space="0" w:color="933734"/>
            </w:tcBorders>
            <w:shd w:val="clear" w:color="auto" w:fill="E4B8B7"/>
          </w:tcPr>
          <w:p>
            <w:pPr/>
          </w:p>
        </w:tc>
        <w:tc>
          <w:tcPr>
            <w:tcW w:w="653" w:type="dxa"/>
            <w:vMerge/>
            <w:tcBorders>
              <w:left w:val="single" w:sz="4" w:space="0" w:color="933734"/>
              <w:bottom w:val="single" w:sz="4" w:space="0" w:color="933734"/>
              <w:right w:val="single" w:sz="4" w:space="0" w:color="933734"/>
            </w:tcBorders>
            <w:shd w:val="clear" w:color="auto" w:fill="E4B8B7"/>
          </w:tcPr>
          <w:p>
            <w:pPr/>
          </w:p>
        </w:tc>
        <w:tc>
          <w:tcPr>
            <w:tcW w:w="658" w:type="dxa"/>
            <w:vMerge/>
            <w:tcBorders>
              <w:left w:val="single" w:sz="4" w:space="0" w:color="933734"/>
              <w:bottom w:val="single" w:sz="4" w:space="0" w:color="933734"/>
              <w:right w:val="single" w:sz="4" w:space="0" w:color="933734"/>
            </w:tcBorders>
            <w:shd w:val="clear" w:color="auto" w:fill="E4B8B7"/>
          </w:tcPr>
          <w:p>
            <w:pPr/>
          </w:p>
        </w:tc>
      </w:tr>
      <w:tr>
        <w:trPr>
          <w:trHeight w:val="1339" w:hRule="exact"/>
        </w:trPr>
        <w:tc>
          <w:tcPr>
            <w:tcW w:w="143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921,</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837.</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1,158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353.4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-3,68</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9,732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51,67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4,626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117,2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39,35</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6.24</w:t>
            </w:r>
          </w:p>
        </w:tc>
        <w:tc>
          <w:tcPr>
            <w:tcW w:w="6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127,6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66,10</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9.96</w:t>
            </w:r>
          </w:p>
        </w:tc>
        <w:tc>
          <w:tcPr>
            <w:tcW w:w="6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1,861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,020,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550.7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3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pacing w:val="-8"/>
                <w:sz w:val="18"/>
                <w:szCs w:val="18"/>
              </w:rPr>
              <w:t>加：会计政</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3"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24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1339"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921,</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837.</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1,158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353.4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-3,68</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9,732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51,67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4,626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117,2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39,35</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6.24</w:t>
            </w:r>
          </w:p>
        </w:tc>
        <w:tc>
          <w:tcPr>
            <w:tcW w:w="6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127,6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66,10</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9.96</w:t>
            </w:r>
          </w:p>
        </w:tc>
        <w:tc>
          <w:tcPr>
            <w:tcW w:w="6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1,861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,020,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550.7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r>
      <w:tr>
        <w:trPr>
          <w:trHeight w:val="1337"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472,0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28,14</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7.55</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98,05</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9.38</w:t>
            </w: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6,383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2"/>
                <w:sz w:val="18"/>
              </w:rPr>
              <w:t>,411.0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128,2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97,61</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3.87</w:t>
            </w:r>
          </w:p>
        </w:tc>
        <w:tc>
          <w:tcPr>
            <w:tcW w:w="6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-24,1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2.04</w:t>
            </w:r>
          </w:p>
        </w:tc>
        <w:tc>
          <w:tcPr>
            <w:tcW w:w="6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605,7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31,83</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7.04</w:t>
            </w:r>
          </w:p>
        </w:tc>
      </w:tr>
      <w:tr>
        <w:trPr>
          <w:trHeight w:val="1027"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98,05</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9.38</w:t>
            </w: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134,6</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81,02</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4.91</w:t>
            </w:r>
          </w:p>
        </w:tc>
        <w:tc>
          <w:tcPr>
            <w:tcW w:w="6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46,64</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4.50</w:t>
            </w:r>
          </w:p>
        </w:tc>
        <w:tc>
          <w:tcPr>
            <w:tcW w:w="6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109,8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36,32</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1.03</w:t>
            </w:r>
          </w:p>
        </w:tc>
      </w:tr>
      <w:tr>
        <w:trPr>
          <w:trHeight w:val="1337"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472,0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28,14</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7.55</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-11,5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35,69</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7.54</w:t>
            </w:r>
          </w:p>
        </w:tc>
        <w:tc>
          <w:tcPr>
            <w:tcW w:w="6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495,8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6.01</w:t>
            </w:r>
          </w:p>
        </w:tc>
      </w:tr>
      <w:tr>
        <w:trPr>
          <w:trHeight w:val="1339"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472,0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28,14</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7.55</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2,490</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,676.</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15</w:t>
            </w:r>
          </w:p>
        </w:tc>
        <w:tc>
          <w:tcPr>
            <w:tcW w:w="6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509,9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21,88</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9.70</w:t>
            </w:r>
          </w:p>
        </w:tc>
      </w:tr>
      <w:tr>
        <w:trPr>
          <w:trHeight w:val="1025"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26,37</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3.69</w:t>
            </w:r>
          </w:p>
        </w:tc>
        <w:tc>
          <w:tcPr>
            <w:tcW w:w="6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26,37</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3.69</w:t>
            </w:r>
          </w:p>
        </w:tc>
      </w:tr>
      <w:tr>
        <w:trPr>
          <w:trHeight w:val="1027"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6,383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2"/>
                <w:sz w:val="18"/>
              </w:rPr>
              <w:t>,411.0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3,411.</w:t>
            </w:r>
          </w:p>
          <w:p>
            <w:pPr>
              <w:pStyle w:val="TableParagraph"/>
              <w:spacing w:line="240" w:lineRule="auto" w:before="105"/>
              <w:ind w:left="290" w:right="0"/>
              <w:jc w:val="center"/>
              <w:rPr>
                <w:rFonts w:ascii="Times New Roman" w:hAnsi="Times New Roman" w:cs="Times New Roman" w:eastAsia="Times New Roman" w:hint="default"/>
                <w:sz w:val="18"/>
                <w:szCs w:val="18"/>
              </w:rPr>
            </w:pPr>
            <w:r>
              <w:rPr>
                <w:rFonts w:ascii="Times New Roman"/>
                <w:sz w:val="18"/>
              </w:rPr>
              <w:t>04</w:t>
            </w: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0"/>
              <w:ind w:left="146" w:right="0"/>
              <w:jc w:val="left"/>
              <w:rPr>
                <w:rFonts w:ascii="Times New Roman" w:hAnsi="Times New Roman" w:cs="Times New Roman" w:eastAsia="Times New Roman" w:hint="default"/>
                <w:sz w:val="18"/>
                <w:szCs w:val="18"/>
              </w:rPr>
            </w:pPr>
            <w:r>
              <w:rPr>
                <w:rFonts w:ascii="Times New Roman"/>
                <w:sz w:val="18"/>
              </w:rPr>
              <w:t>6,383</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,411.0</w:t>
            </w: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0"/>
              <w:ind w:left="194" w:right="0"/>
              <w:jc w:val="left"/>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3,411.</w:t>
            </w: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bl>
    <w:p>
      <w:pPr>
        <w:spacing w:after="0"/>
        <w:sectPr>
          <w:footerReference w:type="default" r:id="rId35"/>
          <w:pgSz w:w="11910" w:h="16840"/>
          <w:pgMar w:footer="1079" w:header="906" w:top="1100" w:bottom="1260" w:left="1020" w:right="0"/>
          <w:pgNumType w:start="11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3"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04</w:t>
            </w: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933734"/>
              <w:left w:val="single" w:sz="4" w:space="0" w:color="933734"/>
              <w:bottom w:val="single" w:sz="4" w:space="0" w:color="933734"/>
              <w:right w:val="single" w:sz="4" w:space="0" w:color="933734"/>
            </w:tcBorders>
          </w:tcPr>
          <w:p>
            <w:pP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
        </w:tc>
        <w:tc>
          <w:tcPr>
            <w:tcW w:w="653" w:type="dxa"/>
            <w:tcBorders>
              <w:top w:val="single" w:sz="4" w:space="0" w:color="933734"/>
              <w:left w:val="single" w:sz="4" w:space="0" w:color="933734"/>
              <w:bottom w:val="single" w:sz="4" w:space="0" w:color="933734"/>
              <w:right w:val="single" w:sz="4" w:space="0" w:color="933734"/>
            </w:tcBorders>
          </w:tcPr>
          <w:p>
            <w:pPr/>
          </w:p>
        </w:tc>
        <w:tc>
          <w:tcPr>
            <w:tcW w:w="658" w:type="dxa"/>
            <w:tcBorders>
              <w:top w:val="single" w:sz="4" w:space="0" w:color="933734"/>
              <w:left w:val="single" w:sz="4" w:space="0" w:color="933734"/>
              <w:bottom w:val="single" w:sz="4" w:space="0" w:color="933734"/>
              <w:right w:val="single" w:sz="4" w:space="0" w:color="933734"/>
            </w:tcBorders>
          </w:tcPr>
          <w:p>
            <w:pPr/>
          </w:p>
        </w:tc>
      </w:tr>
      <w:tr>
        <w:trPr>
          <w:trHeight w:val="1339" w:hRule="exact"/>
        </w:trPr>
        <w:tc>
          <w:tcPr>
            <w:tcW w:w="14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324,</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933734"/>
              <w:left w:val="single" w:sz="4" w:space="0" w:color="933734"/>
              <w:bottom w:val="single" w:sz="4" w:space="0" w:color="933734"/>
              <w:right w:val="single" w:sz="4" w:space="0" w:color="933734"/>
            </w:tcBorders>
          </w:tcPr>
          <w:p>
            <w:pPr/>
          </w:p>
        </w:tc>
        <w:tc>
          <w:tcPr>
            <w:tcW w:w="530" w:type="dxa"/>
            <w:tcBorders>
              <w:top w:val="single" w:sz="4" w:space="0" w:color="933734"/>
              <w:left w:val="single" w:sz="4" w:space="0" w:color="933734"/>
              <w:bottom w:val="single" w:sz="4" w:space="0" w:color="933734"/>
              <w:right w:val="single" w:sz="4" w:space="0" w:color="933734"/>
            </w:tcBorders>
          </w:tcPr>
          <w:p>
            <w:pPr/>
          </w:p>
        </w:tc>
        <w:tc>
          <w:tcPr>
            <w:tcW w:w="533" w:type="dxa"/>
            <w:tcBorders>
              <w:top w:val="single" w:sz="4" w:space="0" w:color="933734"/>
              <w:left w:val="single" w:sz="4" w:space="0" w:color="933734"/>
              <w:bottom w:val="single" w:sz="4" w:space="0" w:color="933734"/>
              <w:right w:val="single" w:sz="4" w:space="0" w:color="933734"/>
            </w:tcBorders>
          </w:tcPr>
          <w:p>
            <w:pPr/>
          </w:p>
        </w:tc>
        <w:tc>
          <w:tcPr>
            <w:tcW w:w="66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,236,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87,79</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1.80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58,05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8,037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933734"/>
              <w:left w:val="single" w:sz="4" w:space="0" w:color="933734"/>
              <w:bottom w:val="single" w:sz="4" w:space="0" w:color="933734"/>
              <w:right w:val="single" w:sz="4" w:space="0" w:color="933734"/>
            </w:tcBorders>
          </w:tcPr>
          <w:p>
            <w:pPr/>
          </w:p>
        </w:tc>
        <w:tc>
          <w:tcPr>
            <w:tcW w:w="67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245,5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36,97</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0.11</w:t>
            </w:r>
          </w:p>
        </w:tc>
        <w:tc>
          <w:tcPr>
            <w:tcW w:w="6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103,4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7.92</w:t>
            </w:r>
          </w:p>
        </w:tc>
        <w:tc>
          <w:tcPr>
            <w:tcW w:w="6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387.7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2" w:hRule="exact"/>
        </w:trPr>
        <w:tc>
          <w:tcPr>
            <w:tcW w:w="1439"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9" w:type="dxa"/>
            <w:vMerge/>
            <w:tcBorders>
              <w:left w:val="single" w:sz="4" w:space="0" w:color="933734"/>
              <w:right w:val="single" w:sz="4" w:space="0" w:color="933734"/>
            </w:tcBorders>
            <w:shd w:val="clear" w:color="auto" w:fill="E4B8B7"/>
          </w:tcPr>
          <w:p>
            <w:pPr/>
          </w:p>
        </w:tc>
        <w:tc>
          <w:tcPr>
            <w:tcW w:w="691"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02" w:right="123"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24" w:right="12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00"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07" w:right="120"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7" w:type="dxa"/>
            <w:vMerge w:val="restart"/>
            <w:tcBorders>
              <w:top w:val="single" w:sz="4" w:space="0" w:color="933734"/>
              <w:left w:val="single" w:sz="4" w:space="0" w:color="933734"/>
              <w:right w:val="single" w:sz="4" w:space="0" w:color="933734"/>
            </w:tcBorders>
            <w:shd w:val="clear" w:color="auto" w:fill="E4B8B7"/>
          </w:tcPr>
          <w:p>
            <w:pPr>
              <w:pStyle w:val="TableParagraph"/>
              <w:spacing w:line="316" w:lineRule="auto" w:before="93"/>
              <w:ind w:left="153"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0" w:type="dxa"/>
            <w:vMerge w:val="restart"/>
            <w:tcBorders>
              <w:top w:val="single" w:sz="4" w:space="0" w:color="933734"/>
              <w:left w:val="single" w:sz="4" w:space="0" w:color="933734"/>
              <w:right w:val="single" w:sz="4" w:space="0" w:color="933734"/>
            </w:tcBorders>
            <w:shd w:val="clear" w:color="auto" w:fill="E4B8B7"/>
          </w:tcPr>
          <w:p>
            <w:pPr>
              <w:pStyle w:val="TableParagraph"/>
              <w:spacing w:line="316" w:lineRule="auto" w:before="93"/>
              <w:ind w:left="115" w:right="11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39" w:type="dxa"/>
            <w:vMerge/>
            <w:tcBorders>
              <w:left w:val="single" w:sz="4" w:space="0" w:color="933734"/>
              <w:bottom w:val="single" w:sz="4" w:space="0" w:color="933734"/>
              <w:right w:val="single" w:sz="4" w:space="0" w:color="933734"/>
            </w:tcBorders>
            <w:shd w:val="clear" w:color="auto" w:fill="E4B8B7"/>
          </w:tcPr>
          <w:p>
            <w:pPr/>
          </w:p>
        </w:tc>
        <w:tc>
          <w:tcPr>
            <w:tcW w:w="691" w:type="dxa"/>
            <w:vMerge/>
            <w:tcBorders>
              <w:left w:val="single" w:sz="4" w:space="0" w:color="933734"/>
              <w:bottom w:val="single" w:sz="4" w:space="0" w:color="933734"/>
              <w:right w:val="single" w:sz="4" w:space="0" w:color="933734"/>
            </w:tcBorders>
            <w:shd w:val="clear" w:color="auto" w:fill="E4B8B7"/>
          </w:tcPr>
          <w:p>
            <w:pPr/>
          </w:p>
        </w:tc>
        <w:tc>
          <w:tcPr>
            <w:tcW w:w="66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40" w:right="144"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39"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933734"/>
              <w:bottom w:val="single" w:sz="4" w:space="0" w:color="933734"/>
              <w:right w:val="single" w:sz="4" w:space="0" w:color="933734"/>
            </w:tcBorders>
            <w:shd w:val="clear" w:color="auto" w:fill="E4B8B7"/>
          </w:tcPr>
          <w:p>
            <w:pPr/>
          </w:p>
        </w:tc>
        <w:tc>
          <w:tcPr>
            <w:tcW w:w="797" w:type="dxa"/>
            <w:vMerge/>
            <w:tcBorders>
              <w:left w:val="single" w:sz="4" w:space="0" w:color="933734"/>
              <w:bottom w:val="single" w:sz="4" w:space="0" w:color="933734"/>
              <w:right w:val="single" w:sz="4" w:space="0" w:color="933734"/>
            </w:tcBorders>
            <w:shd w:val="clear" w:color="auto" w:fill="E4B8B7"/>
          </w:tcPr>
          <w:p>
            <w:pPr/>
          </w:p>
        </w:tc>
        <w:tc>
          <w:tcPr>
            <w:tcW w:w="797" w:type="dxa"/>
            <w:vMerge/>
            <w:tcBorders>
              <w:left w:val="single" w:sz="4" w:space="0" w:color="933734"/>
              <w:bottom w:val="single" w:sz="4" w:space="0" w:color="933734"/>
              <w:right w:val="single" w:sz="4" w:space="0" w:color="933734"/>
            </w:tcBorders>
            <w:shd w:val="clear" w:color="auto" w:fill="E4B8B7"/>
          </w:tcPr>
          <w:p>
            <w:pPr/>
          </w:p>
        </w:tc>
        <w:tc>
          <w:tcPr>
            <w:tcW w:w="800" w:type="dxa"/>
            <w:vMerge/>
            <w:tcBorders>
              <w:left w:val="single" w:sz="4" w:space="0" w:color="933734"/>
              <w:bottom w:val="single" w:sz="4" w:space="0" w:color="933734"/>
              <w:right w:val="single" w:sz="4" w:space="0" w:color="933734"/>
            </w:tcBorders>
            <w:shd w:val="clear" w:color="auto" w:fill="E4B8B7"/>
          </w:tcPr>
          <w:p>
            <w:pPr/>
          </w:p>
        </w:tc>
        <w:tc>
          <w:tcPr>
            <w:tcW w:w="797" w:type="dxa"/>
            <w:vMerge/>
            <w:tcBorders>
              <w:left w:val="single" w:sz="4" w:space="0" w:color="933734"/>
              <w:bottom w:val="single" w:sz="4" w:space="0" w:color="933734"/>
              <w:right w:val="single" w:sz="4" w:space="0" w:color="933734"/>
            </w:tcBorders>
            <w:shd w:val="clear" w:color="auto" w:fill="E4B8B7"/>
          </w:tcPr>
          <w:p>
            <w:pPr/>
          </w:p>
        </w:tc>
        <w:tc>
          <w:tcPr>
            <w:tcW w:w="677" w:type="dxa"/>
            <w:vMerge/>
            <w:tcBorders>
              <w:left w:val="single" w:sz="4" w:space="0" w:color="933734"/>
              <w:bottom w:val="single" w:sz="4" w:space="0" w:color="933734"/>
              <w:right w:val="single" w:sz="4" w:space="0" w:color="933734"/>
            </w:tcBorders>
            <w:shd w:val="clear" w:color="auto" w:fill="E4B8B7"/>
          </w:tcPr>
          <w:p>
            <w:pPr/>
          </w:p>
        </w:tc>
        <w:tc>
          <w:tcPr>
            <w:tcW w:w="780" w:type="dxa"/>
            <w:vMerge/>
            <w:tcBorders>
              <w:left w:val="single" w:sz="4" w:space="0" w:color="933734"/>
              <w:bottom w:val="single" w:sz="4" w:space="0" w:color="933734"/>
              <w:right w:val="single" w:sz="4" w:space="0" w:color="933734"/>
            </w:tcBorders>
            <w:shd w:val="clear" w:color="auto" w:fill="E4B8B7"/>
          </w:tcPr>
          <w:p>
            <w:pPr/>
          </w:p>
        </w:tc>
      </w:tr>
      <w:tr>
        <w:trPr>
          <w:trHeight w:val="71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24,90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43" w:right="0"/>
              <w:jc w:val="left"/>
              <w:rPr>
                <w:rFonts w:ascii="Times New Roman" w:hAnsi="Times New Roman" w:cs="Times New Roman" w:eastAsia="Times New Roman" w:hint="default"/>
                <w:sz w:val="18"/>
                <w:szCs w:val="18"/>
              </w:rPr>
            </w:pPr>
            <w:r>
              <w:rPr>
                <w:rFonts w:ascii="Times New Roman"/>
                <w:sz w:val="18"/>
              </w:rPr>
              <w:t>1,632,3</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89,129.</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58,058,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037.56</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58" w:right="0"/>
              <w:jc w:val="left"/>
              <w:rPr>
                <w:rFonts w:ascii="Times New Roman" w:hAnsi="Times New Roman" w:cs="Times New Roman" w:eastAsia="Times New Roman" w:hint="default"/>
                <w:sz w:val="18"/>
                <w:szCs w:val="18"/>
              </w:rPr>
            </w:pPr>
            <w:r>
              <w:rPr>
                <w:rFonts w:ascii="Times New Roman"/>
                <w:sz w:val="18"/>
              </w:rPr>
              <w:t>407,6</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70,49</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27" w:right="0"/>
              <w:jc w:val="left"/>
              <w:rPr>
                <w:rFonts w:ascii="Times New Roman" w:hAnsi="Times New Roman" w:cs="Times New Roman" w:eastAsia="Times New Roman" w:hint="default"/>
                <w:sz w:val="18"/>
                <w:szCs w:val="18"/>
              </w:rPr>
            </w:pPr>
            <w:r>
              <w:rPr>
                <w:rFonts w:ascii="Times New Roman"/>
                <w:sz w:val="18"/>
              </w:rPr>
              <w:t>2,543,4</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42,560.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266"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504" w:right="0"/>
              <w:jc w:val="lef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249" w:right="0"/>
              <w:jc w:val="left"/>
              <w:rPr>
                <w:rFonts w:ascii="Times New Roman" w:hAnsi="Times New Roman" w:cs="Times New Roman" w:eastAsia="Times New Roman" w:hint="default"/>
                <w:sz w:val="18"/>
                <w:szCs w:val="18"/>
              </w:rPr>
            </w:pPr>
            <w:r>
              <w:rPr>
                <w:rFonts w:ascii="Times New Roman"/>
                <w:sz w:val="18"/>
              </w:rPr>
              <w:t>0.21</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487" w:right="0"/>
              <w:jc w:val="left"/>
              <w:rPr>
                <w:rFonts w:ascii="Times New Roman" w:hAnsi="Times New Roman" w:cs="Times New Roman" w:eastAsia="Times New Roman" w:hint="default"/>
                <w:sz w:val="18"/>
                <w:szCs w:val="18"/>
              </w:rPr>
            </w:pPr>
            <w:r>
              <w:rPr>
                <w:rFonts w:ascii="Times New Roman"/>
                <w:sz w:val="18"/>
              </w:rPr>
              <w:t>05</w:t>
            </w:r>
          </w:p>
        </w:tc>
      </w:tr>
      <w:tr>
        <w:trPr>
          <w:trHeight w:val="71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245"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24,90</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1,632,3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89,129.</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58,058,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037.56</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407,6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70,49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0.21</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2,543,4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42,560.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05</w:t>
            </w: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2" w:right="65"/>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94,94</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-267,19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4,941.0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7,494,0</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74.00</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60,76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6,794.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14</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68,260,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868.14</w:t>
            </w: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0,740.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03</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74,940,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740.03</w:t>
            </w:r>
          </w:p>
        </w:tc>
      </w:tr>
      <w:tr>
        <w:trPr>
          <w:trHeight w:val="71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7,494,0</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74.00</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73,94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5.89</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-6,679,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871.89</w:t>
            </w: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7,494,0</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74.00</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-7,49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4,074.</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9,871.</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89</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-6,679,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871.89</w:t>
            </w:r>
          </w:p>
        </w:tc>
      </w:tr>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94,94</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-267,19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4,941.0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94,94</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-267,19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4,941.0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7" w:lineRule="auto" w:before="51"/>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7" w:lineRule="auto" w:before="51"/>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712,5</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19,84</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43" w:right="0"/>
              <w:jc w:val="left"/>
              <w:rPr>
                <w:rFonts w:ascii="Times New Roman" w:hAnsi="Times New Roman" w:cs="Times New Roman" w:eastAsia="Times New Roman" w:hint="default"/>
                <w:sz w:val="18"/>
                <w:szCs w:val="18"/>
              </w:rPr>
            </w:pPr>
            <w:r>
              <w:rPr>
                <w:rFonts w:ascii="Times New Roman"/>
                <w:sz w:val="18"/>
              </w:rPr>
              <w:t>1,365,1</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94,188.</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65,552,</w:t>
            </w:r>
          </w:p>
          <w:p>
            <w:pPr>
              <w:pStyle w:val="TableParagraph"/>
              <w:spacing w:line="240" w:lineRule="auto" w:before="102"/>
              <w:ind w:left="201" w:right="0"/>
              <w:jc w:val="left"/>
              <w:rPr>
                <w:rFonts w:ascii="Times New Roman" w:hAnsi="Times New Roman" w:cs="Times New Roman" w:eastAsia="Times New Roman" w:hint="default"/>
                <w:sz w:val="18"/>
                <w:szCs w:val="18"/>
              </w:rPr>
            </w:pPr>
            <w:r>
              <w:rPr>
                <w:rFonts w:ascii="Times New Roman"/>
                <w:sz w:val="18"/>
              </w:rPr>
              <w:t>111.56</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468,4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37,28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4.35</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2,611,7</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03,428.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19</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3" w:hRule="exact"/>
        </w:trPr>
        <w:tc>
          <w:tcPr>
            <w:tcW w:w="1440"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933734"/>
              <w:right w:val="single" w:sz="4" w:space="0" w:color="933734"/>
            </w:tcBorders>
            <w:shd w:val="clear" w:color="auto" w:fill="E4B8B7"/>
          </w:tcPr>
          <w:p>
            <w:pPr/>
          </w:p>
        </w:tc>
        <w:tc>
          <w:tcPr>
            <w:tcW w:w="691"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2" w:right="123"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24" w:right="12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00"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7" w:right="120"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7" w:type="dxa"/>
            <w:vMerge w:val="restart"/>
            <w:tcBorders>
              <w:top w:val="single" w:sz="4" w:space="0" w:color="933734"/>
              <w:left w:val="single" w:sz="4" w:space="0" w:color="933734"/>
              <w:right w:val="single" w:sz="4" w:space="0" w:color="933734"/>
            </w:tcBorders>
            <w:shd w:val="clear" w:color="auto" w:fill="E4B8B7"/>
          </w:tcPr>
          <w:p>
            <w:pPr>
              <w:pStyle w:val="TableParagraph"/>
              <w:spacing w:line="316" w:lineRule="auto" w:before="94"/>
              <w:ind w:left="153"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0" w:type="dxa"/>
            <w:vMerge w:val="restart"/>
            <w:tcBorders>
              <w:top w:val="single" w:sz="4" w:space="0" w:color="933734"/>
              <w:left w:val="single" w:sz="4" w:space="0" w:color="933734"/>
              <w:right w:val="single" w:sz="4" w:space="0" w:color="933734"/>
            </w:tcBorders>
            <w:shd w:val="clear" w:color="auto" w:fill="E4B8B7"/>
          </w:tcPr>
          <w:p>
            <w:pPr>
              <w:pStyle w:val="TableParagraph"/>
              <w:spacing w:line="316" w:lineRule="auto" w:before="94"/>
              <w:ind w:left="115" w:right="11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5" w:hRule="exact"/>
        </w:trPr>
        <w:tc>
          <w:tcPr>
            <w:tcW w:w="1440" w:type="dxa"/>
            <w:vMerge/>
            <w:tcBorders>
              <w:left w:val="single" w:sz="4" w:space="0" w:color="933734"/>
              <w:bottom w:val="single" w:sz="4" w:space="0" w:color="933734"/>
              <w:right w:val="single" w:sz="4" w:space="0" w:color="933734"/>
            </w:tcBorders>
            <w:shd w:val="clear" w:color="auto" w:fill="E4B8B7"/>
          </w:tcPr>
          <w:p>
            <w:pPr/>
          </w:p>
        </w:tc>
        <w:tc>
          <w:tcPr>
            <w:tcW w:w="691" w:type="dxa"/>
            <w:vMerge/>
            <w:tcBorders>
              <w:left w:val="single" w:sz="4" w:space="0" w:color="933734"/>
              <w:bottom w:val="single" w:sz="4" w:space="0" w:color="933734"/>
              <w:right w:val="single" w:sz="4" w:space="0" w:color="933734"/>
            </w:tcBorders>
            <w:shd w:val="clear" w:color="auto" w:fill="E4B8B7"/>
          </w:tcPr>
          <w:p>
            <w:pPr/>
          </w:p>
        </w:tc>
        <w:tc>
          <w:tcPr>
            <w:tcW w:w="66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40" w:right="144"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39"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933734"/>
              <w:bottom w:val="single" w:sz="4" w:space="0" w:color="933734"/>
              <w:right w:val="single" w:sz="4" w:space="0" w:color="933734"/>
            </w:tcBorders>
            <w:shd w:val="clear" w:color="auto" w:fill="E4B8B7"/>
          </w:tcPr>
          <w:p>
            <w:pPr/>
          </w:p>
        </w:tc>
        <w:tc>
          <w:tcPr>
            <w:tcW w:w="797" w:type="dxa"/>
            <w:vMerge/>
            <w:tcBorders>
              <w:left w:val="single" w:sz="4" w:space="0" w:color="933734"/>
              <w:bottom w:val="single" w:sz="4" w:space="0" w:color="933734"/>
              <w:right w:val="single" w:sz="4" w:space="0" w:color="933734"/>
            </w:tcBorders>
            <w:shd w:val="clear" w:color="auto" w:fill="E4B8B7"/>
          </w:tcPr>
          <w:p>
            <w:pPr/>
          </w:p>
        </w:tc>
        <w:tc>
          <w:tcPr>
            <w:tcW w:w="797" w:type="dxa"/>
            <w:vMerge/>
            <w:tcBorders>
              <w:left w:val="single" w:sz="4" w:space="0" w:color="933734"/>
              <w:bottom w:val="single" w:sz="4" w:space="0" w:color="933734"/>
              <w:right w:val="single" w:sz="4" w:space="0" w:color="933734"/>
            </w:tcBorders>
            <w:shd w:val="clear" w:color="auto" w:fill="E4B8B7"/>
          </w:tcPr>
          <w:p>
            <w:pPr/>
          </w:p>
        </w:tc>
        <w:tc>
          <w:tcPr>
            <w:tcW w:w="800" w:type="dxa"/>
            <w:vMerge/>
            <w:tcBorders>
              <w:left w:val="single" w:sz="4" w:space="0" w:color="933734"/>
              <w:bottom w:val="single" w:sz="4" w:space="0" w:color="933734"/>
              <w:right w:val="single" w:sz="4" w:space="0" w:color="933734"/>
            </w:tcBorders>
            <w:shd w:val="clear" w:color="auto" w:fill="E4B8B7"/>
          </w:tcPr>
          <w:p>
            <w:pPr/>
          </w:p>
        </w:tc>
        <w:tc>
          <w:tcPr>
            <w:tcW w:w="797" w:type="dxa"/>
            <w:vMerge/>
            <w:tcBorders>
              <w:left w:val="single" w:sz="4" w:space="0" w:color="933734"/>
              <w:bottom w:val="single" w:sz="4" w:space="0" w:color="933734"/>
              <w:right w:val="single" w:sz="4" w:space="0" w:color="933734"/>
            </w:tcBorders>
            <w:shd w:val="clear" w:color="auto" w:fill="E4B8B7"/>
          </w:tcPr>
          <w:p>
            <w:pPr/>
          </w:p>
        </w:tc>
        <w:tc>
          <w:tcPr>
            <w:tcW w:w="677" w:type="dxa"/>
            <w:vMerge/>
            <w:tcBorders>
              <w:left w:val="single" w:sz="4" w:space="0" w:color="933734"/>
              <w:bottom w:val="single" w:sz="4" w:space="0" w:color="933734"/>
              <w:right w:val="single" w:sz="4" w:space="0" w:color="933734"/>
            </w:tcBorders>
            <w:shd w:val="clear" w:color="auto" w:fill="E4B8B7"/>
          </w:tcPr>
          <w:p>
            <w:pPr/>
          </w:p>
        </w:tc>
        <w:tc>
          <w:tcPr>
            <w:tcW w:w="780" w:type="dxa"/>
            <w:vMerge/>
            <w:tcBorders>
              <w:left w:val="single" w:sz="4" w:space="0" w:color="933734"/>
              <w:bottom w:val="single" w:sz="4" w:space="0" w:color="933734"/>
              <w:right w:val="single" w:sz="4" w:space="0" w:color="933734"/>
            </w:tcBorders>
            <w:shd w:val="clear" w:color="auto" w:fill="E4B8B7"/>
          </w:tcPr>
          <w:p>
            <w:pPr/>
          </w:p>
        </w:tc>
      </w:tr>
      <w:tr>
        <w:trPr>
          <w:trHeight w:val="1025" w:hRule="exact"/>
        </w:trPr>
        <w:tc>
          <w:tcPr>
            <w:tcW w:w="144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409,9</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7.00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1,160,3</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56,878.</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51,674,</w:t>
            </w:r>
          </w:p>
          <w:p>
            <w:pPr>
              <w:pStyle w:val="TableParagraph"/>
              <w:spacing w:line="240" w:lineRule="auto" w:before="102"/>
              <w:ind w:left="189" w:right="0"/>
              <w:jc w:val="left"/>
              <w:rPr>
                <w:rFonts w:ascii="Times New Roman" w:hAnsi="Times New Roman" w:cs="Times New Roman" w:eastAsia="Times New Roman" w:hint="default"/>
                <w:sz w:val="18"/>
                <w:szCs w:val="18"/>
              </w:rPr>
            </w:pPr>
            <w:r>
              <w:rPr>
                <w:rFonts w:ascii="Times New Roman"/>
                <w:sz w:val="18"/>
              </w:rPr>
              <w:t>626.52</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19,79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0.82</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1,972,1</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73,133.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03</w:t>
            </w:r>
          </w:p>
        </w:tc>
      </w:tr>
      <w:tr>
        <w:trPr>
          <w:trHeight w:val="715" w:hRule="exact"/>
        </w:trPr>
        <w:tc>
          <w:tcPr>
            <w:tcW w:w="144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4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103" w:right="245"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44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4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409,9</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7.00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1,160,3</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56,878.</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51,674,</w:t>
            </w:r>
          </w:p>
          <w:p>
            <w:pPr>
              <w:pStyle w:val="TableParagraph"/>
              <w:spacing w:line="240" w:lineRule="auto" w:before="102"/>
              <w:ind w:left="189" w:right="0"/>
              <w:jc w:val="left"/>
              <w:rPr>
                <w:rFonts w:ascii="Times New Roman" w:hAnsi="Times New Roman" w:cs="Times New Roman" w:eastAsia="Times New Roman" w:hint="default"/>
                <w:sz w:val="18"/>
                <w:szCs w:val="18"/>
              </w:rPr>
            </w:pPr>
            <w:r>
              <w:rPr>
                <w:rFonts w:ascii="Times New Roman"/>
                <w:sz w:val="18"/>
              </w:rPr>
              <w:t>626.52</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19,79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0.82</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1,972,1</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73,133.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03</w:t>
            </w:r>
          </w:p>
        </w:tc>
      </w:tr>
      <w:tr>
        <w:trPr>
          <w:trHeight w:val="715" w:hRule="exact"/>
        </w:trPr>
        <w:tc>
          <w:tcPr>
            <w:tcW w:w="144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7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3,066.</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89" w:right="0"/>
              <w:jc w:val="left"/>
              <w:rPr>
                <w:rFonts w:ascii="Times New Roman" w:hAnsi="Times New Roman" w:cs="Times New Roman" w:eastAsia="Times New Roman" w:hint="default"/>
                <w:sz w:val="18"/>
                <w:szCs w:val="18"/>
              </w:rPr>
            </w:pPr>
            <w:r>
              <w:rPr>
                <w:rFonts w:ascii="Times New Roman"/>
                <w:sz w:val="18"/>
              </w:rPr>
              <w:t>472,03</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2,250.5</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11.04</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58" w:right="0"/>
              <w:jc w:val="left"/>
              <w:rPr>
                <w:rFonts w:ascii="Times New Roman" w:hAnsi="Times New Roman" w:cs="Times New Roman" w:eastAsia="Times New Roman" w:hint="default"/>
                <w:sz w:val="18"/>
                <w:szCs w:val="18"/>
              </w:rPr>
            </w:pPr>
            <w:r>
              <w:rPr>
                <w:rFonts w:ascii="Times New Roman"/>
                <w:sz w:val="18"/>
              </w:rPr>
              <w:t>57,45</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0,699.</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2"/>
              <w:ind w:left="173" w:right="0"/>
              <w:jc w:val="left"/>
              <w:rPr>
                <w:rFonts w:ascii="Times New Roman" w:hAnsi="Times New Roman" w:cs="Times New Roman" w:eastAsia="Times New Roman" w:hint="default"/>
                <w:sz w:val="18"/>
                <w:szCs w:val="18"/>
              </w:rPr>
            </w:pPr>
            <w:r>
              <w:rPr>
                <w:rFonts w:ascii="Times New Roman"/>
                <w:sz w:val="18"/>
              </w:rPr>
              <w:t>571,26</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9,427.0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400"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left="383" w:right="0"/>
              <w:jc w:val="left"/>
              <w:rPr>
                <w:rFonts w:ascii="Times New Roman" w:hAnsi="Times New Roman" w:cs="Times New Roman" w:eastAsia="Times New Roman" w:hint="default"/>
                <w:sz w:val="18"/>
                <w:szCs w:val="18"/>
              </w:rPr>
            </w:pPr>
            <w:r>
              <w:rPr>
                <w:rFonts w:ascii="Times New Roman"/>
                <w:sz w:val="18"/>
              </w:rPr>
              <w:t>39</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63,83</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4,110.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43</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110.43</w:t>
            </w: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472,03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2,250.5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5,316.5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472,03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2,250.5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5,316.5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1028"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11.04</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3,411.</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04</w:t>
            </w: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8"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11.04</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3,411.</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04</w:t>
            </w: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677" w:type="dxa"/>
            <w:tcBorders>
              <w:top w:val="single" w:sz="4" w:space="0" w:color="933734"/>
              <w:left w:val="single" w:sz="4" w:space="0" w:color="933734"/>
              <w:bottom w:val="single" w:sz="4" w:space="0" w:color="933734"/>
              <w:right w:val="single" w:sz="4" w:space="0" w:color="933734"/>
            </w:tcBorders>
          </w:tcPr>
          <w:p>
            <w:pPr/>
          </w:p>
        </w:tc>
        <w:tc>
          <w:tcPr>
            <w:tcW w:w="780" w:type="dxa"/>
            <w:tcBorders>
              <w:top w:val="single" w:sz="4" w:space="0" w:color="933734"/>
              <w:left w:val="single" w:sz="4" w:space="0" w:color="933734"/>
              <w:bottom w:val="single" w:sz="4" w:space="0" w:color="933734"/>
              <w:right w:val="single" w:sz="4" w:space="0" w:color="933734"/>
            </w:tcBorders>
          </w:tcPr>
          <w:p>
            <w:pPr/>
          </w:p>
        </w:tc>
      </w:tr>
      <w:tr>
        <w:trPr>
          <w:trHeight w:val="1027" w:hRule="exact"/>
        </w:trPr>
        <w:tc>
          <w:tcPr>
            <w:tcW w:w="14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24,90</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933734"/>
              <w:left w:val="single" w:sz="4" w:space="0" w:color="933734"/>
              <w:bottom w:val="single" w:sz="4" w:space="0" w:color="933734"/>
              <w:right w:val="single" w:sz="4" w:space="0" w:color="933734"/>
            </w:tcBorders>
          </w:tcPr>
          <w:p>
            <w:pPr/>
          </w:p>
        </w:tc>
        <w:tc>
          <w:tcPr>
            <w:tcW w:w="667" w:type="dxa"/>
            <w:tcBorders>
              <w:top w:val="single" w:sz="4" w:space="0" w:color="933734"/>
              <w:left w:val="single" w:sz="4" w:space="0" w:color="933734"/>
              <w:bottom w:val="single" w:sz="4" w:space="0" w:color="933734"/>
              <w:right w:val="single" w:sz="4" w:space="0" w:color="933734"/>
            </w:tcBorders>
          </w:tcPr>
          <w:p>
            <w:pPr/>
          </w:p>
        </w:tc>
        <w:tc>
          <w:tcPr>
            <w:tcW w:w="665"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43" w:right="0"/>
              <w:jc w:val="left"/>
              <w:rPr>
                <w:rFonts w:ascii="Times New Roman" w:hAnsi="Times New Roman" w:cs="Times New Roman" w:eastAsia="Times New Roman" w:hint="default"/>
                <w:sz w:val="18"/>
                <w:szCs w:val="18"/>
              </w:rPr>
            </w:pPr>
            <w:r>
              <w:rPr>
                <w:rFonts w:ascii="Times New Roman"/>
                <w:sz w:val="18"/>
              </w:rPr>
              <w:t>1,632,3</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89,129.</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
        </w:tc>
        <w:tc>
          <w:tcPr>
            <w:tcW w:w="800" w:type="dxa"/>
            <w:tcBorders>
              <w:top w:val="single" w:sz="4" w:space="0" w:color="933734"/>
              <w:left w:val="single" w:sz="4" w:space="0" w:color="933734"/>
              <w:bottom w:val="single" w:sz="4" w:space="0" w:color="933734"/>
              <w:right w:val="single" w:sz="4" w:space="0" w:color="933734"/>
            </w:tcBorders>
          </w:tcPr>
          <w:p>
            <w:pP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58,058,</w:t>
            </w:r>
          </w:p>
          <w:p>
            <w:pPr>
              <w:pStyle w:val="TableParagraph"/>
              <w:spacing w:line="240" w:lineRule="auto" w:before="102"/>
              <w:ind w:left="189" w:right="0"/>
              <w:jc w:val="left"/>
              <w:rPr>
                <w:rFonts w:ascii="Times New Roman" w:hAnsi="Times New Roman" w:cs="Times New Roman" w:eastAsia="Times New Roman" w:hint="default"/>
                <w:sz w:val="18"/>
                <w:szCs w:val="18"/>
              </w:rPr>
            </w:pPr>
            <w:r>
              <w:rPr>
                <w:rFonts w:ascii="Times New Roman"/>
                <w:sz w:val="18"/>
              </w:rPr>
              <w:t>037.56</w:t>
            </w:r>
          </w:p>
        </w:tc>
        <w:tc>
          <w:tcPr>
            <w:tcW w:w="67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407,6</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70,49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0.21</w:t>
            </w:r>
          </w:p>
        </w:tc>
        <w:tc>
          <w:tcPr>
            <w:tcW w:w="78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2,543,4</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42,560.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05</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11"/>
        <w:rPr>
          <w:rFonts w:ascii="宋体" w:hAnsi="宋体" w:cs="宋体" w:eastAsia="宋体" w:hint="default"/>
          <w:b/>
          <w:bCs/>
          <w:sz w:val="30"/>
          <w:szCs w:val="30"/>
        </w:rPr>
      </w:pPr>
    </w:p>
    <w:p>
      <w:pPr>
        <w:pStyle w:val="BodyText"/>
        <w:spacing w:line="417" w:lineRule="auto"/>
        <w:ind w:left="533" w:right="1126" w:hanging="420"/>
        <w:jc w:val="left"/>
      </w:pPr>
      <w:r>
        <w:rPr>
          <w:rFonts w:ascii="Times New Roman" w:hAnsi="Times New Roman" w:cs="Times New Roman" w:eastAsia="Times New Roman" w:hint="default"/>
          <w:b/>
          <w:bCs/>
        </w:rPr>
        <w:t>1</w:t>
      </w:r>
      <w:r>
        <w:rPr>
          <w:rFonts w:ascii="宋体" w:hAnsi="宋体" w:cs="宋体" w:eastAsia="宋体" w:hint="default"/>
          <w:b/>
          <w:bCs/>
        </w:rPr>
        <w:t>、公司历史沿革</w:t>
      </w:r>
      <w:r>
        <w:rPr>
          <w:rFonts w:ascii="宋体" w:hAnsi="宋体" w:cs="宋体" w:eastAsia="宋体" w:hint="default"/>
          <w:b/>
          <w:bCs/>
          <w:spacing w:val="-103"/>
        </w:rPr>
        <w:t> </w:t>
      </w:r>
      <w:r>
        <w:rPr>
          <w:spacing w:val="-4"/>
        </w:rPr>
        <w:t>摩登大道时尚集团股份有限公司（原广州卡奴迪路服饰股份有限公司</w:t>
      </w:r>
      <w:r>
        <w:rPr>
          <w:rFonts w:ascii="Times New Roman" w:hAnsi="Times New Roman" w:cs="Times New Roman" w:eastAsia="Times New Roman" w:hint="default"/>
          <w:spacing w:val="-4"/>
        </w:rPr>
        <w:t>/</w:t>
      </w:r>
      <w:r>
        <w:rPr>
          <w:spacing w:val="-4"/>
        </w:rPr>
        <w:t>广州伊狮路贸易有限公司，以下</w:t>
      </w:r>
    </w:p>
    <w:p>
      <w:pPr>
        <w:pStyle w:val="BodyText"/>
        <w:spacing w:line="398" w:lineRule="auto" w:before="5"/>
        <w:ind w:right="0"/>
        <w:jc w:val="left"/>
        <w:rPr>
          <w:rFonts w:ascii="宋体" w:hAnsi="宋体" w:cs="宋体" w:eastAsia="宋体" w:hint="default"/>
        </w:rPr>
      </w:pPr>
      <w:r>
        <w:rPr/>
        <w:t>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日注册成立。于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日，由广州伊狮路贸易有限公司整体变更设立</w:t>
      </w:r>
      <w:r>
        <w:rPr>
          <w:w w:val="100"/>
        </w:rPr>
        <w:t> </w:t>
      </w:r>
      <w:r>
        <w:rPr>
          <w:spacing w:val="-4"/>
        </w:rPr>
        <w:t>为股份公司。</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22</w:t>
      </w:r>
      <w:r>
        <w:rPr>
          <w:spacing w:val="-4"/>
        </w:rPr>
        <w:t>日，经中国证券监督管理委员会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75</w:t>
      </w:r>
      <w:r>
        <w:rPr>
          <w:spacing w:val="-4"/>
        </w:rPr>
        <w:t>号</w:t>
      </w:r>
      <w:r>
        <w:rPr>
          <w:rFonts w:ascii="Times New Roman" w:hAnsi="Times New Roman" w:cs="Times New Roman" w:eastAsia="Times New Roman" w:hint="default"/>
          <w:spacing w:val="-4"/>
        </w:rPr>
        <w:t>”</w:t>
      </w:r>
      <w:r>
        <w:rPr>
          <w:spacing w:val="-4"/>
        </w:rPr>
        <w:t>文《关于核准广州卡奴 </w:t>
      </w:r>
      <w:r>
        <w:rPr>
          <w:spacing w:val="-3"/>
          <w:w w:val="100"/>
        </w:rPr>
        <w:t>迪路服饰股份有限公司首次公开发行股票的批复》核准，公司向社会公众公开发行人民币普通股（</w:t>
      </w:r>
      <w:r>
        <w:rPr>
          <w:rFonts w:ascii="Times New Roman" w:hAnsi="Times New Roman" w:cs="Times New Roman" w:eastAsia="Times New Roman" w:hint="default"/>
          <w:spacing w:val="-3"/>
          <w:w w:val="100"/>
        </w:rPr>
        <w:t>A</w:t>
      </w:r>
      <w:r>
        <w:rPr>
          <w:spacing w:val="-3"/>
          <w:w w:val="100"/>
        </w:rPr>
        <w:t>股）。</w:t>
      </w:r>
      <w:r>
        <w:rPr>
          <w:spacing w:val="-99"/>
          <w:w w:val="100"/>
        </w:rPr>
        <w:t> </w:t>
      </w:r>
      <w:r>
        <w:rPr>
          <w:spacing w:val="-99"/>
          <w:w w:val="100"/>
        </w:rPr>
      </w:r>
      <w:r>
        <w:rPr>
          <w:rFonts w:ascii="Times New Roman" w:hAnsi="Times New Roman" w:cs="Times New Roman" w:eastAsia="Times New Roman" w:hint="default"/>
          <w:b/>
          <w:bCs/>
        </w:rPr>
        <w:t>2</w:t>
      </w:r>
      <w:r>
        <w:rPr>
          <w:rFonts w:ascii="宋体" w:hAnsi="宋体" w:cs="宋体" w:eastAsia="宋体" w:hint="default"/>
          <w:b/>
          <w:bCs/>
        </w:rPr>
        <w:t>、业务性质</w:t>
      </w:r>
      <w:r>
        <w:rPr>
          <w:rFonts w:ascii="宋体" w:hAnsi="宋体" w:cs="宋体" w:eastAsia="宋体" w:hint="default"/>
        </w:rPr>
      </w:r>
    </w:p>
    <w:p>
      <w:pPr>
        <w:pStyle w:val="BodyText"/>
        <w:spacing w:line="240" w:lineRule="auto" w:before="64"/>
        <w:ind w:left="533" w:right="0"/>
        <w:jc w:val="left"/>
      </w:pPr>
      <w:r>
        <w:rPr/>
        <w:t>本公司属于服饰批发零售行业。</w:t>
      </w:r>
    </w:p>
    <w:p>
      <w:pPr>
        <w:spacing w:line="240" w:lineRule="auto" w:before="10"/>
        <w:rPr>
          <w:rFonts w:ascii="宋体" w:hAnsi="宋体" w:cs="宋体" w:eastAsia="宋体" w:hint="default"/>
          <w:sz w:val="17"/>
          <w:szCs w:val="17"/>
        </w:rPr>
      </w:pPr>
    </w:p>
    <w:p>
      <w:pPr>
        <w:spacing w:line="420" w:lineRule="auto" w:before="0"/>
        <w:ind w:left="533" w:right="8131" w:hanging="42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、公司经营范围及主要产品</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公司经营范围：</w:t>
      </w:r>
    </w:p>
    <w:p>
      <w:pPr>
        <w:pStyle w:val="BodyText"/>
        <w:spacing w:line="393" w:lineRule="auto" w:before="76"/>
        <w:ind w:right="0" w:firstLine="420"/>
        <w:jc w:val="left"/>
      </w:pPr>
      <w:r>
        <w:rPr/>
        <w:t>一般经营项目：劳动防护用品零售；软件服务；企业管理服务</w:t>
      </w:r>
      <w:r>
        <w:rPr>
          <w:rFonts w:ascii="Times New Roman" w:hAnsi="Times New Roman" w:cs="Times New Roman" w:eastAsia="Times New Roman" w:hint="default"/>
        </w:rPr>
        <w:t>(</w:t>
      </w:r>
      <w:r>
        <w:rPr/>
        <w:t>涉及许可经营项目的除外</w:t>
      </w:r>
      <w:r>
        <w:rPr>
          <w:rFonts w:ascii="Times New Roman" w:hAnsi="Times New Roman" w:cs="Times New Roman" w:eastAsia="Times New Roman" w:hint="default"/>
        </w:rPr>
        <w:t>)</w:t>
      </w:r>
      <w:r>
        <w:rPr/>
        <w:t>；网络技术</w:t>
      </w:r>
      <w:r>
        <w:rPr>
          <w:w w:val="100"/>
        </w:rPr>
        <w:t> </w:t>
      </w:r>
      <w:r>
        <w:rPr>
          <w:spacing w:val="-4"/>
        </w:rPr>
        <w:t>的研究、开发</w:t>
      </w:r>
      <w:r>
        <w:rPr>
          <w:rFonts w:ascii="Times New Roman" w:hAnsi="Times New Roman" w:cs="Times New Roman" w:eastAsia="Times New Roman" w:hint="default"/>
          <w:spacing w:val="-4"/>
        </w:rPr>
        <w:t>;</w:t>
      </w:r>
      <w:r>
        <w:rPr>
          <w:spacing w:val="-4"/>
        </w:rPr>
        <w:t>软件开发；信息系统集成服务；互联网商品销售</w:t>
      </w:r>
      <w:r>
        <w:rPr>
          <w:rFonts w:ascii="Times New Roman" w:hAnsi="Times New Roman" w:cs="Times New Roman" w:eastAsia="Times New Roman" w:hint="default"/>
          <w:spacing w:val="-4"/>
        </w:rPr>
        <w:t>(</w:t>
      </w:r>
      <w:r>
        <w:rPr>
          <w:spacing w:val="-4"/>
        </w:rPr>
        <w:t>许可审批类商品除外</w:t>
      </w:r>
      <w:r>
        <w:rPr>
          <w:rFonts w:ascii="Times New Roman" w:hAnsi="Times New Roman" w:cs="Times New Roman" w:eastAsia="Times New Roman" w:hint="default"/>
          <w:spacing w:val="-4"/>
        </w:rPr>
        <w:t>)</w:t>
      </w:r>
      <w:r>
        <w:rPr>
          <w:spacing w:val="-4"/>
        </w:rPr>
        <w:t>；互联网商品零售</w:t>
      </w:r>
      <w:r>
        <w:rPr>
          <w:rFonts w:ascii="Times New Roman" w:hAnsi="Times New Roman" w:cs="Times New Roman" w:eastAsia="Times New Roman" w:hint="default"/>
          <w:spacing w:val="-4"/>
        </w:rPr>
        <w:t>(</w:t>
      </w:r>
      <w:r>
        <w:rPr>
          <w:spacing w:val="-4"/>
        </w:rPr>
        <w:t>许</w:t>
      </w:r>
      <w:r>
        <w:rPr>
          <w:spacing w:val="-3"/>
        </w:rPr>
        <w:t> </w:t>
      </w:r>
      <w:r>
        <w:rPr>
          <w:spacing w:val="-4"/>
        </w:rPr>
        <w:t>可审批类商品除外</w:t>
      </w:r>
      <w:r>
        <w:rPr>
          <w:rFonts w:ascii="Times New Roman" w:hAnsi="Times New Roman" w:cs="Times New Roman" w:eastAsia="Times New Roman" w:hint="default"/>
          <w:spacing w:val="-4"/>
        </w:rPr>
        <w:t>)</w:t>
      </w:r>
      <w:r>
        <w:rPr>
          <w:spacing w:val="-4"/>
        </w:rPr>
        <w:t>；时装设计服务；包装装潢设计服务；饰物装饰设计服务；模型设计服务；美术图案设</w:t>
      </w:r>
      <w:r>
        <w:rPr>
          <w:spacing w:val="-21"/>
        </w:rPr>
        <w:t> </w:t>
      </w:r>
      <w:r>
        <w:rPr>
          <w:spacing w:val="-21"/>
        </w:rPr>
      </w:r>
      <w:r>
        <w:rPr>
          <w:spacing w:val="-2"/>
        </w:rPr>
        <w:t>计服务；家具设计服务；针织或钩针编织物织造；针织或钩针编织品制造；机织服装制造；针织或钩针编</w:t>
      </w:r>
      <w:r>
        <w:rPr>
          <w:spacing w:val="-43"/>
        </w:rPr>
        <w:t> </w:t>
      </w:r>
      <w:r>
        <w:rPr>
          <w:spacing w:val="-43"/>
        </w:rPr>
      </w:r>
      <w:r>
        <w:rPr/>
        <w:t>织服装制造；服饰制造；皮革服装制造；皮箱、包</w:t>
      </w:r>
      <w:r>
        <w:rPr>
          <w:rFonts w:ascii="Times New Roman" w:hAnsi="Times New Roman" w:cs="Times New Roman" w:eastAsia="Times New Roman" w:hint="default"/>
        </w:rPr>
        <w:t>(</w:t>
      </w:r>
      <w:r>
        <w:rPr/>
        <w:t>袋</w:t>
      </w:r>
      <w:r>
        <w:rPr>
          <w:rFonts w:ascii="Times New Roman" w:hAnsi="Times New Roman" w:cs="Times New Roman" w:eastAsia="Times New Roman" w:hint="default"/>
        </w:rPr>
        <w:t>)</w:t>
      </w:r>
      <w:r>
        <w:rPr/>
        <w:t>制造；皮手套及皮装饰制品制造；其他皮革制品制</w:t>
      </w:r>
      <w:r>
        <w:rPr>
          <w:spacing w:val="-59"/>
        </w:rPr>
        <w:t> </w:t>
      </w:r>
      <w:r>
        <w:rPr>
          <w:spacing w:val="-59"/>
        </w:rPr>
      </w:r>
      <w:r>
        <w:rPr>
          <w:spacing w:val="-1"/>
        </w:rPr>
        <w:t>造；毛皮服装加工；其他毛皮制品加工；羽毛</w:t>
      </w:r>
      <w:r>
        <w:rPr>
          <w:rFonts w:ascii="Times New Roman" w:hAnsi="Times New Roman" w:cs="Times New Roman" w:eastAsia="Times New Roman" w:hint="default"/>
          <w:spacing w:val="-1"/>
        </w:rPr>
        <w:t>(</w:t>
      </w:r>
      <w:r>
        <w:rPr>
          <w:spacing w:val="-1"/>
        </w:rPr>
        <w:t>绒</w:t>
      </w:r>
      <w:r>
        <w:rPr>
          <w:rFonts w:ascii="Times New Roman" w:hAnsi="Times New Roman" w:cs="Times New Roman" w:eastAsia="Times New Roman" w:hint="default"/>
          <w:spacing w:val="-1"/>
        </w:rPr>
        <w:t>)</w:t>
      </w:r>
      <w:r>
        <w:rPr>
          <w:spacing w:val="-1"/>
        </w:rPr>
        <w:t>加工；羽毛</w:t>
      </w:r>
      <w:r>
        <w:rPr>
          <w:rFonts w:ascii="Times New Roman" w:hAnsi="Times New Roman" w:cs="Times New Roman" w:eastAsia="Times New Roman" w:hint="default"/>
          <w:spacing w:val="-1"/>
        </w:rPr>
        <w:t>(</w:t>
      </w:r>
      <w:r>
        <w:rPr>
          <w:spacing w:val="-1"/>
        </w:rPr>
        <w:t>绒</w:t>
      </w:r>
      <w:r>
        <w:rPr>
          <w:rFonts w:ascii="Times New Roman" w:hAnsi="Times New Roman" w:cs="Times New Roman" w:eastAsia="Times New Roman" w:hint="default"/>
          <w:spacing w:val="-1"/>
        </w:rPr>
        <w:t>)</w:t>
      </w:r>
      <w:r>
        <w:rPr>
          <w:spacing w:val="-1"/>
        </w:rPr>
        <w:t>制品加工；纺织面料鞋制造；皮鞋制造；</w:t>
      </w:r>
      <w:r>
        <w:rPr>
          <w:spacing w:val="-51"/>
        </w:rPr>
        <w:t> </w:t>
      </w:r>
      <w:r>
        <w:rPr>
          <w:spacing w:val="-51"/>
        </w:rPr>
      </w:r>
      <w:r>
        <w:rPr>
          <w:spacing w:val="-2"/>
        </w:rPr>
        <w:t>其他制鞋业；珠宝首饰及有关物品制造；化妆品制造；香料、香精制造；纺织品及针织品零售；陶瓷、玻</w:t>
      </w:r>
      <w:r>
        <w:rPr>
          <w:spacing w:val="-48"/>
        </w:rPr>
        <w:t> </w:t>
      </w:r>
      <w:r>
        <w:rPr>
          <w:spacing w:val="-48"/>
        </w:rPr>
      </w:r>
      <w:r>
        <w:rPr>
          <w:spacing w:val="-4"/>
        </w:rPr>
        <w:t>璃器皿批发</w:t>
      </w:r>
      <w:r>
        <w:rPr>
          <w:rFonts w:ascii="Times New Roman" w:hAnsi="Times New Roman" w:cs="Times New Roman" w:eastAsia="Times New Roman" w:hint="default"/>
          <w:spacing w:val="-4"/>
        </w:rPr>
        <w:t>;</w:t>
      </w:r>
      <w:r>
        <w:rPr>
          <w:spacing w:val="-4"/>
        </w:rPr>
        <w:t>电子产品零售；家具批发；帽批发；金属装饰材料零售；钻石首饰零售；鞋批发；陶瓷、玻璃</w:t>
      </w:r>
      <w:r>
        <w:rPr>
          <w:spacing w:val="-13"/>
        </w:rPr>
        <w:t> </w:t>
      </w:r>
      <w:r>
        <w:rPr>
          <w:spacing w:val="-13"/>
        </w:rPr>
      </w:r>
      <w:r>
        <w:rPr>
          <w:spacing w:val="-2"/>
        </w:rPr>
        <w:t>器皿零售；眼镜批发；钟表批发；玩具零售；箱、包零售；灯具零售；树脂及树脂制品批发；家居饰品批</w:t>
      </w:r>
      <w:r>
        <w:rPr>
          <w:spacing w:val="-49"/>
        </w:rPr>
        <w:t> </w:t>
      </w:r>
      <w:r>
        <w:rPr>
          <w:spacing w:val="-49"/>
        </w:rPr>
      </w:r>
      <w:r>
        <w:rPr/>
        <w:t>发；木制、塑料、皮革日用品零售；望远镜零售；清洁用品批发；文具用品零售；皮革及皮革制品批发；</w:t>
      </w:r>
      <w:r>
        <w:rPr>
          <w:spacing w:val="-24"/>
        </w:rPr>
        <w:t> </w:t>
      </w:r>
      <w:r>
        <w:rPr>
          <w:spacing w:val="-24"/>
        </w:rPr>
      </w:r>
      <w:r>
        <w:rPr>
          <w:spacing w:val="-4"/>
        </w:rPr>
        <w:t>百货零售</w:t>
      </w:r>
      <w:r>
        <w:rPr>
          <w:rFonts w:ascii="Times New Roman" w:hAnsi="Times New Roman" w:cs="Times New Roman" w:eastAsia="Times New Roman" w:hint="default"/>
          <w:spacing w:val="-4"/>
        </w:rPr>
        <w:t>(</w:t>
      </w:r>
      <w:r>
        <w:rPr>
          <w:spacing w:val="-4"/>
        </w:rPr>
        <w:t>食品零售除外</w:t>
      </w:r>
      <w:r>
        <w:rPr>
          <w:rFonts w:ascii="Times New Roman" w:hAnsi="Times New Roman" w:cs="Times New Roman" w:eastAsia="Times New Roman" w:hint="default"/>
          <w:spacing w:val="-4"/>
        </w:rPr>
        <w:t>)</w:t>
      </w:r>
      <w:r>
        <w:rPr>
          <w:spacing w:val="-4"/>
        </w:rPr>
        <w:t>；其他文化娱乐用品批发；物业管理；场地租赁</w:t>
      </w:r>
      <w:r>
        <w:rPr>
          <w:rFonts w:ascii="Times New Roman" w:hAnsi="Times New Roman" w:cs="Times New Roman" w:eastAsia="Times New Roman" w:hint="default"/>
          <w:spacing w:val="-4"/>
        </w:rPr>
        <w:t>(</w:t>
      </w:r>
      <w:r>
        <w:rPr>
          <w:spacing w:val="-4"/>
        </w:rPr>
        <w:t>不含仓储</w:t>
      </w:r>
      <w:r>
        <w:rPr>
          <w:rFonts w:ascii="Times New Roman" w:hAnsi="Times New Roman" w:cs="Times New Roman" w:eastAsia="Times New Roman" w:hint="default"/>
          <w:spacing w:val="-4"/>
        </w:rPr>
        <w:t>)</w:t>
      </w:r>
      <w:r>
        <w:rPr>
          <w:spacing w:val="-4"/>
        </w:rPr>
        <w:t>；日用器皿及日用杂货</w:t>
      </w:r>
      <w:r>
        <w:rPr>
          <w:spacing w:val="-20"/>
        </w:rPr>
        <w:t> </w:t>
      </w:r>
      <w:r>
        <w:rPr>
          <w:spacing w:val="-20"/>
        </w:rPr>
      </w:r>
      <w:r>
        <w:rPr>
          <w:spacing w:val="-4"/>
        </w:rPr>
        <w:t>批发；陶瓷装饰材料零售；服装零售；纺织品、针织品及原料批发；箱、包批发；商品批发贸易</w:t>
      </w:r>
      <w:r>
        <w:rPr>
          <w:rFonts w:ascii="Times New Roman" w:hAnsi="Times New Roman" w:cs="Times New Roman" w:eastAsia="Times New Roman" w:hint="default"/>
          <w:spacing w:val="-4"/>
        </w:rPr>
        <w:t>(</w:t>
      </w:r>
      <w:r>
        <w:rPr>
          <w:spacing w:val="-4"/>
        </w:rPr>
        <w:t>许可审批</w:t>
      </w:r>
    </w:p>
    <w:p>
      <w:pPr>
        <w:spacing w:after="0" w:line="393"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0" w:lineRule="auto" w:before="36"/>
        <w:ind w:right="0"/>
        <w:jc w:val="left"/>
      </w:pPr>
      <w:r>
        <w:rPr>
          <w:spacing w:val="-4"/>
        </w:rPr>
        <w:t>类商品除外</w:t>
      </w:r>
      <w:r>
        <w:rPr>
          <w:rFonts w:ascii="Times New Roman" w:hAnsi="Times New Roman" w:cs="Times New Roman" w:eastAsia="Times New Roman" w:hint="default"/>
          <w:spacing w:val="-4"/>
        </w:rPr>
        <w:t>)</w:t>
      </w:r>
      <w:r>
        <w:rPr>
          <w:spacing w:val="-4"/>
        </w:rPr>
        <w:t>；家具零售；鞋零售；工艺美术品零售；钟表零售；小饰物、小礼品零售；眼镜零售；文具用</w:t>
      </w:r>
      <w:r>
        <w:rPr>
          <w:spacing w:val="-25"/>
        </w:rPr>
        <w:t> </w:t>
      </w:r>
      <w:r>
        <w:rPr>
          <w:spacing w:val="-25"/>
        </w:rPr>
      </w:r>
      <w:r>
        <w:rPr>
          <w:spacing w:val="-7"/>
        </w:rPr>
        <w:t>品批发；房屋租赁；化妆品及卫生用品零售；体育用品及器材零售；包装材料的销售；日用杂品综合零售；</w:t>
      </w:r>
      <w:r>
        <w:rPr>
          <w:spacing w:val="-21"/>
        </w:rPr>
        <w:t> </w:t>
      </w:r>
      <w:r>
        <w:rPr>
          <w:spacing w:val="-21"/>
        </w:rPr>
      </w:r>
      <w:r>
        <w:rPr/>
        <w:t>钻石饰品批发；日用灯具零售；化妆品及卫生用品批发；树脂及树脂制品零售；清扫、清洗日用品零售；</w:t>
      </w:r>
      <w:r>
        <w:rPr>
          <w:spacing w:val="-24"/>
        </w:rPr>
        <w:t> </w:t>
      </w:r>
      <w:r>
        <w:rPr>
          <w:spacing w:val="-24"/>
        </w:rPr>
      </w:r>
      <w:r>
        <w:rPr/>
        <w:t>木质装饰材料零售；货物进出口</w:t>
      </w:r>
      <w:r>
        <w:rPr>
          <w:rFonts w:ascii="Times New Roman" w:hAnsi="Times New Roman" w:cs="Times New Roman" w:eastAsia="Times New Roman" w:hint="default"/>
        </w:rPr>
        <w:t>(</w:t>
      </w:r>
      <w:r>
        <w:rPr/>
        <w:t>专营专控商品除外</w:t>
      </w:r>
      <w:r>
        <w:rPr>
          <w:rFonts w:ascii="Times New Roman" w:hAnsi="Times New Roman" w:cs="Times New Roman" w:eastAsia="Times New Roman" w:hint="default"/>
        </w:rPr>
        <w:t>)</w:t>
      </w:r>
      <w:r>
        <w:rPr/>
        <w:t>；帽零售</w:t>
      </w:r>
      <w:r>
        <w:rPr>
          <w:rFonts w:ascii="Times New Roman" w:hAnsi="Times New Roman" w:cs="Times New Roman" w:eastAsia="Times New Roman" w:hint="default"/>
        </w:rPr>
        <w:t>;</w:t>
      </w:r>
      <w:r>
        <w:rPr/>
        <w:t>技术进出口；服装批发；礼品鲜花零售；自</w:t>
      </w:r>
      <w:r>
        <w:rPr>
          <w:w w:val="100"/>
        </w:rPr>
        <w:t> </w:t>
      </w:r>
      <w:r>
        <w:rPr>
          <w:spacing w:val="-7"/>
        </w:rPr>
        <w:t>有房地产经营活动；普通劳动防护用品制造；劳动防护用品批发；劳动防护用品研究、设计服务；针织品、</w:t>
      </w:r>
      <w:r>
        <w:rPr>
          <w:spacing w:val="-25"/>
        </w:rPr>
        <w:t> </w:t>
      </w:r>
      <w:r>
        <w:rPr>
          <w:spacing w:val="-25"/>
        </w:rPr>
      </w:r>
      <w:r>
        <w:rPr/>
        <w:t>纺织品、服装的检测；物联网服务。</w:t>
      </w:r>
    </w:p>
    <w:p>
      <w:pPr>
        <w:pStyle w:val="BodyText"/>
        <w:spacing w:line="398" w:lineRule="auto" w:before="93"/>
        <w:ind w:right="1128" w:firstLine="420"/>
        <w:jc w:val="both"/>
      </w:pPr>
      <w:r>
        <w:rPr>
          <w:spacing w:val="-11"/>
          <w:w w:val="100"/>
        </w:rPr>
        <w:t>许可经营项目：物联网服务；互联网金融信息服务（根据国家规定需要审批的，获得审批后方可经营）。</w:t>
      </w:r>
      <w:r>
        <w:rPr>
          <w:w w:val="100"/>
        </w:rPr>
        <w:t> </w:t>
      </w:r>
      <w:r>
        <w:rPr>
          <w:spacing w:val="-3"/>
        </w:rPr>
        <w:t>本公司的主要产品：卡奴迪路</w:t>
      </w:r>
      <w:r>
        <w:rPr>
          <w:rFonts w:ascii="Times New Roman" w:hAnsi="Times New Roman" w:cs="Times New Roman" w:eastAsia="Times New Roman" w:hint="default"/>
          <w:spacing w:val="-3"/>
        </w:rPr>
        <w:t>CANUDILO</w:t>
      </w:r>
      <w:r>
        <w:rPr>
          <w:spacing w:val="-3"/>
        </w:rPr>
        <w:t>高级男装服饰，包括商旅、假日两大系列，按品类分为西装、衬</w:t>
      </w:r>
      <w:r>
        <w:rPr>
          <w:spacing w:val="-40"/>
        </w:rPr>
        <w:t> </w:t>
      </w:r>
      <w:r>
        <w:rPr>
          <w:spacing w:val="-40"/>
        </w:rPr>
      </w:r>
      <w:r>
        <w:rPr/>
        <w:t>衫、夹克风衣、</w:t>
      </w:r>
      <w:r>
        <w:rPr>
          <w:rFonts w:ascii="Times New Roman" w:hAnsi="Times New Roman" w:cs="Times New Roman" w:eastAsia="Times New Roman" w:hint="default"/>
        </w:rPr>
        <w:t>T</w:t>
      </w:r>
      <w:r>
        <w:rPr/>
        <w:t>恤、裤子、裘皮、棉褛、皮具和饰品等九大类。</w:t>
      </w:r>
    </w:p>
    <w:p>
      <w:pPr>
        <w:spacing w:line="420" w:lineRule="auto" w:before="62"/>
        <w:ind w:left="533" w:right="499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、公司法定地址</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公司住所是广州市黄埔区科学城光谱中路</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号。</w:t>
      </w:r>
      <w:r>
        <w:rPr>
          <w:rFonts w:ascii="宋体" w:hAnsi="宋体" w:cs="宋体" w:eastAsia="宋体" w:hint="default"/>
          <w:sz w:val="21"/>
          <w:szCs w:val="21"/>
        </w:rPr>
      </w:r>
    </w:p>
    <w:p>
      <w:pPr>
        <w:spacing w:line="417" w:lineRule="auto" w:before="43"/>
        <w:ind w:left="533" w:right="499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、财务报告的批准报出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本财务报告于</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日经公司董事会批准报出。</w:t>
      </w:r>
    </w:p>
    <w:p>
      <w:pPr>
        <w:spacing w:line="420" w:lineRule="auto" w:before="46"/>
        <w:ind w:left="53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、本期的合并财务报表范围</w:t>
      </w:r>
      <w:r>
        <w:rPr>
          <w:rFonts w:ascii="宋体" w:hAnsi="宋体" w:cs="宋体" w:eastAsia="宋体" w:hint="default"/>
          <w:b/>
          <w:bCs/>
          <w:w w:val="100"/>
          <w:sz w:val="21"/>
          <w:szCs w:val="21"/>
        </w:rPr>
        <w:t> </w:t>
      </w:r>
      <w:r>
        <w:rPr>
          <w:rFonts w:ascii="宋体" w:hAnsi="宋体" w:cs="宋体" w:eastAsia="宋体" w:hint="default"/>
          <w:spacing w:val="-2"/>
          <w:sz w:val="21"/>
          <w:szCs w:val="21"/>
        </w:rPr>
        <w:t>公司纳入合并范围的子公司为：广州狮丹贸易有限公司、山南卡奴迪路商贸有限公司、广州卡奴迪路</w:t>
      </w:r>
    </w:p>
    <w:p>
      <w:pPr>
        <w:pStyle w:val="BodyText"/>
        <w:spacing w:line="403" w:lineRule="auto" w:before="36"/>
        <w:ind w:right="0"/>
        <w:jc w:val="left"/>
      </w:pPr>
      <w:r>
        <w:rPr>
          <w:spacing w:val="-2"/>
        </w:rPr>
        <w:t>国际品牌管理有限公司、卡奴迪路服饰股份（香港）有限公司、摩登大道品牌管理有限公司、卡奴迪路国</w:t>
      </w:r>
      <w:r>
        <w:rPr>
          <w:spacing w:val="-43"/>
        </w:rPr>
        <w:t> </w:t>
      </w:r>
      <w:r>
        <w:rPr>
          <w:spacing w:val="-43"/>
        </w:rPr>
      </w:r>
      <w:r>
        <w:rPr>
          <w:spacing w:val="-9"/>
          <w:w w:val="100"/>
        </w:rPr>
        <w:t>际有限公司、德克彼肯伯格斯国际品牌有限公司、</w:t>
      </w:r>
      <w:r>
        <w:rPr>
          <w:rFonts w:ascii="Times New Roman" w:hAnsi="Times New Roman" w:cs="Times New Roman" w:eastAsia="Times New Roman" w:hint="default"/>
          <w:spacing w:val="-9"/>
          <w:w w:val="100"/>
        </w:rPr>
        <w:t>LEVITAS</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20"/>
          <w:w w:val="100"/>
        </w:rPr>
        <w:t>S.P.A.</w:t>
      </w:r>
      <w:r>
        <w:rPr>
          <w:spacing w:val="-20"/>
          <w:w w:val="100"/>
        </w:rPr>
        <w:t>、摩登大道投资（香港）有限公司、</w:t>
      </w:r>
      <w:r>
        <w:rPr>
          <w:rFonts w:ascii="Times New Roman" w:hAnsi="Times New Roman" w:cs="Times New Roman" w:eastAsia="Times New Roman" w:hint="default"/>
          <w:spacing w:val="-20"/>
          <w:w w:val="100"/>
        </w:rPr>
        <w:t>X</w:t>
      </w:r>
      <w:r>
        <w:rPr>
          <w:rFonts w:ascii="Times New Roman" w:hAnsi="Times New Roman" w:cs="Times New Roman" w:eastAsia="Times New Roman" w:hint="default"/>
          <w:spacing w:val="-8"/>
          <w:w w:val="100"/>
        </w:rPr>
        <w:t> </w:t>
      </w:r>
      <w:r>
        <w:rPr>
          <w:rFonts w:ascii="Times New Roman" w:hAnsi="Times New Roman" w:cs="Times New Roman" w:eastAsia="Times New Roman" w:hint="default"/>
          <w:spacing w:val="-5"/>
          <w:w w:val="100"/>
        </w:rPr>
        <w:t>SPACE</w:t>
      </w:r>
      <w:r>
        <w:rPr>
          <w:rFonts w:ascii="Times New Roman" w:hAnsi="Times New Roman" w:cs="Times New Roman" w:eastAsia="Times New Roman" w:hint="default"/>
          <w:spacing w:val="-41"/>
          <w:w w:val="100"/>
        </w:rPr>
        <w:t> </w:t>
      </w:r>
      <w:r>
        <w:rPr>
          <w:rFonts w:ascii="Times New Roman" w:hAnsi="Times New Roman" w:cs="Times New Roman" w:eastAsia="Times New Roman" w:hint="default"/>
          <w:spacing w:val="-41"/>
          <w:w w:val="100"/>
        </w:rPr>
      </w:r>
      <w:r>
        <w:rPr>
          <w:rFonts w:ascii="Times New Roman" w:hAnsi="Times New Roman" w:cs="Times New Roman" w:eastAsia="Times New Roman" w:hint="default"/>
        </w:rPr>
        <w:t>S.R.L.</w:t>
      </w:r>
      <w:r>
        <w:rPr/>
        <w:t>、广州连卡悦圆发展有限公司、杭州连卡恒福品牌管理有限公司、广州连卡福名品管理有限公司、</w:t>
      </w:r>
      <w:r>
        <w:rPr>
          <w:spacing w:val="-42"/>
        </w:rPr>
        <w:t> </w:t>
      </w:r>
      <w:r>
        <w:rPr>
          <w:spacing w:val="-42"/>
        </w:rPr>
      </w:r>
      <w:r>
        <w:rPr>
          <w:spacing w:val="-2"/>
        </w:rPr>
        <w:t>广州摩登大道贸易有限公司、摩登大道时尚电子商务有限公司、广州连卡新技术开发有限公司、广州中侨</w:t>
      </w:r>
      <w:r>
        <w:rPr>
          <w:spacing w:val="-44"/>
        </w:rPr>
        <w:t> </w:t>
      </w:r>
      <w:r>
        <w:rPr>
          <w:spacing w:val="-44"/>
        </w:rPr>
      </w:r>
      <w:r>
        <w:rPr>
          <w:spacing w:val="-2"/>
        </w:rPr>
        <w:t>汇免税品有限公司、摩登大道时尚传媒有限公司、广州摩登魔镜时尚科技有限公司、铂金国际时尚集合有</w:t>
      </w:r>
      <w:r>
        <w:rPr>
          <w:spacing w:val="-42"/>
        </w:rPr>
        <w:t> </w:t>
      </w:r>
      <w:r>
        <w:rPr>
          <w:spacing w:val="-42"/>
        </w:rPr>
      </w:r>
      <w:r>
        <w:rPr/>
        <w:t>限公司、乐福仕实业有限公司、广州伊韵电子商贸有限公司、骏优集团有限公司、美年电子商贸（广州）</w:t>
      </w:r>
      <w:r>
        <w:rPr>
          <w:spacing w:val="-24"/>
        </w:rPr>
        <w:t> </w:t>
      </w:r>
      <w:r>
        <w:rPr>
          <w:spacing w:val="-24"/>
        </w:rPr>
      </w:r>
      <w:r>
        <w:rPr>
          <w:spacing w:val="-2"/>
        </w:rPr>
        <w:t>有限公司、广州美年科技有限公司、广州天美电子商贸有限公司、广州摩登时尚鞋业有限公司、武汉悦然</w:t>
      </w:r>
      <w:r>
        <w:rPr>
          <w:spacing w:val="-50"/>
        </w:rPr>
        <w:t> </w:t>
      </w:r>
      <w:r>
        <w:rPr>
          <w:spacing w:val="-50"/>
        </w:rPr>
      </w:r>
      <w:r>
        <w:rPr>
          <w:spacing w:val="-2"/>
        </w:rPr>
        <w:t>心动网络科技有限公司、武汉威震天网络科技有限公司、武汉乐玩互动网络科技有限公司、武汉乐享无限</w:t>
      </w:r>
      <w:r>
        <w:rPr>
          <w:spacing w:val="-44"/>
        </w:rPr>
        <w:t> </w:t>
      </w:r>
      <w:r>
        <w:rPr>
          <w:spacing w:val="-44"/>
        </w:rPr>
      </w:r>
      <w:r>
        <w:rPr>
          <w:spacing w:val="-2"/>
        </w:rPr>
        <w:t>网络科技有限公司、山南快乐无限网络科技有限公司、霍尔果斯欢乐无限网络科技有限公司、香港威震天</w:t>
      </w:r>
      <w:r>
        <w:rPr>
          <w:spacing w:val="-43"/>
        </w:rPr>
        <w:t> </w:t>
      </w:r>
      <w:r>
        <w:rPr>
          <w:spacing w:val="-43"/>
        </w:rPr>
      </w:r>
      <w:r>
        <w:rPr>
          <w:spacing w:val="-2"/>
        </w:rPr>
        <w:t>网络科技有限公司、香港悦然心动网络科技有限公司、香港一方网络科技有限公司、香港欢乐无限网络科</w:t>
      </w:r>
      <w:r>
        <w:rPr>
          <w:spacing w:val="-42"/>
        </w:rPr>
        <w:t> </w:t>
      </w:r>
      <w:r>
        <w:rPr>
          <w:spacing w:val="-42"/>
        </w:rPr>
      </w:r>
      <w:r>
        <w:rPr>
          <w:spacing w:val="-5"/>
        </w:rPr>
        <w:t>技有限公司、香港乐享无限网络科技有限公司。详见本附注九、在其他主体中的权益</w:t>
      </w:r>
      <w:r>
        <w:rPr>
          <w:rFonts w:ascii="Times New Roman" w:hAnsi="Times New Roman" w:cs="Times New Roman" w:eastAsia="Times New Roman" w:hint="default"/>
          <w:spacing w:val="-5"/>
        </w:rPr>
        <w:t>1</w:t>
      </w:r>
      <w:r>
        <w:rPr>
          <w:spacing w:val="-5"/>
        </w:rPr>
        <w:t>、企业集团的构成。</w:t>
      </w:r>
    </w:p>
    <w:p>
      <w:pPr>
        <w:pStyle w:val="Heading4"/>
        <w:spacing w:line="247" w:lineRule="exact"/>
        <w:ind w:right="0"/>
        <w:jc w:val="left"/>
        <w:rPr>
          <w:b w:val="0"/>
          <w:bCs w:val="0"/>
        </w:rPr>
      </w:pPr>
      <w:r>
        <w:rPr>
          <w:rFonts w:ascii="Times New Roman" w:hAnsi="Times New Roman" w:cs="Times New Roman" w:eastAsia="Times New Roman" w:hint="default"/>
        </w:rPr>
        <w:t>2</w:t>
      </w:r>
      <w:r>
        <w:rPr/>
        <w:t>、本期的合并财务报表范围变化情况</w:t>
      </w:r>
      <w:r>
        <w:rPr>
          <w:b w:val="0"/>
          <w:bCs w:val="0"/>
        </w:rPr>
      </w:r>
    </w:p>
    <w:p>
      <w:pPr>
        <w:spacing w:line="240" w:lineRule="auto" w:before="10"/>
        <w:rPr>
          <w:rFonts w:ascii="宋体" w:hAnsi="宋体" w:cs="宋体" w:eastAsia="宋体" w:hint="default"/>
          <w:b/>
          <w:bCs/>
          <w:sz w:val="19"/>
          <w:szCs w:val="19"/>
        </w:rPr>
      </w:pPr>
    </w:p>
    <w:p>
      <w:pPr>
        <w:pStyle w:val="BodyText"/>
        <w:spacing w:line="386" w:lineRule="auto"/>
        <w:ind w:right="0" w:firstLine="314"/>
        <w:jc w:val="left"/>
      </w:pPr>
      <w:r>
        <w:rPr/>
        <w:t>（</w:t>
      </w:r>
      <w:r>
        <w:rPr>
          <w:rFonts w:ascii="Times New Roman" w:hAnsi="Times New Roman" w:cs="Times New Roman" w:eastAsia="Times New Roman" w:hint="default"/>
        </w:rPr>
        <w:t>1</w:t>
      </w:r>
      <w:r>
        <w:rPr/>
        <w:t>）合并范围增加：香港一方网络科技有限公司、骏优集团有限公司为非同一控制下合并的子公司，</w:t>
      </w:r>
      <w:r>
        <w:rPr>
          <w:w w:val="100"/>
        </w:rPr>
        <w:t> </w:t>
      </w:r>
      <w:r>
        <w:rPr>
          <w:spacing w:val="-2"/>
        </w:rPr>
        <w:t>自合并日起纳入合并范围；广州伊韵电子商贸有限公司、美年电子商贸（广州）有限公司、广州美年科技</w:t>
      </w:r>
    </w:p>
    <w:p>
      <w:pPr>
        <w:spacing w:after="0" w:line="386"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left="213" w:right="953"/>
        <w:jc w:val="left"/>
      </w:pPr>
      <w:r>
        <w:rPr>
          <w:spacing w:val="-3"/>
        </w:rPr>
        <w:t>有限公司、广州天美电子商贸有限公司、广州摩登时尚鞋业有限公司、</w:t>
      </w:r>
      <w:r>
        <w:rPr>
          <w:rFonts w:ascii="Times New Roman" w:hAnsi="Times New Roman" w:cs="Times New Roman" w:eastAsia="Times New Roman" w:hint="default"/>
          <w:spacing w:val="-3"/>
        </w:rPr>
        <w:t>EBC,INC.</w:t>
      </w:r>
      <w:r>
        <w:rPr>
          <w:spacing w:val="-3"/>
        </w:rPr>
        <w:t>、武汉乐玩互动网络科技</w:t>
      </w:r>
      <w:r>
        <w:rPr>
          <w:spacing w:val="-24"/>
        </w:rPr>
        <w:t> </w:t>
      </w:r>
      <w:r>
        <w:rPr>
          <w:spacing w:val="-24"/>
        </w:rPr>
      </w:r>
      <w:r>
        <w:rPr/>
        <w:t>有限公司为公司的控股孙公司，自成立日起纳入合并范围。</w:t>
      </w:r>
    </w:p>
    <w:p>
      <w:pPr>
        <w:pStyle w:val="BodyText"/>
        <w:spacing w:line="417" w:lineRule="auto" w:before="106"/>
        <w:ind w:left="633" w:right="953" w:hanging="106"/>
        <w:jc w:val="left"/>
      </w:pPr>
      <w:r>
        <w:rPr>
          <w:spacing w:val="-2"/>
        </w:rPr>
        <w:t>（</w:t>
      </w:r>
      <w:r>
        <w:rPr>
          <w:rFonts w:ascii="Times New Roman" w:hAnsi="Times New Roman" w:cs="Times New Roman" w:eastAsia="Times New Roman" w:hint="default"/>
          <w:spacing w:val="-2"/>
        </w:rPr>
        <w:t>2</w:t>
      </w:r>
      <w:r>
        <w:rPr>
          <w:spacing w:val="-2"/>
        </w:rPr>
        <w:t>）合并范围减少：</w:t>
      </w:r>
      <w:r>
        <w:rPr>
          <w:rFonts w:ascii="Times New Roman" w:hAnsi="Times New Roman" w:cs="Times New Roman" w:eastAsia="Times New Roman" w:hint="default"/>
          <w:spacing w:val="-2"/>
        </w:rPr>
        <w:t>EBC,INC.</w:t>
      </w:r>
      <w:r>
        <w:rPr>
          <w:spacing w:val="-2"/>
        </w:rPr>
        <w:t>自注销日起不再纳入合并范围。</w:t>
      </w:r>
      <w:r>
        <w:rPr>
          <w:spacing w:val="-45"/>
        </w:rPr>
        <w:t> </w:t>
      </w:r>
      <w:r>
        <w:rPr>
          <w:spacing w:val="-45"/>
        </w:rPr>
      </w:r>
      <w:r>
        <w:rPr/>
        <w:t>详细情况见本附注八、合并范围的变更。</w:t>
      </w:r>
    </w:p>
    <w:p>
      <w:pPr>
        <w:spacing w:line="240" w:lineRule="auto" w:before="0"/>
        <w:rPr>
          <w:rFonts w:ascii="宋体" w:hAnsi="宋体" w:cs="宋体" w:eastAsia="宋体" w:hint="default"/>
          <w:sz w:val="18"/>
          <w:szCs w:val="18"/>
        </w:rPr>
      </w:pPr>
    </w:p>
    <w:p>
      <w:pPr>
        <w:pStyle w:val="Heading2"/>
        <w:spacing w:line="240" w:lineRule="auto"/>
        <w:ind w:left="213" w:right="95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13" w:right="95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left="213" w:right="1126" w:firstLine="420"/>
        <w:jc w:val="both"/>
      </w:pPr>
      <w:r>
        <w:rPr>
          <w:spacing w:val="-2"/>
        </w:rPr>
        <w:t>本公司财务报表以持续经营假设为基础，根据实际发生的交易和事项，按照财政部发布的《企业会计</w:t>
      </w:r>
      <w:r>
        <w:rPr>
          <w:w w:val="100"/>
        </w:rPr>
        <w:t> </w:t>
      </w:r>
      <w:r>
        <w:rPr>
          <w:spacing w:val="-7"/>
          <w:w w:val="100"/>
        </w:rPr>
        <w:t>准则</w:t>
      </w:r>
      <w:r>
        <w:rPr>
          <w:rFonts w:ascii="Times New Roman" w:hAnsi="Times New Roman" w:cs="Times New Roman" w:eastAsia="Times New Roman" w:hint="default"/>
          <w:spacing w:val="-7"/>
          <w:w w:val="100"/>
        </w:rPr>
        <w:t>——</w:t>
      </w:r>
      <w:r>
        <w:rPr>
          <w:spacing w:val="-7"/>
          <w:w w:val="100"/>
        </w:rPr>
        <w:t>基本准则》（财政部令第</w:t>
      </w:r>
      <w:r>
        <w:rPr>
          <w:w w:val="100"/>
        </w:rPr>
        <w:t> </w:t>
      </w:r>
      <w:r>
        <w:rPr>
          <w:rFonts w:ascii="Times New Roman" w:hAnsi="Times New Roman" w:cs="Times New Roman" w:eastAsia="Times New Roman" w:hint="default"/>
          <w:w w:val="100"/>
        </w:rPr>
        <w:t>33 </w:t>
      </w:r>
      <w:r>
        <w:rPr>
          <w:w w:val="100"/>
        </w:rPr>
        <w:t>号发布、财政部令第 </w:t>
      </w:r>
      <w:r>
        <w:rPr>
          <w:rFonts w:ascii="Times New Roman" w:hAnsi="Times New Roman" w:cs="Times New Roman" w:eastAsia="Times New Roman" w:hint="default"/>
          <w:w w:val="100"/>
        </w:rPr>
        <w:t>76 </w:t>
      </w:r>
      <w:r>
        <w:rPr>
          <w:spacing w:val="-17"/>
          <w:w w:val="100"/>
        </w:rPr>
        <w:t>号修订）、于</w:t>
      </w:r>
      <w:r>
        <w:rPr>
          <w:w w:val="100"/>
        </w:rPr>
        <w:t> </w:t>
      </w:r>
      <w:r>
        <w:rPr>
          <w:rFonts w:ascii="Times New Roman" w:hAnsi="Times New Roman" w:cs="Times New Roman" w:eastAsia="Times New Roman" w:hint="default"/>
          <w:spacing w:val="-1"/>
          <w:w w:val="100"/>
        </w:rPr>
        <w:t>2006</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2 </w:t>
      </w:r>
      <w:r>
        <w:rPr>
          <w:w w:val="100"/>
        </w:rPr>
        <w:t>月 </w:t>
      </w:r>
      <w:r>
        <w:rPr>
          <w:rFonts w:ascii="Times New Roman" w:hAnsi="Times New Roman" w:cs="Times New Roman" w:eastAsia="Times New Roman" w:hint="default"/>
          <w:spacing w:val="-2"/>
          <w:w w:val="100"/>
        </w:rPr>
        <w:t>15</w:t>
      </w:r>
      <w:r>
        <w:rPr>
          <w:rFonts w:ascii="Times New Roman" w:hAnsi="Times New Roman" w:cs="Times New Roman" w:eastAsia="Times New Roman" w:hint="default"/>
          <w:w w:val="100"/>
        </w:rPr>
        <w:t> </w:t>
      </w:r>
      <w:r>
        <w:rPr>
          <w:rFonts w:ascii="Times New Roman" w:hAnsi="Times New Roman" w:cs="Times New Roman" w:eastAsia="Times New Roman" w:hint="default"/>
          <w:spacing w:val="24"/>
          <w:w w:val="100"/>
        </w:rPr>
        <w:t> </w:t>
      </w:r>
      <w:r>
        <w:rPr>
          <w:w w:val="100"/>
        </w:rPr>
        <w:t>日及其后颁</w:t>
      </w:r>
    </w:p>
    <w:p>
      <w:pPr>
        <w:pStyle w:val="BodyText"/>
        <w:spacing w:line="240" w:lineRule="auto" w:before="12"/>
        <w:ind w:left="213" w:right="953"/>
        <w:jc w:val="left"/>
      </w:pPr>
      <w:r>
        <w:rPr/>
        <w:t>布和修订的 </w:t>
      </w:r>
      <w:r>
        <w:rPr>
          <w:rFonts w:ascii="Times New Roman" w:hAnsi="Times New Roman" w:cs="Times New Roman" w:eastAsia="Times New Roman" w:hint="default"/>
        </w:rPr>
        <w:t>42</w:t>
      </w:r>
      <w:r>
        <w:rPr>
          <w:rFonts w:ascii="Times New Roman" w:hAnsi="Times New Roman" w:cs="Times New Roman" w:eastAsia="Times New Roman" w:hint="default"/>
          <w:spacing w:val="27"/>
        </w:rPr>
        <w:t> </w:t>
      </w:r>
      <w:r>
        <w:rPr/>
        <w:t>项具体会计准则、企业会计准则应用指南、企业会计准则解释及其他相关规定（以下合称</w:t>
      </w:r>
    </w:p>
    <w:p>
      <w:pPr>
        <w:pStyle w:val="BodyText"/>
        <w:spacing w:line="386" w:lineRule="auto" w:before="177"/>
        <w:ind w:left="213" w:right="1123" w:hanging="107"/>
        <w:jc w:val="left"/>
      </w:pPr>
      <w:r>
        <w:rPr>
          <w:w w:val="100"/>
        </w:rPr>
        <w:t>“企</w:t>
      </w:r>
      <w:r>
        <w:rPr>
          <w:spacing w:val="-3"/>
          <w:w w:val="100"/>
        </w:rPr>
        <w:t>业</w:t>
      </w:r>
      <w:r>
        <w:rPr>
          <w:w w:val="100"/>
        </w:rPr>
        <w:t>会</w:t>
      </w:r>
      <w:r>
        <w:rPr>
          <w:spacing w:val="-3"/>
          <w:w w:val="100"/>
        </w:rPr>
        <w:t>计</w:t>
      </w:r>
      <w:r>
        <w:rPr>
          <w:w w:val="100"/>
        </w:rPr>
        <w:t>准则</w:t>
      </w:r>
      <w:r>
        <w:rPr>
          <w:spacing w:val="-108"/>
          <w:w w:val="100"/>
        </w:rPr>
        <w:t>”</w:t>
      </w:r>
      <w:r>
        <w:rPr>
          <w:spacing w:val="-106"/>
          <w:w w:val="100"/>
        </w:rPr>
        <w:t>）</w:t>
      </w:r>
      <w:r>
        <w:rPr>
          <w:spacing w:val="-44"/>
          <w:w w:val="100"/>
        </w:rPr>
        <w:t>，</w:t>
      </w:r>
      <w:r>
        <w:rPr>
          <w:spacing w:val="-3"/>
          <w:w w:val="100"/>
        </w:rPr>
        <w:t>以</w:t>
      </w:r>
      <w:r>
        <w:rPr>
          <w:w w:val="100"/>
        </w:rPr>
        <w:t>及</w:t>
      </w:r>
      <w:r>
        <w:rPr>
          <w:spacing w:val="-3"/>
          <w:w w:val="100"/>
        </w:rPr>
        <w:t>中</w:t>
      </w:r>
      <w:r>
        <w:rPr>
          <w:w w:val="100"/>
        </w:rPr>
        <w:t>国证</w:t>
      </w:r>
      <w:r>
        <w:rPr>
          <w:spacing w:val="-3"/>
          <w:w w:val="100"/>
        </w:rPr>
        <w:t>券</w:t>
      </w:r>
      <w:r>
        <w:rPr>
          <w:w w:val="100"/>
        </w:rPr>
        <w:t>监</w:t>
      </w:r>
      <w:r>
        <w:rPr>
          <w:spacing w:val="-3"/>
          <w:w w:val="100"/>
        </w:rPr>
        <w:t>督</w:t>
      </w:r>
      <w:r>
        <w:rPr>
          <w:w w:val="100"/>
        </w:rPr>
        <w:t>管</w:t>
      </w:r>
      <w:r>
        <w:rPr>
          <w:spacing w:val="-3"/>
          <w:w w:val="100"/>
        </w:rPr>
        <w:t>理</w:t>
      </w:r>
      <w:r>
        <w:rPr>
          <w:w w:val="100"/>
        </w:rPr>
        <w:t>委</w:t>
      </w:r>
      <w:r>
        <w:rPr>
          <w:spacing w:val="-3"/>
          <w:w w:val="100"/>
        </w:rPr>
        <w:t>员</w:t>
      </w:r>
      <w:r>
        <w:rPr>
          <w:spacing w:val="-44"/>
          <w:w w:val="100"/>
        </w:rPr>
        <w:t>会</w:t>
      </w:r>
      <w:r>
        <w:rPr>
          <w:spacing w:val="-3"/>
          <w:w w:val="100"/>
        </w:rPr>
        <w:t>《</w:t>
      </w:r>
      <w:r>
        <w:rPr>
          <w:w w:val="100"/>
        </w:rPr>
        <w:t>公开</w:t>
      </w:r>
      <w:r>
        <w:rPr>
          <w:spacing w:val="-3"/>
          <w:w w:val="100"/>
        </w:rPr>
        <w:t>发</w:t>
      </w:r>
      <w:r>
        <w:rPr>
          <w:w w:val="100"/>
        </w:rPr>
        <w:t>行</w:t>
      </w:r>
      <w:r>
        <w:rPr>
          <w:spacing w:val="-3"/>
          <w:w w:val="100"/>
        </w:rPr>
        <w:t>证</w:t>
      </w:r>
      <w:r>
        <w:rPr>
          <w:w w:val="100"/>
        </w:rPr>
        <w:t>券</w:t>
      </w:r>
      <w:r>
        <w:rPr>
          <w:spacing w:val="-3"/>
          <w:w w:val="100"/>
        </w:rPr>
        <w:t>的</w:t>
      </w:r>
      <w:r>
        <w:rPr>
          <w:w w:val="100"/>
        </w:rPr>
        <w:t>公</w:t>
      </w:r>
      <w:r>
        <w:rPr>
          <w:spacing w:val="-3"/>
          <w:w w:val="100"/>
        </w:rPr>
        <w:t>司</w:t>
      </w:r>
      <w:r>
        <w:rPr>
          <w:w w:val="100"/>
        </w:rPr>
        <w:t>信</w:t>
      </w:r>
      <w:r>
        <w:rPr>
          <w:spacing w:val="-3"/>
          <w:w w:val="100"/>
        </w:rPr>
        <w:t>息</w:t>
      </w:r>
      <w:r>
        <w:rPr>
          <w:w w:val="100"/>
        </w:rPr>
        <w:t>披露</w:t>
      </w:r>
      <w:r>
        <w:rPr>
          <w:spacing w:val="-3"/>
          <w:w w:val="100"/>
        </w:rPr>
        <w:t>编</w:t>
      </w:r>
      <w:r>
        <w:rPr>
          <w:w w:val="100"/>
        </w:rPr>
        <w:t>报</w:t>
      </w:r>
      <w:r>
        <w:rPr>
          <w:spacing w:val="-3"/>
          <w:w w:val="100"/>
        </w:rPr>
        <w:t>规</w:t>
      </w:r>
      <w:r>
        <w:rPr>
          <w:w w:val="100"/>
        </w:rPr>
        <w:t>则第</w:t>
      </w:r>
      <w:r>
        <w:rPr>
          <w:spacing w:val="-23"/>
        </w:rPr>
        <w:t> </w:t>
      </w:r>
      <w:r>
        <w:rPr>
          <w:rFonts w:ascii="Times New Roman" w:hAnsi="Times New Roman" w:cs="Times New Roman" w:eastAsia="Times New Roman" w:hint="default"/>
          <w:w w:val="100"/>
        </w:rPr>
        <w:t>15</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spacing w:val="-2"/>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w w:val="100"/>
        </w:rPr>
        <w:t>财 务报</w:t>
      </w:r>
      <w:r>
        <w:rPr>
          <w:spacing w:val="-3"/>
          <w:w w:val="100"/>
        </w:rPr>
        <w:t>告</w:t>
      </w:r>
      <w:r>
        <w:rPr>
          <w:w w:val="100"/>
        </w:rPr>
        <w:t>的</w:t>
      </w:r>
      <w:r>
        <w:rPr>
          <w:spacing w:val="-3"/>
          <w:w w:val="100"/>
        </w:rPr>
        <w:t>一</w:t>
      </w:r>
      <w:r>
        <w:rPr>
          <w:w w:val="100"/>
        </w:rPr>
        <w:t>般</w:t>
      </w:r>
      <w:r>
        <w:rPr>
          <w:spacing w:val="-3"/>
          <w:w w:val="100"/>
        </w:rPr>
        <w:t>规</w:t>
      </w:r>
      <w:r>
        <w:rPr>
          <w:w w:val="100"/>
        </w:rPr>
        <w:t>定</w:t>
      </w:r>
      <w:r>
        <w:rPr>
          <w:spacing w:val="-108"/>
          <w:w w:val="100"/>
        </w:rPr>
        <w:t>》</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w w:val="100"/>
        </w:rPr>
        <w:t>年修</w:t>
      </w:r>
      <w:r>
        <w:rPr>
          <w:spacing w:val="-3"/>
          <w:w w:val="100"/>
        </w:rPr>
        <w:t>订</w:t>
      </w:r>
      <w:r>
        <w:rPr>
          <w:w w:val="100"/>
        </w:rPr>
        <w:t>）</w:t>
      </w:r>
      <w:r>
        <w:rPr>
          <w:spacing w:val="-3"/>
          <w:w w:val="100"/>
        </w:rPr>
        <w:t>的</w:t>
      </w:r>
      <w:r>
        <w:rPr>
          <w:w w:val="100"/>
        </w:rPr>
        <w:t>披</w:t>
      </w:r>
      <w:r>
        <w:rPr>
          <w:spacing w:val="-3"/>
          <w:w w:val="100"/>
        </w:rPr>
        <w:t>露</w:t>
      </w:r>
      <w:r>
        <w:rPr>
          <w:w w:val="100"/>
        </w:rPr>
        <w:t>规</w:t>
      </w:r>
      <w:r>
        <w:rPr>
          <w:spacing w:val="-3"/>
          <w:w w:val="100"/>
        </w:rPr>
        <w:t>定</w:t>
      </w:r>
      <w:r>
        <w:rPr>
          <w:w w:val="100"/>
        </w:rPr>
        <w:t>编</w:t>
      </w:r>
      <w:r>
        <w:rPr>
          <w:spacing w:val="-3"/>
          <w:w w:val="100"/>
        </w:rPr>
        <w:t>制</w:t>
      </w:r>
      <w:r>
        <w:rPr>
          <w:w w:val="100"/>
        </w:rPr>
        <w:t>。</w:t>
      </w:r>
    </w:p>
    <w:p>
      <w:pPr>
        <w:pStyle w:val="BodyText"/>
        <w:spacing w:line="408" w:lineRule="auto" w:before="76"/>
        <w:ind w:left="213" w:right="1031" w:firstLine="420"/>
        <w:jc w:val="both"/>
      </w:pPr>
      <w:r>
        <w:rPr>
          <w:spacing w:val="-2"/>
        </w:rPr>
        <w:t>根据企业会计准则的相关规定，本公司会计核算以权责发生制为基础。除某些金融工具外，本财务报</w:t>
      </w:r>
      <w:r>
        <w:rPr>
          <w:w w:val="100"/>
        </w:rPr>
        <w:t> </w:t>
      </w:r>
      <w:r>
        <w:rPr>
          <w:spacing w:val="-2"/>
        </w:rPr>
        <w:t>表均以历史成本为计量基础。持有待售的非流动资产，按公允价值减去预计费用后的金额，以及符合持有</w:t>
      </w:r>
      <w:r>
        <w:rPr>
          <w:spacing w:val="-43"/>
        </w:rPr>
        <w:t> </w:t>
      </w:r>
      <w:r>
        <w:rPr>
          <w:spacing w:val="-43"/>
        </w:rPr>
      </w:r>
      <w:r>
        <w:rPr/>
        <w:t>待售条件时的原账面价值，取两者孰低计价。资产如果发生减值，则按照相关规定计提相应的减值准备。</w:t>
      </w:r>
    </w:p>
    <w:p>
      <w:pPr>
        <w:spacing w:line="240" w:lineRule="auto" w:before="8"/>
        <w:rPr>
          <w:rFonts w:ascii="宋体" w:hAnsi="宋体" w:cs="宋体" w:eastAsia="宋体" w:hint="default"/>
          <w:sz w:val="20"/>
          <w:szCs w:val="20"/>
        </w:rPr>
      </w:pPr>
    </w:p>
    <w:p>
      <w:pPr>
        <w:pStyle w:val="Heading4"/>
        <w:spacing w:line="240" w:lineRule="auto"/>
        <w:ind w:left="213" w:right="95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213" w:right="1131" w:firstLine="420"/>
        <w:jc w:val="both"/>
      </w:pPr>
      <w:r>
        <w:rPr>
          <w:spacing w:val="-2"/>
        </w:rPr>
        <w:t>本公司自本报告期末至少</w:t>
      </w:r>
      <w:r>
        <w:rPr>
          <w:rFonts w:ascii="Times New Roman" w:hAnsi="Times New Roman" w:cs="Times New Roman" w:eastAsia="Times New Roman" w:hint="default"/>
          <w:spacing w:val="-2"/>
        </w:rPr>
        <w:t>12</w:t>
      </w:r>
      <w:r>
        <w:rPr>
          <w:spacing w:val="-2"/>
        </w:rPr>
        <w:t>个月内具备持续经营能力，不存在影响持续经营能力的重大事项，编制财</w:t>
      </w:r>
      <w:r>
        <w:rPr>
          <w:w w:val="100"/>
        </w:rPr>
        <w:t> </w:t>
      </w:r>
      <w:r>
        <w:rPr/>
        <w:t>务报表所依据的持续经营假设是合理的。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2"/>
        <w:spacing w:line="240" w:lineRule="auto"/>
        <w:ind w:left="213" w:right="953"/>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32"/>
          <w:szCs w:val="32"/>
        </w:rPr>
      </w:pPr>
    </w:p>
    <w:p>
      <w:pPr>
        <w:spacing w:line="436" w:lineRule="auto" w:before="0"/>
        <w:ind w:left="213" w:right="7681" w:firstLine="0"/>
        <w:jc w:val="left"/>
        <w:rPr>
          <w:rFonts w:ascii="宋体" w:hAnsi="宋体" w:cs="宋体" w:eastAsia="宋体" w:hint="default"/>
          <w:sz w:val="18"/>
          <w:szCs w:val="18"/>
        </w:rPr>
      </w:pPr>
      <w:r>
        <w:rPr>
          <w:rFonts w:ascii="宋体" w:hAnsi="宋体" w:cs="宋体" w:eastAsia="宋体" w:hint="default"/>
          <w:b/>
          <w:bCs/>
          <w:sz w:val="18"/>
          <w:szCs w:val="18"/>
        </w:rPr>
        <w:t>公司是否需要遵守特殊行业的披露要求</w:t>
      </w:r>
      <w:r>
        <w:rPr>
          <w:rFonts w:ascii="宋体" w:hAnsi="宋体" w:cs="宋体" w:eastAsia="宋体" w:hint="default"/>
          <w:b/>
          <w:bCs/>
          <w:w w:val="99"/>
          <w:sz w:val="18"/>
          <w:szCs w:val="18"/>
        </w:rPr>
        <w:t> </w:t>
      </w:r>
      <w:r>
        <w:rPr>
          <w:rFonts w:ascii="宋体" w:hAnsi="宋体" w:cs="宋体" w:eastAsia="宋体" w:hint="default"/>
          <w:sz w:val="18"/>
          <w:szCs w:val="18"/>
        </w:rPr>
        <w:t>是</w:t>
      </w:r>
    </w:p>
    <w:p>
      <w:pPr>
        <w:spacing w:line="205" w:lineRule="exact" w:before="0"/>
        <w:ind w:left="213" w:right="953" w:firstLine="0"/>
        <w:jc w:val="left"/>
        <w:rPr>
          <w:rFonts w:ascii="宋体" w:hAnsi="宋体" w:cs="宋体" w:eastAsia="宋体" w:hint="default"/>
          <w:sz w:val="18"/>
          <w:szCs w:val="18"/>
        </w:rPr>
      </w:pPr>
      <w:r>
        <w:rPr>
          <w:rFonts w:ascii="宋体" w:hAnsi="宋体" w:cs="宋体" w:eastAsia="宋体" w:hint="default"/>
          <w:sz w:val="18"/>
          <w:szCs w:val="18"/>
        </w:rPr>
        <w:t>零售相关业</w:t>
      </w:r>
    </w:p>
    <w:p>
      <w:pPr>
        <w:spacing w:before="117"/>
        <w:ind w:left="213" w:right="95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
        <w:rPr>
          <w:rFonts w:ascii="宋体" w:hAnsi="宋体" w:cs="宋体" w:eastAsia="宋体" w:hint="default"/>
          <w:sz w:val="13"/>
          <w:szCs w:val="13"/>
        </w:rPr>
      </w:pPr>
    </w:p>
    <w:p>
      <w:pPr>
        <w:pStyle w:val="BodyText"/>
        <w:spacing w:line="400" w:lineRule="auto"/>
        <w:ind w:left="213" w:right="1126" w:firstLine="420"/>
        <w:jc w:val="both"/>
      </w:pPr>
      <w:r>
        <w:rPr>
          <w:spacing w:val="-2"/>
        </w:rPr>
        <w:t>本公司及各子公司代理销售各类时装、香化产品，以及子公司悦然心动从事互联网和相关服务业。本</w:t>
      </w:r>
      <w:r>
        <w:rPr>
          <w:w w:val="100"/>
        </w:rPr>
        <w:t> </w:t>
      </w:r>
      <w:r>
        <w:rPr>
          <w:spacing w:val="-2"/>
        </w:rPr>
        <w:t>公司及各子公司根据实际经营特点，依据相关企业会计准则的规定，对收入确认等交易和事项制定了若干</w:t>
      </w:r>
      <w:r>
        <w:rPr>
          <w:spacing w:val="-43"/>
        </w:rPr>
        <w:t> </w:t>
      </w:r>
      <w:r>
        <w:rPr>
          <w:spacing w:val="-43"/>
        </w:rPr>
      </w:r>
      <w:r>
        <w:rPr>
          <w:spacing w:val="-2"/>
        </w:rPr>
        <w:t>项具体会计政策和会计估计，详见本附注五、</w:t>
      </w:r>
      <w:r>
        <w:rPr>
          <w:rFonts w:ascii="Times New Roman" w:hAnsi="Times New Roman" w:cs="Times New Roman" w:eastAsia="Times New Roman" w:hint="default"/>
          <w:spacing w:val="-2"/>
        </w:rPr>
        <w:t>25</w:t>
      </w:r>
      <w:r>
        <w:rPr>
          <w:spacing w:val="-2"/>
        </w:rPr>
        <w:t>“收入”各项描述。关于管理层所作出的重大会计判断和</w:t>
      </w:r>
      <w:r>
        <w:rPr>
          <w:spacing w:val="-40"/>
        </w:rPr>
        <w:t> </w:t>
      </w:r>
      <w:r>
        <w:rPr>
          <w:spacing w:val="-40"/>
        </w:rPr>
      </w:r>
      <w:r>
        <w:rPr/>
        <w:t>估计的说明，请参阅附注五、</w:t>
      </w:r>
      <w:r>
        <w:rPr>
          <w:rFonts w:ascii="Times New Roman" w:hAnsi="Times New Roman" w:cs="Times New Roman" w:eastAsia="Times New Roman" w:hint="default"/>
        </w:rPr>
        <w:t>30“</w:t>
      </w:r>
      <w:r>
        <w:rPr/>
        <w:t>重大会计判断和估计</w:t>
      </w:r>
      <w:r>
        <w:rPr>
          <w:rFonts w:ascii="Times New Roman" w:hAnsi="Times New Roman" w:cs="Times New Roman" w:eastAsia="Times New Roman" w:hint="default"/>
        </w:rPr>
        <w:t>”</w:t>
      </w:r>
      <w:r>
        <w:rPr/>
        <w:t>。</w:t>
      </w:r>
    </w:p>
    <w:p>
      <w:pPr>
        <w:spacing w:after="0" w:line="400" w:lineRule="auto"/>
        <w:jc w:val="both"/>
        <w:sectPr>
          <w:pgSz w:w="11910" w:h="16840"/>
          <w:pgMar w:header="906" w:footer="1079" w:top="1100" w:bottom="1260" w:left="9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firstLine="420"/>
        <w:jc w:val="left"/>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w:t>
      </w:r>
      <w:r>
        <w:rPr>
          <w:w w:val="100"/>
        </w:rPr>
        <w:t> </w:t>
      </w:r>
      <w:r>
        <w:rPr>
          <w:spacing w:val="-2"/>
        </w:rPr>
        <w:t>状况及</w:t>
      </w:r>
      <w:r>
        <w:rPr>
          <w:rFonts w:ascii="Times New Roman" w:hAnsi="Times New Roman" w:cs="Times New Roman" w:eastAsia="Times New Roman" w:hint="default"/>
          <w:spacing w:val="-2"/>
        </w:rPr>
        <w:t>2018</w:t>
      </w:r>
      <w:r>
        <w:rPr>
          <w:spacing w:val="-2"/>
        </w:rPr>
        <w:t>年度的经营成果和现金流量等有关信息。此外，本公司的财务报表在所有重大方面符合中国证</w:t>
      </w:r>
      <w:r>
        <w:rPr>
          <w:spacing w:val="-39"/>
        </w:rPr>
        <w:t> </w:t>
      </w:r>
      <w:r>
        <w:rPr>
          <w:spacing w:val="-39"/>
        </w:rPr>
      </w: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w:t>
      </w:r>
      <w:r>
        <w:rPr>
          <w:spacing w:val="-26"/>
        </w:rPr>
        <w:t> </w:t>
      </w:r>
      <w:r>
        <w:rPr>
          <w:spacing w:val="-26"/>
        </w:rPr>
      </w:r>
      <w:r>
        <w:rPr/>
        <w:t>有关财务报表及其附注的披露要求。</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33" w:right="0"/>
        <w:jc w:val="left"/>
      </w:pPr>
      <w:r>
        <w:rPr/>
        <w:t>本公司会计年度采用公历年度，即每年自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9"/>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33" w:right="0"/>
        <w:jc w:val="left"/>
      </w:pPr>
      <w:r>
        <w:rPr/>
        <w:t>本公司以</w:t>
      </w:r>
      <w:r>
        <w:rPr>
          <w:rFonts w:ascii="Times New Roman" w:hAnsi="Times New Roman" w:cs="Times New Roman" w:eastAsia="Times New Roman" w:hint="default"/>
        </w:rPr>
        <w:t>12</w:t>
      </w:r>
      <w:r>
        <w:rPr/>
        <w:t>个月为一个营业周期，并以其作为资产和负债的流动性划分标准。</w:t>
      </w:r>
    </w:p>
    <w:p>
      <w:pPr>
        <w:spacing w:line="240" w:lineRule="auto" w:before="6"/>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本公司及境内子公司的记账本位币为人民币。香港子公司的记账本位币为港元，澳门子公司的记账本</w:t>
      </w:r>
      <w:r>
        <w:rPr>
          <w:w w:val="100"/>
        </w:rPr>
        <w:t> </w:t>
      </w:r>
      <w:r>
        <w:rPr/>
        <w:t>位币为澳门元，意大利子公司的记账本位币为欧元。财务报表的编制金额单位为人民币元。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企业合并，是指将两个或两个以上单独的企业合并形成一个报告主体的交易或事项。企业合并分为同</w:t>
      </w:r>
      <w:r>
        <w:rPr>
          <w:w w:val="100"/>
        </w:rPr>
        <w:t> </w:t>
      </w:r>
      <w:r>
        <w:rPr/>
        <w:t>一控制下企业合并和非同一控制下企业合并。</w:t>
      </w:r>
    </w:p>
    <w:p>
      <w:pPr>
        <w:pStyle w:val="BodyText"/>
        <w:spacing w:line="420" w:lineRule="auto" w:before="84"/>
        <w:ind w:left="533" w:right="0" w:hanging="106"/>
        <w:jc w:val="left"/>
      </w:pPr>
      <w:r>
        <w:rPr/>
        <w:t>（</w:t>
      </w:r>
      <w:r>
        <w:rPr>
          <w:rFonts w:ascii="Times New Roman" w:hAnsi="Times New Roman" w:cs="Times New Roman" w:eastAsia="Times New Roman" w:hint="default"/>
        </w:rPr>
        <w:t>1</w:t>
      </w:r>
      <w:r>
        <w:rPr/>
        <w:t>）同一控制下企业合并</w:t>
      </w:r>
      <w:r>
        <w:rPr>
          <w:w w:val="100"/>
        </w:rPr>
        <w:t> </w:t>
      </w:r>
      <w:r>
        <w:rPr>
          <w:spacing w:val="-2"/>
        </w:rPr>
        <w:t>参与合并的企业在合并前后均受同一方或相同的多方最终控制，且该控制并非暂时性的，为同一控制</w:t>
      </w:r>
    </w:p>
    <w:p>
      <w:pPr>
        <w:pStyle w:val="BodyText"/>
        <w:spacing w:line="408" w:lineRule="auto" w:before="35"/>
        <w:ind w:right="0"/>
        <w:jc w:val="left"/>
      </w:pPr>
      <w:r>
        <w:rPr>
          <w:spacing w:val="-2"/>
        </w:rPr>
        <w:t>下的企业合并。同一控制下的企业合并，在合并日取得对其他参与合并企业控制权的一方为合并方，参与</w:t>
      </w:r>
      <w:r>
        <w:rPr>
          <w:spacing w:val="-44"/>
        </w:rPr>
        <w:t> </w:t>
      </w:r>
      <w:r>
        <w:rPr>
          <w:spacing w:val="-44"/>
        </w:rPr>
      </w:r>
      <w:r>
        <w:rPr/>
        <w:t>合并的其他企业为被合并方。合并日，是指合并方实际取得对被合并方控制权的日期。</w:t>
      </w:r>
    </w:p>
    <w:p>
      <w:pPr>
        <w:pStyle w:val="BodyText"/>
        <w:spacing w:line="408" w:lineRule="auto" w:before="87"/>
        <w:ind w:right="1126" w:firstLine="420"/>
        <w:jc w:val="both"/>
      </w:pPr>
      <w:r>
        <w:rPr>
          <w:spacing w:val="-2"/>
        </w:rPr>
        <w:t>合并方取得的资产和负债均按合并日在被合并方的账面价值计量。合并方取得的净资产账面价值与支</w:t>
      </w:r>
      <w:r>
        <w:rPr>
          <w:w w:val="100"/>
        </w:rPr>
        <w:t> </w:t>
      </w:r>
      <w:r>
        <w:rPr>
          <w:spacing w:val="-2"/>
          <w:w w:val="100"/>
        </w:rPr>
        <w:t>付的合并对价账面价值（或发行股份面值总额）的差额，调整资本公积（股本溢价）；资本公积（股本溢</w:t>
      </w:r>
      <w:r>
        <w:rPr>
          <w:spacing w:val="-94"/>
          <w:w w:val="100"/>
        </w:rPr>
        <w:t> </w:t>
      </w:r>
      <w:r>
        <w:rPr>
          <w:spacing w:val="-94"/>
          <w:w w:val="100"/>
        </w:rPr>
      </w:r>
      <w:r>
        <w:rPr/>
        <w:t>价）不足以冲减的，调整留存收益。</w:t>
      </w:r>
    </w:p>
    <w:p>
      <w:pPr>
        <w:pStyle w:val="BodyText"/>
        <w:spacing w:line="240" w:lineRule="auto" w:before="84"/>
        <w:ind w:left="533" w:right="0"/>
        <w:jc w:val="left"/>
      </w:pPr>
      <w:r>
        <w:rPr/>
        <w:t>合并方为进行企业合并发生的各项直接费用，于发生时计入当期损益。</w:t>
      </w:r>
    </w:p>
    <w:p>
      <w:pPr>
        <w:spacing w:line="240" w:lineRule="auto" w:before="12"/>
        <w:rPr>
          <w:rFonts w:ascii="宋体" w:hAnsi="宋体" w:cs="宋体" w:eastAsia="宋体" w:hint="default"/>
          <w:sz w:val="17"/>
          <w:szCs w:val="17"/>
        </w:rPr>
      </w:pPr>
    </w:p>
    <w:p>
      <w:pPr>
        <w:pStyle w:val="BodyText"/>
        <w:spacing w:line="420" w:lineRule="auto"/>
        <w:ind w:left="533" w:right="0" w:hanging="106"/>
        <w:jc w:val="left"/>
      </w:pPr>
      <w:r>
        <w:rPr/>
        <w:t>（</w:t>
      </w:r>
      <w:r>
        <w:rPr>
          <w:rFonts w:ascii="Times New Roman" w:hAnsi="Times New Roman" w:cs="Times New Roman" w:eastAsia="Times New Roman" w:hint="default"/>
        </w:rPr>
        <w:t>2</w:t>
      </w:r>
      <w:r>
        <w:rPr/>
        <w:t>）非同一控制下企业合并</w:t>
      </w:r>
      <w:r>
        <w:rPr>
          <w:w w:val="100"/>
        </w:rPr>
        <w:t> </w:t>
      </w:r>
      <w:r>
        <w:rPr>
          <w:spacing w:val="-2"/>
        </w:rPr>
        <w:t>参与合并的企业在合并前后不受同一方或相同的多方最终控制的，为非同一控制下的企业合并。非同</w:t>
      </w:r>
    </w:p>
    <w:p>
      <w:pPr>
        <w:spacing w:after="0" w:line="42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0"/>
        <w:jc w:val="left"/>
      </w:pPr>
      <w:r>
        <w:rPr>
          <w:spacing w:val="-2"/>
        </w:rPr>
        <w:t>一控制下的企业合并，在购买日取得对其他参与合并企业控制权的一方为购买方，参与合并的其他企业为</w:t>
      </w:r>
      <w:r>
        <w:rPr>
          <w:spacing w:val="-43"/>
        </w:rPr>
        <w:t> </w:t>
      </w:r>
      <w:r>
        <w:rPr>
          <w:spacing w:val="-43"/>
        </w:rPr>
      </w:r>
      <w:r>
        <w:rPr/>
        <w:t>被购买方。购买日，是指为购买方实际取得对被购买方控制权的日期。</w:t>
      </w:r>
    </w:p>
    <w:p>
      <w:pPr>
        <w:pStyle w:val="BodyText"/>
        <w:spacing w:line="405" w:lineRule="auto" w:before="87"/>
        <w:ind w:right="0" w:firstLine="420"/>
        <w:jc w:val="left"/>
      </w:pPr>
      <w:r>
        <w:rPr>
          <w:spacing w:val="-2"/>
        </w:rPr>
        <w:t>对于非同一控制下的企业合并，合并成本包含购买日购买方为取得对被购买方的控制权而付出的资产、</w:t>
      </w:r>
      <w:r>
        <w:rPr>
          <w:w w:val="100"/>
        </w:rPr>
        <w:t> </w:t>
      </w:r>
      <w:r>
        <w:rPr/>
        <w:t>发生或承担的负债以及发行的权益性证券的公允价值，为企业合并发生的审计、法律服务、评估咨询等中</w:t>
      </w:r>
      <w:r>
        <w:rPr>
          <w:w w:val="100"/>
        </w:rPr>
        <w:t> </w:t>
      </w:r>
      <w:r>
        <w:rPr/>
        <w:t>介费用以及其他管理费用于发生时计入当期损益。购买方作为合并对价发行的权益性证券或债务性证券的</w:t>
      </w:r>
      <w:r>
        <w:rPr>
          <w:w w:val="100"/>
        </w:rPr>
        <w:t> </w:t>
      </w:r>
      <w:r>
        <w:rPr/>
        <w:t>交易费用，计入权益性证券或债务性证券的初始确认金额。所涉及的或有对价按其在购买日的公允价值计</w:t>
      </w:r>
      <w:r>
        <w:rPr>
          <w:w w:val="100"/>
        </w:rPr>
        <w:t> </w:t>
      </w:r>
      <w:r>
        <w:rPr/>
        <w:t>入合并成本，购买日后</w:t>
      </w:r>
      <w:r>
        <w:rPr>
          <w:rFonts w:ascii="Times New Roman" w:hAnsi="Times New Roman" w:cs="Times New Roman" w:eastAsia="Times New Roman" w:hint="default"/>
        </w:rPr>
        <w:t>12</w:t>
      </w:r>
      <w:r>
        <w:rPr/>
        <w:t>个月内出现对购买日已存在情况的新的或进一步证据而需要调整或有对价的，相</w:t>
      </w:r>
      <w:r>
        <w:rPr>
          <w:w w:val="100"/>
        </w:rPr>
        <w:t> </w:t>
      </w:r>
      <w:r>
        <w:rPr/>
        <w:t>应调整合并商誉。购买方发生的合并成本及在合并中取得的可辨认净资产按购买日的公允价值计量。合并</w:t>
      </w:r>
      <w:r>
        <w:rPr>
          <w:w w:val="100"/>
        </w:rPr>
        <w:t> </w:t>
      </w:r>
      <w:r>
        <w:rPr/>
        <w:t>成本大于合并中取得的被购买方于购买日可辨认净资产公允价值份额的差额，确认为商誉。合并成本小于</w:t>
      </w:r>
      <w:r>
        <w:rPr>
          <w:w w:val="100"/>
        </w:rPr>
        <w:t> </w:t>
      </w:r>
      <w:r>
        <w:rPr/>
        <w:t>合并中取得的被购买方可辨认净资产公允价值份额的，首先对取得的被购买方各项可辨认资产、负债及或</w:t>
      </w:r>
      <w:r>
        <w:rPr>
          <w:w w:val="100"/>
        </w:rPr>
        <w:t> </w:t>
      </w:r>
      <w:r>
        <w:rPr/>
        <w:t>有负债的公允价值以及合并成本的计量进行复核，复核后合并成本仍小于合并中取得的被购买方可辨认净</w:t>
      </w:r>
      <w:r>
        <w:rPr>
          <w:w w:val="100"/>
        </w:rPr>
        <w:t> </w:t>
      </w:r>
      <w:r>
        <w:rPr/>
        <w:t>资产公允价值份额的，其差额计入当期损益。</w:t>
      </w:r>
    </w:p>
    <w:p>
      <w:pPr>
        <w:pStyle w:val="BodyText"/>
        <w:spacing w:line="403" w:lineRule="auto" w:before="86"/>
        <w:ind w:right="83" w:firstLine="420"/>
        <w:jc w:val="left"/>
      </w:pPr>
      <w:r>
        <w:rPr>
          <w:spacing w:val="-2"/>
        </w:rPr>
        <w:t>购买方取得被购买方的可抵扣暂时性差异，在购买日因不符合递延所得税资产确认条件而未予确认的，</w:t>
      </w:r>
      <w:r>
        <w:rPr>
          <w:w w:val="100"/>
        </w:rPr>
        <w:t> </w:t>
      </w:r>
      <w:r>
        <w:rPr/>
        <w:t>在购买日后</w:t>
      </w:r>
      <w:r>
        <w:rPr>
          <w:rFonts w:ascii="Times New Roman" w:hAnsi="Times New Roman" w:cs="Times New Roman" w:eastAsia="Times New Roman" w:hint="default"/>
        </w:rPr>
        <w:t>12</w:t>
      </w:r>
      <w:r>
        <w:rPr/>
        <w:t>个月内，如取得新的或进一步的信息表明购买日的相关情况已经存在，预期被购买方在购买</w:t>
      </w:r>
      <w:r>
        <w:rPr>
          <w:w w:val="100"/>
        </w:rPr>
        <w:t> </w:t>
      </w:r>
      <w:r>
        <w:rPr/>
        <w:t>日可抵扣暂时性差异带来的经济利益能够实现的，则确认相关的递延所得税资产，同时减少商誉，商誉不</w:t>
      </w:r>
      <w:r>
        <w:rPr>
          <w:w w:val="100"/>
        </w:rPr>
        <w:t> </w:t>
      </w:r>
      <w:r>
        <w:rPr/>
        <w:t>足冲减的，差额部分确认为当期损益；除上述情况以外，确认与企业合并相关的递延所得税资产的，计入</w:t>
      </w:r>
      <w:r>
        <w:rPr>
          <w:w w:val="100"/>
        </w:rPr>
        <w:t> </w:t>
      </w:r>
      <w:r>
        <w:rPr/>
        <w:t>当期损益。</w:t>
      </w:r>
    </w:p>
    <w:p>
      <w:pPr>
        <w:pStyle w:val="BodyText"/>
        <w:spacing w:line="391" w:lineRule="auto" w:before="91"/>
        <w:ind w:right="1128" w:firstLine="420"/>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2"/>
          <w:w w:val="100"/>
        </w:rPr>
        <w:t> </w:t>
      </w:r>
      <w:r>
        <w:rPr>
          <w:spacing w:val="-6"/>
          <w:w w:val="100"/>
        </w:rPr>
        <w:t>通知》（财会〔</w:t>
      </w:r>
      <w:r>
        <w:rPr>
          <w:rFonts w:ascii="Times New Roman" w:hAnsi="Times New Roman" w:cs="Times New Roman" w:eastAsia="Times New Roman" w:hint="default"/>
          <w:spacing w:val="-6"/>
          <w:w w:val="100"/>
        </w:rPr>
        <w:t>2012</w:t>
      </w:r>
      <w:r>
        <w:rPr>
          <w:spacing w:val="-6"/>
          <w:w w:val="100"/>
        </w:rPr>
        <w:t>〕</w:t>
      </w:r>
      <w:r>
        <w:rPr>
          <w:rFonts w:ascii="Times New Roman" w:hAnsi="Times New Roman" w:cs="Times New Roman" w:eastAsia="Times New Roman" w:hint="default"/>
          <w:spacing w:val="-6"/>
          <w:w w:val="100"/>
        </w:rPr>
        <w:t>19</w:t>
      </w:r>
      <w:r>
        <w:rPr>
          <w:spacing w:val="-6"/>
          <w:w w:val="100"/>
        </w:rPr>
        <w:t>号）和《企业会计准则第</w:t>
      </w:r>
      <w:r>
        <w:rPr>
          <w:rFonts w:ascii="Times New Roman" w:hAnsi="Times New Roman" w:cs="Times New Roman" w:eastAsia="Times New Roman" w:hint="default"/>
          <w:spacing w:val="-6"/>
          <w:w w:val="100"/>
        </w:rPr>
        <w:t>33</w:t>
      </w:r>
      <w:r>
        <w:rPr>
          <w:spacing w:val="-6"/>
          <w:w w:val="100"/>
        </w:rPr>
        <w:t>号</w:t>
      </w:r>
      <w:r>
        <w:rPr>
          <w:rFonts w:ascii="Times New Roman" w:hAnsi="Times New Roman" w:cs="Times New Roman" w:eastAsia="Times New Roman" w:hint="default"/>
          <w:spacing w:val="-6"/>
          <w:w w:val="100"/>
        </w:rPr>
        <w:t>——</w:t>
      </w:r>
      <w:r>
        <w:rPr>
          <w:spacing w:val="-6"/>
          <w:w w:val="100"/>
        </w:rPr>
        <w:t>合并财务报表》第五十一条关于“一揽子交易”</w:t>
      </w:r>
      <w:r>
        <w:rPr>
          <w:spacing w:val="-100"/>
          <w:w w:val="100"/>
        </w:rPr>
        <w:t> </w:t>
      </w:r>
      <w:r>
        <w:rPr>
          <w:spacing w:val="-100"/>
          <w:w w:val="100"/>
        </w:rPr>
      </w:r>
      <w:r>
        <w:rPr>
          <w:spacing w:val="-2"/>
          <w:w w:val="100"/>
        </w:rPr>
        <w:t>的判断标准，判断该多次交易是否属于“一揽子交易”。属于“一揽子交易”的，参考本部分前面各段描</w:t>
      </w:r>
      <w:r>
        <w:rPr>
          <w:spacing w:val="-91"/>
          <w:w w:val="100"/>
        </w:rPr>
        <w:t> </w:t>
      </w:r>
      <w:r>
        <w:rPr>
          <w:spacing w:val="-91"/>
          <w:w w:val="100"/>
        </w:rPr>
      </w:r>
      <w:r>
        <w:rPr>
          <w:spacing w:val="-2"/>
        </w:rPr>
        <w:t>述及本附注五、</w:t>
      </w:r>
      <w:r>
        <w:rPr>
          <w:rFonts w:ascii="Times New Roman" w:hAnsi="Times New Roman" w:cs="Times New Roman" w:eastAsia="Times New Roman" w:hint="default"/>
          <w:spacing w:val="-2"/>
        </w:rPr>
        <w:t>14</w:t>
      </w:r>
      <w:r>
        <w:rPr>
          <w:spacing w:val="-2"/>
        </w:rPr>
        <w:t>“长期股权投资”进行会计处理；不属于“一揽子交易”的，区分个别财务报表和合并</w:t>
      </w:r>
      <w:r>
        <w:rPr>
          <w:spacing w:val="-45"/>
        </w:rPr>
        <w:t> </w:t>
      </w:r>
      <w:r>
        <w:rPr>
          <w:spacing w:val="-45"/>
        </w:rPr>
      </w:r>
      <w:r>
        <w:rPr/>
        <w:t>财务报表进行相关会计处理：</w:t>
      </w:r>
    </w:p>
    <w:p>
      <w:pPr>
        <w:pStyle w:val="BodyText"/>
        <w:spacing w:line="408" w:lineRule="auto" w:before="101"/>
        <w:ind w:right="0" w:firstLine="420"/>
        <w:jc w:val="left"/>
      </w:pPr>
      <w:r>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43"/>
        </w:rPr>
        <w:t> </w:t>
      </w:r>
      <w:r>
        <w:rPr>
          <w:spacing w:val="-43"/>
        </w:rPr>
      </w:r>
      <w:r>
        <w:rPr>
          <w:spacing w:val="-2"/>
        </w:rPr>
        <w:t>时将与其相关的其他综合收益采用与被购买方直接处置相关资产或负债相同的基础进行会计处理（即，除</w:t>
      </w:r>
      <w:r>
        <w:rPr>
          <w:spacing w:val="-43"/>
        </w:rPr>
        <w:t> </w:t>
      </w:r>
      <w:r>
        <w:rPr>
          <w:spacing w:val="-43"/>
        </w:rPr>
      </w:r>
      <w:r>
        <w:rPr>
          <w:spacing w:val="-2"/>
        </w:rPr>
        <w:t>了按照权益法核算的在被购买方重新计量设定受益计划净负债或净资产导致的变动中的相应份额以外，其</w:t>
      </w:r>
      <w:r>
        <w:rPr>
          <w:spacing w:val="-43"/>
        </w:rPr>
        <w:t> </w:t>
      </w:r>
      <w:r>
        <w:rPr>
          <w:spacing w:val="-43"/>
        </w:rPr>
      </w:r>
      <w:r>
        <w:rPr>
          <w:spacing w:val="-11"/>
          <w:w w:val="100"/>
        </w:rPr>
        <w:t>余转入当期投资收益）。</w:t>
      </w:r>
    </w:p>
    <w:p>
      <w:pPr>
        <w:pStyle w:val="BodyText"/>
        <w:spacing w:line="408" w:lineRule="auto" w:before="84"/>
        <w:ind w:right="0" w:firstLine="420"/>
        <w:jc w:val="left"/>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p>
    <w:p>
      <w:pPr>
        <w:spacing w:after="0" w:line="408"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1126"/>
        <w:jc w:val="both"/>
      </w:pPr>
      <w:r>
        <w:rPr>
          <w:spacing w:val="-2"/>
        </w:rPr>
        <w:t>合收益的，与其相关的其他综合收益应当采用与被购买方直接处置相关资产或负债相同的基础进行会计处</w:t>
      </w:r>
      <w:r>
        <w:rPr>
          <w:spacing w:val="-43"/>
        </w:rPr>
        <w:t> </w:t>
      </w:r>
      <w:r>
        <w:rPr>
          <w:spacing w:val="-43"/>
        </w:rPr>
      </w:r>
      <w:r>
        <w:rPr>
          <w:spacing w:val="-2"/>
        </w:rPr>
        <w:t>理（即，除了按照权益法核算的在被购买方重新计量设定受益计划净负债或净资产导致的变动中的相应份</w:t>
      </w:r>
      <w:r>
        <w:rPr>
          <w:spacing w:val="-43"/>
        </w:rPr>
        <w:t> </w:t>
      </w:r>
      <w:r>
        <w:rPr>
          <w:spacing w:val="-43"/>
        </w:rPr>
      </w:r>
      <w:r>
        <w:rPr>
          <w:spacing w:val="-7"/>
          <w:w w:val="100"/>
        </w:rPr>
        <w:t>额以外，其余转为购买日所属当期投资收益）。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left="533" w:right="0" w:hanging="106"/>
        <w:jc w:val="left"/>
      </w:pPr>
      <w:r>
        <w:rPr/>
        <w:t>（</w:t>
      </w:r>
      <w:r>
        <w:rPr>
          <w:rFonts w:ascii="Times New Roman" w:hAnsi="Times New Roman" w:cs="Times New Roman" w:eastAsia="Times New Roman" w:hint="default"/>
        </w:rPr>
        <w:t>1</w:t>
      </w:r>
      <w:r>
        <w:rPr/>
        <w:t>）合并财务报表范围的确定原则</w:t>
      </w:r>
      <w:r>
        <w:rPr>
          <w:w w:val="100"/>
        </w:rPr>
        <w:t> </w:t>
      </w:r>
      <w:r>
        <w:rPr>
          <w:spacing w:val="-2"/>
        </w:rPr>
        <w:t>合并财务报表的合并范围以控制为基础予以确定。控制是指本公司拥有对被投资方的权力，通过参与</w:t>
      </w:r>
    </w:p>
    <w:p>
      <w:pPr>
        <w:pStyle w:val="BodyText"/>
        <w:spacing w:line="410" w:lineRule="auto" w:before="37"/>
        <w:ind w:right="1126"/>
        <w:jc w:val="both"/>
      </w:pPr>
      <w:r>
        <w:rPr>
          <w:spacing w:val="-2"/>
        </w:rPr>
        <w:t>被投资方的相关活动而享有可变回报，并且有能力运用对被投资方的权力影响该回报金额。合并范围包括</w:t>
      </w:r>
      <w:r>
        <w:rPr>
          <w:spacing w:val="-43"/>
        </w:rPr>
        <w:t> </w:t>
      </w:r>
      <w:r>
        <w:rPr>
          <w:spacing w:val="-43"/>
        </w:rPr>
      </w:r>
      <w:r>
        <w:rPr/>
        <w:t>本公司及全部子公司。子公司，是指被本公司控制的主体。</w:t>
      </w:r>
    </w:p>
    <w:p>
      <w:pPr>
        <w:pStyle w:val="BodyText"/>
        <w:spacing w:line="240" w:lineRule="auto" w:before="85"/>
        <w:ind w:left="533" w:right="0"/>
        <w:jc w:val="left"/>
      </w:pPr>
      <w:r>
        <w:rPr/>
        <w:t>一旦相关事实和情况的变化导致上述控制定义涉及的相关要素发生了变化，本公司将进行重新评估。</w:t>
      </w:r>
    </w:p>
    <w:p>
      <w:pPr>
        <w:spacing w:line="240" w:lineRule="auto" w:before="12"/>
        <w:rPr>
          <w:rFonts w:ascii="宋体" w:hAnsi="宋体" w:cs="宋体" w:eastAsia="宋体" w:hint="default"/>
          <w:sz w:val="17"/>
          <w:szCs w:val="17"/>
        </w:rPr>
      </w:pPr>
    </w:p>
    <w:p>
      <w:pPr>
        <w:pStyle w:val="BodyText"/>
        <w:spacing w:line="417" w:lineRule="auto"/>
        <w:ind w:left="533" w:right="0" w:hanging="106"/>
        <w:jc w:val="left"/>
      </w:pPr>
      <w:r>
        <w:rPr/>
        <w:t>（</w:t>
      </w:r>
      <w:r>
        <w:rPr>
          <w:rFonts w:ascii="Times New Roman" w:hAnsi="Times New Roman" w:cs="Times New Roman" w:eastAsia="Times New Roman" w:hint="default"/>
        </w:rPr>
        <w:t>2</w:t>
      </w:r>
      <w:r>
        <w:rPr/>
        <w:t>）合并财务报表编制的方法</w:t>
      </w:r>
      <w:r>
        <w:rPr>
          <w:w w:val="100"/>
        </w:rPr>
        <w:t> </w:t>
      </w:r>
      <w:r>
        <w:rPr>
          <w:spacing w:val="-2"/>
        </w:rPr>
        <w:t>从取得子公司的净资产和生产经营决策的实际控制权之日起，本公司开始将其纳入合并范围；从丧失</w:t>
      </w:r>
    </w:p>
    <w:p>
      <w:pPr>
        <w:pStyle w:val="BodyText"/>
        <w:spacing w:line="408" w:lineRule="auto" w:before="37"/>
        <w:ind w:right="1126"/>
        <w:jc w:val="both"/>
      </w:pPr>
      <w:r>
        <w:rPr>
          <w:spacing w:val="-2"/>
        </w:rPr>
        <w:t>实际控制权之日起停止纳入合并范围。对于处置的子公司，处置日前的经营成果和现金流量已经适当地包</w:t>
      </w:r>
      <w:r>
        <w:rPr>
          <w:spacing w:val="-44"/>
        </w:rPr>
        <w:t> </w:t>
      </w:r>
      <w:r>
        <w:rPr>
          <w:spacing w:val="-44"/>
        </w:rPr>
      </w:r>
      <w:r>
        <w:rPr>
          <w:spacing w:val="-2"/>
        </w:rPr>
        <w:t>括在合并利润表和合并现金流量表中；当期处置的子公司，不调整合并资产负债表的期初数。非同一控制</w:t>
      </w:r>
      <w:r>
        <w:rPr>
          <w:spacing w:val="-43"/>
        </w:rPr>
        <w:t> </w:t>
      </w:r>
      <w:r>
        <w:rPr>
          <w:spacing w:val="-43"/>
        </w:rPr>
      </w:r>
      <w:r>
        <w:rPr>
          <w:spacing w:val="-2"/>
        </w:rPr>
        <w:t>下企业合并增加的子公司，其购买日后的经营成果及现金流量已经适当地包括在合并利润表和合并现金流</w:t>
      </w:r>
      <w:r>
        <w:rPr>
          <w:spacing w:val="-43"/>
        </w:rPr>
        <w:t> </w:t>
      </w:r>
      <w:r>
        <w:rPr>
          <w:spacing w:val="-43"/>
        </w:rPr>
      </w:r>
      <w:r>
        <w:rPr>
          <w:spacing w:val="-2"/>
        </w:rPr>
        <w:t>量表中，且不调整合并财务报表的期初数和对比数。同一控制下企业合并增加的子公司，其自合并当期期</w:t>
      </w:r>
      <w:r>
        <w:rPr>
          <w:spacing w:val="-43"/>
        </w:rPr>
        <w:t> </w:t>
      </w:r>
      <w:r>
        <w:rPr>
          <w:spacing w:val="-43"/>
        </w:rPr>
      </w:r>
      <w:r>
        <w:rPr>
          <w:spacing w:val="-2"/>
        </w:rPr>
        <w:t>初至合并日的经营成果和现金流量已经适当地包括在合并利润表和合并现金流量表中，并且同时调整合并</w:t>
      </w:r>
      <w:r>
        <w:rPr>
          <w:spacing w:val="-43"/>
        </w:rPr>
        <w:t> </w:t>
      </w:r>
      <w:r>
        <w:rPr>
          <w:spacing w:val="-43"/>
        </w:rPr>
      </w:r>
      <w:r>
        <w:rPr/>
        <w:t>财务报表的对比数。</w:t>
      </w:r>
    </w:p>
    <w:p>
      <w:pPr>
        <w:pStyle w:val="BodyText"/>
        <w:spacing w:line="408" w:lineRule="auto" w:before="87"/>
        <w:ind w:right="1126" w:firstLine="420"/>
        <w:jc w:val="both"/>
      </w:pPr>
      <w:r>
        <w:rPr>
          <w:spacing w:val="-2"/>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43"/>
        </w:rPr>
        <w:t> </w:t>
      </w:r>
      <w:r>
        <w:rPr>
          <w:spacing w:val="-43"/>
        </w:rPr>
      </w:r>
      <w:r>
        <w:rPr/>
        <w:t>辨认净资产公允价值为基础对其财务报表进行调整。</w:t>
      </w:r>
    </w:p>
    <w:p>
      <w:pPr>
        <w:pStyle w:val="BodyText"/>
        <w:spacing w:line="444" w:lineRule="auto" w:before="84"/>
        <w:ind w:left="533" w:right="0"/>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子公司的股东权益及当期净损益中不属于本公司所拥有的部分分别作为少数股东权益及少数股东损</w:t>
      </w:r>
    </w:p>
    <w:p>
      <w:pPr>
        <w:pStyle w:val="BodyText"/>
        <w:spacing w:line="408" w:lineRule="auto" w:before="15"/>
        <w:ind w:right="1126"/>
        <w:jc w:val="both"/>
      </w:pPr>
      <w:r>
        <w:rPr>
          <w:spacing w:val="-2"/>
        </w:rPr>
        <w:t>益在合并财务报表中股东权益及净利润项下单独列示。子公司当期净损益中属于少数股东权益的份额，在</w:t>
      </w:r>
      <w:r>
        <w:rPr>
          <w:spacing w:val="-44"/>
        </w:rPr>
        <w:t> </w:t>
      </w:r>
      <w:r>
        <w:rPr>
          <w:spacing w:val="-44"/>
        </w:rPr>
      </w:r>
      <w:r>
        <w:rPr>
          <w:spacing w:val="-2"/>
        </w:rPr>
        <w:t>合并利润表中净利润项目下以“少数股东损益”项目列示。少数股东分担的子公司的亏损超过了少数股东</w:t>
      </w:r>
      <w:r>
        <w:rPr>
          <w:spacing w:val="-42"/>
        </w:rPr>
        <w:t> </w:t>
      </w:r>
      <w:r>
        <w:rPr>
          <w:spacing w:val="-42"/>
        </w:rPr>
      </w:r>
      <w:r>
        <w:rPr/>
        <w:t>在该子公司期初股东权益中所享有的份额，仍冲减少数股东权益。</w:t>
      </w:r>
    </w:p>
    <w:p>
      <w:pPr>
        <w:pStyle w:val="BodyText"/>
        <w:spacing w:line="408" w:lineRule="auto" w:before="87"/>
        <w:ind w:right="1028" w:firstLine="420"/>
        <w:jc w:val="both"/>
      </w:pPr>
      <w:r>
        <w:rPr>
          <w:spacing w:val="-2"/>
        </w:rPr>
        <w:t>当因处置部分股权投资或其他原因丧失了对原有子公司的控制权时，对于剩余股权，按照其在丧失控</w:t>
      </w:r>
      <w:r>
        <w:rPr>
          <w:w w:val="100"/>
        </w:rPr>
        <w:t> </w:t>
      </w:r>
      <w:r>
        <w:rPr>
          <w:spacing w:val="-2"/>
        </w:rPr>
        <w:t>制权日的公允价值进行重新计量。处置股权取得的对价与剩余股权公允价值之和，减去按原持股比例计算</w:t>
      </w:r>
      <w:r>
        <w:rPr>
          <w:spacing w:val="-43"/>
        </w:rPr>
        <w:t> </w:t>
      </w:r>
      <w:r>
        <w:rPr>
          <w:spacing w:val="-43"/>
        </w:rPr>
      </w:r>
      <w:r>
        <w:rPr/>
        <w:t>应享有原有子公司自购买日开始持续计算的净资产的份额之间的差额，计入丧失控制权当期的投资收益。</w:t>
      </w:r>
    </w:p>
    <w:p>
      <w:pPr>
        <w:spacing w:after="0" w:line="408" w:lineRule="auto"/>
        <w:jc w:val="both"/>
        <w:sectPr>
          <w:footerReference w:type="default" r:id="rId36"/>
          <w:pgSz w:w="11910" w:h="16840"/>
          <w:pgMar w:footer="1079" w:header="906" w:top="1100" w:bottom="1260" w:left="1020" w:right="0"/>
          <w:pgNumType w:start="120"/>
        </w:sectPr>
      </w:pPr>
    </w:p>
    <w:p>
      <w:pPr>
        <w:spacing w:line="240" w:lineRule="auto" w:before="9"/>
        <w:rPr>
          <w:rFonts w:ascii="宋体" w:hAnsi="宋体" w:cs="宋体" w:eastAsia="宋体" w:hint="default"/>
          <w:sz w:val="27"/>
          <w:szCs w:val="27"/>
        </w:rPr>
      </w:pPr>
    </w:p>
    <w:p>
      <w:pPr>
        <w:pStyle w:val="BodyText"/>
        <w:spacing w:line="408" w:lineRule="auto" w:before="36"/>
        <w:ind w:left="213" w:right="953"/>
        <w:jc w:val="left"/>
      </w:pPr>
      <w:r>
        <w:rPr>
          <w:spacing w:val="-2"/>
        </w:rPr>
        <w:t>与原有子公司股权投资相关的其他综合收益，在丧失控制权时采用与被购买方直接处置相关资产或负债相</w:t>
      </w:r>
      <w:r>
        <w:rPr>
          <w:spacing w:val="-43"/>
        </w:rPr>
        <w:t> </w:t>
      </w:r>
      <w:r>
        <w:rPr>
          <w:spacing w:val="-43"/>
        </w:rPr>
      </w:r>
      <w:r>
        <w:rPr>
          <w:spacing w:val="-5"/>
        </w:rPr>
        <w:t>同的基础进行会计处理（即，除了在该原有子公司重新计量设定受益计划净负债或净资产导致的变动以外，</w:t>
      </w:r>
      <w:r>
        <w:rPr>
          <w:spacing w:val="-4"/>
        </w:rPr>
        <w:t> </w:t>
      </w:r>
      <w:r>
        <w:rPr>
          <w:spacing w:val="-4"/>
        </w:rPr>
      </w:r>
      <w:r>
        <w:rPr>
          <w:spacing w:val="-5"/>
          <w:w w:val="100"/>
        </w:rPr>
        <w:t>其余一并转为当期投资收益）。其后，对该部分剩余股权按照《企业会计准则第</w:t>
      </w:r>
      <w:r>
        <w:rPr>
          <w:rFonts w:ascii="Times New Roman" w:hAnsi="Times New Roman" w:cs="Times New Roman" w:eastAsia="Times New Roman" w:hint="default"/>
          <w:spacing w:val="-5"/>
          <w:w w:val="100"/>
        </w:rPr>
        <w:t>2</w:t>
      </w:r>
      <w:r>
        <w:rPr>
          <w:spacing w:val="-5"/>
          <w:w w:val="100"/>
        </w:rPr>
        <w:t>号</w:t>
      </w:r>
      <w:r>
        <w:rPr>
          <w:rFonts w:ascii="Times New Roman" w:hAnsi="Times New Roman" w:cs="Times New Roman" w:eastAsia="Times New Roman" w:hint="default"/>
          <w:spacing w:val="-5"/>
          <w:w w:val="100"/>
        </w:rPr>
        <w:t>——</w:t>
      </w:r>
      <w:r>
        <w:rPr>
          <w:spacing w:val="-5"/>
          <w:w w:val="100"/>
        </w:rPr>
        <w:t>长期股权投资》或</w:t>
      </w:r>
    </w:p>
    <w:p>
      <w:pPr>
        <w:pStyle w:val="BodyText"/>
        <w:spacing w:line="386" w:lineRule="auto" w:before="14"/>
        <w:ind w:left="213" w:right="953" w:hanging="107"/>
        <w:jc w:val="left"/>
      </w:pPr>
      <w:r>
        <w:rPr/>
        <w:t>《企业会计准则第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r>
        <w:rPr>
          <w:spacing w:val="-24"/>
        </w:rPr>
        <w:t> </w:t>
      </w:r>
      <w:r>
        <w:rPr>
          <w:spacing w:val="-7"/>
          <w:w w:val="100"/>
        </w:rPr>
        <w:t>权投资”或本附注五、</w:t>
      </w:r>
      <w:r>
        <w:rPr>
          <w:rFonts w:ascii="Times New Roman" w:hAnsi="Times New Roman" w:cs="Times New Roman" w:eastAsia="Times New Roman" w:hint="default"/>
          <w:spacing w:val="-7"/>
          <w:w w:val="100"/>
        </w:rPr>
        <w:t>10</w:t>
      </w:r>
      <w:r>
        <w:rPr>
          <w:spacing w:val="-7"/>
          <w:w w:val="100"/>
        </w:rPr>
        <w:t>“金融工具”。</w:t>
      </w:r>
    </w:p>
    <w:p>
      <w:pPr>
        <w:pStyle w:val="BodyText"/>
        <w:spacing w:line="405" w:lineRule="auto" w:before="76"/>
        <w:ind w:left="213" w:right="1126" w:firstLine="420"/>
        <w:jc w:val="both"/>
      </w:pPr>
      <w:r>
        <w:rPr>
          <w:spacing w:val="-2"/>
        </w:rPr>
        <w:t>本公司通过多次交易分步处置对子公司股权投资直至丧失控制权的，需区分处置对子公司股权投资直</w:t>
      </w:r>
      <w:r>
        <w:rPr>
          <w:w w:val="100"/>
        </w:rPr>
        <w:t> </w:t>
      </w:r>
      <w:r>
        <w:rPr>
          <w:spacing w:val="-2"/>
        </w:rPr>
        <w:t>至丧失控制权的各项交易是否属于一揽子交易。处置对子公司股权投资的各项交易的条款、条件以及经济</w:t>
      </w:r>
      <w:r>
        <w:rPr>
          <w:spacing w:val="-43"/>
        </w:rPr>
        <w:t> </w:t>
      </w:r>
      <w:r>
        <w:rPr>
          <w:spacing w:val="-43"/>
        </w:rPr>
      </w:r>
      <w:r>
        <w:rPr>
          <w:spacing w:val="-2"/>
        </w:rPr>
        <w:t>影响符合以下一种或多种情况，通常表明应将多次交易事项作为一揽子交易进行会计处理：①这些交易是</w:t>
      </w:r>
      <w:r>
        <w:rPr>
          <w:spacing w:val="-42"/>
        </w:rPr>
        <w:t> </w:t>
      </w:r>
      <w:r>
        <w:rPr>
          <w:spacing w:val="-42"/>
        </w:rPr>
      </w:r>
      <w:r>
        <w:rPr>
          <w:spacing w:val="-2"/>
        </w:rPr>
        <w:t>同时或者在考虑了彼此影响的情况下订立的；②这些交易整体才能达成一项完整的商业结果；③一项交易</w:t>
      </w:r>
      <w:r>
        <w:rPr>
          <w:spacing w:val="-43"/>
        </w:rPr>
        <w:t> </w:t>
      </w:r>
      <w:r>
        <w:rPr>
          <w:spacing w:val="-43"/>
        </w:rPr>
      </w:r>
      <w:r>
        <w:rPr>
          <w:spacing w:val="-2"/>
        </w:rPr>
        <w:t>的发生取决于其他至少一项交易的发生；④一项交易单独看是不经济的，但是和其他交易一并考虑时是经</w:t>
      </w:r>
      <w:r>
        <w:rPr>
          <w:spacing w:val="-43"/>
        </w:rPr>
        <w:t> </w:t>
      </w:r>
      <w:r>
        <w:rPr>
          <w:spacing w:val="-43"/>
        </w:rPr>
      </w:r>
      <w:r>
        <w:rPr>
          <w:spacing w:val="-2"/>
        </w:rPr>
        <w:t>济的。不属于一揽子交易的，对其中的每一项交易视情况分别按照“不丧失控制权的情况下部分处置对子</w:t>
      </w:r>
      <w:r>
        <w:rPr>
          <w:spacing w:val="-43"/>
        </w:rPr>
        <w:t> </w:t>
      </w:r>
      <w:r>
        <w:rPr>
          <w:spacing w:val="-43"/>
        </w:rPr>
      </w:r>
      <w:r>
        <w:rPr>
          <w:spacing w:val="-4"/>
          <w:w w:val="100"/>
        </w:rPr>
        <w:t>公司的长期股权投资”（详见本附注五、</w:t>
      </w:r>
      <w:r>
        <w:rPr>
          <w:rFonts w:ascii="Times New Roman" w:hAnsi="Times New Roman" w:cs="Times New Roman" w:eastAsia="Times New Roman" w:hint="default"/>
          <w:spacing w:val="-4"/>
          <w:w w:val="100"/>
        </w:rPr>
        <w:t>14</w:t>
      </w:r>
      <w:r>
        <w:rPr>
          <w:spacing w:val="-4"/>
          <w:w w:val="100"/>
        </w:rPr>
        <w:t>、（</w:t>
      </w:r>
      <w:r>
        <w:rPr>
          <w:rFonts w:ascii="Times New Roman" w:hAnsi="Times New Roman" w:cs="Times New Roman" w:eastAsia="Times New Roman" w:hint="default"/>
          <w:spacing w:val="-4"/>
          <w:w w:val="100"/>
        </w:rPr>
        <w:t>2</w:t>
      </w:r>
      <w:r>
        <w:rPr>
          <w:spacing w:val="-4"/>
          <w:w w:val="100"/>
        </w:rPr>
        <w:t>）④）和“因处置部分股权投资或其他原因丧失了对原有</w:t>
      </w:r>
      <w:r>
        <w:rPr>
          <w:spacing w:val="-99"/>
          <w:w w:val="100"/>
        </w:rPr>
        <w:t> </w:t>
      </w:r>
      <w:r>
        <w:rPr>
          <w:spacing w:val="-99"/>
          <w:w w:val="100"/>
        </w:rPr>
      </w:r>
      <w:r>
        <w:rPr>
          <w:spacing w:val="-2"/>
          <w:w w:val="100"/>
        </w:rPr>
        <w:t>子公司的控制权”（详见前段）适用的原则进行会计处理。处置对子公司股权投资直至丧失控制权的各项</w:t>
      </w:r>
      <w:r>
        <w:rPr>
          <w:spacing w:val="-93"/>
          <w:w w:val="100"/>
        </w:rPr>
        <w:t> </w:t>
      </w:r>
      <w:r>
        <w:rPr>
          <w:spacing w:val="-93"/>
          <w:w w:val="100"/>
        </w:rPr>
      </w:r>
      <w:r>
        <w:rPr>
          <w:spacing w:val="-2"/>
        </w:rPr>
        <w:t>交易属于一揽子交易的，将各项交易作为一项处置子公司并丧失控制权的交易进行会计处理；但是，在丧</w:t>
      </w:r>
      <w:r>
        <w:rPr>
          <w:spacing w:val="-43"/>
        </w:rPr>
        <w:t> </w:t>
      </w:r>
      <w:r>
        <w:rPr>
          <w:spacing w:val="-43"/>
        </w:rPr>
      </w:r>
      <w:r>
        <w:rPr>
          <w:spacing w:val="-2"/>
        </w:rPr>
        <w:t>失控制权之前每一次处置价款与处置投资对应的享有该子公司净资产份额的差额，在合并财务报表中确认</w:t>
      </w:r>
      <w:r>
        <w:rPr>
          <w:spacing w:val="-43"/>
        </w:rPr>
        <w:t> </w:t>
      </w:r>
      <w:r>
        <w:rPr>
          <w:spacing w:val="-43"/>
        </w:rPr>
      </w:r>
      <w:r>
        <w:rPr/>
        <w:t>为其他综合收益，在丧失控制权时一并转入丧失控制权当期的损益。</w:t>
      </w:r>
    </w:p>
    <w:p>
      <w:pPr>
        <w:spacing w:line="240" w:lineRule="auto" w:before="8"/>
        <w:rPr>
          <w:rFonts w:ascii="宋体" w:hAnsi="宋体" w:cs="宋体" w:eastAsia="宋体" w:hint="default"/>
          <w:sz w:val="20"/>
          <w:szCs w:val="20"/>
        </w:rPr>
      </w:pPr>
    </w:p>
    <w:p>
      <w:pPr>
        <w:pStyle w:val="Heading4"/>
        <w:spacing w:line="240" w:lineRule="auto"/>
        <w:ind w:left="213" w:right="95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213" w:right="1126" w:firstLine="420"/>
        <w:jc w:val="both"/>
      </w:pPr>
      <w:r>
        <w:rPr>
          <w:spacing w:val="-2"/>
        </w:rPr>
        <w:t>合营安排，是指一项由两个或两个以上的参与方共同控制的安排。本公司根据在合营安排中享有的权</w:t>
      </w:r>
      <w:r>
        <w:rPr>
          <w:w w:val="100"/>
        </w:rPr>
        <w:t> </w:t>
      </w:r>
      <w:r>
        <w:rPr>
          <w:spacing w:val="-2"/>
        </w:rPr>
        <w:t>利和承担的义务，将合营安排分为共同经营和合营企业。共同经营，是指本公司享有该安排相关资产且承</w:t>
      </w:r>
      <w:r>
        <w:rPr>
          <w:spacing w:val="-44"/>
        </w:rPr>
        <w:t> </w:t>
      </w:r>
      <w:r>
        <w:rPr>
          <w:spacing w:val="-44"/>
        </w:rPr>
      </w:r>
      <w:r>
        <w:rPr/>
        <w:t>担该安排相关负债的合营安排。合营企业，是指本公司仅对该安排的净资产享有权利的合营安排。</w:t>
      </w:r>
    </w:p>
    <w:p>
      <w:pPr>
        <w:pStyle w:val="BodyText"/>
        <w:spacing w:line="386" w:lineRule="auto" w:before="87"/>
        <w:ind w:left="213" w:right="1125" w:firstLine="420"/>
        <w:jc w:val="both"/>
      </w:pPr>
      <w:r>
        <w:rPr>
          <w:spacing w:val="-7"/>
        </w:rPr>
        <w:t>本公司对合营企业的投资采用权益法核算，按照本附注五、</w:t>
      </w:r>
      <w:r>
        <w:rPr>
          <w:rFonts w:ascii="Times New Roman" w:hAnsi="Times New Roman" w:cs="Times New Roman" w:eastAsia="Times New Roman" w:hint="default"/>
          <w:spacing w:val="-7"/>
        </w:rPr>
        <w:t>14</w:t>
      </w:r>
      <w:r>
        <w:rPr>
          <w:spacing w:val="-7"/>
        </w:rPr>
        <w:t>（</w:t>
      </w:r>
      <w:r>
        <w:rPr>
          <w:rFonts w:ascii="Times New Roman" w:hAnsi="Times New Roman" w:cs="Times New Roman" w:eastAsia="Times New Roman" w:hint="default"/>
          <w:spacing w:val="-7"/>
        </w:rPr>
        <w:t>2</w:t>
      </w:r>
      <w:r>
        <w:rPr>
          <w:spacing w:val="-7"/>
        </w:rPr>
        <w:t>）②</w:t>
      </w:r>
      <w:r>
        <w:rPr>
          <w:spacing w:val="-32"/>
        </w:rPr>
        <w:t> </w:t>
      </w:r>
      <w:r>
        <w:rPr/>
        <w:t>“权益法核算的长期股权投资”</w:t>
      </w:r>
      <w:r>
        <w:rPr>
          <w:w w:val="100"/>
        </w:rPr>
        <w:t> </w:t>
      </w:r>
      <w:r>
        <w:rPr/>
        <w:t>中所述的会计政策处理。</w:t>
      </w:r>
    </w:p>
    <w:p>
      <w:pPr>
        <w:pStyle w:val="BodyText"/>
        <w:spacing w:line="408" w:lineRule="auto" w:before="104"/>
        <w:ind w:left="213" w:right="1126" w:firstLine="420"/>
        <w:jc w:val="both"/>
      </w:pPr>
      <w:r>
        <w:rPr>
          <w:spacing w:val="-2"/>
        </w:rPr>
        <w:t>本公司作为合营方对共同经营，确认本公司单独持有的资产、单独所承担的负债，以及按本公司份额</w:t>
      </w:r>
      <w:r>
        <w:rPr>
          <w:w w:val="100"/>
        </w:rPr>
        <w:t> </w:t>
      </w:r>
      <w:r>
        <w:rPr>
          <w:spacing w:val="-2"/>
        </w:rPr>
        <w:t>确认共同持有的资产和共同承担的负债；确认出售本公司享有的共同经营产出份额所产生的收入；按本公</w:t>
      </w:r>
      <w:r>
        <w:rPr>
          <w:spacing w:val="-43"/>
        </w:rPr>
        <w:t> </w:t>
      </w:r>
      <w:r>
        <w:rPr>
          <w:spacing w:val="-43"/>
        </w:rPr>
      </w:r>
      <w:r>
        <w:rPr>
          <w:spacing w:val="-2"/>
        </w:rPr>
        <w:t>司份额确认共同经营因出售产出所产生的收入；确认本公司单独所发生的费用，以及按本公司份额确认共</w:t>
      </w:r>
      <w:r>
        <w:rPr>
          <w:spacing w:val="-44"/>
        </w:rPr>
        <w:t> </w:t>
      </w:r>
      <w:r>
        <w:rPr>
          <w:spacing w:val="-44"/>
        </w:rPr>
      </w:r>
      <w:r>
        <w:rPr/>
        <w:t>同经营发生的费用。</w:t>
      </w:r>
    </w:p>
    <w:p>
      <w:pPr>
        <w:pStyle w:val="BodyText"/>
        <w:spacing w:line="408" w:lineRule="auto" w:before="87"/>
        <w:ind w:left="213" w:right="1126" w:firstLine="420"/>
        <w:jc w:val="both"/>
      </w:pPr>
      <w:r>
        <w:rPr>
          <w:spacing w:val="-2"/>
          <w:w w:val="100"/>
        </w:rPr>
        <w:t>当本公司作为合营方向共同经营投出或出售资产（该资产不构成业务，下同）、或者自共同经营购买</w:t>
      </w:r>
      <w:r>
        <w:rPr>
          <w:w w:val="100"/>
        </w:rPr>
        <w:t> </w:t>
      </w:r>
      <w:r>
        <w:rPr>
          <w:spacing w:val="-2"/>
        </w:rPr>
        <w:t>资产时，在该等资产出售给第三方之前，本公司仅确认因该交易产生的损益中归属于共同经营其他参与方</w:t>
      </w:r>
    </w:p>
    <w:p>
      <w:pPr>
        <w:spacing w:after="0" w:line="408" w:lineRule="auto"/>
        <w:jc w:val="both"/>
        <w:sectPr>
          <w:pgSz w:w="11910" w:h="16840"/>
          <w:pgMar w:header="906" w:footer="1079" w:top="1100" w:bottom="1260" w:left="920" w:right="0"/>
        </w:sectPr>
      </w:pPr>
    </w:p>
    <w:p>
      <w:pPr>
        <w:spacing w:line="240" w:lineRule="auto" w:before="9"/>
        <w:rPr>
          <w:rFonts w:ascii="宋体" w:hAnsi="宋体" w:cs="宋体" w:eastAsia="宋体" w:hint="default"/>
          <w:sz w:val="27"/>
          <w:szCs w:val="27"/>
        </w:rPr>
      </w:pPr>
    </w:p>
    <w:p>
      <w:pPr>
        <w:pStyle w:val="BodyText"/>
        <w:spacing w:line="398" w:lineRule="auto" w:before="36"/>
        <w:ind w:right="0"/>
        <w:jc w:val="left"/>
      </w:pPr>
      <w:r>
        <w:rPr/>
        <w:t>的部分。该等资产发生符合《企业会计准则第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w:t>
      </w:r>
      <w:r>
        <w:rPr>
          <w:spacing w:val="-26"/>
        </w:rPr>
        <w:t> </w:t>
      </w:r>
      <w:r>
        <w:rPr>
          <w:spacing w:val="-26"/>
        </w:rPr>
      </w:r>
      <w:r>
        <w:rPr/>
        <w:t>司向共同经营投出或出售资产的情况，本公司全额确认该损失；对于本公司自共同经营购买资产的情况，</w:t>
      </w:r>
      <w:r>
        <w:rPr>
          <w:spacing w:val="-24"/>
        </w:rPr>
        <w:t> </w:t>
      </w:r>
      <w:r>
        <w:rPr>
          <w:spacing w:val="-24"/>
        </w:rPr>
      </w:r>
      <w:r>
        <w:rPr/>
        <w:t>本公司按承担的份额确认该损失。</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5" w:firstLine="420"/>
        <w:jc w:val="both"/>
      </w:pPr>
      <w:r>
        <w:rPr>
          <w:spacing w:val="-2"/>
        </w:rPr>
        <w:t>本公司在编制现金流量表时所确定的现金等价物，是指本公司持有的期限短、流动性强、易于转换为</w:t>
      </w:r>
      <w:r>
        <w:rPr>
          <w:w w:val="100"/>
        </w:rPr>
        <w:t> </w:t>
      </w:r>
      <w:r>
        <w:rPr/>
        <w:t>已知金额现金、价值变动风险很小的投资。</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left="533" w:right="0" w:hanging="106"/>
        <w:jc w:val="left"/>
      </w:pPr>
      <w:r>
        <w:rPr/>
        <w:t>（</w:t>
      </w:r>
      <w:r>
        <w:rPr>
          <w:rFonts w:ascii="Times New Roman" w:hAnsi="Times New Roman" w:cs="Times New Roman" w:eastAsia="Times New Roman" w:hint="default"/>
        </w:rPr>
        <w:t>1</w:t>
      </w:r>
      <w:r>
        <w:rPr/>
        <w:t>）外币交易的折算方法</w:t>
      </w:r>
      <w:r>
        <w:rPr>
          <w:w w:val="100"/>
        </w:rPr>
        <w:t> </w:t>
      </w:r>
      <w:r>
        <w:rPr>
          <w:spacing w:val="-2"/>
        </w:rPr>
        <w:t>本公司发生的外币交易在初始确认时，按交易日的即期汇率（通常指中国人民银行公布的当日外汇牌</w:t>
      </w:r>
    </w:p>
    <w:p>
      <w:pPr>
        <w:pStyle w:val="BodyText"/>
        <w:spacing w:line="408" w:lineRule="auto" w:before="35"/>
        <w:ind w:right="0"/>
        <w:jc w:val="left"/>
      </w:pPr>
      <w:r>
        <w:rPr>
          <w:spacing w:val="-2"/>
        </w:rPr>
        <w:t>价的中间价，折算为记账本位币金额，但公司发生的外币兑换业务或涉及外币兑换的交易事项，按照实际</w:t>
      </w:r>
      <w:r>
        <w:rPr>
          <w:spacing w:val="-42"/>
        </w:rPr>
        <w:t> </w:t>
      </w:r>
      <w:r>
        <w:rPr>
          <w:spacing w:val="-42"/>
        </w:rPr>
      </w:r>
      <w:r>
        <w:rPr/>
        <w:t>采用的汇率折算为记账本位币金额。</w:t>
      </w:r>
    </w:p>
    <w:p>
      <w:pPr>
        <w:pStyle w:val="BodyText"/>
        <w:spacing w:line="420" w:lineRule="auto" w:before="84"/>
        <w:ind w:left="533" w:right="0" w:hanging="106"/>
        <w:jc w:val="left"/>
      </w:pPr>
      <w:r>
        <w:rPr/>
        <w:t>（</w:t>
      </w:r>
      <w:r>
        <w:rPr>
          <w:rFonts w:ascii="Times New Roman" w:hAnsi="Times New Roman" w:cs="Times New Roman" w:eastAsia="Times New Roman" w:hint="default"/>
        </w:rPr>
        <w:t>2</w:t>
      </w:r>
      <w:r>
        <w:rPr/>
        <w:t>）对于外币货币性项目和外币非货币性项目的折算方法</w:t>
      </w:r>
      <w:r>
        <w:rPr>
          <w:w w:val="100"/>
        </w:rPr>
        <w:t> </w:t>
      </w:r>
      <w:r>
        <w:rPr>
          <w:spacing w:val="-2"/>
        </w:rPr>
        <w:t>资产负债表日，对于外币货币性项目采用资产负债表日即期汇率折算，由此产生的汇兑差额，除：</w:t>
      </w:r>
    </w:p>
    <w:p>
      <w:pPr>
        <w:pStyle w:val="BodyText"/>
        <w:spacing w:line="408" w:lineRule="auto" w:before="76"/>
        <w:ind w:right="1126" w:firstLine="420"/>
        <w:jc w:val="both"/>
      </w:pPr>
      <w:r>
        <w:rPr>
          <w:spacing w:val="2"/>
        </w:rPr>
        <w:t>①属于与购建符合资本化条件的资产相关的外币专门借款产生的汇兑差额按照借款费用资本化的原</w:t>
      </w:r>
      <w:r>
        <w:rPr>
          <w:w w:val="100"/>
        </w:rPr>
        <w:t> </w:t>
      </w:r>
      <w:r>
        <w:rPr>
          <w:spacing w:val="-2"/>
        </w:rPr>
        <w:t>则处理；②用于境外经营净投资有效套期的套期工具的汇兑差额（该差额计入其他综合收益，直至净投资</w:t>
      </w:r>
      <w:r>
        <w:rPr>
          <w:spacing w:val="-43"/>
        </w:rPr>
        <w:t> </w:t>
      </w:r>
      <w:r>
        <w:rPr>
          <w:spacing w:val="-43"/>
        </w:rPr>
      </w:r>
      <w:r>
        <w:rPr>
          <w:spacing w:val="-2"/>
          <w:w w:val="100"/>
        </w:rPr>
        <w:t>被处置才被确认为当期损益）；以及③可供出售的外币货币性项目除摊余成本之外的其他账面余额变动产</w:t>
      </w:r>
      <w:r>
        <w:rPr>
          <w:spacing w:val="-94"/>
          <w:w w:val="100"/>
        </w:rPr>
        <w:t> </w:t>
      </w:r>
      <w:r>
        <w:rPr>
          <w:spacing w:val="-94"/>
          <w:w w:val="100"/>
        </w:rPr>
      </w:r>
      <w:r>
        <w:rPr/>
        <w:t>生的汇兑差额计入其他综合收益之外，均计入当期损益。</w:t>
      </w:r>
    </w:p>
    <w:p>
      <w:pPr>
        <w:pStyle w:val="BodyText"/>
        <w:spacing w:line="408" w:lineRule="auto" w:before="84"/>
        <w:ind w:right="1126" w:firstLine="420"/>
        <w:jc w:val="both"/>
      </w:pPr>
      <w:r>
        <w:rPr>
          <w:spacing w:val="-2"/>
        </w:rPr>
        <w:t>编制合并财务报表涉及境外经营的，如有实质上构成对境外经营净投资的外币货币性项目，因汇率变</w:t>
      </w:r>
      <w:r>
        <w:rPr>
          <w:w w:val="100"/>
        </w:rPr>
        <w:t> </w:t>
      </w:r>
      <w:r>
        <w:rPr/>
        <w:t>动而产生的汇兑差额，计入其他综合收益；处置境外经营时，转入处置当期损益。</w:t>
      </w:r>
    </w:p>
    <w:p>
      <w:pPr>
        <w:pStyle w:val="BodyText"/>
        <w:spacing w:line="408" w:lineRule="auto" w:before="87"/>
        <w:ind w:right="1031" w:firstLine="420"/>
        <w:jc w:val="both"/>
      </w:pPr>
      <w:r>
        <w:rPr>
          <w:spacing w:val="-2"/>
        </w:rPr>
        <w:t>以历史成本计量的外币非货币性项目，仍采用交易发生日的即期汇率折算的记账本位币金额计量。以</w:t>
      </w:r>
      <w:r>
        <w:rPr>
          <w:w w:val="100"/>
        </w:rPr>
        <w:t> </w:t>
      </w:r>
      <w:r>
        <w:rPr>
          <w:spacing w:val="-2"/>
        </w:rPr>
        <w:t>公允价值计量的外币非货币性项目，采用公允价值确定日的即期汇率折算，折算后的记账本位币金额与原</w:t>
      </w:r>
      <w:r>
        <w:rPr>
          <w:spacing w:val="-42"/>
        </w:rPr>
        <w:t> </w:t>
      </w:r>
      <w:r>
        <w:rPr>
          <w:spacing w:val="-42"/>
        </w:rPr>
      </w:r>
      <w:r>
        <w:rPr/>
        <w:t>记账本位币金额的差额，作为公允价值变动（含汇率变动）处理，计入当期损益或确认为其他综合收益。</w:t>
      </w:r>
    </w:p>
    <w:p>
      <w:pPr>
        <w:pStyle w:val="BodyText"/>
        <w:spacing w:line="417" w:lineRule="auto" w:before="87"/>
        <w:ind w:left="533" w:right="0" w:hanging="106"/>
        <w:jc w:val="left"/>
      </w:pPr>
      <w:r>
        <w:rPr/>
        <w:t>（</w:t>
      </w:r>
      <w:r>
        <w:rPr>
          <w:rFonts w:ascii="Times New Roman" w:hAnsi="Times New Roman" w:cs="Times New Roman" w:eastAsia="Times New Roman" w:hint="default"/>
        </w:rPr>
        <w:t>3</w:t>
      </w:r>
      <w:r>
        <w:rPr/>
        <w:t>）外币财务报表的折算方法</w:t>
      </w:r>
      <w:r>
        <w:rPr>
          <w:w w:val="100"/>
        </w:rPr>
        <w:t> </w:t>
      </w:r>
      <w:r>
        <w:rPr>
          <w:spacing w:val="-2"/>
        </w:rPr>
        <w:t>编制合并财务报表涉及境外经营的，如有实质上构成对境外经营净投资的外币货币性项目，因汇率变</w:t>
      </w:r>
    </w:p>
    <w:p>
      <w:pPr>
        <w:pStyle w:val="BodyText"/>
        <w:spacing w:line="408" w:lineRule="auto" w:before="37"/>
        <w:ind w:right="1126"/>
        <w:jc w:val="left"/>
      </w:pPr>
      <w:r>
        <w:rPr>
          <w:spacing w:val="-2"/>
        </w:rPr>
        <w:t>动而产生的汇兑差额，作为“外币报表折算差额”确认为其他综合收益；处置境外经营时，计入处置当期</w:t>
      </w:r>
      <w:r>
        <w:rPr>
          <w:spacing w:val="-43"/>
        </w:rPr>
        <w:t> </w:t>
      </w:r>
      <w:r>
        <w:rPr>
          <w:spacing w:val="-43"/>
        </w:rPr>
      </w:r>
      <w:r>
        <w:rPr/>
        <w:t>损益。</w:t>
      </w:r>
    </w:p>
    <w:p>
      <w:pPr>
        <w:pStyle w:val="BodyText"/>
        <w:spacing w:line="240" w:lineRule="auto" w:before="87"/>
        <w:ind w:left="533" w:right="0"/>
        <w:jc w:val="left"/>
      </w:pPr>
      <w:r>
        <w:rPr/>
        <w:t>境外经营的外币财务报表按以下方法折算为人民币报表：资产负债表中的资产和负债项目，采用资产</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1126"/>
        <w:jc w:val="both"/>
      </w:pPr>
      <w:r>
        <w:rPr>
          <w:spacing w:val="-2"/>
        </w:rPr>
        <w:t>负债表日的即期汇率折算；股东权益类项目除“未分配利润”项目外，其他项目采用发生时的即期汇率折</w:t>
      </w:r>
      <w:r>
        <w:rPr>
          <w:spacing w:val="-44"/>
        </w:rPr>
        <w:t> </w:t>
      </w:r>
      <w:r>
        <w:rPr>
          <w:spacing w:val="-44"/>
        </w:rPr>
      </w:r>
      <w:r>
        <w:rPr>
          <w:spacing w:val="-2"/>
        </w:rPr>
        <w:t>算。利润表中的收入和费用项目，采用交易发生日的当期加权平均汇率折算。年初未分配利润为上一年折</w:t>
      </w:r>
      <w:r>
        <w:rPr>
          <w:spacing w:val="-43"/>
        </w:rPr>
        <w:t> </w:t>
      </w:r>
      <w:r>
        <w:rPr>
          <w:spacing w:val="-43"/>
        </w:rPr>
      </w:r>
      <w:r>
        <w:rPr>
          <w:spacing w:val="-2"/>
        </w:rPr>
        <w:t>算后的年末未分配利润；年末未分配利润按折算后的利润分配各项目计算列示；折算后资产类项目与负债</w:t>
      </w:r>
      <w:r>
        <w:rPr>
          <w:spacing w:val="-43"/>
        </w:rPr>
        <w:t> </w:t>
      </w:r>
      <w:r>
        <w:rPr>
          <w:spacing w:val="-43"/>
        </w:rPr>
      </w:r>
      <w:r>
        <w:rPr>
          <w:spacing w:val="-2"/>
        </w:rPr>
        <w:t>类项目和股东权益类项目合计数的差额，作为外币报表折算差额，确认为其他综合收益。处置境外经营并</w:t>
      </w:r>
      <w:r>
        <w:rPr>
          <w:spacing w:val="-44"/>
        </w:rPr>
        <w:t> </w:t>
      </w:r>
      <w:r>
        <w:rPr>
          <w:spacing w:val="-44"/>
        </w:rPr>
      </w:r>
      <w:r>
        <w:rPr>
          <w:spacing w:val="-2"/>
        </w:rPr>
        <w:t>丧失控制权时，将资产负债表中股东权益项目下列示的、与该境外经营相关的外币报表折算差额，全部或</w:t>
      </w:r>
      <w:r>
        <w:rPr>
          <w:spacing w:val="-45"/>
        </w:rPr>
        <w:t> </w:t>
      </w:r>
      <w:r>
        <w:rPr>
          <w:spacing w:val="-45"/>
        </w:rPr>
      </w:r>
      <w:r>
        <w:rPr/>
        <w:t>按处置该境外经营的比例转入处置当期损益。</w:t>
      </w:r>
    </w:p>
    <w:p>
      <w:pPr>
        <w:pStyle w:val="BodyText"/>
        <w:spacing w:line="408" w:lineRule="auto" w:before="87"/>
        <w:ind w:right="1126" w:firstLine="420"/>
        <w:jc w:val="both"/>
      </w:pPr>
      <w:r>
        <w:rPr>
          <w:spacing w:val="-2"/>
        </w:rPr>
        <w:t>外币现金流量以及境外子公司的现金流量，采用现金流量发生日的当期加权平均汇率折算。汇率变动</w:t>
      </w:r>
      <w:r>
        <w:rPr>
          <w:w w:val="100"/>
        </w:rPr>
        <w:t> </w:t>
      </w:r>
      <w:r>
        <w:rPr/>
        <w:t>对现金的影响额作为调节项目，在现金流量表中单独列报。</w:t>
      </w:r>
    </w:p>
    <w:p>
      <w:pPr>
        <w:pStyle w:val="BodyText"/>
        <w:spacing w:line="444" w:lineRule="auto" w:before="85"/>
        <w:ind w:left="533" w:right="0"/>
        <w:jc w:val="left"/>
      </w:pPr>
      <w:r>
        <w:rPr/>
        <w:t>年初数和上年实际数按照上年财务报表折算后的数额列示。</w:t>
      </w:r>
      <w:r>
        <w:rPr>
          <w:w w:val="100"/>
        </w:rPr>
        <w:t> </w:t>
      </w:r>
      <w:r>
        <w:rPr>
          <w:spacing w:val="2"/>
        </w:rPr>
        <w:t>在处置本公司在境外经营的全部所有者权益或因处置部分股权投资或其他原因丧失了对境外经营控</w:t>
      </w:r>
    </w:p>
    <w:p>
      <w:pPr>
        <w:pStyle w:val="BodyText"/>
        <w:spacing w:line="408" w:lineRule="auto" w:before="14"/>
        <w:ind w:right="1126"/>
        <w:jc w:val="both"/>
      </w:pPr>
      <w:r>
        <w:rPr>
          <w:spacing w:val="-2"/>
        </w:rPr>
        <w:t>制权时，将资产负债表中股东权益项目下列示的、与该境外经营相关的归属于母公司所有者权益的外币报</w:t>
      </w:r>
      <w:r>
        <w:rPr>
          <w:spacing w:val="-43"/>
        </w:rPr>
        <w:t> </w:t>
      </w:r>
      <w:r>
        <w:rPr>
          <w:spacing w:val="-43"/>
        </w:rPr>
      </w:r>
      <w:r>
        <w:rPr/>
        <w:t>表折算差额，全部转入处置当期损益。</w:t>
      </w:r>
    </w:p>
    <w:p>
      <w:pPr>
        <w:pStyle w:val="BodyText"/>
        <w:spacing w:line="408" w:lineRule="auto" w:before="87"/>
        <w:ind w:right="1126" w:firstLine="420"/>
        <w:jc w:val="both"/>
      </w:pPr>
      <w:r>
        <w:rPr>
          <w:spacing w:val="-2"/>
        </w:rPr>
        <w:t>在处置部分股权投资或其他原因导致持有境外经营权益比例降低但不丧失对境外经营控制权时，与该</w:t>
      </w:r>
      <w:r>
        <w:rPr>
          <w:w w:val="100"/>
        </w:rPr>
        <w:t> </w:t>
      </w:r>
      <w:r>
        <w:rPr>
          <w:spacing w:val="-2"/>
        </w:rPr>
        <w:t>境外经营处置部分相关的外币报表折算差额将归属于少数股东权益，不转入当期损益。在处置境外经营为</w:t>
      </w:r>
      <w:r>
        <w:rPr>
          <w:spacing w:val="-43"/>
        </w:rPr>
        <w:t> </w:t>
      </w:r>
      <w:r>
        <w:rPr>
          <w:spacing w:val="-43"/>
        </w:rPr>
      </w:r>
      <w:r>
        <w:rPr>
          <w:spacing w:val="-2"/>
        </w:rPr>
        <w:t>联营企业或合营企业的部分股权时，与该境外经营相关的外币报表折算差额，按处置该境外经营的比例转</w:t>
      </w:r>
      <w:r>
        <w:rPr>
          <w:spacing w:val="-43"/>
        </w:rPr>
        <w:t> </w:t>
      </w:r>
      <w:r>
        <w:rPr>
          <w:spacing w:val="-43"/>
        </w:rPr>
      </w:r>
      <w:r>
        <w:rPr/>
        <w:t>入处置当期损益。</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33" w:right="0"/>
        <w:jc w:val="left"/>
      </w:pPr>
      <w:r>
        <w:rPr/>
        <w:t>金融工具包括金融资产、金融负债和权益工具。</w:t>
      </w:r>
    </w:p>
    <w:p>
      <w:pPr>
        <w:spacing w:line="240" w:lineRule="auto" w:before="12"/>
        <w:rPr>
          <w:rFonts w:ascii="宋体" w:hAnsi="宋体" w:cs="宋体" w:eastAsia="宋体" w:hint="default"/>
          <w:sz w:val="17"/>
          <w:szCs w:val="17"/>
        </w:rPr>
      </w:pPr>
    </w:p>
    <w:p>
      <w:pPr>
        <w:pStyle w:val="BodyText"/>
        <w:spacing w:line="417" w:lineRule="auto"/>
        <w:ind w:left="533" w:right="0" w:hanging="106"/>
        <w:jc w:val="left"/>
      </w:pPr>
      <w:r>
        <w:rPr/>
        <w:t>（</w:t>
      </w:r>
      <w:r>
        <w:rPr>
          <w:rFonts w:ascii="Times New Roman" w:hAnsi="Times New Roman" w:cs="Times New Roman" w:eastAsia="Times New Roman" w:hint="default"/>
        </w:rPr>
        <w:t>1</w:t>
      </w:r>
      <w:r>
        <w:rPr/>
        <w:t>）金融工具的分类</w:t>
      </w:r>
      <w:r>
        <w:rPr>
          <w:spacing w:val="-103"/>
        </w:rPr>
        <w:t> </w:t>
      </w:r>
      <w:r>
        <w:rPr>
          <w:spacing w:val="-103"/>
        </w:rPr>
      </w:r>
      <w:r>
        <w:rPr>
          <w:spacing w:val="-2"/>
        </w:rPr>
        <w:t>金融资产和金融负债于初始确认时分类为：以公允价值计量且其变动计入当期损益的金融资产或金融</w:t>
      </w:r>
    </w:p>
    <w:p>
      <w:pPr>
        <w:pStyle w:val="BodyText"/>
        <w:spacing w:line="408" w:lineRule="auto" w:before="37"/>
        <w:ind w:right="1126"/>
        <w:jc w:val="both"/>
      </w:pP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pStyle w:val="BodyText"/>
        <w:spacing w:line="240" w:lineRule="auto" w:before="87"/>
        <w:ind w:left="427" w:right="0"/>
        <w:jc w:val="left"/>
      </w:pPr>
      <w:r>
        <w:rPr/>
        <w:t>（</w:t>
      </w:r>
      <w:r>
        <w:rPr>
          <w:rFonts w:ascii="Times New Roman" w:hAnsi="Times New Roman" w:cs="Times New Roman" w:eastAsia="Times New Roman" w:hint="default"/>
        </w:rPr>
        <w:t>2</w:t>
      </w:r>
      <w:r>
        <w:rPr/>
        <w:t>）金融工具的确认依据和计量方法</w:t>
      </w:r>
    </w:p>
    <w:p>
      <w:pPr>
        <w:spacing w:line="240" w:lineRule="auto" w:before="9"/>
        <w:rPr>
          <w:rFonts w:ascii="宋体" w:hAnsi="宋体" w:cs="宋体" w:eastAsia="宋体" w:hint="default"/>
          <w:sz w:val="16"/>
          <w:szCs w:val="16"/>
        </w:rPr>
      </w:pPr>
    </w:p>
    <w:p>
      <w:pPr>
        <w:pStyle w:val="BodyText"/>
        <w:spacing w:line="441" w:lineRule="auto"/>
        <w:ind w:left="533" w:right="0"/>
        <w:jc w:val="left"/>
      </w:pPr>
      <w:r>
        <w:rPr/>
        <w:t>①以公允价值计量且其变动计入当期损益的金融资产（金融负债）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444" w:lineRule="auto" w:before="16"/>
        <w:ind w:left="533" w:right="0" w:hanging="420"/>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spacing w:after="0" w:line="444"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44" w:lineRule="auto" w:before="36"/>
        <w:ind w:left="533" w:right="0"/>
        <w:jc w:val="left"/>
      </w:pPr>
      <w:r>
        <w:rPr/>
        <w:t>②持有至到期投资</w:t>
      </w:r>
      <w:r>
        <w:rPr>
          <w:w w:val="100"/>
        </w:rPr>
        <w:t> </w:t>
      </w:r>
      <w:r>
        <w:rPr>
          <w:spacing w:val="-5"/>
        </w:rPr>
        <w:t>取得时按公允价值（扣除已到付息期但尚未领取的债券利息）和相关交易费用之和作为初始确认金额。</w:t>
      </w:r>
      <w:r>
        <w:rPr>
          <w:spacing w:val="-17"/>
        </w:rPr>
        <w:t> </w:t>
      </w:r>
      <w:r>
        <w:rPr>
          <w:spacing w:val="-17"/>
        </w:rPr>
      </w:r>
      <w:r>
        <w:rPr/>
        <w:t>持有期间按照摊余成本和实际利率计算确认利息收入，计入投资收益。实际利率在取得时确定，在该</w:t>
      </w:r>
    </w:p>
    <w:p>
      <w:pPr>
        <w:pStyle w:val="BodyText"/>
        <w:spacing w:line="444" w:lineRule="auto" w:before="14"/>
        <w:ind w:left="533" w:right="1126" w:hanging="420"/>
        <w:jc w:val="left"/>
      </w:pPr>
      <w:r>
        <w:rPr/>
        <w:t>预期存续期间或适用的更短期间内保持不变。</w:t>
      </w:r>
      <w:r>
        <w:rPr>
          <w:w w:val="100"/>
        </w:rPr>
        <w:t> </w:t>
      </w:r>
      <w:r>
        <w:rPr>
          <w:spacing w:val="-2"/>
        </w:rPr>
        <w:t>处置时，将所取得价款与该投资账面价值之间的差额计入投资收益。</w:t>
      </w:r>
    </w:p>
    <w:p>
      <w:pPr>
        <w:pStyle w:val="BodyText"/>
        <w:spacing w:line="441" w:lineRule="auto" w:before="55"/>
        <w:ind w:left="533" w:right="1126"/>
        <w:jc w:val="left"/>
      </w:pPr>
      <w:r>
        <w:rPr/>
        <w:t>③应收款项</w:t>
      </w:r>
      <w:r>
        <w:rPr>
          <w:spacing w:val="-102"/>
        </w:rPr>
        <w:t> </w:t>
      </w:r>
      <w:r>
        <w:rPr>
          <w:spacing w:val="-102"/>
        </w:rPr>
      </w:r>
      <w:r>
        <w:rPr>
          <w:spacing w:val="-2"/>
        </w:rPr>
        <w:t>公司对外销售商品或提供劳务形成的应收债权，以及公司持有的其他企业的不包括在活跃市场上有报</w:t>
      </w:r>
    </w:p>
    <w:p>
      <w:pPr>
        <w:pStyle w:val="BodyText"/>
        <w:spacing w:line="410" w:lineRule="auto" w:before="16"/>
        <w:ind w:right="0"/>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before="85"/>
        <w:ind w:left="533" w:right="0"/>
        <w:jc w:val="left"/>
      </w:pPr>
      <w:r>
        <w:rPr/>
        <w:t>收回或处置时，将取得的价款与该应收款项账面价值之间的差额计入当期损益。</w:t>
      </w:r>
    </w:p>
    <w:p>
      <w:pPr>
        <w:spacing w:line="240" w:lineRule="auto" w:before="12"/>
        <w:rPr>
          <w:rFonts w:ascii="宋体" w:hAnsi="宋体" w:cs="宋体" w:eastAsia="宋体" w:hint="default"/>
          <w:sz w:val="17"/>
          <w:szCs w:val="17"/>
        </w:rPr>
      </w:pPr>
    </w:p>
    <w:p>
      <w:pPr>
        <w:pStyle w:val="BodyText"/>
        <w:spacing w:line="441" w:lineRule="auto"/>
        <w:ind w:left="533" w:right="0"/>
        <w:jc w:val="left"/>
      </w:pPr>
      <w:r>
        <w:rPr/>
        <w:t>④可供出售金融资产</w:t>
      </w:r>
      <w:r>
        <w:rPr>
          <w:w w:val="100"/>
        </w:rPr>
        <w:t> </w:t>
      </w:r>
      <w:r>
        <w:rPr>
          <w:spacing w:val="-2"/>
        </w:rPr>
        <w:t>取得时按公允价值（扣除已宣告但尚未发放的现金股利或已到付息期但尚未领取的债券利息）和相关</w:t>
      </w:r>
    </w:p>
    <w:p>
      <w:pPr>
        <w:pStyle w:val="BodyText"/>
        <w:spacing w:line="444" w:lineRule="auto" w:before="16"/>
        <w:ind w:left="533" w:right="0" w:hanging="420"/>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BodyText"/>
        <w:spacing w:line="408" w:lineRule="auto" w:before="14"/>
        <w:ind w:right="0"/>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BodyText"/>
        <w:spacing w:line="408" w:lineRule="auto" w:before="87"/>
        <w:ind w:right="0" w:firstLine="420"/>
        <w:jc w:val="left"/>
      </w:pPr>
      <w:r>
        <w:rPr>
          <w:spacing w:val="-2"/>
        </w:rPr>
        <w:t>处置时，将取得的价款与该金融资产账面价值之间的差额，计入投资损益；同时，将原直接计入所有</w:t>
      </w:r>
      <w:r>
        <w:rPr>
          <w:w w:val="100"/>
        </w:rPr>
        <w:t> </w:t>
      </w:r>
      <w:r>
        <w:rPr/>
        <w:t>者权益的公允价值变动累计额对应处置部分的金额转出，计入投资损益。</w:t>
      </w:r>
    </w:p>
    <w:p>
      <w:pPr>
        <w:pStyle w:val="BodyText"/>
        <w:spacing w:line="444" w:lineRule="auto" w:before="84"/>
        <w:ind w:left="533" w:right="2079"/>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pStyle w:val="BodyText"/>
        <w:spacing w:line="417" w:lineRule="auto" w:before="55"/>
        <w:ind w:left="533" w:right="0" w:hanging="106"/>
        <w:jc w:val="left"/>
      </w:pPr>
      <w:r>
        <w:rPr/>
        <w:t>（</w:t>
      </w:r>
      <w:r>
        <w:rPr>
          <w:rFonts w:ascii="Times New Roman" w:hAnsi="Times New Roman" w:cs="Times New Roman" w:eastAsia="Times New Roman" w:hint="default"/>
        </w:rPr>
        <w:t>3</w:t>
      </w:r>
      <w:r>
        <w:rPr/>
        <w:t>）金融资产转移的确认依据和计量方法</w:t>
      </w:r>
      <w:r>
        <w:rPr>
          <w:w w:val="100"/>
        </w:rPr>
        <w:t> </w:t>
      </w:r>
      <w:r>
        <w:rPr>
          <w:spacing w:val="-2"/>
        </w:rPr>
        <w:t>公司发生金融资产转移时，如已将金融资产所有权上几乎所有的风险和报酬转移给转入方，则终止确</w:t>
      </w:r>
    </w:p>
    <w:p>
      <w:pPr>
        <w:pStyle w:val="BodyText"/>
        <w:spacing w:line="444" w:lineRule="auto" w:before="38"/>
        <w:ind w:left="533" w:right="0" w:hanging="420"/>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408" w:lineRule="auto" w:before="14"/>
        <w:ind w:right="0"/>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87"/>
        <w:ind w:left="533" w:right="0"/>
        <w:jc w:val="left"/>
      </w:pPr>
      <w:r>
        <w:rPr/>
        <w:t>①所转移金融资产的账面价值；</w:t>
      </w:r>
    </w:p>
    <w:p>
      <w:pPr>
        <w:spacing w:line="240" w:lineRule="auto" w:before="9"/>
        <w:rPr>
          <w:rFonts w:ascii="宋体" w:hAnsi="宋体" w:cs="宋体" w:eastAsia="宋体" w:hint="default"/>
          <w:sz w:val="17"/>
          <w:szCs w:val="17"/>
        </w:rPr>
      </w:pPr>
    </w:p>
    <w:p>
      <w:pPr>
        <w:pStyle w:val="BodyText"/>
        <w:spacing w:line="240" w:lineRule="auto"/>
        <w:ind w:left="533" w:right="0"/>
        <w:jc w:val="left"/>
      </w:pPr>
      <w:r>
        <w:rPr/>
        <w:t>②因转移而收到的对价，与原直接计入所有者权益的公允价值变动累计额（涉及转移的金融资产为可</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44" w:lineRule="auto" w:before="36"/>
        <w:ind w:left="633" w:right="953" w:hanging="420"/>
        <w:jc w:val="left"/>
      </w:pPr>
      <w:r>
        <w:rPr/>
        <w:t>供出售金融资产的情形）之和。</w:t>
      </w:r>
      <w:r>
        <w:rPr>
          <w:w w:val="100"/>
        </w:rPr>
        <w:t> </w:t>
      </w:r>
      <w:r>
        <w:rPr>
          <w:spacing w:val="-2"/>
        </w:rPr>
        <w:t>金融资产部分转移满足终止确认条件的，将所转移金融资产整体的账面价值，在终止确认部分和未终</w:t>
      </w:r>
    </w:p>
    <w:p>
      <w:pPr>
        <w:pStyle w:val="BodyText"/>
        <w:spacing w:line="240" w:lineRule="auto" w:before="14"/>
        <w:ind w:left="213" w:right="953"/>
        <w:jc w:val="left"/>
      </w:pPr>
      <w:r>
        <w:rPr/>
        <w:t>止确认部分之间，按照各自的相对公允价值进行分摊，并将下列两项金额的差额计入当期损益：</w:t>
      </w:r>
    </w:p>
    <w:p>
      <w:pPr>
        <w:spacing w:line="240" w:lineRule="auto" w:before="9"/>
        <w:rPr>
          <w:rFonts w:ascii="宋体" w:hAnsi="宋体" w:cs="宋体" w:eastAsia="宋体" w:hint="default"/>
          <w:sz w:val="17"/>
          <w:szCs w:val="17"/>
        </w:rPr>
      </w:pPr>
    </w:p>
    <w:p>
      <w:pPr>
        <w:pStyle w:val="BodyText"/>
        <w:spacing w:line="240" w:lineRule="auto"/>
        <w:ind w:left="633" w:right="953"/>
        <w:jc w:val="left"/>
      </w:pPr>
      <w:r>
        <w:rPr/>
        <w:t>①终止确认部分的账面价值；</w:t>
      </w:r>
    </w:p>
    <w:p>
      <w:pPr>
        <w:spacing w:line="240" w:lineRule="auto" w:before="12"/>
        <w:rPr>
          <w:rFonts w:ascii="宋体" w:hAnsi="宋体" w:cs="宋体" w:eastAsia="宋体" w:hint="default"/>
          <w:sz w:val="17"/>
          <w:szCs w:val="17"/>
        </w:rPr>
      </w:pPr>
    </w:p>
    <w:p>
      <w:pPr>
        <w:pStyle w:val="BodyText"/>
        <w:spacing w:line="240" w:lineRule="auto"/>
        <w:ind w:left="633" w:right="953"/>
        <w:jc w:val="left"/>
      </w:pPr>
      <w:r>
        <w:rPr/>
        <w:t>②终止确认部分的对价，与原直接计入所有者权益的公允价值变动累计额中对应终止确认部分的金额</w:t>
      </w:r>
    </w:p>
    <w:p>
      <w:pPr>
        <w:spacing w:line="240" w:lineRule="auto" w:before="10"/>
        <w:rPr>
          <w:rFonts w:ascii="宋体" w:hAnsi="宋体" w:cs="宋体" w:eastAsia="宋体" w:hint="default"/>
          <w:sz w:val="14"/>
          <w:szCs w:val="14"/>
        </w:rPr>
      </w:pPr>
    </w:p>
    <w:p>
      <w:pPr>
        <w:pStyle w:val="BodyText"/>
        <w:spacing w:line="444" w:lineRule="auto"/>
        <w:ind w:left="633" w:right="953" w:hanging="527"/>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pStyle w:val="BodyText"/>
        <w:spacing w:line="420" w:lineRule="auto" w:before="53"/>
        <w:ind w:left="633" w:right="953" w:hanging="106"/>
        <w:jc w:val="left"/>
      </w:pPr>
      <w:r>
        <w:rPr/>
        <w:t>（</w:t>
      </w:r>
      <w:r>
        <w:rPr>
          <w:rFonts w:ascii="Times New Roman" w:hAnsi="Times New Roman" w:cs="Times New Roman" w:eastAsia="Times New Roman" w:hint="default"/>
        </w:rPr>
        <w:t>4</w:t>
      </w:r>
      <w:r>
        <w:rPr/>
        <w:t>）金融负债终止确认条件</w:t>
      </w:r>
      <w:r>
        <w:rPr>
          <w:w w:val="100"/>
        </w:rPr>
        <w:t> </w:t>
      </w:r>
      <w:r>
        <w:rPr>
          <w:spacing w:val="-2"/>
        </w:rPr>
        <w:t>金融负债的现时义务全部或部分已经解除的，则终止确认该金融负债或其一部分；本公司若与债权人</w:t>
      </w:r>
    </w:p>
    <w:p>
      <w:pPr>
        <w:pStyle w:val="BodyText"/>
        <w:spacing w:line="408" w:lineRule="auto" w:before="35"/>
        <w:ind w:left="213" w:right="953"/>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08" w:lineRule="auto" w:before="87"/>
        <w:ind w:left="213" w:right="112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before="84"/>
        <w:ind w:left="213" w:right="112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before="87"/>
        <w:ind w:left="213" w:right="1125"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BodyText"/>
        <w:spacing w:line="417" w:lineRule="auto" w:before="87"/>
        <w:ind w:left="633" w:right="953" w:hanging="106"/>
        <w:jc w:val="left"/>
      </w:pPr>
      <w:r>
        <w:rPr/>
        <w:t>（</w:t>
      </w:r>
      <w:r>
        <w:rPr>
          <w:rFonts w:ascii="Times New Roman" w:hAnsi="Times New Roman" w:cs="Times New Roman" w:eastAsia="Times New Roman" w:hint="default"/>
        </w:rPr>
        <w:t>5</w:t>
      </w:r>
      <w:r>
        <w:rPr/>
        <w:t>）金融资产和金融负债公允价值的确定方法</w:t>
      </w:r>
      <w:r>
        <w:rPr>
          <w:w w:val="100"/>
        </w:rPr>
        <w:t> </w:t>
      </w:r>
      <w:r>
        <w:rPr>
          <w:spacing w:val="-2"/>
        </w:rPr>
        <w:t>存在活跃市场的金融工具，以活跃市场中的报价确定其公允价值。不存在活跃市场的金融工具，采用</w:t>
      </w:r>
    </w:p>
    <w:p>
      <w:pPr>
        <w:pStyle w:val="BodyText"/>
        <w:spacing w:line="408" w:lineRule="auto" w:before="37"/>
        <w:ind w:left="213" w:right="953"/>
        <w:jc w:val="left"/>
      </w:pPr>
      <w:r>
        <w:rPr>
          <w:spacing w:val="-2"/>
        </w:rPr>
        <w:t>估值技术确定其公允价值。在估值时，本公司采用在当前情况下适用并且有足够可利用数据和其他信息支</w:t>
      </w:r>
      <w:r>
        <w:rPr>
          <w:spacing w:val="-43"/>
        </w:rPr>
        <w:t> </w:t>
      </w:r>
      <w:r>
        <w:rPr>
          <w:spacing w:val="-43"/>
        </w:rPr>
      </w:r>
      <w:r>
        <w:rPr/>
        <w:t>持的估值技术，选择与市场参与者在相关资产或负债的交易中所考虑的资产或负债特征相一致的输入值，</w:t>
      </w:r>
      <w:r>
        <w:rPr>
          <w:spacing w:val="-24"/>
        </w:rPr>
        <w:t> </w:t>
      </w:r>
      <w:r>
        <w:rPr>
          <w:spacing w:val="-24"/>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pStyle w:val="BodyText"/>
        <w:spacing w:line="420" w:lineRule="auto" w:before="87"/>
        <w:ind w:left="633" w:right="953" w:hanging="106"/>
        <w:jc w:val="left"/>
      </w:pPr>
      <w:r>
        <w:rPr/>
        <w:t>（</w:t>
      </w:r>
      <w:r>
        <w:rPr>
          <w:rFonts w:ascii="Times New Roman" w:hAnsi="Times New Roman" w:cs="Times New Roman" w:eastAsia="Times New Roman" w:hint="default"/>
        </w:rPr>
        <w:t>6</w:t>
      </w:r>
      <w:r>
        <w:rPr/>
        <w:t>）金融资产（不含应收款项）减值准备计提</w:t>
      </w:r>
      <w:r>
        <w:rPr>
          <w:w w:val="100"/>
        </w:rPr>
        <w:t> </w:t>
      </w:r>
      <w:r>
        <w:rPr>
          <w:spacing w:val="-2"/>
        </w:rPr>
        <w:t>除以公允价值计量且其变动计入当期损益的金融资产外，本公司于资产负债表日对金融资产的账面价</w:t>
      </w:r>
    </w:p>
    <w:p>
      <w:pPr>
        <w:pStyle w:val="BodyText"/>
        <w:spacing w:line="240" w:lineRule="auto" w:before="35"/>
        <w:ind w:left="213" w:right="953"/>
        <w:jc w:val="left"/>
      </w:pPr>
      <w:r>
        <w:rPr/>
        <w:t>值进行检查，如果有客观证据表明某项金融资产发生减值的，计提减值准备。</w:t>
      </w:r>
    </w:p>
    <w:p>
      <w:pPr>
        <w:spacing w:line="240" w:lineRule="auto" w:before="9"/>
        <w:rPr>
          <w:rFonts w:ascii="宋体" w:hAnsi="宋体" w:cs="宋体" w:eastAsia="宋体" w:hint="default"/>
          <w:sz w:val="17"/>
          <w:szCs w:val="17"/>
        </w:rPr>
      </w:pPr>
    </w:p>
    <w:p>
      <w:pPr>
        <w:pStyle w:val="BodyText"/>
        <w:spacing w:line="240" w:lineRule="auto"/>
        <w:ind w:left="633" w:right="953"/>
        <w:jc w:val="left"/>
      </w:pPr>
      <w:r>
        <w:rPr/>
        <w:t>①可供出售金融资产的减值准备</w:t>
      </w:r>
    </w:p>
    <w:p>
      <w:pPr>
        <w:spacing w:after="0" w:line="240" w:lineRule="auto"/>
        <w:jc w:val="left"/>
        <w:sectPr>
          <w:pgSz w:w="11910" w:h="16840"/>
          <w:pgMar w:header="906" w:footer="1079" w:top="1100" w:bottom="1260" w:left="920" w:right="0"/>
        </w:sectPr>
      </w:pPr>
    </w:p>
    <w:p>
      <w:pPr>
        <w:spacing w:line="240" w:lineRule="auto" w:before="9"/>
        <w:rPr>
          <w:rFonts w:ascii="宋体" w:hAnsi="宋体" w:cs="宋体" w:eastAsia="宋体" w:hint="default"/>
          <w:sz w:val="27"/>
          <w:szCs w:val="27"/>
        </w:rPr>
      </w:pPr>
    </w:p>
    <w:p>
      <w:pPr>
        <w:pStyle w:val="BodyText"/>
        <w:spacing w:line="408" w:lineRule="auto" w:before="36"/>
        <w:ind w:right="1126" w:firstLine="420"/>
        <w:jc w:val="both"/>
      </w:pPr>
      <w:r>
        <w:rPr>
          <w:spacing w:val="-2"/>
        </w:rPr>
        <w:t>期末如果可供出售金融资产的公允价值发生较大幅度下降，或在综合考虑各种相关因素后，预期这种</w:t>
      </w:r>
      <w:r>
        <w:rPr>
          <w:w w:val="100"/>
        </w:rPr>
        <w:t> </w:t>
      </w:r>
      <w:r>
        <w:rPr>
          <w:spacing w:val="-2"/>
        </w:rPr>
        <w:t>下降趋势属于非暂时性的，就认定其已发生减值，将原直接计入所有者权益的公允价值下降形成的累计损</w:t>
      </w:r>
      <w:r>
        <w:rPr>
          <w:spacing w:val="-43"/>
        </w:rPr>
        <w:t> </w:t>
      </w:r>
      <w:r>
        <w:rPr>
          <w:spacing w:val="-43"/>
        </w:rPr>
      </w:r>
      <w:r>
        <w:rPr/>
        <w:t>失一并转出，确认减值损失。</w:t>
      </w:r>
    </w:p>
    <w:p>
      <w:pPr>
        <w:pStyle w:val="BodyText"/>
        <w:spacing w:line="408" w:lineRule="auto" w:before="87"/>
        <w:ind w:right="1126" w:firstLine="42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240" w:lineRule="auto" w:before="84"/>
        <w:ind w:left="533" w:right="0"/>
        <w:jc w:val="left"/>
      </w:pPr>
      <w:r>
        <w:rPr/>
        <w:t>可供出售权益工具投资发生的减值损失，不得通过损益转回。</w:t>
      </w:r>
    </w:p>
    <w:p>
      <w:pPr>
        <w:spacing w:line="240" w:lineRule="auto" w:before="12"/>
        <w:rPr>
          <w:rFonts w:ascii="宋体" w:hAnsi="宋体" w:cs="宋体" w:eastAsia="宋体" w:hint="default"/>
          <w:sz w:val="17"/>
          <w:szCs w:val="17"/>
        </w:rPr>
      </w:pPr>
    </w:p>
    <w:p>
      <w:pPr>
        <w:pStyle w:val="BodyText"/>
        <w:spacing w:line="444" w:lineRule="auto"/>
        <w:ind w:left="533" w:right="1126"/>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1"/>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1337"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312" w:lineRule="auto" w:before="49"/>
              <w:ind w:left="105" w:right="169"/>
              <w:jc w:val="both"/>
              <w:rPr>
                <w:rFonts w:ascii="宋体" w:hAnsi="宋体" w:cs="宋体" w:eastAsia="宋体" w:hint="default"/>
                <w:sz w:val="18"/>
                <w:szCs w:val="18"/>
              </w:rPr>
            </w:pPr>
            <w:r>
              <w:rPr>
                <w:rFonts w:ascii="宋体" w:hAnsi="宋体" w:cs="宋体" w:eastAsia="宋体" w:hint="default"/>
                <w:sz w:val="18"/>
                <w:szCs w:val="18"/>
              </w:rPr>
              <w:t>除对列入合并范围内母子公司之间应收款项或有确凿证据 表明不存在减值的应收款项不计提坏账准备之外，公司将 单笔金额为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万元以上的客户应收账款和单项超过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万元的其他应收款视为重大应收款项。</w:t>
            </w:r>
          </w:p>
        </w:tc>
      </w:tr>
      <w:tr>
        <w:trPr>
          <w:trHeight w:val="1340"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12"/>
              <w:jc w:val="left"/>
              <w:rPr>
                <w:rFonts w:ascii="宋体" w:hAnsi="宋体" w:cs="宋体" w:eastAsia="宋体" w:hint="default"/>
                <w:sz w:val="18"/>
                <w:szCs w:val="18"/>
              </w:rPr>
            </w:pPr>
            <w:r>
              <w:rPr>
                <w:rFonts w:ascii="宋体" w:hAnsi="宋体" w:cs="宋体" w:eastAsia="宋体" w:hint="default"/>
                <w:sz w:val="18"/>
                <w:szCs w:val="18"/>
              </w:rPr>
              <w:t>期末如果有客观证据表明应收款项发生减值，根据其未来 </w:t>
            </w:r>
            <w:r>
              <w:rPr>
                <w:rFonts w:ascii="宋体" w:hAnsi="宋体" w:cs="宋体" w:eastAsia="宋体" w:hint="default"/>
                <w:spacing w:val="-1"/>
                <w:sz w:val="18"/>
                <w:szCs w:val="18"/>
              </w:rPr>
              <w:t>现金流量现值低于其账面价值的差额，单独进行减值测试，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计提坏账准备。单独测试未发生减值的单项金额重大的应 收款项，以账龄为信用风险组合计提坏账准备。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组合中，采用余额百分比法计提坏账准备的：</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8"/>
          <w:szCs w:val="28"/>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组合中，采用其他方法计提坏账准备的：</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有证据表明难以收回的款项，存在特殊的回收风险。</w:t>
            </w:r>
          </w:p>
        </w:tc>
      </w:tr>
      <w:tr>
        <w:trPr>
          <w:trHeight w:val="713"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69"/>
              <w:jc w:val="left"/>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 准备，计入当期损益。</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32"/>
          <w:szCs w:val="32"/>
        </w:rPr>
      </w:pPr>
    </w:p>
    <w:p>
      <w:pPr>
        <w:spacing w:line="436" w:lineRule="auto" w:before="0"/>
        <w:ind w:left="113" w:right="7681" w:firstLine="0"/>
        <w:jc w:val="left"/>
        <w:rPr>
          <w:rFonts w:ascii="宋体" w:hAnsi="宋体" w:cs="宋体" w:eastAsia="宋体" w:hint="default"/>
          <w:sz w:val="18"/>
          <w:szCs w:val="18"/>
        </w:rPr>
      </w:pPr>
      <w:r>
        <w:rPr>
          <w:rFonts w:ascii="宋体" w:hAnsi="宋体" w:cs="宋体" w:eastAsia="宋体" w:hint="default"/>
          <w:b/>
          <w:bCs/>
          <w:sz w:val="18"/>
          <w:szCs w:val="18"/>
        </w:rPr>
        <w:t>公司是否需要遵守特殊行业的披露要求</w:t>
      </w:r>
      <w:r>
        <w:rPr>
          <w:rFonts w:ascii="宋体" w:hAnsi="宋体" w:cs="宋体" w:eastAsia="宋体" w:hint="default"/>
          <w:b/>
          <w:bCs/>
          <w:w w:val="99"/>
          <w:sz w:val="18"/>
          <w:szCs w:val="18"/>
        </w:rPr>
        <w:t> </w:t>
      </w:r>
      <w:r>
        <w:rPr>
          <w:rFonts w:ascii="宋体" w:hAnsi="宋体" w:cs="宋体" w:eastAsia="宋体" w:hint="default"/>
          <w:sz w:val="18"/>
          <w:szCs w:val="18"/>
        </w:rPr>
        <w:t>是</w:t>
      </w:r>
    </w:p>
    <w:p>
      <w:pPr>
        <w:spacing w:line="203" w:lineRule="exact"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零售相关业</w:t>
      </w:r>
    </w:p>
    <w:p>
      <w:pPr>
        <w:spacing w:before="117"/>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公司需遵守《深圳证券交易所行业信息披露指引第</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8</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上市公司从事零售相关业务》的披露要求</w:t>
      </w:r>
      <w:r>
        <w:rPr>
          <w:rFonts w:ascii="宋体" w:hAnsi="宋体" w:cs="宋体" w:eastAsia="宋体" w:hint="default"/>
          <w:sz w:val="18"/>
          <w:szCs w:val="18"/>
        </w:rPr>
      </w:r>
    </w:p>
    <w:p>
      <w:pPr>
        <w:pStyle w:val="BodyText"/>
        <w:spacing w:line="240" w:lineRule="auto" w:before="159"/>
        <w:ind w:left="427" w:right="0"/>
        <w:jc w:val="left"/>
      </w:pPr>
      <w:r>
        <w:rPr/>
        <w:t>（</w:t>
      </w:r>
      <w:r>
        <w:rPr>
          <w:rFonts w:ascii="Times New Roman" w:hAnsi="Times New Roman" w:cs="Times New Roman" w:eastAsia="Times New Roman" w:hint="default"/>
        </w:rPr>
        <w:t>1</w:t>
      </w:r>
      <w:r>
        <w:rPr/>
        <w:t>）存货包括：原材料、委托加工物资、低值易耗品、发出商品、库存商品等。</w:t>
      </w:r>
    </w:p>
    <w:p>
      <w:pPr>
        <w:spacing w:line="240" w:lineRule="auto" w:before="6"/>
        <w:rPr>
          <w:rFonts w:ascii="宋体" w:hAnsi="宋体" w:cs="宋体" w:eastAsia="宋体" w:hint="default"/>
          <w:sz w:val="16"/>
          <w:szCs w:val="16"/>
        </w:rPr>
      </w:pPr>
    </w:p>
    <w:p>
      <w:pPr>
        <w:pStyle w:val="BodyText"/>
        <w:spacing w:line="420" w:lineRule="auto"/>
        <w:ind w:left="533" w:right="2079" w:hanging="106"/>
        <w:jc w:val="left"/>
      </w:pPr>
      <w:r>
        <w:rPr/>
        <w:t>（</w:t>
      </w:r>
      <w:r>
        <w:rPr>
          <w:rFonts w:ascii="Times New Roman" w:hAnsi="Times New Roman" w:cs="Times New Roman" w:eastAsia="Times New Roman" w:hint="default"/>
        </w:rPr>
        <w:t>2</w:t>
      </w:r>
      <w:r>
        <w:rPr/>
        <w:t>）发出存货的计价方法</w:t>
      </w:r>
      <w:r>
        <w:rPr>
          <w:w w:val="100"/>
        </w:rPr>
        <w:t> </w:t>
      </w:r>
      <w:r>
        <w:rPr>
          <w:spacing w:val="-2"/>
        </w:rPr>
        <w:t>存货发出时，按照实际成本进行核算，并采用加权平均法确定其实际成本。</w:t>
      </w:r>
    </w:p>
    <w:p>
      <w:pPr>
        <w:pStyle w:val="BodyText"/>
        <w:spacing w:line="398" w:lineRule="auto" w:before="76"/>
        <w:ind w:right="1126" w:firstLine="314"/>
        <w:jc w:val="both"/>
      </w:pPr>
      <w:r>
        <w:rPr>
          <w:spacing w:val="-2"/>
        </w:rPr>
        <w:t>（</w:t>
      </w:r>
      <w:r>
        <w:rPr>
          <w:rFonts w:ascii="Times New Roman" w:hAnsi="Times New Roman" w:cs="Times New Roman" w:eastAsia="Times New Roman" w:hint="default"/>
          <w:spacing w:val="-2"/>
        </w:rPr>
        <w:t>3</w:t>
      </w:r>
      <w:r>
        <w:rPr>
          <w:spacing w:val="-2"/>
        </w:rPr>
        <w:t>）存货可变现净值的确定依据及存货跌价准备的计提方法：公司于每年中期期末及期末在对存货进</w:t>
      </w:r>
      <w:r>
        <w:rPr>
          <w:w w:val="100"/>
        </w:rPr>
        <w:t> </w:t>
      </w:r>
      <w:r>
        <w:rPr>
          <w:spacing w:val="-2"/>
        </w:rPr>
        <w:t>行全面盘点的基础上，对遭受损失，全部或部分陈旧过时或销售价格低于成本的存货，根据存货成本与可</w:t>
      </w:r>
      <w:r>
        <w:rPr>
          <w:spacing w:val="-45"/>
        </w:rPr>
        <w:t> </w:t>
      </w:r>
      <w:r>
        <w:rPr>
          <w:spacing w:val="-45"/>
        </w:rPr>
      </w:r>
      <w:r>
        <w:rPr/>
        <w:t>变现净值孰低计量。</w:t>
      </w:r>
    </w:p>
    <w:p>
      <w:pPr>
        <w:pStyle w:val="BodyText"/>
        <w:spacing w:line="408" w:lineRule="auto" w:before="93"/>
        <w:ind w:right="1126" w:firstLine="420"/>
        <w:jc w:val="both"/>
      </w:pPr>
      <w:r>
        <w:rPr>
          <w:spacing w:val="-2"/>
        </w:rPr>
        <w:t>存货跌价准备按单个存货项目的成本与可变现净值计量，但如果某些存货与在同一地区生产和销售的</w:t>
      </w:r>
      <w:r>
        <w:rPr>
          <w:w w:val="100"/>
        </w:rPr>
        <w:t> </w:t>
      </w:r>
      <w:r>
        <w:rPr>
          <w:spacing w:val="-2"/>
        </w:rPr>
        <w:t>产品系列相关、具有相同或类似最终用途或目的，且难以与其他项目分开计量，可以合并计量成本与可变</w:t>
      </w:r>
      <w:r>
        <w:rPr>
          <w:spacing w:val="-43"/>
        </w:rPr>
        <w:t> </w:t>
      </w:r>
      <w:r>
        <w:rPr>
          <w:spacing w:val="-43"/>
        </w:rPr>
      </w:r>
      <w:r>
        <w:rPr/>
        <w:t>现净值；对于数量繁多、单价较低的存货，可以按照存货类别计量成本与可变现净值。</w:t>
      </w:r>
    </w:p>
    <w:p>
      <w:pPr>
        <w:pStyle w:val="BodyText"/>
        <w:spacing w:line="408" w:lineRule="auto" w:before="87"/>
        <w:ind w:right="0" w:firstLine="420"/>
        <w:jc w:val="left"/>
      </w:pPr>
      <w:r>
        <w:rPr>
          <w:spacing w:val="-2"/>
        </w:rPr>
        <w:t>可直接用于出售的存货，其可变现净值按该等存货的估计售价减去估计的销售费用和相关税费后的金</w:t>
      </w:r>
      <w:r>
        <w:rPr>
          <w:w w:val="100"/>
        </w:rPr>
        <w:t> </w:t>
      </w:r>
      <w:r>
        <w:rPr>
          <w:spacing w:val="-2"/>
        </w:rPr>
        <w:t>额确定；用于生产而持有的存货，其可变现净值按所生产的产成品的估计售价减去至完工时估计将要发生</w:t>
      </w:r>
      <w:r>
        <w:rPr>
          <w:spacing w:val="-44"/>
        </w:rPr>
        <w:t> </w:t>
      </w:r>
      <w:r>
        <w:rPr>
          <w:spacing w:val="-44"/>
        </w:rPr>
      </w:r>
      <w:r>
        <w:rPr>
          <w:spacing w:val="-2"/>
        </w:rPr>
        <w:t>的成本、估计的销售费用和相关税费后的金额确定；为执行销售合同或者劳务合同而持有的存货，其可变</w:t>
      </w:r>
      <w:r>
        <w:rPr>
          <w:spacing w:val="-44"/>
        </w:rPr>
        <w:t> </w:t>
      </w:r>
      <w:r>
        <w:rPr>
          <w:spacing w:val="-44"/>
        </w:rPr>
      </w:r>
      <w:r>
        <w:rPr>
          <w:spacing w:val="-2"/>
        </w:rPr>
        <w:t>现净值以合同价格为基础计算；企业持有存货的数量多于销售合同订购数量的，超出部分的存货可变现净</w:t>
      </w:r>
      <w:r>
        <w:rPr>
          <w:spacing w:val="-43"/>
        </w:rPr>
        <w:t> </w:t>
      </w:r>
      <w:r>
        <w:rPr>
          <w:spacing w:val="-43"/>
        </w:rPr>
      </w:r>
      <w:r>
        <w:rPr/>
        <w:t>值以一般销售价格为基础计算。对于存货因遭受毁损、全部或部分陈旧过时或销售价格低于成本等原因，</w:t>
      </w:r>
      <w:r>
        <w:rPr>
          <w:spacing w:val="-24"/>
        </w:rPr>
        <w:t> </w:t>
      </w:r>
      <w:r>
        <w:rPr>
          <w:spacing w:val="-24"/>
        </w:rPr>
      </w:r>
      <w:r>
        <w:rPr/>
        <w:t>预计其成本不可收回的部分，提取存货跌价准备。</w:t>
      </w:r>
    </w:p>
    <w:p>
      <w:pPr>
        <w:pStyle w:val="BodyText"/>
        <w:spacing w:line="417" w:lineRule="auto" w:before="87"/>
        <w:ind w:left="533" w:right="0" w:hanging="106"/>
        <w:jc w:val="left"/>
      </w:pPr>
      <w:r>
        <w:rPr/>
        <w:t>（</w:t>
      </w:r>
      <w:r>
        <w:rPr>
          <w:rFonts w:ascii="Times New Roman" w:hAnsi="Times New Roman" w:cs="Times New Roman" w:eastAsia="Times New Roman" w:hint="default"/>
        </w:rPr>
        <w:t>4</w:t>
      </w:r>
      <w:r>
        <w:rPr/>
        <w:t>）存货的盘存制度</w:t>
      </w:r>
      <w:r>
        <w:rPr>
          <w:spacing w:val="-103"/>
        </w:rPr>
        <w:t> </w:t>
      </w:r>
      <w:r>
        <w:rPr>
          <w:spacing w:val="-103"/>
        </w:rPr>
      </w:r>
      <w:r>
        <w:rPr>
          <w:spacing w:val="-1"/>
        </w:rPr>
        <w:t>采用永续盘存制，并且定期对存货进行盘点</w:t>
      </w:r>
      <w:r>
        <w:rPr>
          <w:rFonts w:ascii="Times New Roman" w:hAnsi="Times New Roman" w:cs="Times New Roman" w:eastAsia="Times New Roman" w:hint="default"/>
          <w:spacing w:val="-1"/>
        </w:rPr>
        <w:t>,</w:t>
      </w:r>
      <w:r>
        <w:rPr>
          <w:spacing w:val="-1"/>
        </w:rPr>
        <w:t>盘点结果如与账面记录不符，根据管理权限报经批准后，</w:t>
      </w:r>
    </w:p>
    <w:p>
      <w:pPr>
        <w:pStyle w:val="BodyText"/>
        <w:spacing w:line="240" w:lineRule="auto" w:before="5"/>
        <w:ind w:right="0"/>
        <w:jc w:val="left"/>
      </w:pPr>
      <w:r>
        <w:rPr/>
        <w:t>在年终结账前处理完毕，计入当期损益。</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32" w:lineRule="auto" w:before="36"/>
        <w:ind w:left="533" w:right="6777" w:hanging="106"/>
        <w:jc w:val="left"/>
      </w:pPr>
      <w:r>
        <w:rPr>
          <w:spacing w:val="-2"/>
        </w:rPr>
        <w:t>（</w:t>
      </w:r>
      <w:r>
        <w:rPr>
          <w:rFonts w:ascii="Times New Roman" w:hAnsi="Times New Roman" w:cs="Times New Roman" w:eastAsia="Times New Roman" w:hint="default"/>
          <w:spacing w:val="-2"/>
        </w:rPr>
        <w:t>5</w:t>
      </w:r>
      <w:r>
        <w:rPr>
          <w:spacing w:val="-2"/>
        </w:rPr>
        <w:t>）低值易耗品和包装物的摊销方法：</w:t>
      </w:r>
      <w:r>
        <w:rPr>
          <w:spacing w:val="-69"/>
        </w:rPr>
        <w:t> </w:t>
      </w:r>
      <w:r>
        <w:rPr>
          <w:spacing w:val="-69"/>
        </w:rPr>
      </w:r>
      <w:r>
        <w:rPr/>
        <w:t>低值易耗品采用一次摊销法摊销。</w:t>
      </w:r>
      <w:r>
        <w:rPr>
          <w:w w:val="100"/>
        </w:rPr>
        <w:t> </w:t>
      </w:r>
      <w:r>
        <w:rPr/>
        <w:t>包装物采用一次摊销法摊销。</w:t>
      </w:r>
    </w:p>
    <w:p>
      <w:pPr>
        <w:spacing w:line="240" w:lineRule="auto" w:before="13"/>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left="533" w:right="0" w:hanging="106"/>
        <w:jc w:val="left"/>
      </w:pPr>
      <w:r>
        <w:rPr/>
        <w:t>（</w:t>
      </w:r>
      <w:r>
        <w:rPr>
          <w:rFonts w:ascii="Times New Roman" w:hAnsi="Times New Roman" w:cs="Times New Roman" w:eastAsia="Times New Roman" w:hint="default"/>
        </w:rPr>
        <w:t>1</w:t>
      </w:r>
      <w:r>
        <w:rPr/>
        <w:t>）持有待售的非流动资产或处置组的分类</w:t>
      </w:r>
      <w:r>
        <w:rPr>
          <w:w w:val="100"/>
        </w:rPr>
        <w:t> </w:t>
      </w:r>
      <w:r>
        <w:rPr>
          <w:spacing w:val="-2"/>
        </w:rPr>
        <w:t>公司将同时满足下列条件的非流动资产或处置组划分为持有待售类别：①根据类似交易中出售此类资</w:t>
      </w:r>
    </w:p>
    <w:p>
      <w:pPr>
        <w:pStyle w:val="BodyText"/>
        <w:spacing w:line="410" w:lineRule="auto" w:before="35"/>
        <w:ind w:right="0"/>
        <w:jc w:val="left"/>
      </w:pPr>
      <w:r>
        <w:rPr>
          <w:spacing w:val="-2"/>
        </w:rPr>
        <w:t>产或处置组的惯例，在当前状况下即可立即出售；②出售极可能发生，即公司已经就出售计划作出决议且</w:t>
      </w:r>
      <w:r>
        <w:rPr>
          <w:spacing w:val="-42"/>
        </w:rPr>
        <w:t> </w:t>
      </w:r>
      <w:r>
        <w:rPr>
          <w:spacing w:val="-42"/>
        </w:rPr>
      </w:r>
      <w:r>
        <w:rPr/>
        <w:t>获得确定的购买承诺，预计出售将在一年内完成。</w:t>
      </w:r>
    </w:p>
    <w:p>
      <w:pPr>
        <w:pStyle w:val="BodyText"/>
        <w:spacing w:line="405" w:lineRule="auto" w:before="82"/>
        <w:ind w:right="1126" w:firstLine="420"/>
        <w:jc w:val="both"/>
      </w:pPr>
      <w:r>
        <w:rPr>
          <w:spacing w:val="-2"/>
        </w:rPr>
        <w:t>公司专为转售而取得的非流动资产或处置组，在取得日满足“预计出售将在一年内完成”的条件，且</w:t>
      </w:r>
      <w:r>
        <w:rPr>
          <w:w w:val="100"/>
        </w:rPr>
        <w:t> </w:t>
      </w:r>
      <w:r>
        <w:rPr>
          <w:spacing w:val="-5"/>
        </w:rPr>
        <w:t>短期（通常为</w:t>
      </w:r>
      <w:r>
        <w:rPr>
          <w:rFonts w:ascii="Times New Roman" w:hAnsi="Times New Roman" w:cs="Times New Roman" w:eastAsia="Times New Roman" w:hint="default"/>
          <w:spacing w:val="-5"/>
        </w:rPr>
        <w:t>3</w:t>
      </w:r>
      <w:r>
        <w:rPr>
          <w:spacing w:val="-5"/>
        </w:rPr>
        <w:t>个月）内很可能满足持有待售类别的其他划分条件的，在取得日将其划分为持有待售类别。</w:t>
      </w:r>
      <w:r>
        <w:rPr>
          <w:spacing w:val="-7"/>
        </w:rPr>
        <w:t> </w:t>
      </w:r>
      <w:r>
        <w:rPr>
          <w:spacing w:val="-7"/>
        </w:rPr>
      </w:r>
      <w:r>
        <w:rPr>
          <w:spacing w:val="-2"/>
        </w:rPr>
        <w:t>因公司无法控制的下列原因之一，导致非关联方之间的交易未能在一年内完成，且公司仍然承诺出售非流</w:t>
      </w:r>
      <w:r>
        <w:rPr>
          <w:spacing w:val="-44"/>
        </w:rPr>
        <w:t> </w:t>
      </w:r>
      <w:r>
        <w:rPr>
          <w:spacing w:val="-44"/>
        </w:rPr>
      </w:r>
      <w:r>
        <w:rPr>
          <w:spacing w:val="-2"/>
        </w:rPr>
        <w:t>动资产或处置组的，继续将非流动资产或处置组划分为持有待售类别：①买方或其他方意外设定导致出售</w:t>
      </w:r>
      <w:r>
        <w:rPr>
          <w:spacing w:val="-42"/>
        </w:rPr>
        <w:t> </w:t>
      </w:r>
      <w:r>
        <w:rPr>
          <w:spacing w:val="-42"/>
        </w:rPr>
      </w:r>
      <w:r>
        <w:rPr>
          <w:spacing w:val="-2"/>
        </w:rPr>
        <w:t>延期的条件，公司针对这些条件已经及时采取行动，且预计能够自设定导致出售延期的条件起一年内顺利</w:t>
      </w:r>
      <w:r>
        <w:rPr>
          <w:spacing w:val="-44"/>
        </w:rPr>
        <w:t> </w:t>
      </w:r>
      <w:r>
        <w:rPr>
          <w:spacing w:val="-44"/>
        </w:rPr>
      </w:r>
      <w:r>
        <w:rPr>
          <w:spacing w:val="-2"/>
        </w:rPr>
        <w:t>化解延期因素；②因发生罕见情况，导致持有待售的非流动资产或处置组未能在一年内完成出售，公司在</w:t>
      </w:r>
      <w:r>
        <w:rPr>
          <w:spacing w:val="-45"/>
        </w:rPr>
        <w:t> </w:t>
      </w:r>
      <w:r>
        <w:rPr>
          <w:spacing w:val="-45"/>
        </w:rPr>
      </w:r>
      <w:r>
        <w:rPr/>
        <w:t>最初一年内已经针对这些新情况采取必要措施且重新满足了持有待售类别的划分条件。</w:t>
      </w:r>
    </w:p>
    <w:p>
      <w:pPr>
        <w:pStyle w:val="BodyText"/>
        <w:spacing w:line="240" w:lineRule="auto" w:before="89"/>
        <w:ind w:left="427" w:right="0"/>
        <w:jc w:val="left"/>
      </w:pPr>
      <w:r>
        <w:rPr/>
        <w:t>（</w:t>
      </w:r>
      <w:r>
        <w:rPr>
          <w:rFonts w:ascii="Times New Roman" w:hAnsi="Times New Roman" w:cs="Times New Roman" w:eastAsia="Times New Roman" w:hint="default"/>
        </w:rPr>
        <w:t>2</w:t>
      </w:r>
      <w:r>
        <w:rPr/>
        <w:t>）持有待售的非流动资产或处置组的计量</w:t>
      </w:r>
    </w:p>
    <w:p>
      <w:pPr>
        <w:spacing w:line="240" w:lineRule="auto" w:before="6"/>
        <w:rPr>
          <w:rFonts w:ascii="宋体" w:hAnsi="宋体" w:cs="宋体" w:eastAsia="宋体" w:hint="default"/>
          <w:sz w:val="16"/>
          <w:szCs w:val="16"/>
        </w:rPr>
      </w:pPr>
    </w:p>
    <w:p>
      <w:pPr>
        <w:pStyle w:val="BodyText"/>
        <w:spacing w:line="444" w:lineRule="auto"/>
        <w:ind w:left="533" w:right="0"/>
        <w:jc w:val="left"/>
      </w:pPr>
      <w:r>
        <w:rPr/>
        <w:t>①初始计量和后续计量</w:t>
      </w:r>
      <w:r>
        <w:rPr>
          <w:w w:val="100"/>
        </w:rPr>
        <w:t> </w:t>
      </w:r>
      <w:r>
        <w:rPr>
          <w:spacing w:val="-2"/>
        </w:rPr>
        <w:t>初始计量和在资产负债表日重新计量持有待售的非流动资产或处置组时，其账面价值高于公允价值减</w:t>
      </w:r>
    </w:p>
    <w:p>
      <w:pPr>
        <w:pStyle w:val="BodyText"/>
        <w:spacing w:line="408" w:lineRule="auto" w:before="14"/>
        <w:ind w:right="0"/>
        <w:jc w:val="left"/>
      </w:pPr>
      <w:r>
        <w:rPr>
          <w:spacing w:val="-2"/>
        </w:rPr>
        <w:t>去出售费用后的净额的，将账面价值减记至公允价值减去出售费用后的净额，减记的金额确认为资产减值</w:t>
      </w:r>
      <w:r>
        <w:rPr>
          <w:spacing w:val="-43"/>
        </w:rPr>
        <w:t> </w:t>
      </w:r>
      <w:r>
        <w:rPr>
          <w:spacing w:val="-43"/>
        </w:rPr>
      </w:r>
      <w:r>
        <w:rPr/>
        <w:t>损失，计入当期损益，同时计提持有待售资产减值准备。</w:t>
      </w:r>
    </w:p>
    <w:p>
      <w:pPr>
        <w:pStyle w:val="BodyText"/>
        <w:spacing w:line="408" w:lineRule="auto" w:before="87"/>
        <w:ind w:right="1126" w:firstLine="420"/>
        <w:jc w:val="both"/>
      </w:pPr>
      <w:r>
        <w:rPr>
          <w:spacing w:val="-2"/>
        </w:rPr>
        <w:t>对于取得日划分为持有待售类别的非流动资产或处置组，在初始计量时比较假定其不划分为持有待售</w:t>
      </w:r>
      <w:r>
        <w:rPr>
          <w:w w:val="100"/>
        </w:rPr>
        <w:t> </w:t>
      </w:r>
      <w:r>
        <w:rPr>
          <w:spacing w:val="-2"/>
        </w:rPr>
        <w:t>类别情况下的初始计量金额和公允价值减去出售费用后的净额，以两者孰低计量。除企业合并中取得的非</w:t>
      </w:r>
      <w:r>
        <w:rPr>
          <w:spacing w:val="-43"/>
        </w:rPr>
        <w:t> </w:t>
      </w:r>
      <w:r>
        <w:rPr>
          <w:spacing w:val="-43"/>
        </w:rPr>
      </w:r>
      <w:r>
        <w:rPr>
          <w:spacing w:val="-2"/>
        </w:rPr>
        <w:t>流动资产或处置组外，由非流动资产或处置组以公允价值减去出售费用后的净额作为初始计量金额而产生</w:t>
      </w:r>
      <w:r>
        <w:rPr>
          <w:spacing w:val="-43"/>
        </w:rPr>
        <w:t> </w:t>
      </w:r>
      <w:r>
        <w:rPr>
          <w:spacing w:val="-43"/>
        </w:rPr>
      </w:r>
      <w:r>
        <w:rPr/>
        <w:t>的差额，计入当期损益。</w:t>
      </w:r>
    </w:p>
    <w:p>
      <w:pPr>
        <w:pStyle w:val="BodyText"/>
        <w:spacing w:line="408" w:lineRule="auto" w:before="84"/>
        <w:ind w:right="1126" w:firstLine="420"/>
        <w:jc w:val="both"/>
      </w:pPr>
      <w:r>
        <w:rPr>
          <w:spacing w:val="-2"/>
        </w:rPr>
        <w:t>对于持有待售的处置组确认的资产减值损失金额，先抵减处置组中商誉的账面价值，再根据处置组中</w:t>
      </w:r>
      <w:r>
        <w:rPr>
          <w:w w:val="100"/>
        </w:rPr>
        <w:t> </w:t>
      </w:r>
      <w:r>
        <w:rPr/>
        <w:t>的各项非流动资产账面价值所占比重，按比例抵减其账面价值。</w:t>
      </w:r>
    </w:p>
    <w:p>
      <w:pPr>
        <w:pStyle w:val="BodyText"/>
        <w:spacing w:line="408" w:lineRule="auto" w:before="87"/>
        <w:ind w:right="1126" w:firstLine="420"/>
        <w:jc w:val="both"/>
      </w:pPr>
      <w:r>
        <w:rPr>
          <w:spacing w:val="-2"/>
        </w:rPr>
        <w:t>持有待售的非流动资产或处置组中的非流动资产不计提折旧或摊销，持有待售的处置组中负债的利息</w:t>
      </w:r>
      <w:r>
        <w:rPr>
          <w:w w:val="100"/>
        </w:rPr>
        <w:t> </w:t>
      </w:r>
      <w:r>
        <w:rPr/>
        <w:t>和其他费用继续予以确认。</w:t>
      </w:r>
    </w:p>
    <w:p>
      <w:pPr>
        <w:spacing w:after="0" w:line="408"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44" w:lineRule="auto" w:before="36"/>
        <w:ind w:left="533" w:right="1113"/>
        <w:jc w:val="left"/>
      </w:pPr>
      <w:r>
        <w:rPr/>
        <w:t>②资产减值损失转回的会计处理</w:t>
      </w:r>
      <w:r>
        <w:rPr>
          <w:w w:val="100"/>
        </w:rPr>
        <w:t> </w:t>
      </w:r>
      <w:r>
        <w:rPr/>
        <w:t>后续资产负债表日持有待售的非流动资产公允价值减去出售费用后的净额增加的，以前</w:t>
      </w:r>
      <w:r>
        <w:rPr>
          <w:spacing w:val="85"/>
        </w:rPr>
        <w:t> </w:t>
      </w:r>
      <w:r>
        <w:rPr/>
        <w:t>减记的金额</w:t>
      </w:r>
    </w:p>
    <w:p>
      <w:pPr>
        <w:pStyle w:val="BodyText"/>
        <w:spacing w:line="408" w:lineRule="auto" w:before="14"/>
        <w:ind w:right="1132"/>
        <w:jc w:val="both"/>
      </w:pPr>
      <w:r>
        <w:rPr/>
        <w:t>予以恢复，并在划分为持有待售类别后确认的资产减值损失金额内转回，转回金</w:t>
      </w:r>
      <w:r>
        <w:rPr>
          <w:spacing w:val="72"/>
        </w:rPr>
        <w:t> </w:t>
      </w:r>
      <w:r>
        <w:rPr/>
        <w:t>额计入当期损益。划分</w:t>
      </w:r>
      <w:r>
        <w:rPr>
          <w:spacing w:val="-97"/>
        </w:rPr>
        <w:t> </w:t>
      </w:r>
      <w:r>
        <w:rPr>
          <w:spacing w:val="-97"/>
        </w:rPr>
      </w:r>
      <w:r>
        <w:rPr/>
        <w:t>为持有待售类别前确认的资产减值损失不转回。</w:t>
      </w:r>
    </w:p>
    <w:p>
      <w:pPr>
        <w:pStyle w:val="BodyText"/>
        <w:spacing w:line="408" w:lineRule="auto" w:before="84"/>
        <w:ind w:right="1126" w:firstLine="420"/>
        <w:jc w:val="both"/>
      </w:pPr>
      <w:r>
        <w:rPr/>
        <w:t>后续资产负债表日持有待售的处置组公允价值减去出售费用后的净额增加的，以前减记</w:t>
      </w:r>
      <w:r>
        <w:rPr>
          <w:spacing w:val="74"/>
        </w:rPr>
        <w:t> </w:t>
      </w:r>
      <w:r>
        <w:rPr/>
        <w:t>的金额予以</w:t>
      </w:r>
      <w:r>
        <w:rPr>
          <w:w w:val="100"/>
        </w:rPr>
        <w:t> </w:t>
      </w:r>
      <w:r>
        <w:rPr>
          <w:spacing w:val="-3"/>
        </w:rPr>
        <w:t>恢复，并在划分为持有待售类别后非流动资产确认的资产减值损失金额内转回，</w:t>
      </w:r>
      <w:r>
        <w:rPr>
          <w:spacing w:val="-48"/>
        </w:rPr>
        <w:t> </w:t>
      </w:r>
      <w:r>
        <w:rPr/>
        <w:t>转回金额计入当期损益。</w:t>
      </w:r>
      <w:r>
        <w:rPr>
          <w:spacing w:val="-86"/>
        </w:rPr>
        <w:t> </w:t>
      </w:r>
      <w:r>
        <w:rPr>
          <w:spacing w:val="-86"/>
        </w:rPr>
      </w:r>
      <w:r>
        <w:rPr/>
        <w:t>已抵减的商誉账面价值，以及非流动资产在划分为持有待售类别前</w:t>
      </w:r>
      <w:r>
        <w:rPr>
          <w:spacing w:val="-25"/>
        </w:rPr>
        <w:t> </w:t>
      </w:r>
      <w:r>
        <w:rPr/>
        <w:t>确认的资产减值损失不转回。</w:t>
      </w:r>
    </w:p>
    <w:p>
      <w:pPr>
        <w:pStyle w:val="BodyText"/>
        <w:spacing w:line="410" w:lineRule="auto" w:before="87"/>
        <w:ind w:right="1126" w:firstLine="420"/>
        <w:jc w:val="both"/>
      </w:pPr>
      <w:r>
        <w:rPr/>
        <w:t>持有待售的处置组确认的资产减值损失后续转回金额，根据处置组中除商誉外各项非流</w:t>
      </w:r>
      <w:r>
        <w:rPr>
          <w:spacing w:val="75"/>
        </w:rPr>
        <w:t> </w:t>
      </w:r>
      <w:r>
        <w:rPr/>
        <w:t>动资产账面</w:t>
      </w:r>
      <w:r>
        <w:rPr>
          <w:w w:val="100"/>
        </w:rPr>
        <w:t> </w:t>
      </w:r>
      <w:r>
        <w:rPr/>
        <w:t>价值所占比重，按比例增加其账面价值。</w:t>
      </w:r>
    </w:p>
    <w:p>
      <w:pPr>
        <w:pStyle w:val="BodyText"/>
        <w:spacing w:line="441" w:lineRule="auto" w:before="85"/>
        <w:ind w:left="533" w:right="1112"/>
        <w:jc w:val="left"/>
      </w:pPr>
      <w:r>
        <w:rPr/>
        <w:t>③不再继续划分为持有待售类别以及终止确认的会计处理</w:t>
      </w:r>
      <w:r>
        <w:rPr>
          <w:w w:val="100"/>
        </w:rPr>
        <w:t> </w:t>
      </w:r>
      <w:r>
        <w:rPr/>
        <w:t>非流动资产或处置组因不再满足持有待售类别的划分条件而不再继续划分为持有待售</w:t>
      </w:r>
      <w:r>
        <w:rPr>
          <w:spacing w:val="86"/>
        </w:rPr>
        <w:t> </w:t>
      </w:r>
      <w:r>
        <w:rPr/>
        <w:t>类别或非流动</w:t>
      </w:r>
    </w:p>
    <w:p>
      <w:pPr>
        <w:pStyle w:val="BodyText"/>
        <w:spacing w:line="386" w:lineRule="auto" w:before="16"/>
        <w:ind w:right="1128"/>
        <w:jc w:val="both"/>
      </w:pPr>
      <w:r>
        <w:rPr>
          <w:spacing w:val="-3"/>
        </w:rPr>
        <w:t>资产从持有待售的处置组中移除时，按照以下两者孰低计量：</w:t>
      </w:r>
      <w:r>
        <w:rPr>
          <w:rFonts w:ascii="Times New Roman" w:hAnsi="Times New Roman" w:cs="Times New Roman" w:eastAsia="Times New Roman" w:hint="default"/>
          <w:spacing w:val="-3"/>
        </w:rPr>
        <w:t>A</w:t>
      </w:r>
      <w:r>
        <w:rPr>
          <w:spacing w:val="-3"/>
        </w:rPr>
        <w:t>、划分为持有</w:t>
      </w:r>
      <w:r>
        <w:rPr>
          <w:spacing w:val="43"/>
        </w:rPr>
        <w:t> </w:t>
      </w:r>
      <w:r>
        <w:rPr>
          <w:spacing w:val="-3"/>
        </w:rPr>
        <w:t>待售类别前的账面价值，按</w:t>
      </w:r>
      <w:r>
        <w:rPr>
          <w:spacing w:val="-89"/>
        </w:rPr>
        <w:t> </w:t>
      </w:r>
      <w:r>
        <w:rPr>
          <w:spacing w:val="-89"/>
        </w:rPr>
      </w:r>
      <w:r>
        <w:rPr>
          <w:spacing w:val="-5"/>
        </w:rPr>
        <w:t>照假定不划分为持有待售类别情况下本应确认的折旧、摊销或减值等进行调整后的金额；</w:t>
      </w:r>
      <w:r>
        <w:rPr>
          <w:rFonts w:ascii="Times New Roman" w:hAnsi="Times New Roman" w:cs="Times New Roman" w:eastAsia="Times New Roman" w:hint="default"/>
          <w:spacing w:val="-5"/>
        </w:rPr>
        <w:t>B</w:t>
      </w:r>
      <w:r>
        <w:rPr>
          <w:spacing w:val="-5"/>
        </w:rPr>
        <w:t>、可收回金额。</w:t>
      </w:r>
    </w:p>
    <w:p>
      <w:pPr>
        <w:pStyle w:val="BodyText"/>
        <w:spacing w:line="240" w:lineRule="auto" w:before="76"/>
        <w:ind w:left="533" w:right="0"/>
        <w:jc w:val="left"/>
      </w:pPr>
      <w:r>
        <w:rPr/>
        <w:t>终止确认持有待售的非流动资产或处置组时，将尚未确认的利得或损失计入当期损益。</w:t>
      </w:r>
    </w:p>
    <w:p>
      <w:pPr>
        <w:pStyle w:val="BodyText"/>
        <w:spacing w:line="670" w:lineRule="atLeast" w:before="37"/>
        <w:ind w:left="533" w:right="0" w:hanging="420"/>
        <w:jc w:val="left"/>
      </w:pP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100"/>
        </w:rPr>
        <w:t> </w:t>
      </w:r>
      <w:r>
        <w:rPr>
          <w:spacing w:val="-2"/>
        </w:rPr>
        <w:t>本部分所指的长期股权投资是指本公司对被投资单位具有控制、共同控制或重大影响的长期股权投资。</w:t>
      </w:r>
    </w:p>
    <w:p>
      <w:pPr>
        <w:spacing w:line="240" w:lineRule="auto" w:before="8"/>
        <w:rPr>
          <w:rFonts w:ascii="宋体" w:hAnsi="宋体" w:cs="宋体" w:eastAsia="宋体" w:hint="default"/>
          <w:sz w:val="14"/>
          <w:szCs w:val="14"/>
        </w:rPr>
      </w:pPr>
    </w:p>
    <w:p>
      <w:pPr>
        <w:pStyle w:val="BodyText"/>
        <w:spacing w:line="408" w:lineRule="auto"/>
        <w:ind w:right="1126"/>
        <w:jc w:val="both"/>
      </w:pPr>
      <w:r>
        <w:rPr>
          <w:spacing w:val="-2"/>
        </w:rPr>
        <w:t>本公司对被投资单位不具有控制、共同控制或重大影响的长期股权投资，作为可供出售金融资产或以公允</w:t>
      </w:r>
      <w:r>
        <w:rPr>
          <w:spacing w:val="-44"/>
        </w:rPr>
        <w:t> </w:t>
      </w:r>
      <w:r>
        <w:rPr>
          <w:spacing w:val="-44"/>
        </w:rPr>
      </w:r>
      <w:r>
        <w:rPr>
          <w:spacing w:val="-4"/>
          <w:w w:val="100"/>
        </w:rPr>
        <w:t>价值计量且其变动计入当期损益的金融资产核算，其会计政策详见附注五、</w:t>
      </w:r>
      <w:r>
        <w:rPr>
          <w:rFonts w:ascii="Times New Roman" w:hAnsi="Times New Roman" w:cs="Times New Roman" w:eastAsia="Times New Roman" w:hint="default"/>
          <w:spacing w:val="-4"/>
          <w:w w:val="100"/>
        </w:rPr>
        <w:t>10</w:t>
      </w:r>
      <w:r>
        <w:rPr>
          <w:spacing w:val="-4"/>
          <w:w w:val="100"/>
        </w:rPr>
        <w:t>“金融工具”。</w:t>
      </w:r>
    </w:p>
    <w:p>
      <w:pPr>
        <w:pStyle w:val="BodyText"/>
        <w:spacing w:line="408" w:lineRule="auto" w:before="55"/>
        <w:ind w:right="1126" w:firstLine="420"/>
        <w:jc w:val="both"/>
      </w:pPr>
      <w:r>
        <w:rPr>
          <w:spacing w:val="-2"/>
        </w:rPr>
        <w:t>共同控制，是指本公司按照相关约定对某项安排所共有的控制，并且该安排的相关活动必须经过分享</w:t>
      </w:r>
      <w:r>
        <w:rPr>
          <w:w w:val="100"/>
        </w:rPr>
        <w:t> </w:t>
      </w:r>
      <w:r>
        <w:rPr>
          <w:spacing w:val="-2"/>
        </w:rPr>
        <w:t>控制权的参与方一致同意后才能决策。重大影响，是指本公司对被投资单位的财务和经营政策有参与决策</w:t>
      </w:r>
      <w:r>
        <w:rPr>
          <w:spacing w:val="-43"/>
        </w:rPr>
        <w:t> </w:t>
      </w:r>
      <w:r>
        <w:rPr>
          <w:spacing w:val="-43"/>
        </w:rPr>
      </w:r>
      <w:r>
        <w:rPr/>
        <w:t>的权力，但并不能够控制或者与其他方一起共同控制这些政策的制定。</w:t>
      </w:r>
    </w:p>
    <w:p>
      <w:pPr>
        <w:pStyle w:val="BodyText"/>
        <w:spacing w:line="417" w:lineRule="auto" w:before="87"/>
        <w:ind w:left="533" w:right="0" w:hanging="106"/>
        <w:jc w:val="left"/>
      </w:pPr>
      <w:r>
        <w:rPr/>
        <w:t>（</w:t>
      </w:r>
      <w:r>
        <w:rPr>
          <w:rFonts w:ascii="Times New Roman" w:hAnsi="Times New Roman" w:cs="Times New Roman" w:eastAsia="Times New Roman" w:hint="default"/>
        </w:rPr>
        <w:t>1</w:t>
      </w:r>
      <w:r>
        <w:rPr/>
        <w:t>）投资成本的确定</w:t>
      </w:r>
      <w:r>
        <w:rPr>
          <w:spacing w:val="-103"/>
        </w:rPr>
        <w:t> </w:t>
      </w:r>
      <w:r>
        <w:rPr>
          <w:spacing w:val="-103"/>
        </w:rPr>
      </w:r>
      <w:r>
        <w:rPr>
          <w:spacing w:val="-2"/>
        </w:rPr>
        <w:t>对于同一控制下的企业合并取得的长期股权投资，在合并日按照被合并方股东权益在最终控制方合并</w:t>
      </w:r>
    </w:p>
    <w:p>
      <w:pPr>
        <w:pStyle w:val="BodyText"/>
        <w:spacing w:line="408" w:lineRule="auto" w:before="37"/>
        <w:ind w:right="1126"/>
        <w:jc w:val="both"/>
      </w:pPr>
      <w:r>
        <w:rPr>
          <w:spacing w:val="-2"/>
        </w:rPr>
        <w:t>财务报表中的账面价值的份额作为长期股权投资的初始投资成本。长期股权投资初始投资成本与支付的现</w:t>
      </w:r>
      <w:r>
        <w:rPr>
          <w:spacing w:val="-43"/>
        </w:rPr>
        <w:t> </w:t>
      </w:r>
      <w:r>
        <w:rPr>
          <w:spacing w:val="-43"/>
        </w:rPr>
      </w:r>
      <w:r>
        <w:rPr>
          <w:spacing w:val="-2"/>
        </w:rPr>
        <w:t>金、转让的非现金资产以及所承担债务账面价值之间的差额，调整资本公积；资本公积不足冲减的，调整</w:t>
      </w:r>
      <w:r>
        <w:rPr>
          <w:spacing w:val="-47"/>
        </w:rPr>
        <w:t> </w:t>
      </w:r>
      <w:r>
        <w:rPr>
          <w:spacing w:val="-47"/>
        </w:rPr>
      </w:r>
      <w:r>
        <w:rPr>
          <w:spacing w:val="-2"/>
        </w:rPr>
        <w:t>留存收益。以发行权益性证券作为合并对价的，在合并日按照被合并方股东权益在最终控制方合并财务报</w:t>
      </w:r>
      <w:r>
        <w:rPr>
          <w:spacing w:val="-43"/>
        </w:rPr>
        <w:t> </w:t>
      </w:r>
      <w:r>
        <w:rPr>
          <w:spacing w:val="-43"/>
        </w:rPr>
      </w:r>
      <w:r>
        <w:rPr>
          <w:spacing w:val="-2"/>
        </w:rPr>
        <w:t>表中的账面价值的份额作为长期股权投资的初始投资成本，按照发行股份的面值总额作为股本，长期股权</w:t>
      </w:r>
      <w:r>
        <w:rPr>
          <w:spacing w:val="-43"/>
        </w:rPr>
        <w:t> </w:t>
      </w:r>
      <w:r>
        <w:rPr>
          <w:spacing w:val="-43"/>
        </w:rPr>
      </w:r>
      <w:r>
        <w:rPr>
          <w:spacing w:val="-2"/>
        </w:rPr>
        <w:t>投资初始投资成本与所发行股份面值总额之间的差额，调整资本公积；资本公积不足冲减的，调整留存收</w:t>
      </w:r>
    </w:p>
    <w:p>
      <w:pPr>
        <w:spacing w:after="0" w:line="408"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left="213" w:right="1125"/>
        <w:jc w:val="both"/>
      </w:pPr>
      <w:r>
        <w:rPr>
          <w:spacing w:val="-2"/>
        </w:rPr>
        <w:t>益。通过多次交易分步取得同一控制下被合并方的股权，最终形成同一控制下企业合并的，应分别是否属</w:t>
      </w:r>
      <w:r>
        <w:rPr>
          <w:spacing w:val="-44"/>
        </w:rPr>
        <w:t> </w:t>
      </w:r>
      <w:r>
        <w:rPr>
          <w:spacing w:val="-44"/>
        </w:rPr>
      </w:r>
      <w:r>
        <w:rPr>
          <w:spacing w:val="-2"/>
        </w:rPr>
        <w:t>于“一揽子交易”进行处理：属于“一揽子交易”的，将各项交易作为一项取得控制权的交易进行会计处</w:t>
      </w:r>
      <w:r>
        <w:rPr>
          <w:spacing w:val="-41"/>
        </w:rPr>
        <w:t> </w:t>
      </w:r>
      <w:r>
        <w:rPr>
          <w:spacing w:val="-41"/>
        </w:rPr>
      </w:r>
      <w:r>
        <w:rPr>
          <w:spacing w:val="-2"/>
        </w:rPr>
        <w:t>理。不属于“一揽子交易”的，在合并日按照应享有被合并方股东权益在最终控制方合并财务报表中的账</w:t>
      </w:r>
      <w:r>
        <w:rPr>
          <w:spacing w:val="-44"/>
        </w:rPr>
        <w:t> </w:t>
      </w:r>
      <w:r>
        <w:rPr>
          <w:spacing w:val="-44"/>
        </w:rPr>
      </w:r>
      <w:r>
        <w:rPr>
          <w:spacing w:val="-2"/>
        </w:rPr>
        <w:t>面价值的份额作为长期股权投资的初始投资成本，长期股权投资初始投资成本与达到合并前的长期股权投</w:t>
      </w:r>
      <w:r>
        <w:rPr>
          <w:spacing w:val="-43"/>
        </w:rPr>
        <w:t> </w:t>
      </w:r>
      <w:r>
        <w:rPr>
          <w:spacing w:val="-43"/>
        </w:rPr>
      </w:r>
      <w:r>
        <w:rPr>
          <w:spacing w:val="-2"/>
        </w:rPr>
        <w:t>资账面价值加上合并日进一步取得股份新支付对价的账面价值之和的差额，调整资本公积；资本公积不足</w:t>
      </w:r>
      <w:r>
        <w:rPr>
          <w:spacing w:val="-42"/>
        </w:rPr>
        <w:t> </w:t>
      </w:r>
      <w:r>
        <w:rPr>
          <w:spacing w:val="-42"/>
        </w:rPr>
      </w:r>
      <w:r>
        <w:rPr>
          <w:spacing w:val="-2"/>
        </w:rPr>
        <w:t>冲减的，调整留存收益。合并日之前持有的股权投资因采用权益法核算或为可供出售金融资产而确认的其</w:t>
      </w:r>
      <w:r>
        <w:rPr>
          <w:spacing w:val="-43"/>
        </w:rPr>
        <w:t> </w:t>
      </w:r>
      <w:r>
        <w:rPr>
          <w:spacing w:val="-43"/>
        </w:rPr>
      </w:r>
      <w:r>
        <w:rPr/>
        <w:t>他综合收益，暂不进行会计处理。</w:t>
      </w:r>
    </w:p>
    <w:p>
      <w:pPr>
        <w:pStyle w:val="BodyText"/>
        <w:spacing w:line="408" w:lineRule="auto" w:before="87"/>
        <w:ind w:left="213" w:right="953" w:firstLine="420"/>
        <w:jc w:val="left"/>
      </w:pPr>
      <w:r>
        <w:rPr>
          <w:spacing w:val="-2"/>
        </w:rPr>
        <w:t>对于非同一控制下的企业合并取得的长期股权投资，在购买日按照合并成本作为长期股权投资的初始</w:t>
      </w:r>
      <w:r>
        <w:rPr>
          <w:w w:val="100"/>
        </w:rPr>
        <w:t> </w:t>
      </w:r>
      <w:r>
        <w:rPr>
          <w:spacing w:val="-2"/>
        </w:rPr>
        <w:t>投资成本，合并成本包括购买方付出的资产、发生或承担的负债、发行的权益性证券的公允价值之和。通</w:t>
      </w:r>
      <w:r>
        <w:rPr>
          <w:spacing w:val="-47"/>
        </w:rPr>
        <w:t> </w:t>
      </w:r>
      <w:r>
        <w:rPr>
          <w:spacing w:val="-47"/>
        </w:rPr>
      </w:r>
      <w:r>
        <w:rPr>
          <w:spacing w:val="-2"/>
        </w:rPr>
        <w:t>过多次交易分步取得被购买方的股权，最终形成非同一控制下的企业合并的，应分别是否属于“一揽子交</w:t>
      </w:r>
      <w:r>
        <w:rPr>
          <w:spacing w:val="-43"/>
        </w:rPr>
        <w:t> </w:t>
      </w:r>
      <w:r>
        <w:rPr>
          <w:spacing w:val="-43"/>
        </w:rPr>
      </w:r>
      <w:r>
        <w:rPr>
          <w:spacing w:val="-7"/>
        </w:rPr>
        <w:t>易”进行处理：属于“一揽子交易”的，将各项交易作为一项取得控制权的交易进行会计处理。不属于“一</w:t>
      </w:r>
      <w:r>
        <w:rPr>
          <w:spacing w:val="-19"/>
        </w:rPr>
        <w:t> </w:t>
      </w:r>
      <w:r>
        <w:rPr>
          <w:spacing w:val="-19"/>
        </w:rPr>
      </w:r>
      <w:r>
        <w:rPr>
          <w:spacing w:val="-2"/>
        </w:rPr>
        <w:t>揽子交易”的，按照原持有被购买方的股权投资账面价值加上新增投资成本之和，作为改按成本法核算的</w:t>
      </w:r>
      <w:r>
        <w:rPr>
          <w:spacing w:val="-45"/>
        </w:rPr>
        <w:t> </w:t>
      </w:r>
      <w:r>
        <w:rPr>
          <w:spacing w:val="-45"/>
        </w:rPr>
      </w:r>
      <w:r>
        <w:rPr/>
        <w:t>长期股权投资的初始投资成本。原持有的股权采用权益法核算的，相关其他综合收益暂不进行会计处理。</w:t>
      </w:r>
      <w:r>
        <w:rPr>
          <w:spacing w:val="-24"/>
        </w:rPr>
        <w:t> </w:t>
      </w:r>
      <w:r>
        <w:rPr>
          <w:spacing w:val="-24"/>
        </w:rPr>
      </w:r>
      <w:r>
        <w:rPr>
          <w:spacing w:val="-2"/>
        </w:rPr>
        <w:t>原持有股权投资为可供出售金融资产的，其公允价值与账面价值之间的差额，以及原计入其他综合收益的</w:t>
      </w:r>
      <w:r>
        <w:rPr>
          <w:spacing w:val="-43"/>
        </w:rPr>
        <w:t> </w:t>
      </w:r>
      <w:r>
        <w:rPr>
          <w:spacing w:val="-43"/>
        </w:rPr>
      </w:r>
      <w:r>
        <w:rPr/>
        <w:t>累计公允价值变动转入当期损益。</w:t>
      </w:r>
    </w:p>
    <w:p>
      <w:pPr>
        <w:pStyle w:val="BodyText"/>
        <w:spacing w:line="408" w:lineRule="auto" w:before="84"/>
        <w:ind w:left="213" w:right="953" w:firstLine="420"/>
        <w:jc w:val="left"/>
      </w:pPr>
      <w:r>
        <w:rPr>
          <w:spacing w:val="-2"/>
        </w:rPr>
        <w:t>合并方或购买方为企业合并发生的审计、法律服务、评估咨询等中介费用以及其他相关管理费用，于</w:t>
      </w:r>
      <w:r>
        <w:rPr>
          <w:w w:val="100"/>
        </w:rPr>
        <w:t> </w:t>
      </w:r>
      <w:r>
        <w:rPr/>
        <w:t>发生时计入当期损益。</w:t>
      </w:r>
    </w:p>
    <w:p>
      <w:pPr>
        <w:pStyle w:val="BodyText"/>
        <w:spacing w:line="408" w:lineRule="auto" w:before="87"/>
        <w:ind w:left="213" w:right="953" w:firstLine="420"/>
        <w:jc w:val="left"/>
      </w:pPr>
      <w:r>
        <w:rPr>
          <w:spacing w:val="-2"/>
        </w:rPr>
        <w:t>除企业合并形成的长期股权投资外的其他股权投资，按成本进行初始计量，该成本视长期股权投资取</w:t>
      </w:r>
      <w:r>
        <w:rPr>
          <w:w w:val="100"/>
        </w:rPr>
        <w:t> </w:t>
      </w:r>
      <w:r>
        <w:rPr>
          <w:spacing w:val="-2"/>
        </w:rPr>
        <w:t>得方式的不同，分别按照本公司实际支付的现金购买价款、本公司发行的权益性证券的公允价值、投资合</w:t>
      </w:r>
      <w:r>
        <w:rPr>
          <w:spacing w:val="-44"/>
        </w:rPr>
        <w:t> </w:t>
      </w:r>
      <w:r>
        <w:rPr>
          <w:spacing w:val="-44"/>
        </w:rPr>
      </w:r>
      <w:r>
        <w:rPr>
          <w:spacing w:val="-2"/>
        </w:rPr>
        <w:t>同或协议约定的价值、非货币性资产交换交易中换出资产的公允价值或原账面价值、该项长期股权投资自</w:t>
      </w:r>
      <w:r>
        <w:rPr>
          <w:spacing w:val="-44"/>
        </w:rPr>
        <w:t> </w:t>
      </w:r>
      <w:r>
        <w:rPr>
          <w:spacing w:val="-44"/>
        </w:rPr>
      </w:r>
      <w:r>
        <w:rPr/>
        <w:t>身的公允价值等方式确定。与取得长期股权投资直接相关的费用、税金及其他必要支出也计入投资成本。</w:t>
      </w:r>
      <w:r>
        <w:rPr>
          <w:spacing w:val="-24"/>
        </w:rPr>
        <w:t> </w:t>
      </w:r>
      <w:r>
        <w:rPr>
          <w:spacing w:val="-24"/>
        </w:rPr>
      </w:r>
      <w:r>
        <w:rPr>
          <w:spacing w:val="-2"/>
        </w:rPr>
        <w:t>对于因追加投资够对被投资单位实施重大影响或实施共同控制但不构成控制的，长期股权投资成本为按照</w:t>
      </w:r>
    </w:p>
    <w:p>
      <w:pPr>
        <w:pStyle w:val="BodyText"/>
        <w:spacing w:line="386" w:lineRule="auto" w:before="46"/>
        <w:ind w:left="213" w:right="953" w:hanging="107"/>
        <w:jc w:val="left"/>
      </w:pPr>
      <w:r>
        <w:rPr/>
        <w:t>《企业会计准则第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金融工具确认和计量》确定的原持有股权投资的公允价值加上新增投资成本之</w:t>
      </w:r>
      <w:r>
        <w:rPr>
          <w:spacing w:val="-26"/>
        </w:rPr>
        <w:t> </w:t>
      </w:r>
      <w:r>
        <w:rPr>
          <w:spacing w:val="-26"/>
        </w:rPr>
      </w:r>
      <w:r>
        <w:rPr/>
        <w:t>和。</w:t>
      </w:r>
    </w:p>
    <w:p>
      <w:pPr>
        <w:pStyle w:val="BodyText"/>
        <w:spacing w:line="417" w:lineRule="auto" w:before="106"/>
        <w:ind w:left="633" w:right="953" w:hanging="106"/>
        <w:jc w:val="left"/>
      </w:pPr>
      <w:r>
        <w:rPr/>
        <w:t>（</w:t>
      </w:r>
      <w:r>
        <w:rPr>
          <w:rFonts w:ascii="Times New Roman" w:hAnsi="Times New Roman" w:cs="Times New Roman" w:eastAsia="Times New Roman" w:hint="default"/>
        </w:rPr>
        <w:t>2</w:t>
      </w:r>
      <w:r>
        <w:rPr/>
        <w:t>）后续计量及损益确认方法</w:t>
      </w:r>
      <w:r>
        <w:rPr>
          <w:w w:val="100"/>
        </w:rPr>
        <w:t> </w:t>
      </w:r>
      <w:r>
        <w:rPr/>
        <w:t>对被投资单位具有共同控制（构成共同经营者除外）或重大影响的长期股权投资，采用权益法核算。</w:t>
      </w:r>
    </w:p>
    <w:p>
      <w:pPr>
        <w:pStyle w:val="BodyText"/>
        <w:spacing w:line="240" w:lineRule="auto" w:before="37"/>
        <w:ind w:left="213" w:right="0"/>
        <w:jc w:val="both"/>
      </w:pPr>
      <w:r>
        <w:rPr/>
        <w:t>此外，公司财务报表采用成本法核算能够对被投资单位实施控制的长期股权投资。</w:t>
      </w:r>
    </w:p>
    <w:p>
      <w:pPr>
        <w:spacing w:line="240" w:lineRule="auto" w:before="12"/>
        <w:rPr>
          <w:rFonts w:ascii="宋体" w:hAnsi="宋体" w:cs="宋体" w:eastAsia="宋体" w:hint="default"/>
          <w:sz w:val="17"/>
          <w:szCs w:val="17"/>
        </w:rPr>
      </w:pPr>
    </w:p>
    <w:p>
      <w:pPr>
        <w:pStyle w:val="BodyText"/>
        <w:spacing w:line="444" w:lineRule="auto"/>
        <w:ind w:left="633" w:right="953"/>
        <w:jc w:val="left"/>
      </w:pPr>
      <w:r>
        <w:rPr/>
        <w:t>①</w:t>
      </w:r>
      <w:r>
        <w:rPr>
          <w:spacing w:val="-21"/>
        </w:rPr>
        <w:t> </w:t>
      </w:r>
      <w:r>
        <w:rPr/>
        <w:t>成本法核算的长期股权投资</w:t>
      </w:r>
      <w:r>
        <w:rPr>
          <w:w w:val="100"/>
        </w:rPr>
        <w:t> </w:t>
      </w:r>
      <w:r>
        <w:rPr/>
        <w:t>采用成本法核算时，长期股权投资按初始投资成本计价，追加或收回投资调整长期股权投资的成本。</w:t>
      </w:r>
    </w:p>
    <w:p>
      <w:pPr>
        <w:spacing w:after="0" w:line="444" w:lineRule="auto"/>
        <w:jc w:val="left"/>
        <w:sectPr>
          <w:pgSz w:w="11910" w:h="16840"/>
          <w:pgMar w:header="906" w:footer="1079" w:top="1100" w:bottom="1260" w:left="920" w:right="0"/>
        </w:sectPr>
      </w:pPr>
    </w:p>
    <w:p>
      <w:pPr>
        <w:spacing w:line="240" w:lineRule="auto" w:before="9"/>
        <w:rPr>
          <w:rFonts w:ascii="宋体" w:hAnsi="宋体" w:cs="宋体" w:eastAsia="宋体" w:hint="default"/>
          <w:sz w:val="27"/>
          <w:szCs w:val="27"/>
        </w:rPr>
      </w:pPr>
    </w:p>
    <w:p>
      <w:pPr>
        <w:pStyle w:val="BodyText"/>
        <w:spacing w:line="408" w:lineRule="auto" w:before="36"/>
        <w:ind w:right="0"/>
        <w:jc w:val="left"/>
      </w:pPr>
      <w:r>
        <w:rPr>
          <w:spacing w:val="-2"/>
        </w:rPr>
        <w:t>除取得投资时实际支付的价款或者对价中包含的已宣告但尚未发放的现金股利或者利润外，当期投资收益</w:t>
      </w:r>
      <w:r>
        <w:rPr>
          <w:spacing w:val="-43"/>
        </w:rPr>
        <w:t> </w:t>
      </w:r>
      <w:r>
        <w:rPr>
          <w:spacing w:val="-43"/>
        </w:rPr>
      </w:r>
      <w:r>
        <w:rPr/>
        <w:t>按照享有被投资单位宣告发放的现金股利或利润确认。</w:t>
      </w:r>
    </w:p>
    <w:p>
      <w:pPr>
        <w:pStyle w:val="BodyText"/>
        <w:spacing w:line="441" w:lineRule="auto" w:before="87"/>
        <w:ind w:left="533" w:right="0"/>
        <w:jc w:val="left"/>
      </w:pPr>
      <w:r>
        <w:rPr/>
        <w:t>②</w:t>
      </w:r>
      <w:r>
        <w:rPr>
          <w:spacing w:val="-21"/>
        </w:rPr>
        <w:t> </w:t>
      </w:r>
      <w:r>
        <w:rPr/>
        <w:t>权益法核算的长期股权投资</w:t>
      </w:r>
      <w:r>
        <w:rPr>
          <w:w w:val="100"/>
        </w:rPr>
        <w:t> </w:t>
      </w:r>
      <w:r>
        <w:rPr>
          <w:spacing w:val="-2"/>
        </w:rPr>
        <w:t>采用权益法核算时，长期股权投资的初始投资成本大于投资时应享有被投资单位可辨认净资产公允价</w:t>
      </w:r>
    </w:p>
    <w:p>
      <w:pPr>
        <w:pStyle w:val="BodyText"/>
        <w:spacing w:line="408" w:lineRule="auto" w:before="16"/>
        <w:ind w:right="0"/>
        <w:jc w:val="left"/>
      </w:pPr>
      <w:r>
        <w:rPr>
          <w:spacing w:val="-2"/>
        </w:rPr>
        <w:t>值份额的，不调整长期股权投资的初始投资成本；初始投资成本小于投资时应享有被投资单位可辨认净资</w:t>
      </w:r>
      <w:r>
        <w:rPr>
          <w:spacing w:val="-43"/>
        </w:rPr>
        <w:t> </w:t>
      </w:r>
      <w:r>
        <w:rPr>
          <w:spacing w:val="-43"/>
        </w:rPr>
      </w:r>
      <w:r>
        <w:rPr/>
        <w:t>产公允价值份额的，其差额计入当期损益，同时调整长期股权投资的成本。</w:t>
      </w:r>
    </w:p>
    <w:p>
      <w:pPr>
        <w:pStyle w:val="BodyText"/>
        <w:spacing w:line="408" w:lineRule="auto" w:before="87"/>
        <w:ind w:right="1126" w:firstLine="420"/>
        <w:jc w:val="both"/>
      </w:pPr>
      <w:r>
        <w:rPr>
          <w:spacing w:val="-2"/>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43"/>
        </w:rPr>
        <w:t> </w:t>
      </w:r>
      <w:r>
        <w:rPr>
          <w:spacing w:val="-43"/>
        </w:rPr>
      </w:r>
      <w:r>
        <w:rPr>
          <w:spacing w:val="-2"/>
        </w:rPr>
        <w:t>股利计算应享有的部分，相应减少长期股权投资的账面价值；对于被投资单位除净损益、其他综合收益和</w:t>
      </w:r>
      <w:r>
        <w:rPr>
          <w:spacing w:val="-43"/>
        </w:rPr>
        <w:t> </w:t>
      </w:r>
      <w:r>
        <w:rPr>
          <w:spacing w:val="-43"/>
        </w:rPr>
      </w:r>
      <w:r>
        <w:rPr>
          <w:spacing w:val="-2"/>
        </w:rPr>
        <w:t>利润分配以外所有者权益的其他变动，调整长期股权投资的账面价值并计入资本公积。在确认应享有被投</w:t>
      </w:r>
      <w:r>
        <w:rPr>
          <w:spacing w:val="-42"/>
        </w:rPr>
        <w:t> </w:t>
      </w:r>
      <w:r>
        <w:rPr>
          <w:spacing w:val="-42"/>
        </w:rPr>
      </w:r>
      <w:r>
        <w:rPr>
          <w:spacing w:val="-2"/>
        </w:rPr>
        <w:t>资单位净损益的份额时，以取得投资时被投资单位各项可辨认资产等的公允价值为基础，对被投资单位的</w:t>
      </w:r>
      <w:r>
        <w:rPr>
          <w:spacing w:val="-43"/>
        </w:rPr>
        <w:t> </w:t>
      </w:r>
      <w:r>
        <w:rPr>
          <w:spacing w:val="-43"/>
        </w:rPr>
      </w:r>
      <w:r>
        <w:rPr>
          <w:spacing w:val="-2"/>
        </w:rPr>
        <w:t>净利润进行调整后确认。被投资单位采用的会计政策及会计期间与本公司不一致的，按照本公司的会计政</w:t>
      </w:r>
      <w:r>
        <w:rPr>
          <w:spacing w:val="-43"/>
        </w:rPr>
        <w:t> </w:t>
      </w:r>
      <w:r>
        <w:rPr>
          <w:spacing w:val="-43"/>
        </w:rPr>
      </w:r>
      <w:r>
        <w:rPr>
          <w:spacing w:val="-2"/>
        </w:rPr>
        <w:t>策及会计期间对被投资单位的财务报表进行调整，并据以确认投资收益和其他综合收益。对于本公司与联</w:t>
      </w:r>
      <w:r>
        <w:rPr>
          <w:spacing w:val="-43"/>
        </w:rPr>
        <w:t> </w:t>
      </w:r>
      <w:r>
        <w:rPr>
          <w:spacing w:val="-43"/>
        </w:rPr>
      </w:r>
      <w:r>
        <w:rPr>
          <w:spacing w:val="-2"/>
        </w:rPr>
        <w:t>营企业及合营企业之间发生的交易，投出或出售的资产不构成业务的，未实现内部交易损益按照享有的比</w:t>
      </w:r>
      <w:r>
        <w:rPr>
          <w:spacing w:val="-42"/>
        </w:rPr>
        <w:t> </w:t>
      </w:r>
      <w:r>
        <w:rPr>
          <w:spacing w:val="-42"/>
        </w:rPr>
      </w:r>
      <w:r>
        <w:rPr>
          <w:spacing w:val="-2"/>
        </w:rPr>
        <w:t>例计算归属于本公司的部分予以抵销，在此基础上确认投资损益。但本公司与被投资单位发生的未实现内</w:t>
      </w:r>
      <w:r>
        <w:rPr>
          <w:spacing w:val="-43"/>
        </w:rPr>
        <w:t> </w:t>
      </w:r>
      <w:r>
        <w:rPr>
          <w:spacing w:val="-43"/>
        </w:rPr>
      </w:r>
      <w:r>
        <w:rPr>
          <w:spacing w:val="-2"/>
        </w:rPr>
        <w:t>部交易损失，属于所转让资产减值损失的，不予以抵销。本公司向合营企业或联营企业投出的资产构成业</w:t>
      </w:r>
      <w:r>
        <w:rPr>
          <w:spacing w:val="-44"/>
        </w:rPr>
        <w:t> </w:t>
      </w:r>
      <w:r>
        <w:rPr>
          <w:spacing w:val="-44"/>
        </w:rPr>
      </w:r>
      <w:r>
        <w:rPr>
          <w:spacing w:val="-2"/>
        </w:rPr>
        <w:t>务的，投资方因此取得长期股权投资但未取得控制权的，以投出业务的公允价值作为新增长期股权投资的</w:t>
      </w:r>
      <w:r>
        <w:rPr>
          <w:spacing w:val="-42"/>
        </w:rPr>
        <w:t> </w:t>
      </w:r>
      <w:r>
        <w:rPr>
          <w:spacing w:val="-42"/>
        </w:rPr>
      </w:r>
      <w:r>
        <w:rPr>
          <w:spacing w:val="-2"/>
        </w:rPr>
        <w:t>初始投资成本，初始投资成本与投出业务的账面价值之差，全额计入当期损益。本公司向合营企业或联营</w:t>
      </w:r>
      <w:r>
        <w:rPr>
          <w:spacing w:val="-43"/>
        </w:rPr>
        <w:t> </w:t>
      </w:r>
      <w:r>
        <w:rPr>
          <w:spacing w:val="-43"/>
        </w:rPr>
      </w:r>
      <w:r>
        <w:rPr>
          <w:spacing w:val="-2"/>
        </w:rPr>
        <w:t>企业出售的资产构成业务的，取得的对价与业务的账面价值之差，全额计入当期损益。本公司自联营企业</w:t>
      </w:r>
      <w:r>
        <w:rPr>
          <w:spacing w:val="-44"/>
        </w:rPr>
        <w:t> </w:t>
      </w:r>
      <w:r>
        <w:rPr>
          <w:spacing w:val="-44"/>
        </w:rPr>
      </w:r>
      <w:r>
        <w:rPr>
          <w:spacing w:val="-2"/>
        </w:rPr>
        <w:t>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w:t>
      </w:r>
      <w:r>
        <w:rPr>
          <w:spacing w:val="-42"/>
        </w:rPr>
        <w:t> </w:t>
      </w:r>
      <w:r>
        <w:rPr>
          <w:spacing w:val="-42"/>
        </w:rPr>
      </w:r>
      <w:r>
        <w:rPr/>
        <w:t>确认与交易相关的利得或损失。</w:t>
      </w:r>
    </w:p>
    <w:p>
      <w:pPr>
        <w:pStyle w:val="BodyText"/>
        <w:spacing w:line="408" w:lineRule="auto" w:before="87"/>
        <w:ind w:right="1126" w:firstLine="420"/>
        <w:jc w:val="both"/>
      </w:pPr>
      <w:r>
        <w:rPr>
          <w:spacing w:val="-2"/>
        </w:rPr>
        <w:t>在确认应分担被投资单位发生的净亏损时，以长期股权投资的账面价值和其他实质上构成对被投资单</w:t>
      </w:r>
      <w:r>
        <w:rPr>
          <w:w w:val="100"/>
        </w:rPr>
        <w:t> </w:t>
      </w:r>
      <w:r>
        <w:rPr>
          <w:spacing w:val="-2"/>
        </w:rPr>
        <w:t>位净投资的长期权益减记至零为限。此外，如本公司对被投资单位负有承担额外损失的义务，则按预计承</w:t>
      </w:r>
      <w:r>
        <w:rPr>
          <w:spacing w:val="-44"/>
        </w:rPr>
        <w:t> </w:t>
      </w:r>
      <w:r>
        <w:rPr>
          <w:spacing w:val="-44"/>
        </w:rPr>
      </w:r>
      <w:r>
        <w:rPr>
          <w:spacing w:val="-2"/>
        </w:rPr>
        <w:t>担的义务确认预计负债，计入当期投资损失。被投资单位以后期间实现净利润的，本公司在收益分享额弥</w:t>
      </w:r>
      <w:r>
        <w:rPr>
          <w:spacing w:val="-43"/>
        </w:rPr>
        <w:t> </w:t>
      </w:r>
      <w:r>
        <w:rPr>
          <w:spacing w:val="-43"/>
        </w:rPr>
      </w:r>
      <w:r>
        <w:rPr/>
        <w:t>补未确认的亏损分担额后，恢复确认收益分享额。</w:t>
      </w:r>
    </w:p>
    <w:p>
      <w:pPr>
        <w:pStyle w:val="BodyText"/>
        <w:spacing w:line="444" w:lineRule="auto" w:before="84"/>
        <w:ind w:left="533" w:right="0"/>
        <w:jc w:val="left"/>
      </w:pPr>
      <w:r>
        <w:rPr/>
        <w:t>③</w:t>
      </w:r>
      <w:r>
        <w:rPr>
          <w:spacing w:val="-21"/>
        </w:rPr>
        <w:t> </w:t>
      </w:r>
      <w:r>
        <w:rPr/>
        <w:t>收购少数股权</w:t>
      </w:r>
      <w:r>
        <w:rPr>
          <w:spacing w:val="-103"/>
        </w:rPr>
        <w:t> </w:t>
      </w:r>
      <w:r>
        <w:rPr>
          <w:spacing w:val="-103"/>
        </w:rPr>
      </w:r>
      <w:r>
        <w:rPr>
          <w:spacing w:val="-2"/>
        </w:rPr>
        <w:t>在编制合并财务报表时，因购买少数股权新增的长期股权投资与按照新增持股比例计算应享有子公司</w:t>
      </w:r>
    </w:p>
    <w:p>
      <w:pPr>
        <w:pStyle w:val="BodyText"/>
        <w:spacing w:line="408" w:lineRule="auto" w:before="14"/>
        <w:ind w:right="0"/>
        <w:jc w:val="left"/>
      </w:pPr>
      <w:r>
        <w:rPr>
          <w:spacing w:val="-2"/>
        </w:rPr>
        <w:t>自购买日（或合并日）开始持续计算的净资产份额之间的差额，调整资本公积，资本公积不足冲减的，调</w:t>
      </w:r>
      <w:r>
        <w:rPr>
          <w:spacing w:val="-43"/>
        </w:rPr>
        <w:t> </w:t>
      </w:r>
      <w:r>
        <w:rPr>
          <w:spacing w:val="-43"/>
        </w:rPr>
      </w:r>
      <w:r>
        <w:rPr/>
        <w:t>整留存收益。</w:t>
      </w:r>
    </w:p>
    <w:p>
      <w:pPr>
        <w:spacing w:after="0" w:line="408"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44" w:lineRule="auto" w:before="36"/>
        <w:ind w:left="533" w:right="0"/>
        <w:jc w:val="left"/>
      </w:pPr>
      <w:r>
        <w:rPr/>
        <w:t>④</w:t>
      </w:r>
      <w:r>
        <w:rPr>
          <w:spacing w:val="-21"/>
        </w:rPr>
        <w:t> </w:t>
      </w:r>
      <w:r>
        <w:rPr/>
        <w:t>处置长期股权投资</w:t>
      </w:r>
      <w:r>
        <w:rPr>
          <w:w w:val="100"/>
        </w:rPr>
        <w:t> </w:t>
      </w:r>
      <w:r>
        <w:rPr>
          <w:spacing w:val="-2"/>
        </w:rPr>
        <w:t>在合并财务报表中，母公司在不丧失控制权的情况下部分处置对子公司的长期股权投资，处置价款与</w:t>
      </w:r>
    </w:p>
    <w:p>
      <w:pPr>
        <w:pStyle w:val="BodyText"/>
        <w:spacing w:line="398" w:lineRule="auto" w:before="14"/>
        <w:ind w:right="1126"/>
        <w:jc w:val="both"/>
      </w:pPr>
      <w:r>
        <w:rPr>
          <w:spacing w:val="-2"/>
        </w:rPr>
        <w:t>处置长期股权投资相对应享有子公司净资产的差额计入股东权益；母公司部分处置对子公司的长期股权投</w:t>
      </w:r>
      <w:r>
        <w:rPr>
          <w:spacing w:val="-43"/>
        </w:rPr>
        <w:t> </w:t>
      </w:r>
      <w:r>
        <w:rPr>
          <w:spacing w:val="-43"/>
        </w:rPr>
      </w:r>
      <w:r>
        <w:rPr>
          <w:spacing w:val="-7"/>
          <w:w w:val="100"/>
        </w:rPr>
        <w:t>资导致丧失对子公司控制权的，按本附注五、</w:t>
      </w:r>
      <w:r>
        <w:rPr>
          <w:rFonts w:ascii="Times New Roman" w:hAnsi="Times New Roman" w:cs="Times New Roman" w:eastAsia="Times New Roman" w:hint="default"/>
          <w:spacing w:val="-7"/>
          <w:w w:val="100"/>
        </w:rPr>
        <w:t>6</w:t>
      </w:r>
      <w:r>
        <w:rPr>
          <w:spacing w:val="-7"/>
          <w:w w:val="100"/>
        </w:rPr>
        <w:t>、（</w:t>
      </w:r>
      <w:r>
        <w:rPr>
          <w:rFonts w:ascii="Times New Roman" w:hAnsi="Times New Roman" w:cs="Times New Roman" w:eastAsia="Times New Roman" w:hint="default"/>
          <w:spacing w:val="-7"/>
          <w:w w:val="100"/>
        </w:rPr>
        <w:t>2</w:t>
      </w:r>
      <w:r>
        <w:rPr>
          <w:spacing w:val="-7"/>
          <w:w w:val="100"/>
        </w:rPr>
        <w:t>）“合并财务报表编制的方法”中所述的相关会计政策</w:t>
      </w:r>
      <w:r>
        <w:rPr>
          <w:spacing w:val="-70"/>
          <w:w w:val="100"/>
        </w:rPr>
        <w:t> </w:t>
      </w:r>
      <w:r>
        <w:rPr>
          <w:spacing w:val="-70"/>
          <w:w w:val="100"/>
        </w:rPr>
      </w:r>
      <w:r>
        <w:rPr/>
        <w:t>处理。</w:t>
      </w:r>
    </w:p>
    <w:p>
      <w:pPr>
        <w:pStyle w:val="BodyText"/>
        <w:spacing w:line="408" w:lineRule="auto" w:before="93"/>
        <w:ind w:right="1126" w:firstLine="420"/>
        <w:jc w:val="both"/>
      </w:pPr>
      <w:r>
        <w:rPr>
          <w:spacing w:val="-2"/>
        </w:rPr>
        <w:t>其他情形下的长期股权投资处置，对于处置的股权，其账面价值与实际取得价款的差额，计入当期损</w:t>
      </w:r>
      <w:r>
        <w:rPr>
          <w:w w:val="100"/>
        </w:rPr>
        <w:t> </w:t>
      </w:r>
      <w:r>
        <w:rPr/>
        <w:t>益。</w:t>
      </w:r>
    </w:p>
    <w:p>
      <w:pPr>
        <w:pStyle w:val="BodyText"/>
        <w:spacing w:line="408" w:lineRule="auto" w:before="87"/>
        <w:ind w:right="1126" w:firstLine="420"/>
        <w:jc w:val="both"/>
      </w:pPr>
      <w:r>
        <w:rPr>
          <w:spacing w:val="-2"/>
        </w:rPr>
        <w:t>采用权益法核算的长期股权投资，处置后的剩余股权仍采用权益法核算的，在处置时将原计入股东权</w:t>
      </w:r>
      <w:r>
        <w:rPr>
          <w:w w:val="100"/>
        </w:rPr>
        <w:t> </w:t>
      </w:r>
      <w:r>
        <w:rPr>
          <w:spacing w:val="2"/>
        </w:rPr>
        <w:t>益的其他综合收益部分按相应的比例采用与被投资单位直接处置相关资产或负债相同的基础进行会计处</w:t>
      </w:r>
      <w:r>
        <w:rPr>
          <w:spacing w:val="-23"/>
        </w:rPr>
        <w:t> </w:t>
      </w:r>
      <w:r>
        <w:rPr>
          <w:spacing w:val="-23"/>
        </w:rPr>
      </w:r>
      <w:r>
        <w:rPr>
          <w:spacing w:val="-2"/>
        </w:rPr>
        <w:t>理。因被投资方除净损益、其他综合收益和利润分配以外的其他所有者权益变动而确认的所有者权益，按</w:t>
      </w:r>
      <w:r>
        <w:rPr>
          <w:spacing w:val="-43"/>
        </w:rPr>
        <w:t> </w:t>
      </w:r>
      <w:r>
        <w:rPr>
          <w:spacing w:val="-43"/>
        </w:rPr>
      </w:r>
      <w:r>
        <w:rPr/>
        <w:t>比例结转入当期损益。</w:t>
      </w:r>
    </w:p>
    <w:p>
      <w:pPr>
        <w:pStyle w:val="BodyText"/>
        <w:spacing w:line="408" w:lineRule="auto" w:before="87"/>
        <w:ind w:right="1126" w:firstLine="420"/>
        <w:jc w:val="both"/>
      </w:pPr>
      <w:r>
        <w:rPr>
          <w:spacing w:val="-2"/>
        </w:rPr>
        <w:t>采用成本法核算的长期股权投资，处置后剩余股权仍采用成本法核算的，其在取得对被投资单位的控</w:t>
      </w:r>
      <w:r>
        <w:rPr>
          <w:w w:val="100"/>
        </w:rPr>
        <w:t> </w:t>
      </w:r>
      <w:r>
        <w:rPr>
          <w:spacing w:val="-2"/>
        </w:rPr>
        <w:t>制之前因采用权益法核算或金融工具确认和计量准则核算而确认的其他综合收益，采用与被投资单位直接</w:t>
      </w:r>
      <w:r>
        <w:rPr>
          <w:spacing w:val="-43"/>
        </w:rPr>
        <w:t> </w:t>
      </w:r>
      <w:r>
        <w:rPr>
          <w:spacing w:val="-43"/>
        </w:rPr>
      </w:r>
      <w:r>
        <w:rPr>
          <w:spacing w:val="-2"/>
        </w:rPr>
        <w:t>处置相关资产或负债相同的基础进行会计处理，并按比例结转当期损益；因采用权益法核算而确认的被投</w:t>
      </w:r>
      <w:r>
        <w:rPr>
          <w:spacing w:val="-44"/>
        </w:rPr>
        <w:t> </w:t>
      </w:r>
      <w:r>
        <w:rPr>
          <w:spacing w:val="-44"/>
        </w:rPr>
      </w:r>
      <w:r>
        <w:rPr/>
        <w:t>资单位净资产中除净损益、其他综合收益和利润分配以外的其他所有者权益变动按比例结转当期损益。</w:t>
      </w:r>
    </w:p>
    <w:p>
      <w:pPr>
        <w:pStyle w:val="BodyText"/>
        <w:spacing w:line="408" w:lineRule="auto" w:before="85"/>
        <w:ind w:right="1126" w:firstLine="420"/>
        <w:jc w:val="both"/>
      </w:pPr>
      <w:r>
        <w:rPr>
          <w:spacing w:val="-2"/>
        </w:rPr>
        <w:t>本公司因处置部分股权投资丧失了对被投资单位的控制的，在编制个别财务报表时，处置后的剩余股</w:t>
      </w:r>
      <w:r>
        <w:rPr>
          <w:w w:val="100"/>
        </w:rPr>
        <w:t> </w:t>
      </w:r>
      <w:r>
        <w:rPr>
          <w:spacing w:val="-2"/>
        </w:rPr>
        <w:t>权能够对被投资单位实施共同控制或施加重大影响的，改按权益法核算，并对该剩余股权视同自取得时即</w:t>
      </w:r>
      <w:r>
        <w:rPr>
          <w:spacing w:val="-43"/>
        </w:rPr>
        <w:t> </w:t>
      </w:r>
      <w:r>
        <w:rPr>
          <w:spacing w:val="-43"/>
        </w:rPr>
      </w:r>
      <w:r>
        <w:rPr>
          <w:spacing w:val="-2"/>
        </w:rPr>
        <w:t>采用权益法核算进行调整；处置后的剩余股权不能对被投资单位实施共同控制或施加重大影响的，改按金</w:t>
      </w:r>
      <w:r>
        <w:rPr>
          <w:spacing w:val="-44"/>
        </w:rPr>
        <w:t> </w:t>
      </w:r>
      <w:r>
        <w:rPr>
          <w:spacing w:val="-44"/>
        </w:rPr>
      </w:r>
      <w:r>
        <w:rPr>
          <w:spacing w:val="-2"/>
        </w:rPr>
        <w:t>融工具确认和计量准则的有关规定进行会计处理，其在丧失控制之日的公允价值与账面价值之间的差额计</w:t>
      </w:r>
      <w:r>
        <w:rPr>
          <w:spacing w:val="-43"/>
        </w:rPr>
        <w:t> </w:t>
      </w:r>
      <w:r>
        <w:rPr>
          <w:spacing w:val="-43"/>
        </w:rPr>
      </w:r>
      <w:r>
        <w:rPr>
          <w:spacing w:val="-2"/>
        </w:rPr>
        <w:t>入当期损益。对于本公司取得对被投资单位的控制之前，因采用权益法核算或金融工具确认和计量准则核</w:t>
      </w:r>
      <w:r>
        <w:rPr>
          <w:spacing w:val="-43"/>
        </w:rPr>
        <w:t> </w:t>
      </w:r>
      <w:r>
        <w:rPr>
          <w:spacing w:val="-43"/>
        </w:rPr>
      </w:r>
      <w:r>
        <w:rPr>
          <w:spacing w:val="-2"/>
        </w:rPr>
        <w:t>算而确认的其他综合收益，在丧失对被投资单位控制时采用与被投资单位直接处置相关资产或负债相同的</w:t>
      </w:r>
      <w:r>
        <w:rPr>
          <w:spacing w:val="-43"/>
        </w:rPr>
        <w:t> </w:t>
      </w:r>
      <w:r>
        <w:rPr>
          <w:spacing w:val="-43"/>
        </w:rPr>
      </w:r>
      <w:r>
        <w:rPr>
          <w:spacing w:val="-2"/>
        </w:rPr>
        <w:t>基础进行会计处理，因采用权益法核算而确认的被投资单位净资产中除净损益、其他综合收益和利润分配</w:t>
      </w:r>
      <w:r>
        <w:rPr>
          <w:spacing w:val="-43"/>
        </w:rPr>
        <w:t> </w:t>
      </w:r>
      <w:r>
        <w:rPr>
          <w:spacing w:val="-43"/>
        </w:rPr>
      </w:r>
      <w:r>
        <w:rPr>
          <w:spacing w:val="-2"/>
        </w:rPr>
        <w:t>以外的其他所有者权益变动在丧失对被投资单位控制时结转入当期损益。其中，处置后的剩余股权采用权</w:t>
      </w:r>
      <w:r>
        <w:rPr>
          <w:spacing w:val="-44"/>
        </w:rPr>
        <w:t> </w:t>
      </w:r>
      <w:r>
        <w:rPr>
          <w:spacing w:val="-44"/>
        </w:rPr>
      </w:r>
      <w:r>
        <w:rPr>
          <w:spacing w:val="-2"/>
        </w:rPr>
        <w:t>益法核算的，其他综合收益和其他所有者权益按比例结转；处置后的剩余股权改按金融工具确认和计量准</w:t>
      </w:r>
      <w:r>
        <w:rPr>
          <w:spacing w:val="-44"/>
        </w:rPr>
        <w:t> </w:t>
      </w:r>
      <w:r>
        <w:rPr>
          <w:spacing w:val="-44"/>
        </w:rPr>
      </w:r>
      <w:r>
        <w:rPr/>
        <w:t>则进行会计处理的，其他综合收益和其他所有者权益全部结转。</w:t>
      </w:r>
    </w:p>
    <w:p>
      <w:pPr>
        <w:pStyle w:val="BodyText"/>
        <w:spacing w:line="408" w:lineRule="auto" w:before="87"/>
        <w:ind w:right="1126" w:firstLine="420"/>
        <w:jc w:val="both"/>
      </w:pPr>
      <w:r>
        <w:rPr>
          <w:spacing w:val="-2"/>
        </w:rPr>
        <w:t>本公司因处置部分股权投资丧失了对被投资单位的共同控制或重大影响的，处置后的剩余股权改按金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p>
    <w:p>
      <w:pPr>
        <w:spacing w:after="0" w:line="408"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44" w:lineRule="auto" w:before="36"/>
        <w:ind w:left="533" w:right="0" w:hanging="420"/>
        <w:jc w:val="left"/>
      </w:pPr>
      <w:r>
        <w:rPr/>
        <w:t>外的其他所有者权益变动而确认的所有者权益，在终止采用权益法时全部转入当期投资收益。</w:t>
      </w:r>
      <w:r>
        <w:rPr>
          <w:w w:val="100"/>
        </w:rPr>
        <w:t> </w:t>
      </w:r>
      <w:r>
        <w:rPr/>
        <w:t>本公司通过多次交易分步处置对子公司股权投资直至丧失控制权，如果上述交易属于一揽子交易的，</w:t>
      </w:r>
    </w:p>
    <w:p>
      <w:pPr>
        <w:pStyle w:val="BodyText"/>
        <w:spacing w:line="408" w:lineRule="auto" w:before="14"/>
        <w:ind w:right="1126"/>
        <w:jc w:val="both"/>
      </w:pPr>
      <w:r>
        <w:rPr>
          <w:spacing w:val="-2"/>
        </w:rPr>
        <w:t>将各项交易作为一项处置子公司股权投资并丧失控制权的交易进行会计处理，在丧失控制权之前每一次处</w:t>
      </w:r>
      <w:r>
        <w:rPr>
          <w:spacing w:val="-43"/>
        </w:rPr>
        <w:t> </w:t>
      </w:r>
      <w:r>
        <w:rPr>
          <w:spacing w:val="-43"/>
        </w:rPr>
      </w:r>
      <w:r>
        <w:rPr>
          <w:spacing w:val="-2"/>
        </w:rPr>
        <w:t>置价款与所处置的股权对应的长期股权投资账面价值之间的差额，先确认为其他综合收益，到丧失控制权</w:t>
      </w:r>
      <w:r>
        <w:rPr>
          <w:spacing w:val="-43"/>
        </w:rPr>
        <w:t> </w:t>
      </w:r>
      <w:r>
        <w:rPr>
          <w:spacing w:val="-43"/>
        </w:rPr>
      </w:r>
      <w:r>
        <w:rPr/>
        <w:t>时再一并转入丧失控制权的当期损益。</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spacing w:line="360" w:lineRule="auto" w:before="0"/>
        <w:ind w:left="113" w:right="8946" w:firstLine="0"/>
        <w:jc w:val="left"/>
        <w:rPr>
          <w:rFonts w:ascii="宋体" w:hAnsi="宋体" w:cs="宋体" w:eastAsia="宋体" w:hint="default"/>
          <w:sz w:val="18"/>
          <w:szCs w:val="18"/>
        </w:rPr>
      </w:pPr>
      <w:r>
        <w:rPr>
          <w:rFonts w:ascii="宋体" w:hAnsi="宋体" w:cs="宋体" w:eastAsia="宋体" w:hint="default"/>
          <w:b/>
          <w:bCs/>
          <w:sz w:val="18"/>
          <w:szCs w:val="18"/>
        </w:rPr>
        <w:t>投资性房地产计量模式</w:t>
      </w:r>
      <w:r>
        <w:rPr>
          <w:rFonts w:ascii="宋体" w:hAnsi="宋体" w:cs="宋体" w:eastAsia="宋体" w:hint="default"/>
          <w:b/>
          <w:bCs/>
          <w:w w:val="99"/>
          <w:sz w:val="18"/>
          <w:szCs w:val="18"/>
        </w:rPr>
        <w:t> </w:t>
      </w:r>
      <w:r>
        <w:rPr>
          <w:rFonts w:ascii="宋体" w:hAnsi="宋体" w:cs="宋体" w:eastAsia="宋体" w:hint="default"/>
          <w:sz w:val="18"/>
          <w:szCs w:val="18"/>
        </w:rPr>
        <w:t>成本法计量 折旧或摊销方法</w:t>
      </w:r>
    </w:p>
    <w:p>
      <w:pPr>
        <w:pStyle w:val="BodyText"/>
        <w:spacing w:line="408" w:lineRule="auto" w:before="81"/>
        <w:ind w:right="1030" w:firstLine="420"/>
        <w:jc w:val="both"/>
      </w:pPr>
      <w:r>
        <w:rPr/>
        <w:t>投资性房地产是指为赚取租金或资本增值，或两者兼有而持有的房地产。包括已出租的土地使用权、</w:t>
      </w:r>
      <w:r>
        <w:rPr>
          <w:w w:val="100"/>
        </w:rPr>
        <w:t> </w:t>
      </w:r>
      <w:r>
        <w:rPr/>
        <w:t>持有并准备增值后转让的土地使用权、已出租的建筑物等。</w:t>
      </w:r>
    </w:p>
    <w:p>
      <w:pPr>
        <w:pStyle w:val="BodyText"/>
        <w:spacing w:line="408" w:lineRule="auto" w:before="87"/>
        <w:ind w:right="1031" w:firstLine="420"/>
        <w:jc w:val="both"/>
      </w:pPr>
      <w:r>
        <w:rPr>
          <w:spacing w:val="-2"/>
        </w:rPr>
        <w:t>投资性房地产按成本进行初始计量。与投资性房地产有关的后续支出，如果与该资产有关的经济利益</w:t>
      </w:r>
      <w:r>
        <w:rPr>
          <w:w w:val="100"/>
        </w:rPr>
        <w:t> </w:t>
      </w:r>
      <w:r>
        <w:rPr/>
        <w:t>很可能流入且其成本能可靠地计量，则计入投资性房地产成本。其他后续支出，在发生时计入当期损益。</w:t>
      </w:r>
    </w:p>
    <w:p>
      <w:pPr>
        <w:pStyle w:val="BodyText"/>
        <w:spacing w:line="408" w:lineRule="auto" w:before="87"/>
        <w:ind w:right="1126" w:firstLine="420"/>
        <w:jc w:val="both"/>
      </w:pPr>
      <w:r>
        <w:rPr>
          <w:spacing w:val="-2"/>
        </w:rPr>
        <w:t>本公司采用成本模式对投资性房地产进行后续计量，并按照与房屋建筑物或土地使用权一致的政策进</w:t>
      </w:r>
      <w:r>
        <w:rPr>
          <w:w w:val="100"/>
        </w:rPr>
        <w:t> </w:t>
      </w:r>
      <w:r>
        <w:rPr/>
        <w:t>行折旧或摊销。</w:t>
      </w:r>
    </w:p>
    <w:p>
      <w:pPr>
        <w:pStyle w:val="BodyText"/>
        <w:spacing w:line="420" w:lineRule="auto" w:before="85"/>
        <w:ind w:left="533" w:right="0"/>
        <w:jc w:val="left"/>
      </w:pPr>
      <w:r>
        <w:rPr>
          <w:spacing w:val="-4"/>
          <w:w w:val="100"/>
        </w:rPr>
        <w:t>投资性房地产的减值测试方法和减值准备计提方法详见附注五、</w:t>
      </w:r>
      <w:r>
        <w:rPr>
          <w:rFonts w:ascii="Times New Roman" w:hAnsi="Times New Roman" w:cs="Times New Roman" w:eastAsia="Times New Roman" w:hint="default"/>
          <w:spacing w:val="-4"/>
          <w:w w:val="100"/>
        </w:rPr>
        <w:t>21</w:t>
      </w:r>
      <w:r>
        <w:rPr>
          <w:spacing w:val="-4"/>
          <w:w w:val="100"/>
        </w:rPr>
        <w:t>“长期资产减值”。</w:t>
      </w:r>
      <w:r>
        <w:rPr>
          <w:spacing w:val="-104"/>
          <w:w w:val="100"/>
        </w:rPr>
        <w:t> </w:t>
      </w:r>
      <w:r>
        <w:rPr>
          <w:spacing w:val="-104"/>
          <w:w w:val="100"/>
        </w:rPr>
      </w:r>
      <w:r>
        <w:rPr>
          <w:spacing w:val="-2"/>
        </w:rPr>
        <w:t>自用房地产转换为投资性房地产或投资性房地产转换为自用房地产时，按转换前的账面价值作为转换</w:t>
      </w:r>
    </w:p>
    <w:p>
      <w:pPr>
        <w:pStyle w:val="BodyText"/>
        <w:spacing w:line="441" w:lineRule="auto" w:before="35"/>
        <w:ind w:left="533" w:right="83" w:hanging="420"/>
        <w:jc w:val="left"/>
      </w:pPr>
      <w:r>
        <w:rPr/>
        <w:t>后的入账价值。</w:t>
      </w:r>
      <w:r>
        <w:rPr>
          <w:spacing w:val="-103"/>
        </w:rPr>
        <w:t> </w:t>
      </w:r>
      <w:r>
        <w:rPr>
          <w:spacing w:val="-103"/>
        </w:rPr>
      </w:r>
      <w:r>
        <w:rPr/>
        <w:t>投资性房地产的用途改变为自用时，自改变之日起，将该投资性房地产转换为固定资产或无形资产。</w:t>
      </w:r>
    </w:p>
    <w:p>
      <w:pPr>
        <w:pStyle w:val="BodyText"/>
        <w:spacing w:line="408" w:lineRule="auto" w:before="16"/>
        <w:ind w:right="1126"/>
        <w:jc w:val="both"/>
      </w:pPr>
      <w:r>
        <w:rPr>
          <w:spacing w:val="-2"/>
        </w:rPr>
        <w:t>自用房地产的用途改变为赚取租金或资本增值时，自改变之日起，将固定资产或无形资产转换为投资性房</w:t>
      </w:r>
      <w:r>
        <w:rPr>
          <w:spacing w:val="-42"/>
        </w:rPr>
        <w:t> </w:t>
      </w:r>
      <w:r>
        <w:rPr>
          <w:spacing w:val="-42"/>
        </w:rPr>
      </w:r>
      <w:r>
        <w:rPr>
          <w:spacing w:val="-2"/>
        </w:rPr>
        <w:t>地产。发生转换时，转换为采用成本模式计量的投资性房地产的，以转换前的账面价值作为转换后的入账</w:t>
      </w:r>
      <w:r>
        <w:rPr>
          <w:spacing w:val="-45"/>
        </w:rPr>
        <w:t> </w:t>
      </w:r>
      <w:r>
        <w:rPr>
          <w:spacing w:val="-45"/>
        </w:rPr>
      </w:r>
      <w:r>
        <w:rPr/>
        <w:t>价值；转换为以公允价值模式计量的投资性房地产的，以转换日的公允价值作为转换后的入账价值。</w:t>
      </w:r>
    </w:p>
    <w:p>
      <w:pPr>
        <w:pStyle w:val="BodyText"/>
        <w:spacing w:line="408" w:lineRule="auto" w:before="87"/>
        <w:ind w:right="1126" w:firstLine="420"/>
        <w:jc w:val="both"/>
      </w:pPr>
      <w:r>
        <w:rPr>
          <w:spacing w:val="-2"/>
        </w:rPr>
        <w:t>当投资性房地产被处置、或者永久退出使用且预计不能从其处置中取得经济利益时，终止确认该项投</w:t>
      </w:r>
      <w:r>
        <w:rPr>
          <w:w w:val="100"/>
        </w:rPr>
        <w:t> </w:t>
      </w:r>
      <w:r>
        <w:rPr>
          <w:spacing w:val="-2"/>
        </w:rPr>
        <w:t>资性房地产。投资性房地产出售、转让、报废或毁损的处置收入扣除其账面价值和相关税费后计入当期损</w:t>
      </w:r>
      <w:r>
        <w:rPr>
          <w:spacing w:val="-43"/>
        </w:rPr>
        <w:t> </w:t>
      </w:r>
      <w:r>
        <w:rPr>
          <w:spacing w:val="-43"/>
        </w:rPr>
      </w:r>
      <w:r>
        <w:rPr/>
        <w:t>益。</w:t>
      </w:r>
    </w:p>
    <w:p>
      <w:pPr>
        <w:spacing w:after="0" w:line="408" w:lineRule="auto"/>
        <w:jc w:val="both"/>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26"/>
        <w:jc w:val="both"/>
      </w:pPr>
      <w:r>
        <w:rPr>
          <w:spacing w:val="-2"/>
        </w:rPr>
        <w:t>指同时满足与该固定资产有关的经济利益很可能流入企业和该固定资产的成本能够可靠地计量条件的，为</w:t>
      </w:r>
      <w:r>
        <w:rPr>
          <w:spacing w:val="-43"/>
        </w:rPr>
        <w:t> </w:t>
      </w:r>
      <w:r>
        <w:rPr>
          <w:spacing w:val="-43"/>
        </w:rPr>
      </w:r>
      <w:r>
        <w:rPr>
          <w:spacing w:val="-2"/>
        </w:rPr>
        <w:t>生产商品、提供劳务、出租或经营管理而持有的使用寿命超过一个会计年度的有形资产；固定资产按实际</w:t>
      </w:r>
      <w:r>
        <w:rPr>
          <w:spacing w:val="-43"/>
        </w:rPr>
        <w:t> </w:t>
      </w:r>
      <w:r>
        <w:rPr>
          <w:spacing w:val="-43"/>
        </w:rPr>
      </w:r>
      <w:r>
        <w:rPr/>
        <w:t>成本计价。</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2.375%-4.75%</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91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91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91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32"/>
          <w:szCs w:val="32"/>
        </w:rPr>
      </w:pPr>
    </w:p>
    <w:p>
      <w:pPr>
        <w:spacing w:line="439" w:lineRule="auto" w:before="0"/>
        <w:ind w:left="113" w:right="7681" w:firstLine="0"/>
        <w:jc w:val="left"/>
        <w:rPr>
          <w:rFonts w:ascii="宋体" w:hAnsi="宋体" w:cs="宋体" w:eastAsia="宋体" w:hint="default"/>
          <w:sz w:val="18"/>
          <w:szCs w:val="18"/>
        </w:rPr>
      </w:pPr>
      <w:r>
        <w:rPr>
          <w:rFonts w:ascii="宋体" w:hAnsi="宋体" w:cs="宋体" w:eastAsia="宋体" w:hint="default"/>
          <w:b/>
          <w:bCs/>
          <w:sz w:val="18"/>
          <w:szCs w:val="18"/>
        </w:rPr>
        <w:t>公司是否需要遵守特殊行业的披露要求</w:t>
      </w:r>
      <w:r>
        <w:rPr>
          <w:rFonts w:ascii="宋体" w:hAnsi="宋体" w:cs="宋体" w:eastAsia="宋体" w:hint="default"/>
          <w:b/>
          <w:bCs/>
          <w:w w:val="99"/>
          <w:sz w:val="18"/>
          <w:szCs w:val="18"/>
        </w:rPr>
        <w:t> </w:t>
      </w:r>
      <w:r>
        <w:rPr>
          <w:rFonts w:ascii="宋体" w:hAnsi="宋体" w:cs="宋体" w:eastAsia="宋体" w:hint="default"/>
          <w:sz w:val="18"/>
          <w:szCs w:val="18"/>
        </w:rPr>
        <w:t>是</w:t>
      </w:r>
    </w:p>
    <w:p>
      <w:pPr>
        <w:spacing w:line="203" w:lineRule="exact"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零售相关业</w:t>
      </w:r>
    </w:p>
    <w:p>
      <w:pPr>
        <w:spacing w:line="240" w:lineRule="auto" w:before="1"/>
        <w:rPr>
          <w:rFonts w:ascii="宋体" w:hAnsi="宋体" w:cs="宋体" w:eastAsia="宋体" w:hint="default"/>
          <w:sz w:val="13"/>
          <w:szCs w:val="13"/>
        </w:rPr>
      </w:pPr>
    </w:p>
    <w:p>
      <w:pPr>
        <w:pStyle w:val="BodyText"/>
        <w:spacing w:line="420" w:lineRule="auto"/>
        <w:ind w:left="533" w:right="1126" w:hanging="106"/>
        <w:jc w:val="left"/>
      </w:pPr>
      <w:r>
        <w:rPr/>
        <w:t>（</w:t>
      </w:r>
      <w:r>
        <w:rPr>
          <w:rFonts w:ascii="Times New Roman" w:hAnsi="Times New Roman" w:cs="Times New Roman" w:eastAsia="Times New Roman" w:hint="default"/>
        </w:rPr>
        <w:t>1</w:t>
      </w:r>
      <w:r>
        <w:rPr/>
        <w:t>）在建工程的类别</w:t>
      </w:r>
      <w:r>
        <w:rPr>
          <w:spacing w:val="-103"/>
        </w:rPr>
        <w:t> </w:t>
      </w:r>
      <w:r>
        <w:rPr>
          <w:spacing w:val="-103"/>
        </w:rPr>
      </w:r>
      <w:r>
        <w:rPr>
          <w:spacing w:val="-2"/>
        </w:rPr>
        <w:t>公司在建工程包括施正在施工的建设工程、信息系统建设、门店装修工程和办公楼装修等。</w:t>
      </w:r>
    </w:p>
    <w:p>
      <w:pPr>
        <w:pStyle w:val="BodyText"/>
        <w:spacing w:line="417" w:lineRule="auto" w:before="76"/>
        <w:ind w:left="533" w:right="0" w:hanging="106"/>
        <w:jc w:val="left"/>
      </w:pPr>
      <w:r>
        <w:rPr/>
        <w:t>（</w:t>
      </w:r>
      <w:r>
        <w:rPr>
          <w:rFonts w:ascii="Times New Roman" w:hAnsi="Times New Roman" w:cs="Times New Roman" w:eastAsia="Times New Roman" w:hint="default"/>
        </w:rPr>
        <w:t>2</w:t>
      </w:r>
      <w:r>
        <w:rPr/>
        <w:t>）在建工程的计量</w:t>
      </w:r>
      <w:r>
        <w:rPr>
          <w:spacing w:val="-103"/>
        </w:rPr>
        <w:t> </w:t>
      </w:r>
      <w:r>
        <w:rPr>
          <w:spacing w:val="-103"/>
        </w:rPr>
      </w:r>
      <w:r>
        <w:rPr>
          <w:spacing w:val="-2"/>
        </w:rPr>
        <w:t>在建工程以实际成本计价，按照实际发生的支出确定其工程成本，工程达到预定可使用状态前因进行</w:t>
      </w:r>
    </w:p>
    <w:p>
      <w:pPr>
        <w:pStyle w:val="BodyText"/>
        <w:spacing w:line="408" w:lineRule="auto" w:before="37"/>
        <w:ind w:right="1126"/>
        <w:jc w:val="both"/>
      </w:pPr>
      <w:r>
        <w:rPr>
          <w:spacing w:val="-2"/>
        </w:rPr>
        <w:t>试运转发生的净支出计入工程成本。工程达到预定可使用状态前所取得的试运转过程中形成的、能够对外</w:t>
      </w:r>
      <w:r>
        <w:rPr>
          <w:spacing w:val="-42"/>
        </w:rPr>
        <w:t> </w:t>
      </w:r>
      <w:r>
        <w:rPr>
          <w:spacing w:val="-42"/>
        </w:rPr>
      </w:r>
      <w:r>
        <w:rPr>
          <w:spacing w:val="-2"/>
        </w:rPr>
        <w:t>销售的产品，其发生的成本，计入在建工程成本，销售或结转为产成品时，按实际销售收入或者预计售价</w:t>
      </w:r>
      <w:r>
        <w:rPr>
          <w:spacing w:val="-47"/>
        </w:rPr>
        <w:t> </w:t>
      </w:r>
      <w:r>
        <w:rPr>
          <w:spacing w:val="-47"/>
        </w:rPr>
      </w:r>
      <w:r>
        <w:rPr>
          <w:spacing w:val="-2"/>
        </w:rPr>
        <w:t>冲减在建工程成本。在建工程发生的借款费用，符合借款费用资本化条件的，在所购建的固定资产达到预</w:t>
      </w:r>
      <w:r>
        <w:rPr>
          <w:spacing w:val="-44"/>
        </w:rPr>
        <w:t> </w:t>
      </w:r>
      <w:r>
        <w:rPr>
          <w:spacing w:val="-44"/>
        </w:rPr>
      </w:r>
      <w:r>
        <w:rPr/>
        <w:t>定可使用状态前，计入在建工程成本。</w:t>
      </w:r>
    </w:p>
    <w:p>
      <w:pPr>
        <w:pStyle w:val="BodyText"/>
        <w:spacing w:line="420" w:lineRule="auto" w:before="87"/>
        <w:ind w:left="533" w:right="0" w:hanging="106"/>
        <w:jc w:val="left"/>
      </w:pPr>
      <w:r>
        <w:rPr/>
        <w:t>（</w:t>
      </w:r>
      <w:r>
        <w:rPr>
          <w:rFonts w:ascii="Times New Roman" w:hAnsi="Times New Roman" w:cs="Times New Roman" w:eastAsia="Times New Roman" w:hint="default"/>
        </w:rPr>
        <w:t>3</w:t>
      </w:r>
      <w:r>
        <w:rPr/>
        <w:t>）在建工程结转为固定资产的时点</w:t>
      </w:r>
      <w:r>
        <w:rPr>
          <w:w w:val="100"/>
        </w:rPr>
        <w:t> </w:t>
      </w:r>
      <w:r>
        <w:rPr>
          <w:spacing w:val="-2"/>
        </w:rPr>
        <w:t>在建工程按各项工程所发生的实际支出核算，在达到预定可使用状态时转作固定资产。所建造的固定</w:t>
      </w:r>
    </w:p>
    <w:p>
      <w:pPr>
        <w:pStyle w:val="BodyText"/>
        <w:spacing w:line="240" w:lineRule="auto" w:before="35"/>
        <w:ind w:right="0"/>
        <w:jc w:val="both"/>
      </w:pPr>
      <w:r>
        <w:rPr>
          <w:spacing w:val="-7"/>
        </w:rPr>
        <w:t>资产已达到预定可使用状态，但尚未办理竣工决算手续的，自达到预定可使用状态之日起，根据工程预算、</w:t>
      </w:r>
    </w:p>
    <w:p>
      <w:pPr>
        <w:spacing w:after="0" w:line="240"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1126"/>
        <w:jc w:val="both"/>
      </w:pPr>
      <w:r>
        <w:rPr>
          <w:spacing w:val="-2"/>
        </w:rPr>
        <w:t>造价或者工程实际成本等，按估计的价值转入固定资产，并计提固定资产的折旧，待办理了竣工决算手续</w:t>
      </w:r>
      <w:r>
        <w:rPr>
          <w:spacing w:val="-45"/>
        </w:rPr>
        <w:t> </w:t>
      </w:r>
      <w:r>
        <w:rPr>
          <w:spacing w:val="-45"/>
        </w:rPr>
      </w:r>
      <w:r>
        <w:rPr>
          <w:spacing w:val="-2"/>
        </w:rPr>
        <w:t>后再对原估计值进行调整。购建或者生产符合资本化条件的资产而借入的专门借款或占用了一般借款发生</w:t>
      </w:r>
      <w:r>
        <w:rPr>
          <w:spacing w:val="-43"/>
        </w:rPr>
        <w:t> </w:t>
      </w:r>
      <w:r>
        <w:rPr>
          <w:spacing w:val="-43"/>
        </w:rPr>
      </w:r>
      <w:r>
        <w:rPr>
          <w:spacing w:val="-2"/>
        </w:rPr>
        <w:t>的借款利息以及专门借款发生的辅助费用，在所购建或者生产的符合资本化条件的资产达到预定可使用或</w:t>
      </w:r>
      <w:r>
        <w:rPr>
          <w:spacing w:val="-43"/>
        </w:rPr>
        <w:t> </w:t>
      </w:r>
      <w:r>
        <w:rPr>
          <w:spacing w:val="-43"/>
        </w:rPr>
      </w:r>
      <w:r>
        <w:rPr/>
        <w:t>者可销售状态之前根据其发生额予以资本化。</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right="0" w:firstLine="420"/>
        <w:jc w:val="left"/>
      </w:pPr>
      <w:r>
        <w:rPr>
          <w:spacing w:val="2"/>
        </w:rPr>
        <w:t>购建或者生产符合资本化条件的资产而借入的专门借款或占用了一般借款发生的借款利息以及专门</w:t>
      </w:r>
      <w:r>
        <w:rPr>
          <w:w w:val="100"/>
        </w:rPr>
        <w:t> </w:t>
      </w:r>
      <w:r>
        <w:rPr/>
        <w:t>借款发生的辅助费用，在所购建或者生产的符合资本化条件的资产达到预定可使用或者可销售状态之前，</w:t>
      </w:r>
      <w:r>
        <w:rPr>
          <w:spacing w:val="-24"/>
        </w:rPr>
        <w:t> </w:t>
      </w:r>
      <w:r>
        <w:rPr>
          <w:spacing w:val="-24"/>
        </w:rPr>
      </w:r>
      <w:r>
        <w:rPr>
          <w:spacing w:val="-2"/>
        </w:rPr>
        <w:t>根据其资本化率计算的发生额予以资本化。除此以外的其它借款费用在发生时计入当期损益。符合资本化</w:t>
      </w:r>
      <w:r>
        <w:rPr>
          <w:spacing w:val="-44"/>
        </w:rPr>
        <w:t> </w:t>
      </w:r>
      <w:r>
        <w:rPr>
          <w:spacing w:val="-44"/>
        </w:rPr>
      </w:r>
      <w:r>
        <w:rPr>
          <w:spacing w:val="-2"/>
        </w:rPr>
        <w:t>条件的资产，是指需要经过相当长时间的购建或者生产活动才能达到预定可使用或者可销售状态的固定资</w:t>
      </w:r>
      <w:r>
        <w:rPr>
          <w:spacing w:val="-43"/>
        </w:rPr>
        <w:t> </w:t>
      </w:r>
      <w:r>
        <w:rPr>
          <w:spacing w:val="-43"/>
        </w:rPr>
      </w:r>
      <w:r>
        <w:rPr>
          <w:spacing w:val="-2"/>
          <w:w w:val="100"/>
        </w:rPr>
        <w:t>产、投资性房地产和存货等资产。同时满足下列条件时，借款费用开始资本化：（</w:t>
      </w:r>
      <w:r>
        <w:rPr>
          <w:rFonts w:ascii="Times New Roman" w:hAnsi="Times New Roman" w:cs="Times New Roman" w:eastAsia="Times New Roman" w:hint="default"/>
          <w:spacing w:val="-2"/>
          <w:w w:val="100"/>
        </w:rPr>
        <w:t>1</w:t>
      </w:r>
      <w:r>
        <w:rPr>
          <w:spacing w:val="-2"/>
          <w:w w:val="100"/>
        </w:rPr>
        <w:t>）资产支出已经发生，</w:t>
      </w:r>
      <w:r>
        <w:rPr>
          <w:spacing w:val="-86"/>
          <w:w w:val="100"/>
        </w:rPr>
        <w:t> </w:t>
      </w:r>
      <w:r>
        <w:rPr>
          <w:spacing w:val="-86"/>
          <w:w w:val="100"/>
        </w:rPr>
      </w:r>
      <w:r>
        <w:rPr>
          <w:spacing w:val="-2"/>
        </w:rPr>
        <w:t>资产支出包括为购建或者生产符合资本化条件的资产而以支付现金、转移非现金资产或者承担带息债务形</w:t>
      </w:r>
      <w:r>
        <w:rPr>
          <w:spacing w:val="-43"/>
        </w:rPr>
        <w:t> </w:t>
      </w:r>
      <w:r>
        <w:rPr>
          <w:spacing w:val="-43"/>
        </w:rPr>
      </w:r>
      <w:r>
        <w:rPr>
          <w:spacing w:val="-7"/>
          <w:w w:val="100"/>
        </w:rPr>
        <w:t>式发生的支出；（</w:t>
      </w:r>
      <w:r>
        <w:rPr>
          <w:rFonts w:ascii="Times New Roman" w:hAnsi="Times New Roman" w:cs="Times New Roman" w:eastAsia="Times New Roman" w:hint="default"/>
          <w:spacing w:val="-7"/>
          <w:w w:val="100"/>
        </w:rPr>
        <w:t>2</w:t>
      </w:r>
      <w:r>
        <w:rPr>
          <w:spacing w:val="-7"/>
          <w:w w:val="100"/>
        </w:rPr>
        <w:t>）借款费用已经发生；（</w:t>
      </w:r>
      <w:r>
        <w:rPr>
          <w:rFonts w:ascii="Times New Roman" w:hAnsi="Times New Roman" w:cs="Times New Roman" w:eastAsia="Times New Roman" w:hint="default"/>
          <w:spacing w:val="-7"/>
          <w:w w:val="100"/>
        </w:rPr>
        <w:t>3</w:t>
      </w:r>
      <w:r>
        <w:rPr>
          <w:spacing w:val="-7"/>
          <w:w w:val="100"/>
        </w:rPr>
        <w:t>）为使资产达到预定可使用或者可销售状态所必要的购建或者</w:t>
      </w:r>
      <w:r>
        <w:rPr>
          <w:spacing w:val="-67"/>
          <w:w w:val="100"/>
        </w:rPr>
        <w:t> </w:t>
      </w:r>
      <w:r>
        <w:rPr>
          <w:spacing w:val="-67"/>
          <w:w w:val="100"/>
        </w:rPr>
      </w:r>
      <w:r>
        <w:rPr/>
        <w:t>生产活动已经开始。</w:t>
      </w:r>
    </w:p>
    <w:p>
      <w:pPr>
        <w:pStyle w:val="BodyText"/>
        <w:spacing w:line="408" w:lineRule="auto" w:before="88"/>
        <w:ind w:right="1126" w:firstLine="420"/>
        <w:jc w:val="both"/>
      </w:pPr>
      <w:r>
        <w:rPr>
          <w:spacing w:val="-2"/>
        </w:rPr>
        <w:t>为购建或者生产符合资本化条件的资产而借入专门借款的，以专门借款当期实际发生的利息费用，减</w:t>
      </w:r>
      <w:r>
        <w:rPr>
          <w:w w:val="100"/>
        </w:rPr>
        <w:t> </w:t>
      </w:r>
      <w:r>
        <w:rPr>
          <w:spacing w:val="2"/>
        </w:rPr>
        <w:t>去将尚未动用的借款资金存入银行取得的利息收入或进行暂时性投资取得的投资收益后的金额确定为应</w:t>
      </w:r>
      <w:r>
        <w:rPr>
          <w:spacing w:val="-30"/>
        </w:rPr>
        <w:t> </w:t>
      </w:r>
      <w:r>
        <w:rPr>
          <w:spacing w:val="-30"/>
        </w:rPr>
      </w:r>
      <w:r>
        <w:rPr/>
        <w:t>予以资本化的费用。</w:t>
      </w:r>
    </w:p>
    <w:p>
      <w:pPr>
        <w:pStyle w:val="BodyText"/>
        <w:spacing w:line="408" w:lineRule="auto" w:before="87"/>
        <w:ind w:right="1126" w:firstLine="420"/>
        <w:jc w:val="both"/>
      </w:pPr>
      <w:r>
        <w:rPr>
          <w:spacing w:val="-2"/>
        </w:rPr>
        <w:t>为购建或者生产符合资本化条件的资产而占用了一般借款的，公司根据累计资产支出超过专门借款部</w:t>
      </w:r>
      <w:r>
        <w:rPr>
          <w:w w:val="100"/>
        </w:rPr>
        <w:t> </w:t>
      </w:r>
      <w:r>
        <w:rPr>
          <w:spacing w:val="-2"/>
        </w:rPr>
        <w:t>分的资产支出加权平均数乘以所占用一般借款的资本化率，计算确定一般借款应予资本化的利息金额。资</w:t>
      </w:r>
      <w:r>
        <w:rPr>
          <w:spacing w:val="-44"/>
        </w:rPr>
        <w:t> </w:t>
      </w:r>
      <w:r>
        <w:rPr>
          <w:spacing w:val="-44"/>
        </w:rPr>
      </w:r>
      <w:r>
        <w:rPr/>
        <w:t>本化率根据一般借款加权平均利率计算确定。</w:t>
      </w:r>
    </w:p>
    <w:p>
      <w:pPr>
        <w:pStyle w:val="BodyText"/>
        <w:spacing w:line="400" w:lineRule="auto" w:before="84"/>
        <w:ind w:right="1126" w:firstLine="420"/>
        <w:jc w:val="both"/>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r>
        <w:rPr>
          <w:w w:val="100"/>
        </w:rPr>
        <w:t> </w:t>
      </w:r>
      <w:r>
        <w:rPr>
          <w:spacing w:val="-2"/>
        </w:rPr>
        <w:t>借款费用的资本化。在中断期间发生的借款费用确认为费用，计入当期损益，直至资产的购建或者生产活</w:t>
      </w:r>
      <w:r>
        <w:rPr>
          <w:spacing w:val="-44"/>
        </w:rPr>
        <w:t> </w:t>
      </w:r>
      <w:r>
        <w:rPr>
          <w:spacing w:val="-44"/>
        </w:rPr>
      </w:r>
      <w:r>
        <w:rPr>
          <w:spacing w:val="-2"/>
        </w:rPr>
        <w:t>动重新开始。如果中断是所购建或者生产的符合资本化条件的资产达到预定可使用或者可销售状态必要的</w:t>
      </w:r>
      <w:r>
        <w:rPr>
          <w:spacing w:val="-43"/>
        </w:rPr>
        <w:t> </w:t>
      </w:r>
      <w:r>
        <w:rPr>
          <w:spacing w:val="-43"/>
        </w:rPr>
      </w:r>
      <w:r>
        <w:rPr/>
        <w:t>程序，借款费用继续资本化。</w:t>
      </w:r>
    </w:p>
    <w:p>
      <w:pPr>
        <w:pStyle w:val="BodyText"/>
        <w:spacing w:line="240" w:lineRule="auto" w:before="93"/>
        <w:ind w:left="533" w:right="0"/>
        <w:jc w:val="left"/>
      </w:pPr>
      <w:r>
        <w:rPr/>
        <w:t>购建或者生产符合资本化条件的资产达到预定可使用或者可销售状态时，停止借款费用资本化。</w:t>
      </w:r>
    </w:p>
    <w:p>
      <w:pPr>
        <w:spacing w:after="0" w:line="240" w:lineRule="auto"/>
        <w:jc w:val="left"/>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2"/>
          <w:szCs w:val="22"/>
        </w:rPr>
      </w:pPr>
    </w:p>
    <w:p>
      <w:pPr>
        <w:pStyle w:val="BodyText"/>
        <w:spacing w:line="393" w:lineRule="auto"/>
        <w:ind w:left="533" w:right="0"/>
        <w:jc w:val="left"/>
      </w:pPr>
      <w:r>
        <w:rPr/>
        <w:t>①无形资产的确定标准和分类</w:t>
      </w:r>
      <w:r>
        <w:rPr>
          <w:w w:val="100"/>
        </w:rPr>
        <w:t> </w:t>
      </w:r>
      <w:r>
        <w:rPr>
          <w:spacing w:val="-5"/>
        </w:rPr>
        <w:t>无形资产是指本公司拥有或者控制的没有实物形态的可辨认非货币性资产，包括专利权、非专利技术、</w:t>
      </w:r>
    </w:p>
    <w:p>
      <w:pPr>
        <w:pStyle w:val="BodyText"/>
        <w:spacing w:line="271" w:lineRule="exact"/>
        <w:ind w:right="0"/>
        <w:jc w:val="left"/>
      </w:pPr>
      <w:r>
        <w:rPr/>
        <w:t>商标权、著作权、土地使用权、租赁权等。</w:t>
      </w:r>
    </w:p>
    <w:p>
      <w:pPr>
        <w:pStyle w:val="BodyText"/>
        <w:spacing w:line="393" w:lineRule="auto" w:before="174"/>
        <w:ind w:left="533" w:right="0"/>
        <w:jc w:val="left"/>
      </w:pPr>
      <w:r>
        <w:rPr/>
        <w:t>②无形资产的计量</w:t>
      </w:r>
      <w:r>
        <w:rPr>
          <w:w w:val="100"/>
        </w:rPr>
        <w:t> </w:t>
      </w:r>
      <w:r>
        <w:rPr>
          <w:spacing w:val="-2"/>
        </w:rPr>
        <w:t>无形资产按成本进行初始计量。购入的无形资产，按实际支付的价款和相关支出作为实际成本。投资</w:t>
      </w:r>
    </w:p>
    <w:p>
      <w:pPr>
        <w:pStyle w:val="BodyText"/>
        <w:spacing w:line="355" w:lineRule="auto"/>
        <w:ind w:right="0"/>
        <w:jc w:val="left"/>
      </w:pPr>
      <w:r>
        <w:rPr>
          <w:spacing w:val="-2"/>
        </w:rPr>
        <w:t>者投入的无形资产，按投资合同或协议约定的价值确定实际成本，但合同或协议约定价值不公允的，按公</w:t>
      </w:r>
      <w:r>
        <w:rPr>
          <w:spacing w:val="-43"/>
        </w:rPr>
        <w:t> </w:t>
      </w:r>
      <w:r>
        <w:rPr>
          <w:spacing w:val="-43"/>
        </w:rPr>
      </w:r>
      <w:r>
        <w:rPr/>
        <w:t>允价值确定实际成本。</w:t>
      </w:r>
    </w:p>
    <w:p>
      <w:pPr>
        <w:pStyle w:val="BodyText"/>
        <w:spacing w:line="393" w:lineRule="auto" w:before="73"/>
        <w:ind w:left="533" w:right="0"/>
        <w:jc w:val="left"/>
      </w:pPr>
      <w:r>
        <w:rPr/>
        <w:t>③无形资产的摊销</w:t>
      </w:r>
      <w:r>
        <w:rPr>
          <w:w w:val="100"/>
        </w:rPr>
        <w:t> </w:t>
      </w:r>
      <w:r>
        <w:rPr>
          <w:spacing w:val="-2"/>
        </w:rPr>
        <w:t>使用寿命有限的无形资产自可供使用时起，在其预计使用寿命内采用直线法分期平均摊销。使用寿命</w:t>
      </w:r>
    </w:p>
    <w:p>
      <w:pPr>
        <w:pStyle w:val="BodyText"/>
        <w:spacing w:line="355" w:lineRule="auto"/>
        <w:ind w:right="1126"/>
        <w:jc w:val="left"/>
      </w:pPr>
      <w:r>
        <w:rPr>
          <w:spacing w:val="-2"/>
        </w:rPr>
        <w:t>不确定的无形资产不予摊销，其中土地使用权自取得时起，在土地使用期内采用直线法分期平均摊销，不</w:t>
      </w:r>
      <w:r>
        <w:rPr>
          <w:spacing w:val="-42"/>
        </w:rPr>
        <w:t> </w:t>
      </w:r>
      <w:r>
        <w:rPr>
          <w:spacing w:val="-42"/>
        </w:rPr>
      </w:r>
      <w:r>
        <w:rPr/>
        <w:t>留残值。</w:t>
      </w:r>
    </w:p>
    <w:p>
      <w:pPr>
        <w:spacing w:line="688" w:lineRule="exact" w:before="51"/>
        <w:ind w:left="533" w:right="112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公司内部研究开发项目开发阶段的支出，符合下列各项时，确认为无形资产：</w:t>
      </w:r>
    </w:p>
    <w:p>
      <w:pPr>
        <w:pStyle w:val="BodyText"/>
        <w:spacing w:line="240" w:lineRule="auto" w:before="126"/>
        <w:ind w:left="533" w:right="0"/>
        <w:jc w:val="left"/>
      </w:pPr>
      <w:r>
        <w:rPr/>
        <w:t>①</w:t>
      </w:r>
      <w:r>
        <w:rPr>
          <w:spacing w:val="-5"/>
        </w:rPr>
        <w:t> </w:t>
      </w:r>
      <w:r>
        <w:rPr/>
        <w:t>从技术上来讲，完成该无形资产以使其能够使用或出售具有可行性。</w:t>
      </w:r>
    </w:p>
    <w:p>
      <w:pPr>
        <w:spacing w:line="240" w:lineRule="auto" w:before="12"/>
        <w:rPr>
          <w:rFonts w:ascii="宋体" w:hAnsi="宋体" w:cs="宋体" w:eastAsia="宋体" w:hint="default"/>
          <w:sz w:val="17"/>
          <w:szCs w:val="17"/>
        </w:rPr>
      </w:pPr>
    </w:p>
    <w:p>
      <w:pPr>
        <w:pStyle w:val="BodyText"/>
        <w:spacing w:line="240" w:lineRule="auto"/>
        <w:ind w:left="533" w:right="0"/>
        <w:jc w:val="left"/>
      </w:pPr>
      <w:r>
        <w:rPr/>
        <w:t>②</w:t>
      </w:r>
      <w:r>
        <w:rPr>
          <w:spacing w:val="-3"/>
        </w:rPr>
        <w:t> </w:t>
      </w:r>
      <w:r>
        <w:rPr/>
        <w:t>具有完成该无形资产并使用或出售的意图。</w:t>
      </w:r>
    </w:p>
    <w:p>
      <w:pPr>
        <w:spacing w:line="240" w:lineRule="auto" w:before="9"/>
        <w:rPr>
          <w:rFonts w:ascii="宋体" w:hAnsi="宋体" w:cs="宋体" w:eastAsia="宋体" w:hint="default"/>
          <w:sz w:val="17"/>
          <w:szCs w:val="17"/>
        </w:rPr>
      </w:pPr>
    </w:p>
    <w:p>
      <w:pPr>
        <w:pStyle w:val="BodyText"/>
        <w:spacing w:line="408" w:lineRule="auto"/>
        <w:ind w:right="1125" w:firstLine="420"/>
        <w:jc w:val="left"/>
      </w:pPr>
      <w:r>
        <w:rPr/>
        <w:t>③</w:t>
      </w:r>
      <w:r>
        <w:rPr>
          <w:spacing w:val="73"/>
        </w:rPr>
        <w:t> </w:t>
      </w:r>
      <w:r>
        <w:rPr/>
        <w:t>无形资产产生未来经济利益的方式，包括能够证明运用该无形资产生产的产品存在市场或无形资</w:t>
      </w:r>
      <w:r>
        <w:rPr>
          <w:w w:val="100"/>
        </w:rPr>
        <w:t> </w:t>
      </w:r>
      <w:r>
        <w:rPr/>
        <w:t>产自身存在市场；无形资产将在内部使用时，证明其有用性。</w:t>
      </w:r>
    </w:p>
    <w:p>
      <w:pPr>
        <w:pStyle w:val="BodyText"/>
        <w:spacing w:line="410" w:lineRule="auto" w:before="87"/>
        <w:ind w:right="1125" w:firstLine="420"/>
        <w:jc w:val="left"/>
      </w:pPr>
      <w:r>
        <w:rPr/>
        <w:t>④</w:t>
      </w:r>
      <w:r>
        <w:rPr>
          <w:spacing w:val="73"/>
        </w:rPr>
        <w:t> </w:t>
      </w:r>
      <w:r>
        <w:rPr/>
        <w:t>有足够的技术、财务资源和其他资源支持，以完成该无形资产的开发，并有能力使用或出售该无</w:t>
      </w:r>
      <w:r>
        <w:rPr>
          <w:w w:val="100"/>
        </w:rPr>
        <w:t> </w:t>
      </w:r>
      <w:r>
        <w:rPr/>
        <w:t>形资产。</w:t>
      </w:r>
    </w:p>
    <w:p>
      <w:pPr>
        <w:pStyle w:val="BodyText"/>
        <w:spacing w:line="240" w:lineRule="auto" w:before="85"/>
        <w:ind w:left="533" w:right="0"/>
        <w:jc w:val="left"/>
      </w:pPr>
      <w:r>
        <w:rPr/>
        <w:t>⑤</w:t>
      </w:r>
      <w:r>
        <w:rPr>
          <w:spacing w:val="-6"/>
        </w:rPr>
        <w:t> </w:t>
      </w:r>
      <w:r>
        <w:rPr/>
        <w:t>归属于该无形资产开发阶段的支出能够可靠计量。</w:t>
      </w:r>
    </w:p>
    <w:p>
      <w:pPr>
        <w:pStyle w:val="BodyText"/>
        <w:spacing w:line="670" w:lineRule="atLeast" w:before="34"/>
        <w:ind w:left="533" w:right="0" w:hanging="420"/>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100"/>
        </w:rPr>
        <w:t> </w:t>
      </w:r>
      <w:r>
        <w:rPr/>
        <w:t>对于固定资产、在建工程、使用寿命有限的无形资产、以成本模式计量的投资性房地产及对子公司、</w:t>
      </w:r>
    </w:p>
    <w:p>
      <w:pPr>
        <w:spacing w:line="240" w:lineRule="auto" w:before="10"/>
        <w:rPr>
          <w:rFonts w:ascii="宋体" w:hAnsi="宋体" w:cs="宋体" w:eastAsia="宋体" w:hint="default"/>
          <w:sz w:val="14"/>
          <w:szCs w:val="14"/>
        </w:rPr>
      </w:pPr>
    </w:p>
    <w:p>
      <w:pPr>
        <w:pStyle w:val="BodyText"/>
        <w:spacing w:line="240" w:lineRule="auto"/>
        <w:ind w:right="0"/>
        <w:jc w:val="left"/>
      </w:pPr>
      <w:r>
        <w:rPr>
          <w:spacing w:val="-5"/>
        </w:rPr>
        <w:t>合营企业、联营企业的长期股权投资等非流动非金融资产，本公司于资产负债表日判断是否存在减值迹象。</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0"/>
        <w:jc w:val="left"/>
      </w:pP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t>对于固定资产、在建工程、使用寿命有限的无形资产、以成本模式计量的投资性房地产及对子公司、</w:t>
      </w:r>
      <w:r>
        <w:rPr>
          <w:w w:val="100"/>
        </w:rPr>
        <w:t> </w:t>
      </w:r>
      <w:r>
        <w:rPr>
          <w:spacing w:val="-5"/>
        </w:rPr>
        <w:t>合营企业、联营企业的长期股权投资等非流动非金融资产，本公司于资产负债表日判断是否存在减值迹象。 </w:t>
      </w:r>
      <w:r>
        <w:rPr>
          <w:spacing w:val="-5"/>
        </w:rPr>
      </w: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pStyle w:val="BodyText"/>
        <w:spacing w:line="408" w:lineRule="auto" w:before="85"/>
        <w:ind w:right="0" w:firstLine="420"/>
        <w:jc w:val="left"/>
      </w:pPr>
      <w:r>
        <w:rPr>
          <w:spacing w:val="-2"/>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t>确认，如果难以对单项资产的可收回金额进行估计的，以该资产所属的资产组确定资产组的可收回金额。</w:t>
      </w:r>
      <w:r>
        <w:rPr>
          <w:spacing w:val="-24"/>
        </w:rPr>
        <w:t> </w:t>
      </w:r>
      <w:r>
        <w:rPr>
          <w:spacing w:val="-24"/>
        </w:rPr>
      </w:r>
      <w:r>
        <w:rPr/>
        <w:t>资产组是能够独立产生现金流入的最小资产组合。</w:t>
      </w:r>
    </w:p>
    <w:p>
      <w:pPr>
        <w:pStyle w:val="BodyText"/>
        <w:spacing w:line="408" w:lineRule="auto" w:before="87"/>
        <w:ind w:right="1126" w:firstLine="420"/>
        <w:jc w:val="both"/>
      </w:pPr>
      <w:r>
        <w:rPr>
          <w:spacing w:val="-2"/>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43"/>
        </w:rPr>
        <w:t> </w:t>
      </w:r>
      <w:r>
        <w:rPr>
          <w:spacing w:val="-43"/>
        </w:rPr>
      </w:r>
      <w:r>
        <w:rPr>
          <w:spacing w:val="-2"/>
        </w:rPr>
        <w:t>于其账面价值的，确认相应的减值损失。减值损失金额先抵减分摊至该资产组或资产组组合的商誉的账面</w:t>
      </w:r>
      <w:r>
        <w:rPr>
          <w:spacing w:val="-43"/>
        </w:rPr>
        <w:t> </w:t>
      </w:r>
      <w:r>
        <w:rPr>
          <w:spacing w:val="-43"/>
        </w:rPr>
      </w:r>
      <w:r>
        <w:rPr>
          <w:spacing w:val="-2"/>
        </w:rPr>
        <w:t>价值，再根据资产组或资产组组合中除商誉以外的其他各项资产的账面价值所占比重，按比例抵减其他各</w:t>
      </w:r>
      <w:r>
        <w:rPr>
          <w:spacing w:val="-42"/>
        </w:rPr>
        <w:t> </w:t>
      </w:r>
      <w:r>
        <w:rPr>
          <w:spacing w:val="-42"/>
        </w:rPr>
      </w:r>
      <w:r>
        <w:rPr/>
        <w:t>项资产的账面价值。</w:t>
      </w:r>
    </w:p>
    <w:p>
      <w:pPr>
        <w:pStyle w:val="BodyText"/>
        <w:spacing w:line="240" w:lineRule="auto" w:before="84"/>
        <w:ind w:left="533"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688" w:lineRule="exact" w:before="18"/>
        <w:ind w:left="617" w:right="0" w:hanging="50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z w:val="21"/>
          <w:szCs w:val="21"/>
        </w:rPr>
        <w:t>职工薪酬，是指公司为获得职工提供的服务或解除劳动关系而给予的各种形式的报酬或补偿。职工</w:t>
      </w:r>
    </w:p>
    <w:p>
      <w:pPr>
        <w:pStyle w:val="BodyText"/>
        <w:spacing w:line="240" w:lineRule="auto" w:before="85"/>
        <w:ind w:right="0"/>
        <w:jc w:val="left"/>
      </w:pPr>
      <w:r>
        <w:rPr>
          <w:spacing w:val="-7"/>
        </w:rPr>
        <w:t>薪酬包括短期薪酬、离职后福利、辞退福利和其他长期职工福利。企业提供给职工配偶、子女、受赡养人、</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44" w:lineRule="auto" w:before="36"/>
        <w:ind w:left="633" w:right="953" w:hanging="420"/>
        <w:jc w:val="left"/>
      </w:pPr>
      <w:r>
        <w:rPr/>
        <w:t>已故员工遗属及其他受益人等的福利，也属于职工薪酬。</w:t>
      </w:r>
      <w:r>
        <w:rPr>
          <w:w w:val="100"/>
        </w:rPr>
        <w:t> </w:t>
      </w:r>
      <w:r>
        <w:rPr/>
        <w:t>本公司在职工提供相关服务的会计期间，将实际发生的职工工资、奖金、津贴和补贴，职工福利费，</w:t>
      </w:r>
    </w:p>
    <w:p>
      <w:pPr>
        <w:pStyle w:val="BodyText"/>
        <w:spacing w:line="408" w:lineRule="auto" w:before="14"/>
        <w:ind w:left="213" w:right="1126"/>
        <w:jc w:val="both"/>
      </w:pPr>
      <w:r>
        <w:rPr>
          <w:spacing w:val="-2"/>
        </w:rPr>
        <w:t>医疗保险费、工伤保险费和生育保险费等社会保险费，住房公积金，工会经费和职工教育经费等确认为负</w:t>
      </w:r>
      <w:r>
        <w:rPr>
          <w:spacing w:val="-42"/>
        </w:rPr>
        <w:t> </w:t>
      </w:r>
      <w:r>
        <w:rPr>
          <w:spacing w:val="-42"/>
        </w:rPr>
      </w:r>
      <w:r>
        <w:rPr>
          <w:spacing w:val="-2"/>
        </w:rPr>
        <w:t>债，并计入当期损益或相关资产成本。如果该负债预期在职工提供相关服务的年度报告期结束后十二个月</w:t>
      </w:r>
      <w:r>
        <w:rPr>
          <w:spacing w:val="-44"/>
        </w:rPr>
        <w:t> </w:t>
      </w:r>
      <w:r>
        <w:rPr>
          <w:spacing w:val="-44"/>
        </w:rPr>
      </w:r>
      <w:r>
        <w:rPr/>
        <w:t>内不能完全支付，且财务影响重大的，则该负债将以折现后的金额计量。</w:t>
      </w:r>
    </w:p>
    <w:p>
      <w:pPr>
        <w:spacing w:line="240" w:lineRule="auto" w:before="5"/>
        <w:rPr>
          <w:rFonts w:ascii="宋体" w:hAnsi="宋体" w:cs="宋体" w:eastAsia="宋体" w:hint="default"/>
          <w:sz w:val="20"/>
          <w:szCs w:val="20"/>
        </w:rPr>
      </w:pPr>
    </w:p>
    <w:p>
      <w:pPr>
        <w:pStyle w:val="Heading4"/>
        <w:spacing w:line="240" w:lineRule="auto"/>
        <w:ind w:left="213"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left="213" w:right="953" w:firstLine="420"/>
        <w:jc w:val="left"/>
      </w:pPr>
      <w:r>
        <w:rPr>
          <w:spacing w:val="-2"/>
        </w:rPr>
        <w:t>离职后福利，是指为获得职工提供的服务而在职工退休或与企业解除劳动关系后，提供的各种形式的</w:t>
      </w:r>
      <w:r>
        <w:rPr>
          <w:w w:val="100"/>
        </w:rPr>
        <w:t> </w:t>
      </w:r>
      <w:r>
        <w:rPr/>
        <w:t>报酬和福利，短期薪酬和辞退福利除外。本公司将离职后福利计划分类为设定提存计划和设定受益计划。</w:t>
      </w:r>
    </w:p>
    <w:p>
      <w:pPr>
        <w:pStyle w:val="BodyText"/>
        <w:spacing w:line="408" w:lineRule="auto" w:before="44"/>
        <w:ind w:left="213" w:right="1128" w:hanging="107"/>
        <w:jc w:val="both"/>
      </w:pPr>
      <w:r>
        <w:rPr/>
        <w:t>（一）设定提存计划：公司向独立的基金缴存固定费用后，公司不再承担进一步支付义务的离职后福利计</w:t>
      </w:r>
      <w:r>
        <w:rPr>
          <w:spacing w:val="-24"/>
        </w:rPr>
        <w:t> </w:t>
      </w:r>
      <w:r>
        <w:rPr>
          <w:spacing w:val="-24"/>
        </w:rPr>
      </w:r>
      <w:r>
        <w:rPr>
          <w:spacing w:val="-2"/>
        </w:rPr>
        <w:t>划。包含基本养老保险、失业保险等，在职工为其提供服务的会计期间，将根据设定提存计划计算的应缴</w:t>
      </w:r>
      <w:r>
        <w:rPr>
          <w:w w:val="100"/>
        </w:rPr>
        <w:t> </w:t>
      </w:r>
      <w:r>
        <w:rPr>
          <w:spacing w:val="-2"/>
          <w:w w:val="100"/>
        </w:rPr>
        <w:t>存金额确认为负债，并计入当期损益或相关资产成本。（二）设定受益计划：除设定提存计划以外的离职</w:t>
      </w:r>
      <w:r>
        <w:rPr>
          <w:w w:val="100"/>
        </w:rPr>
        <w:t> </w:t>
      </w:r>
      <w:r>
        <w:rPr/>
        <w:t>后福利计划。</w:t>
      </w:r>
    </w:p>
    <w:p>
      <w:pPr>
        <w:spacing w:line="240" w:lineRule="auto" w:before="8"/>
        <w:rPr>
          <w:rFonts w:ascii="宋体" w:hAnsi="宋体" w:cs="宋体" w:eastAsia="宋体" w:hint="default"/>
          <w:sz w:val="20"/>
          <w:szCs w:val="20"/>
        </w:rPr>
      </w:pPr>
    </w:p>
    <w:p>
      <w:pPr>
        <w:pStyle w:val="Heading4"/>
        <w:spacing w:line="240" w:lineRule="auto"/>
        <w:ind w:left="213"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213" w:right="1125" w:firstLine="420"/>
        <w:jc w:val="both"/>
      </w:pPr>
      <w:r>
        <w:rPr>
          <w:spacing w:val="-2"/>
        </w:rPr>
        <w:t>辞退福利是指公司在职工劳动合同到期之前解除与职工的劳动关系，或者为鼓励职工自愿接受裁减而</w:t>
      </w:r>
      <w:r>
        <w:rPr>
          <w:w w:val="100"/>
        </w:rPr>
        <w:t> </w:t>
      </w:r>
      <w:r>
        <w:rPr>
          <w:spacing w:val="-2"/>
        </w:rPr>
        <w:t>给予职工的补偿。公司向职工提供辞退福利的，在下列两者孰早日确认辞退福利产生的职工薪酬负债，并</w:t>
      </w:r>
      <w:r>
        <w:rPr>
          <w:spacing w:val="-43"/>
        </w:rPr>
        <w:t> </w:t>
      </w:r>
      <w:r>
        <w:rPr>
          <w:spacing w:val="-43"/>
        </w:rPr>
      </w:r>
      <w:r>
        <w:rPr>
          <w:spacing w:val="-7"/>
          <w:w w:val="100"/>
        </w:rPr>
        <w:t>计入当期损益：（一）企业不能单方面撤回因解除劳动关系计划或裁减建议所提供的辞退福利时。（二）企</w:t>
      </w:r>
      <w:r>
        <w:rPr>
          <w:spacing w:val="-76"/>
          <w:w w:val="100"/>
        </w:rPr>
        <w:t> </w:t>
      </w:r>
      <w:r>
        <w:rPr>
          <w:spacing w:val="-76"/>
          <w:w w:val="100"/>
        </w:rPr>
      </w:r>
      <w:r>
        <w:rPr/>
        <w:t>业确认与涉及支付辞退福利的重组相关的成本或费用时。</w:t>
      </w:r>
    </w:p>
    <w:p>
      <w:pPr>
        <w:pStyle w:val="BodyText"/>
        <w:spacing w:line="408" w:lineRule="auto" w:before="84"/>
        <w:ind w:left="213" w:right="1126" w:firstLine="420"/>
        <w:jc w:val="both"/>
      </w:pPr>
      <w:r>
        <w:rPr>
          <w:spacing w:val="-2"/>
        </w:rPr>
        <w:t>实行职工内部退休计划的，在正式退休日之前的经济补偿，属于辞退福利，自职工停止提供服务日至</w:t>
      </w:r>
      <w:r>
        <w:rPr>
          <w:w w:val="100"/>
        </w:rPr>
        <w:t> </w:t>
      </w:r>
      <w:r>
        <w:rPr>
          <w:spacing w:val="-2"/>
        </w:rPr>
        <w:t>正常退休日期间，拟支付的内退职工工资和缴纳的社会保险费等一次性记入当期损益。正式退休日之后的</w:t>
      </w:r>
      <w:r>
        <w:rPr>
          <w:spacing w:val="-43"/>
        </w:rPr>
        <w:t> </w:t>
      </w:r>
      <w:r>
        <w:rPr>
          <w:spacing w:val="-43"/>
        </w:rPr>
      </w:r>
      <w:r>
        <w:rPr>
          <w:spacing w:val="-6"/>
          <w:w w:val="100"/>
        </w:rPr>
        <w:t>经济补偿（如正常养老退休金），按照离职后福利处理。</w:t>
      </w:r>
    </w:p>
    <w:p>
      <w:pPr>
        <w:spacing w:line="240" w:lineRule="auto" w:before="8"/>
        <w:rPr>
          <w:rFonts w:ascii="宋体" w:hAnsi="宋体" w:cs="宋体" w:eastAsia="宋体" w:hint="default"/>
          <w:sz w:val="20"/>
          <w:szCs w:val="20"/>
        </w:rPr>
      </w:pPr>
    </w:p>
    <w:p>
      <w:pPr>
        <w:pStyle w:val="Heading4"/>
        <w:spacing w:line="240" w:lineRule="auto"/>
        <w:ind w:left="213"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3"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33" w:right="953"/>
        <w:jc w:val="left"/>
      </w:pPr>
      <w:r>
        <w:rPr>
          <w:w w:val="100"/>
        </w:rPr>
        <w:t>当与</w:t>
      </w:r>
      <w:r>
        <w:rPr>
          <w:spacing w:val="-3"/>
          <w:w w:val="100"/>
        </w:rPr>
        <w:t>或</w:t>
      </w:r>
      <w:r>
        <w:rPr>
          <w:w w:val="100"/>
        </w:rPr>
        <w:t>有</w:t>
      </w:r>
      <w:r>
        <w:rPr>
          <w:spacing w:val="-3"/>
          <w:w w:val="100"/>
        </w:rPr>
        <w:t>事</w:t>
      </w:r>
      <w:r>
        <w:rPr>
          <w:w w:val="100"/>
        </w:rPr>
        <w:t>项</w:t>
      </w:r>
      <w:r>
        <w:rPr>
          <w:spacing w:val="-3"/>
          <w:w w:val="100"/>
        </w:rPr>
        <w:t>相</w:t>
      </w:r>
      <w:r>
        <w:rPr>
          <w:w w:val="100"/>
        </w:rPr>
        <w:t>关</w:t>
      </w:r>
      <w:r>
        <w:rPr>
          <w:spacing w:val="-3"/>
          <w:w w:val="100"/>
        </w:rPr>
        <w:t>的</w:t>
      </w:r>
      <w:r>
        <w:rPr>
          <w:w w:val="100"/>
        </w:rPr>
        <w:t>义</w:t>
      </w:r>
      <w:r>
        <w:rPr>
          <w:spacing w:val="-3"/>
          <w:w w:val="100"/>
        </w:rPr>
        <w:t>务</w:t>
      </w:r>
      <w:r>
        <w:rPr>
          <w:w w:val="100"/>
        </w:rPr>
        <w:t>同时</w:t>
      </w:r>
      <w:r>
        <w:rPr>
          <w:spacing w:val="-3"/>
          <w:w w:val="100"/>
        </w:rPr>
        <w:t>符</w:t>
      </w:r>
      <w:r>
        <w:rPr>
          <w:w w:val="100"/>
        </w:rPr>
        <w:t>合</w:t>
      </w:r>
      <w:r>
        <w:rPr>
          <w:spacing w:val="-3"/>
          <w:w w:val="100"/>
        </w:rPr>
        <w:t>以</w:t>
      </w:r>
      <w:r>
        <w:rPr>
          <w:w w:val="100"/>
        </w:rPr>
        <w:t>下</w:t>
      </w:r>
      <w:r>
        <w:rPr>
          <w:spacing w:val="-3"/>
          <w:w w:val="100"/>
        </w:rPr>
        <w:t>条</w:t>
      </w:r>
      <w:r>
        <w:rPr>
          <w:w w:val="100"/>
        </w:rPr>
        <w:t>件</w:t>
      </w:r>
      <w:r>
        <w:rPr>
          <w:spacing w:val="-46"/>
          <w:w w:val="100"/>
        </w:rPr>
        <w:t>，</w:t>
      </w:r>
      <w:r>
        <w:rPr>
          <w:w w:val="100"/>
        </w:rPr>
        <w:t>确</w:t>
      </w:r>
      <w:r>
        <w:rPr>
          <w:spacing w:val="-3"/>
          <w:w w:val="100"/>
        </w:rPr>
        <w:t>认</w:t>
      </w:r>
      <w:r>
        <w:rPr>
          <w:w w:val="100"/>
        </w:rPr>
        <w:t>为预</w:t>
      </w:r>
      <w:r>
        <w:rPr>
          <w:spacing w:val="-3"/>
          <w:w w:val="100"/>
        </w:rPr>
        <w:t>计</w:t>
      </w:r>
      <w:r>
        <w:rPr>
          <w:w w:val="100"/>
        </w:rPr>
        <w:t>负</w:t>
      </w:r>
      <w:r>
        <w:rPr>
          <w:spacing w:val="-3"/>
          <w:w w:val="100"/>
        </w:rPr>
        <w:t>债</w:t>
      </w:r>
      <w:r>
        <w:rPr>
          <w:spacing w:val="-149"/>
          <w:w w:val="100"/>
        </w:rPr>
        <w:t>：</w:t>
      </w:r>
      <w:r>
        <w:rPr>
          <w:w w:val="100"/>
        </w:rPr>
        <w:t>（</w:t>
      </w:r>
      <w:r>
        <w:rPr>
          <w:rFonts w:ascii="Times New Roman" w:hAnsi="Times New Roman" w:cs="Times New Roman" w:eastAsia="Times New Roman" w:hint="default"/>
          <w:w w:val="100"/>
        </w:rPr>
        <w:t>1</w:t>
      </w:r>
      <w:r>
        <w:rPr>
          <w:spacing w:val="-46"/>
          <w:w w:val="100"/>
        </w:rPr>
        <w:t>）</w:t>
      </w:r>
      <w:r>
        <w:rPr>
          <w:w w:val="100"/>
        </w:rPr>
        <w:t>该</w:t>
      </w:r>
      <w:r>
        <w:rPr>
          <w:spacing w:val="-3"/>
          <w:w w:val="100"/>
        </w:rPr>
        <w:t>义</w:t>
      </w:r>
      <w:r>
        <w:rPr>
          <w:w w:val="100"/>
        </w:rPr>
        <w:t>务</w:t>
      </w:r>
      <w:r>
        <w:rPr>
          <w:spacing w:val="-3"/>
          <w:w w:val="100"/>
        </w:rPr>
        <w:t>是</w:t>
      </w:r>
      <w:r>
        <w:rPr>
          <w:w w:val="100"/>
        </w:rPr>
        <w:t>本公</w:t>
      </w:r>
      <w:r>
        <w:rPr>
          <w:spacing w:val="-3"/>
          <w:w w:val="100"/>
        </w:rPr>
        <w:t>司</w:t>
      </w:r>
      <w:r>
        <w:rPr>
          <w:w w:val="100"/>
        </w:rPr>
        <w:t>承</w:t>
      </w:r>
      <w:r>
        <w:rPr>
          <w:spacing w:val="-3"/>
          <w:w w:val="100"/>
        </w:rPr>
        <w:t>担</w:t>
      </w:r>
      <w:r>
        <w:rPr>
          <w:w w:val="100"/>
        </w:rPr>
        <w:t>的</w:t>
      </w:r>
      <w:r>
        <w:rPr>
          <w:spacing w:val="-3"/>
          <w:w w:val="100"/>
        </w:rPr>
        <w:t>现</w:t>
      </w:r>
      <w:r>
        <w:rPr>
          <w:w w:val="100"/>
        </w:rPr>
        <w:t>时</w:t>
      </w:r>
      <w:r>
        <w:rPr>
          <w:spacing w:val="-3"/>
          <w:w w:val="100"/>
        </w:rPr>
        <w:t>义</w:t>
      </w:r>
      <w:r>
        <w:rPr>
          <w:w w:val="100"/>
        </w:rPr>
        <w:t>务；</w:t>
      </w:r>
    </w:p>
    <w:p>
      <w:pPr>
        <w:pStyle w:val="BodyText"/>
        <w:spacing w:line="420" w:lineRule="auto" w:before="177"/>
        <w:ind w:left="633" w:right="953" w:hanging="527"/>
        <w:jc w:val="left"/>
      </w:pPr>
      <w:r>
        <w:rPr>
          <w:spacing w:val="-5"/>
          <w:w w:val="100"/>
        </w:rPr>
        <w:t>（</w:t>
      </w:r>
      <w:r>
        <w:rPr>
          <w:rFonts w:ascii="Times New Roman" w:hAnsi="Times New Roman" w:cs="Times New Roman" w:eastAsia="Times New Roman" w:hint="default"/>
          <w:spacing w:val="-5"/>
          <w:w w:val="100"/>
        </w:rPr>
        <w:t>2</w:t>
      </w:r>
      <w:r>
        <w:rPr>
          <w:spacing w:val="-5"/>
          <w:w w:val="100"/>
        </w:rPr>
        <w:t>）履行该义务很可能导致经济利益流出；（</w:t>
      </w:r>
      <w:r>
        <w:rPr>
          <w:rFonts w:ascii="Times New Roman" w:hAnsi="Times New Roman" w:cs="Times New Roman" w:eastAsia="Times New Roman" w:hint="default"/>
          <w:spacing w:val="-5"/>
          <w:w w:val="100"/>
        </w:rPr>
        <w:t>3</w:t>
      </w:r>
      <w:r>
        <w:rPr>
          <w:spacing w:val="-5"/>
          <w:w w:val="100"/>
        </w:rPr>
        <w:t>）该义务的金额能够可靠地计量。</w:t>
      </w:r>
      <w:r>
        <w:rPr>
          <w:spacing w:val="-73"/>
          <w:w w:val="100"/>
        </w:rPr>
        <w:t> </w:t>
      </w:r>
      <w:r>
        <w:rPr>
          <w:spacing w:val="-73"/>
          <w:w w:val="100"/>
        </w:rPr>
      </w:r>
      <w:r>
        <w:rPr>
          <w:spacing w:val="-2"/>
        </w:rPr>
        <w:t>在资产负债表日，考虑与或有事项有关的风险、不确定性和货币时间价值等因素，按照履行相关现时</w:t>
      </w:r>
    </w:p>
    <w:p>
      <w:pPr>
        <w:pStyle w:val="BodyText"/>
        <w:spacing w:line="240" w:lineRule="auto" w:before="35"/>
        <w:ind w:left="213" w:right="0"/>
        <w:jc w:val="both"/>
      </w:pPr>
      <w:r>
        <w:rPr/>
        <w:t>义务所需支出的最佳估计数对预计负债进行计量。</w:t>
      </w:r>
    </w:p>
    <w:p>
      <w:pPr>
        <w:spacing w:after="0" w:line="240" w:lineRule="auto"/>
        <w:jc w:val="both"/>
        <w:sectPr>
          <w:pgSz w:w="11910" w:h="16840"/>
          <w:pgMar w:header="906" w:footer="1079" w:top="1100" w:bottom="1260" w:left="920" w:right="0"/>
        </w:sectPr>
      </w:pPr>
    </w:p>
    <w:p>
      <w:pPr>
        <w:spacing w:line="240" w:lineRule="auto" w:before="9"/>
        <w:rPr>
          <w:rFonts w:ascii="宋体" w:hAnsi="宋体" w:cs="宋体" w:eastAsia="宋体" w:hint="default"/>
          <w:sz w:val="27"/>
          <w:szCs w:val="27"/>
        </w:rPr>
      </w:pPr>
    </w:p>
    <w:p>
      <w:pPr>
        <w:pStyle w:val="BodyText"/>
        <w:spacing w:line="408" w:lineRule="auto" w:before="36"/>
        <w:ind w:left="213" w:right="1126" w:firstLine="420"/>
        <w:jc w:val="both"/>
      </w:pPr>
      <w:r>
        <w:rPr>
          <w:spacing w:val="-2"/>
        </w:rPr>
        <w:t>如果清偿预计负债所需支出全部或部分预期由第三方补偿的，补偿金额在基本确定能够收到时，作为</w:t>
      </w:r>
      <w:r>
        <w:rPr>
          <w:w w:val="100"/>
        </w:rPr>
        <w:t> </w:t>
      </w:r>
      <w:r>
        <w:rPr/>
        <w:t>资产单独确认，且确认的补偿金额不超过预计负债的账面价值。</w:t>
      </w:r>
    </w:p>
    <w:p>
      <w:pPr>
        <w:pStyle w:val="BodyText"/>
        <w:spacing w:line="417" w:lineRule="auto" w:before="87"/>
        <w:ind w:left="633" w:right="953" w:hanging="106"/>
        <w:jc w:val="left"/>
      </w:pPr>
      <w:r>
        <w:rPr/>
        <w:t>（</w:t>
      </w:r>
      <w:r>
        <w:rPr>
          <w:rFonts w:ascii="Times New Roman" w:hAnsi="Times New Roman" w:cs="Times New Roman" w:eastAsia="Times New Roman" w:hint="default"/>
        </w:rPr>
        <w:t>1</w:t>
      </w:r>
      <w:r>
        <w:rPr/>
        <w:t>）亏损合同</w:t>
      </w:r>
      <w:r>
        <w:rPr>
          <w:w w:val="100"/>
        </w:rPr>
        <w:t> </w:t>
      </w:r>
      <w:r>
        <w:rPr>
          <w:spacing w:val="-2"/>
        </w:rPr>
        <w:t>亏损合同是履行合同义务不可避免会发生的成本超过预期经济利益的合同。待执行合同变成亏损合同，</w:t>
      </w:r>
    </w:p>
    <w:p>
      <w:pPr>
        <w:pStyle w:val="BodyText"/>
        <w:spacing w:line="408" w:lineRule="auto" w:before="37"/>
        <w:ind w:left="213" w:right="1126"/>
        <w:jc w:val="both"/>
      </w:pPr>
      <w:r>
        <w:rPr>
          <w:spacing w:val="-2"/>
        </w:rPr>
        <w:t>且该亏损合同产生的义务满足上述预计负债的确认条件的，将合同预计损失超过合同标的资产已确认的减</w:t>
      </w:r>
      <w:r>
        <w:rPr>
          <w:spacing w:val="-43"/>
        </w:rPr>
        <w:t> </w:t>
      </w:r>
      <w:r>
        <w:rPr>
          <w:spacing w:val="-43"/>
        </w:rPr>
      </w:r>
      <w:r>
        <w:rPr/>
        <w:t>值损失（如有）的部分，确认为预计负债。</w:t>
      </w:r>
    </w:p>
    <w:p>
      <w:pPr>
        <w:pStyle w:val="BodyText"/>
        <w:spacing w:line="420" w:lineRule="auto" w:before="87"/>
        <w:ind w:left="633" w:right="953" w:hanging="106"/>
        <w:jc w:val="left"/>
      </w:pPr>
      <w:r>
        <w:rPr/>
        <w:t>（</w:t>
      </w:r>
      <w:r>
        <w:rPr>
          <w:rFonts w:ascii="Times New Roman" w:hAnsi="Times New Roman" w:cs="Times New Roman" w:eastAsia="Times New Roman" w:hint="default"/>
        </w:rPr>
        <w:t>2</w:t>
      </w:r>
      <w:r>
        <w:rPr/>
        <w:t>）重组义务</w:t>
      </w:r>
      <w:r>
        <w:rPr>
          <w:w w:val="100"/>
        </w:rPr>
        <w:t> </w:t>
      </w:r>
      <w:r>
        <w:rPr>
          <w:spacing w:val="-2"/>
        </w:rPr>
        <w:t>对于有详细、正式并且已经对外公告的重组计划，在满足前述预计负债的确认条件的情况下，按照与</w:t>
      </w:r>
    </w:p>
    <w:p>
      <w:pPr>
        <w:pStyle w:val="BodyText"/>
        <w:spacing w:line="240" w:lineRule="auto" w:before="36"/>
        <w:ind w:left="213" w:right="0"/>
        <w:jc w:val="both"/>
      </w:pPr>
      <w:r>
        <w:rPr/>
        <w:t>重组有关的直接支出确定预计负债金额。对于出售部分业务的重组义务，只有在本公司承诺出售部分业务</w:t>
      </w:r>
    </w:p>
    <w:p>
      <w:pPr>
        <w:spacing w:line="240" w:lineRule="auto" w:before="10"/>
        <w:rPr>
          <w:rFonts w:ascii="宋体" w:hAnsi="宋体" w:cs="宋体" w:eastAsia="宋体" w:hint="default"/>
          <w:sz w:val="14"/>
          <w:szCs w:val="14"/>
        </w:rPr>
      </w:pPr>
    </w:p>
    <w:p>
      <w:pPr>
        <w:pStyle w:val="BodyText"/>
        <w:spacing w:line="240" w:lineRule="auto"/>
        <w:ind w:left="107" w:right="953"/>
        <w:jc w:val="left"/>
      </w:pPr>
      <w:r>
        <w:rPr>
          <w:w w:val="100"/>
        </w:rPr>
        <w:t>（即</w:t>
      </w:r>
      <w:r>
        <w:rPr>
          <w:spacing w:val="-3"/>
          <w:w w:val="100"/>
        </w:rPr>
        <w:t>签</w:t>
      </w:r>
      <w:r>
        <w:rPr>
          <w:w w:val="100"/>
        </w:rPr>
        <w:t>订</w:t>
      </w:r>
      <w:r>
        <w:rPr>
          <w:spacing w:val="-3"/>
          <w:w w:val="100"/>
        </w:rPr>
        <w:t>了</w:t>
      </w:r>
      <w:r>
        <w:rPr>
          <w:w w:val="100"/>
        </w:rPr>
        <w:t>约</w:t>
      </w:r>
      <w:r>
        <w:rPr>
          <w:spacing w:val="-3"/>
          <w:w w:val="100"/>
        </w:rPr>
        <w:t>束</w:t>
      </w:r>
      <w:r>
        <w:rPr>
          <w:w w:val="100"/>
        </w:rPr>
        <w:t>性</w:t>
      </w:r>
      <w:r>
        <w:rPr>
          <w:spacing w:val="-3"/>
          <w:w w:val="100"/>
        </w:rPr>
        <w:t>出</w:t>
      </w:r>
      <w:r>
        <w:rPr>
          <w:w w:val="100"/>
        </w:rPr>
        <w:t>售</w:t>
      </w:r>
      <w:r>
        <w:rPr>
          <w:spacing w:val="-3"/>
          <w:w w:val="100"/>
        </w:rPr>
        <w:t>协议</w:t>
      </w:r>
      <w:r>
        <w:rPr>
          <w:w w:val="100"/>
        </w:rPr>
        <w:t>时</w:t>
      </w:r>
      <w:r>
        <w:rPr>
          <w:spacing w:val="-106"/>
          <w:w w:val="100"/>
        </w:rPr>
        <w:t>）</w:t>
      </w:r>
      <w:r>
        <w:rPr>
          <w:spacing w:val="-3"/>
          <w:w w:val="100"/>
        </w:rPr>
        <w:t>，</w:t>
      </w:r>
      <w:r>
        <w:rPr>
          <w:w w:val="100"/>
        </w:rPr>
        <w:t>才</w:t>
      </w:r>
      <w:r>
        <w:rPr>
          <w:spacing w:val="-3"/>
          <w:w w:val="100"/>
        </w:rPr>
        <w:t>确</w:t>
      </w:r>
      <w:r>
        <w:rPr>
          <w:w w:val="100"/>
        </w:rPr>
        <w:t>认</w:t>
      </w:r>
      <w:r>
        <w:rPr>
          <w:spacing w:val="-3"/>
          <w:w w:val="100"/>
        </w:rPr>
        <w:t>与</w:t>
      </w:r>
      <w:r>
        <w:rPr>
          <w:w w:val="100"/>
        </w:rPr>
        <w:t>重</w:t>
      </w:r>
      <w:r>
        <w:rPr>
          <w:spacing w:val="-3"/>
          <w:w w:val="100"/>
        </w:rPr>
        <w:t>组</w:t>
      </w:r>
      <w:r>
        <w:rPr>
          <w:w w:val="100"/>
        </w:rPr>
        <w:t>相</w:t>
      </w:r>
      <w:r>
        <w:rPr>
          <w:spacing w:val="-3"/>
          <w:w w:val="100"/>
        </w:rPr>
        <w:t>关的</w:t>
      </w:r>
      <w:r>
        <w:rPr>
          <w:w w:val="100"/>
        </w:rPr>
        <w:t>义务。</w:t>
      </w:r>
    </w:p>
    <w:p>
      <w:pPr>
        <w:spacing w:line="240" w:lineRule="auto" w:before="0"/>
        <w:rPr>
          <w:rFonts w:ascii="宋体" w:hAnsi="宋体" w:cs="宋体" w:eastAsia="宋体" w:hint="default"/>
          <w:sz w:val="20"/>
          <w:szCs w:val="20"/>
        </w:rPr>
      </w:pPr>
    </w:p>
    <w:p>
      <w:pPr>
        <w:pStyle w:val="Heading4"/>
        <w:spacing w:line="240" w:lineRule="auto" w:before="152"/>
        <w:ind w:left="213"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left="633" w:right="953" w:hanging="106"/>
        <w:jc w:val="left"/>
      </w:pPr>
      <w:r>
        <w:rPr/>
        <w:t>（</w:t>
      </w:r>
      <w:r>
        <w:rPr>
          <w:rFonts w:ascii="Times New Roman" w:hAnsi="Times New Roman" w:cs="Times New Roman" w:eastAsia="Times New Roman" w:hint="default"/>
        </w:rPr>
        <w:t>1</w:t>
      </w:r>
      <w:r>
        <w:rPr/>
        <w:t>）股份支付的会计处理方法</w:t>
      </w:r>
      <w:r>
        <w:rPr>
          <w:w w:val="100"/>
        </w:rPr>
        <w:t> </w:t>
      </w:r>
      <w:r>
        <w:rPr>
          <w:spacing w:val="2"/>
        </w:rPr>
        <w:t>股份支付是为了获取职工或其他方提供服务而授予权益工具或者承担以权益工具为基础确定的负债</w:t>
      </w:r>
    </w:p>
    <w:p>
      <w:pPr>
        <w:pStyle w:val="BodyText"/>
        <w:spacing w:line="240" w:lineRule="auto" w:before="35"/>
        <w:ind w:left="213" w:right="0"/>
        <w:jc w:val="both"/>
      </w:pPr>
      <w:r>
        <w:rPr/>
        <w:t>的交易。股份支付分为以权益结算的股份支付和以现金结算的股份支付。</w:t>
      </w:r>
    </w:p>
    <w:p>
      <w:pPr>
        <w:spacing w:line="240" w:lineRule="auto" w:before="12"/>
        <w:rPr>
          <w:rFonts w:ascii="宋体" w:hAnsi="宋体" w:cs="宋体" w:eastAsia="宋体" w:hint="default"/>
          <w:sz w:val="17"/>
          <w:szCs w:val="17"/>
        </w:rPr>
      </w:pPr>
    </w:p>
    <w:p>
      <w:pPr>
        <w:pStyle w:val="BodyText"/>
        <w:spacing w:line="441" w:lineRule="auto"/>
        <w:ind w:left="633" w:right="953"/>
        <w:jc w:val="left"/>
      </w:pPr>
      <w:r>
        <w:rPr/>
        <w:t>①</w:t>
      </w:r>
      <w:r>
        <w:rPr>
          <w:spacing w:val="-1"/>
        </w:rPr>
        <w:t> </w:t>
      </w:r>
      <w:r>
        <w:rPr/>
        <w:t>以权益结算的股份支付</w:t>
      </w:r>
      <w:r>
        <w:rPr>
          <w:w w:val="100"/>
        </w:rPr>
        <w:t> </w:t>
      </w:r>
      <w:r>
        <w:rPr>
          <w:spacing w:val="-2"/>
        </w:rPr>
        <w:t>用以换取职工提供的服务的权益结算的股份支付，以授予职工权益工具在授予日的公允价值计量。该</w:t>
      </w:r>
    </w:p>
    <w:p>
      <w:pPr>
        <w:pStyle w:val="BodyText"/>
        <w:spacing w:line="398" w:lineRule="auto" w:before="16"/>
        <w:ind w:left="213" w:right="1126"/>
        <w:jc w:val="both"/>
      </w:pPr>
      <w:r>
        <w:rPr>
          <w:spacing w:val="-2"/>
        </w:rPr>
        <w:t>公允价值的金额在完成等待期内的服务或达到规定业绩条件才可行权的情况下，在等待期内以对可行权权</w:t>
      </w:r>
      <w:r>
        <w:rPr>
          <w:spacing w:val="-43"/>
        </w:rPr>
        <w:t> </w:t>
      </w:r>
      <w:r>
        <w:rPr>
          <w:spacing w:val="-43"/>
        </w:rPr>
      </w:r>
      <w:r>
        <w:rPr>
          <w:spacing w:val="-4"/>
        </w:rPr>
        <w:t>益工具数量的最佳估计为基础，按直线法计算计入相关成本或费用</w:t>
      </w:r>
      <w:r>
        <w:rPr>
          <w:rFonts w:ascii="Times New Roman" w:hAnsi="Times New Roman" w:cs="Times New Roman" w:eastAsia="Times New Roman" w:hint="default"/>
          <w:spacing w:val="-4"/>
        </w:rPr>
        <w:t>/</w:t>
      </w:r>
      <w:r>
        <w:rPr>
          <w:spacing w:val="-4"/>
        </w:rPr>
        <w:t>在授予后立即可行权时，在授予日计入</w:t>
      </w:r>
      <w:r>
        <w:rPr>
          <w:spacing w:val="-5"/>
        </w:rPr>
        <w:t> </w:t>
      </w:r>
      <w:r>
        <w:rPr>
          <w:spacing w:val="-5"/>
        </w:rPr>
      </w:r>
      <w:r>
        <w:rPr/>
        <w:t>相关成本或费用，相应增加资本公积。</w:t>
      </w:r>
    </w:p>
    <w:p>
      <w:pPr>
        <w:pStyle w:val="BodyText"/>
        <w:spacing w:line="408" w:lineRule="auto" w:before="95"/>
        <w:ind w:left="213" w:right="953" w:firstLine="420"/>
        <w:jc w:val="left"/>
      </w:pPr>
      <w:r>
        <w:rPr>
          <w:spacing w:val="-2"/>
        </w:rPr>
        <w:t>在等待期内每个资产负债表日，本公司根据最新取得的可行权职工人数变动等后续信息做出最佳估计，</w:t>
      </w:r>
      <w:r>
        <w:rPr>
          <w:w w:val="100"/>
        </w:rPr>
        <w:t> </w:t>
      </w:r>
      <w:r>
        <w:rPr/>
        <w:t>修正预计可行权的权益工具数量。上述估计的影响计入当期相关成本或费用，并相应调整资本公积。</w:t>
      </w:r>
    </w:p>
    <w:p>
      <w:pPr>
        <w:pStyle w:val="BodyText"/>
        <w:spacing w:line="408" w:lineRule="auto" w:before="84"/>
        <w:ind w:left="213" w:right="1126" w:firstLine="420"/>
        <w:jc w:val="both"/>
      </w:pPr>
      <w:r>
        <w:rPr>
          <w:spacing w:val="-2"/>
        </w:rPr>
        <w:t>用以换取其他方服务的权益结算的股份支付，如果其他方服务的公允价值能够可靠计量，按照其他方</w:t>
      </w:r>
      <w:r>
        <w:rPr>
          <w:w w:val="100"/>
        </w:rPr>
        <w:t> </w:t>
      </w:r>
      <w:r>
        <w:rPr>
          <w:spacing w:val="-2"/>
        </w:rPr>
        <w:t>服务在取得日的公允价值计量，如果其他方服务的公允价值不能可靠计量，但权益工具的公允价值能够可</w:t>
      </w:r>
      <w:r>
        <w:rPr>
          <w:spacing w:val="-42"/>
        </w:rPr>
        <w:t> </w:t>
      </w:r>
      <w:r>
        <w:rPr>
          <w:spacing w:val="-42"/>
        </w:rPr>
      </w:r>
      <w:r>
        <w:rPr/>
        <w:t>靠计量的，按照权益工具在服务取得日的公允价值计量，计入相关成本或费用，相应增加股东权益。</w:t>
      </w:r>
    </w:p>
    <w:p>
      <w:pPr>
        <w:pStyle w:val="BodyText"/>
        <w:spacing w:line="444" w:lineRule="auto" w:before="87"/>
        <w:ind w:left="633" w:right="953"/>
        <w:jc w:val="left"/>
      </w:pPr>
      <w:r>
        <w:rPr/>
        <w:t>②</w:t>
      </w:r>
      <w:r>
        <w:rPr>
          <w:spacing w:val="-1"/>
        </w:rPr>
        <w:t> </w:t>
      </w:r>
      <w:r>
        <w:rPr/>
        <w:t>以现金结算的股份支付</w:t>
      </w:r>
      <w:r>
        <w:rPr>
          <w:w w:val="100"/>
        </w:rPr>
        <w:t> </w:t>
      </w:r>
      <w:r>
        <w:rPr>
          <w:spacing w:val="-2"/>
        </w:rPr>
        <w:t>以现金结算的股份支付，按照本公司承担的以股份或其他权益工具为基础确定的负债的公允价值计量。</w:t>
      </w:r>
    </w:p>
    <w:p>
      <w:pPr>
        <w:pStyle w:val="BodyText"/>
        <w:spacing w:line="408" w:lineRule="auto" w:before="14"/>
        <w:ind w:left="213" w:right="1126"/>
        <w:jc w:val="both"/>
      </w:pPr>
      <w:r>
        <w:rPr>
          <w:spacing w:val="-2"/>
        </w:rPr>
        <w:t>如授予后立即可行权，在授予日计入相关成本或费用，相应增加负债；如须完成等待期内的服务或达到规</w:t>
      </w:r>
      <w:r>
        <w:rPr>
          <w:spacing w:val="-44"/>
        </w:rPr>
        <w:t> </w:t>
      </w:r>
      <w:r>
        <w:rPr>
          <w:spacing w:val="-44"/>
        </w:rPr>
      </w:r>
      <w:r>
        <w:rPr>
          <w:spacing w:val="-2"/>
        </w:rPr>
        <w:t>定业绩条件以后才可行权，在等待期的每个资产负债表日，以对可行权情况的最佳估计为基础，按照本公</w:t>
      </w:r>
    </w:p>
    <w:p>
      <w:pPr>
        <w:spacing w:after="0" w:line="408" w:lineRule="auto"/>
        <w:jc w:val="both"/>
        <w:sectPr>
          <w:pgSz w:w="11910" w:h="16840"/>
          <w:pgMar w:header="906" w:footer="1079" w:top="1100" w:bottom="1260" w:left="920" w:right="0"/>
        </w:sectPr>
      </w:pPr>
    </w:p>
    <w:p>
      <w:pPr>
        <w:spacing w:line="240" w:lineRule="auto" w:before="9"/>
        <w:rPr>
          <w:rFonts w:ascii="宋体" w:hAnsi="宋体" w:cs="宋体" w:eastAsia="宋体" w:hint="default"/>
          <w:sz w:val="27"/>
          <w:szCs w:val="27"/>
        </w:rPr>
      </w:pPr>
    </w:p>
    <w:p>
      <w:pPr>
        <w:pStyle w:val="BodyText"/>
        <w:spacing w:line="444" w:lineRule="auto" w:before="36"/>
        <w:ind w:left="533" w:right="0" w:hanging="420"/>
        <w:jc w:val="left"/>
      </w:pPr>
      <w:r>
        <w:rPr/>
        <w:t>司承担负债的公允价值金额，将当期取得的服务计入成本或费用，相应增加负债。</w:t>
      </w:r>
      <w:r>
        <w:rPr>
          <w:w w:val="100"/>
        </w:rPr>
        <w:t> </w:t>
      </w:r>
      <w:r>
        <w:rPr>
          <w:spacing w:val="-2"/>
        </w:rPr>
        <w:t>在相关负债结算前的每个资产负债表日以及结算日，对负债的公允价值重新计量，其变动计入当期损</w:t>
      </w:r>
    </w:p>
    <w:p>
      <w:pPr>
        <w:pStyle w:val="BodyText"/>
        <w:spacing w:line="240" w:lineRule="auto" w:before="14"/>
        <w:ind w:right="0"/>
        <w:jc w:val="both"/>
      </w:pPr>
      <w:r>
        <w:rPr/>
        <w:t>益。</w:t>
      </w:r>
    </w:p>
    <w:p>
      <w:pPr>
        <w:spacing w:line="240" w:lineRule="auto" w:before="9"/>
        <w:rPr>
          <w:rFonts w:ascii="宋体" w:hAnsi="宋体" w:cs="宋体" w:eastAsia="宋体" w:hint="default"/>
          <w:sz w:val="17"/>
          <w:szCs w:val="17"/>
        </w:rPr>
      </w:pPr>
    </w:p>
    <w:p>
      <w:pPr>
        <w:pStyle w:val="BodyText"/>
        <w:spacing w:line="420" w:lineRule="auto"/>
        <w:ind w:left="533" w:right="0" w:hanging="106"/>
        <w:jc w:val="left"/>
      </w:pPr>
      <w:r>
        <w:rPr/>
        <w:t>（</w:t>
      </w:r>
      <w:r>
        <w:rPr>
          <w:rFonts w:ascii="Times New Roman" w:hAnsi="Times New Roman" w:cs="Times New Roman" w:eastAsia="Times New Roman" w:hint="default"/>
        </w:rPr>
        <w:t>2</w:t>
      </w:r>
      <w:r>
        <w:rPr/>
        <w:t>）修改、终止股份支付计划的相关会计处理</w:t>
      </w:r>
      <w:r>
        <w:rPr>
          <w:w w:val="100"/>
        </w:rPr>
        <w:t> </w:t>
      </w:r>
      <w:r>
        <w:rPr>
          <w:spacing w:val="-2"/>
        </w:rPr>
        <w:t>本公司对股份支付计划进行修改时，若修改增加了所授予权益工具的公允价值，按照权益工具公允价</w:t>
      </w:r>
    </w:p>
    <w:p>
      <w:pPr>
        <w:pStyle w:val="BodyText"/>
        <w:spacing w:line="408" w:lineRule="auto" w:before="35"/>
        <w:ind w:right="1126"/>
        <w:jc w:val="both"/>
      </w:pPr>
      <w:r>
        <w:rPr>
          <w:spacing w:val="-2"/>
        </w:rPr>
        <w:t>值的增加相应确认取得服务的增加。权益工具公允价值的增加是指修改前后的权益工具在修改日的公允价</w:t>
      </w:r>
      <w:r>
        <w:rPr>
          <w:spacing w:val="-43"/>
        </w:rPr>
        <w:t> </w:t>
      </w:r>
      <w:r>
        <w:rPr>
          <w:spacing w:val="-43"/>
        </w:rPr>
      </w:r>
      <w:r>
        <w:rPr>
          <w:spacing w:val="-2"/>
        </w:rPr>
        <w:t>值之间的差额。若修改减少了股份支付公允价值总额或采用了其他不利于职工的方式，则仍继续对取得的</w:t>
      </w:r>
      <w:r>
        <w:rPr>
          <w:spacing w:val="-42"/>
        </w:rPr>
        <w:t> </w:t>
      </w:r>
      <w:r>
        <w:rPr>
          <w:spacing w:val="-42"/>
        </w:rPr>
      </w:r>
      <w:r>
        <w:rPr/>
        <w:t>服务进行会计处理，视同该变更从未发生，除非本公司取消了部分或全部已授予的权益工具。</w:t>
      </w:r>
    </w:p>
    <w:p>
      <w:pPr>
        <w:pStyle w:val="BodyText"/>
        <w:spacing w:line="408" w:lineRule="auto" w:before="87"/>
        <w:ind w:right="1126" w:firstLine="420"/>
        <w:jc w:val="both"/>
      </w:pPr>
      <w:r>
        <w:rPr>
          <w:spacing w:val="-2"/>
        </w:rPr>
        <w:t>在等待期内，如果取消了授予的权益工具，本公司对取消所授予的权益性工具作为加速行权处理，将</w:t>
      </w:r>
      <w:r>
        <w:rPr>
          <w:w w:val="100"/>
        </w:rPr>
        <w:t> </w:t>
      </w:r>
      <w:r>
        <w:rPr>
          <w:spacing w:val="-2"/>
        </w:rPr>
        <w:t>剩余等待期内应确认的金额立即计入当期损益，同时确认资本公积。职工或其他方能够选择满足非可行权</w:t>
      </w:r>
      <w:r>
        <w:rPr>
          <w:spacing w:val="-44"/>
        </w:rPr>
        <w:t> </w:t>
      </w:r>
      <w:r>
        <w:rPr>
          <w:spacing w:val="-44"/>
        </w:rPr>
      </w:r>
      <w:r>
        <w:rPr/>
        <w:t>条件但在等待期内未满足的，本公司将其作为授予权益工具的取消处理。</w:t>
      </w:r>
    </w:p>
    <w:p>
      <w:pPr>
        <w:pStyle w:val="BodyText"/>
        <w:spacing w:line="420" w:lineRule="auto" w:before="84"/>
        <w:ind w:left="533" w:right="0" w:hanging="106"/>
        <w:jc w:val="left"/>
      </w:pPr>
      <w:r>
        <w:rPr/>
        <w:t>（</w:t>
      </w:r>
      <w:r>
        <w:rPr>
          <w:rFonts w:ascii="Times New Roman" w:hAnsi="Times New Roman" w:cs="Times New Roman" w:eastAsia="Times New Roman" w:hint="default"/>
        </w:rPr>
        <w:t>3</w:t>
      </w:r>
      <w:r>
        <w:rPr/>
        <w:t>）涉及本公司与本公司股东或实际控制人的股份支付交易的会计处理</w:t>
      </w:r>
      <w:r>
        <w:rPr>
          <w:w w:val="100"/>
        </w:rPr>
        <w:t> </w:t>
      </w:r>
      <w:r>
        <w:rPr>
          <w:spacing w:val="-2"/>
        </w:rPr>
        <w:t>涉及本公司与本公司股东或实际控制人的股份支付交易，结算企业与接受服务企业中其一在本公司内，</w:t>
      </w:r>
    </w:p>
    <w:p>
      <w:pPr>
        <w:pStyle w:val="BodyText"/>
        <w:spacing w:line="240" w:lineRule="auto" w:before="35"/>
        <w:ind w:right="0"/>
        <w:jc w:val="both"/>
      </w:pPr>
      <w:r>
        <w:rPr/>
        <w:t>另一在本公司外的，在本公司合并财务报表中按照以下规定进行会计处理：</w:t>
      </w:r>
    </w:p>
    <w:p>
      <w:pPr>
        <w:spacing w:line="240" w:lineRule="auto" w:before="12"/>
        <w:rPr>
          <w:rFonts w:ascii="宋体" w:hAnsi="宋体" w:cs="宋体" w:eastAsia="宋体" w:hint="default"/>
          <w:sz w:val="17"/>
          <w:szCs w:val="17"/>
        </w:rPr>
      </w:pPr>
    </w:p>
    <w:p>
      <w:pPr>
        <w:pStyle w:val="BodyText"/>
        <w:spacing w:line="408" w:lineRule="auto"/>
        <w:ind w:right="1128" w:firstLine="420"/>
        <w:jc w:val="both"/>
      </w:pPr>
      <w:r>
        <w:rPr/>
        <w:t>①</w:t>
      </w:r>
      <w:r>
        <w:rPr>
          <w:spacing w:val="65"/>
        </w:rPr>
        <w:t> </w:t>
      </w:r>
      <w:r>
        <w:rPr>
          <w:spacing w:val="-5"/>
        </w:rPr>
        <w:t>结算企业以其本身权益工具结算的，将该股份支付交易作为权益结算的股份支付处理；除此之外，</w:t>
      </w:r>
      <w:r>
        <w:rPr>
          <w:w w:val="100"/>
        </w:rPr>
        <w:t> </w:t>
      </w:r>
      <w:r>
        <w:rPr/>
        <w:t>作为现金结算的股份支付处理。</w:t>
      </w:r>
    </w:p>
    <w:p>
      <w:pPr>
        <w:pStyle w:val="BodyText"/>
        <w:spacing w:line="408" w:lineRule="auto" w:before="84"/>
        <w:ind w:right="1126" w:firstLine="420"/>
        <w:jc w:val="both"/>
      </w:pPr>
      <w:r>
        <w:rPr>
          <w:spacing w:val="-2"/>
        </w:rPr>
        <w:t>结算企业是接受服务企业的投资者的，按照授予日权益工具的公允价值或应承担负债的公允价值确认</w:t>
      </w:r>
      <w:r>
        <w:rPr>
          <w:w w:val="100"/>
        </w:rPr>
        <w:t> </w:t>
      </w:r>
      <w:r>
        <w:rPr/>
        <w:t>为对接受服务企业的长期股权投资，同时确认资本公积（其他资本公积）或负债。</w:t>
      </w:r>
    </w:p>
    <w:p>
      <w:pPr>
        <w:pStyle w:val="BodyText"/>
        <w:spacing w:line="408" w:lineRule="auto" w:before="87"/>
        <w:ind w:right="1126" w:firstLine="420"/>
        <w:jc w:val="both"/>
      </w:pPr>
      <w:r>
        <w:rPr/>
        <w:t>②</w:t>
      </w:r>
      <w:r>
        <w:rPr>
          <w:spacing w:val="67"/>
        </w:rPr>
        <w:t> </w:t>
      </w:r>
      <w:r>
        <w:rPr/>
        <w:t>接受服务企业没有结算义务或授予本企业职工的是其本身权益工具的，将该股份支付交易作为权</w:t>
      </w:r>
      <w:r>
        <w:rPr>
          <w:w w:val="100"/>
        </w:rPr>
        <w:t> </w:t>
      </w:r>
      <w:r>
        <w:rPr>
          <w:spacing w:val="-2"/>
        </w:rPr>
        <w:t>益结算的股份支付处理；接受服务企业具有结算义务且授予本企业职工的并非其本身权益工具的，将该股</w:t>
      </w:r>
      <w:r>
        <w:rPr>
          <w:spacing w:val="-43"/>
        </w:rPr>
        <w:t> </w:t>
      </w:r>
      <w:r>
        <w:rPr>
          <w:spacing w:val="-43"/>
        </w:rPr>
      </w:r>
      <w:r>
        <w:rPr/>
        <w:t>份支付交易作为现金结算的股份支付处理。</w:t>
      </w:r>
    </w:p>
    <w:p>
      <w:pPr>
        <w:pStyle w:val="BodyText"/>
        <w:spacing w:line="408" w:lineRule="auto" w:before="87"/>
        <w:ind w:right="1126" w:firstLine="420"/>
        <w:jc w:val="both"/>
      </w:pPr>
      <w:r>
        <w:rPr>
          <w:spacing w:val="-2"/>
        </w:rPr>
        <w:t>本公司内各企业之间发生的股份支付交易，接受服务企业和结算企业不是同一企业的，在接受服务企</w:t>
      </w:r>
      <w:r>
        <w:rPr>
          <w:w w:val="100"/>
        </w:rPr>
        <w:t> </w:t>
      </w:r>
      <w:r>
        <w:rPr/>
        <w:t>业和结算企业各自的个别财务报表中对该股份支付交易的确认和计量，比照上述原则处理。</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5"/>
        <w:rPr>
          <w:rFonts w:ascii="宋体" w:hAnsi="宋体" w:cs="宋体" w:eastAsia="宋体" w:hint="default"/>
          <w:b/>
          <w:bCs/>
          <w:sz w:val="32"/>
          <w:szCs w:val="32"/>
        </w:rPr>
      </w:pPr>
    </w:p>
    <w:p>
      <w:pPr>
        <w:spacing w:line="434" w:lineRule="auto" w:before="0"/>
        <w:ind w:left="113" w:right="7681" w:firstLine="0"/>
        <w:jc w:val="left"/>
        <w:rPr>
          <w:rFonts w:ascii="宋体" w:hAnsi="宋体" w:cs="宋体" w:eastAsia="宋体" w:hint="default"/>
          <w:sz w:val="18"/>
          <w:szCs w:val="18"/>
        </w:rPr>
      </w:pPr>
      <w:r>
        <w:rPr>
          <w:rFonts w:ascii="宋体" w:hAnsi="宋体" w:cs="宋体" w:eastAsia="宋体" w:hint="default"/>
          <w:b/>
          <w:bCs/>
          <w:sz w:val="18"/>
          <w:szCs w:val="18"/>
        </w:rPr>
        <w:t>公司是否需要遵守特殊行业的披露要求</w:t>
      </w:r>
      <w:r>
        <w:rPr>
          <w:rFonts w:ascii="宋体" w:hAnsi="宋体" w:cs="宋体" w:eastAsia="宋体" w:hint="default"/>
          <w:b/>
          <w:bCs/>
          <w:w w:val="99"/>
          <w:sz w:val="18"/>
          <w:szCs w:val="18"/>
        </w:rPr>
        <w:t> </w:t>
      </w:r>
      <w:r>
        <w:rPr>
          <w:rFonts w:ascii="宋体" w:hAnsi="宋体" w:cs="宋体" w:eastAsia="宋体" w:hint="default"/>
          <w:sz w:val="18"/>
          <w:szCs w:val="18"/>
        </w:rPr>
        <w:t>是</w:t>
      </w:r>
    </w:p>
    <w:p>
      <w:pPr>
        <w:spacing w:line="207" w:lineRule="exact"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零售相关业</w:t>
      </w:r>
    </w:p>
    <w:p>
      <w:pPr>
        <w:spacing w:after="0" w:line="207" w:lineRule="exact"/>
        <w:jc w:val="both"/>
        <w:rPr>
          <w:rFonts w:ascii="宋体" w:hAnsi="宋体" w:cs="宋体" w:eastAsia="宋体" w:hint="default"/>
          <w:sz w:val="18"/>
          <w:szCs w:val="18"/>
        </w:rPr>
        <w:sectPr>
          <w:pgSz w:w="11910" w:h="16840"/>
          <w:pgMar w:header="906" w:footer="1079" w:top="1100" w:bottom="1260" w:left="1020" w:right="0"/>
        </w:sectPr>
      </w:pPr>
    </w:p>
    <w:p>
      <w:pPr>
        <w:spacing w:line="240" w:lineRule="auto" w:before="10"/>
        <w:rPr>
          <w:rFonts w:ascii="宋体" w:hAnsi="宋体" w:cs="宋体" w:eastAsia="宋体" w:hint="default"/>
          <w:sz w:val="22"/>
          <w:szCs w:val="22"/>
        </w:rPr>
      </w:pPr>
    </w:p>
    <w:p>
      <w:pPr>
        <w:spacing w:before="44"/>
        <w:ind w:left="113"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上市公司从事零售相关业务》的披露要求</w:t>
      </w:r>
    </w:p>
    <w:p>
      <w:pPr>
        <w:pStyle w:val="BodyText"/>
        <w:spacing w:line="417" w:lineRule="auto" w:before="160"/>
        <w:ind w:left="533" w:right="0" w:hanging="106"/>
        <w:jc w:val="left"/>
      </w:pPr>
      <w:r>
        <w:rPr/>
        <w:t>（</w:t>
      </w:r>
      <w:r>
        <w:rPr>
          <w:rFonts w:ascii="Times New Roman" w:hAnsi="Times New Roman" w:cs="Times New Roman" w:eastAsia="Times New Roman" w:hint="default"/>
        </w:rPr>
        <w:t>1</w:t>
      </w:r>
      <w:r>
        <w:rPr/>
        <w:t>）销售商品</w:t>
      </w:r>
      <w:r>
        <w:rPr>
          <w:w w:val="100"/>
        </w:rPr>
        <w:t> </w:t>
      </w:r>
      <w:r>
        <w:rPr>
          <w:spacing w:val="-2"/>
        </w:rPr>
        <w:t>本公司销售的商品在同时满足下列条件时，按从购货方已收或应收的合同或协议价款的金额确认销售</w:t>
      </w:r>
    </w:p>
    <w:p>
      <w:pPr>
        <w:pStyle w:val="BodyText"/>
        <w:spacing w:line="408" w:lineRule="auto" w:before="37"/>
        <w:ind w:right="1126"/>
        <w:jc w:val="both"/>
      </w:pPr>
      <w:r>
        <w:rPr>
          <w:spacing w:val="-2"/>
        </w:rPr>
        <w:t>商品收入：①已将商品所有权上的主要风险和报酬转移给购货方；②既没有保留通常与所有权相联系的继</w:t>
      </w:r>
      <w:r>
        <w:rPr>
          <w:spacing w:val="-42"/>
        </w:rPr>
        <w:t> </w:t>
      </w:r>
      <w:r>
        <w:rPr>
          <w:spacing w:val="-42"/>
        </w:rPr>
      </w:r>
      <w:r>
        <w:rPr>
          <w:spacing w:val="-2"/>
        </w:rPr>
        <w:t>续管理权，也没有对已售出的商品实施有效控制；③收入的金额能够可靠地计量；④相关的经济利益很可</w:t>
      </w:r>
      <w:r>
        <w:rPr>
          <w:spacing w:val="-44"/>
        </w:rPr>
        <w:t> </w:t>
      </w:r>
      <w:r>
        <w:rPr>
          <w:spacing w:val="-44"/>
        </w:rPr>
      </w:r>
      <w:r>
        <w:rPr/>
        <w:t>能流入企业；⑤相关的已发生或将发生的成本能够可靠地计量。</w:t>
      </w:r>
    </w:p>
    <w:p>
      <w:pPr>
        <w:pStyle w:val="BodyText"/>
        <w:spacing w:line="420" w:lineRule="auto" w:before="87"/>
        <w:ind w:left="533" w:right="0" w:hanging="106"/>
        <w:jc w:val="left"/>
      </w:pPr>
      <w:r>
        <w:rPr/>
        <w:t>（</w:t>
      </w:r>
      <w:r>
        <w:rPr>
          <w:rFonts w:ascii="Times New Roman" w:hAnsi="Times New Roman" w:cs="Times New Roman" w:eastAsia="Times New Roman" w:hint="default"/>
        </w:rPr>
        <w:t>2</w:t>
      </w:r>
      <w:r>
        <w:rPr/>
        <w:t>）提供劳务</w:t>
      </w:r>
      <w:r>
        <w:rPr>
          <w:w w:val="100"/>
        </w:rPr>
        <w:t> </w:t>
      </w:r>
      <w:r>
        <w:rPr>
          <w:spacing w:val="-2"/>
        </w:rPr>
        <w:t>在同一年度内开始并完成的劳务，应当在完成劳务时确认收入。如劳务的开始和完成分属不同的会计</w:t>
      </w:r>
    </w:p>
    <w:p>
      <w:pPr>
        <w:pStyle w:val="BodyText"/>
        <w:spacing w:line="408" w:lineRule="auto" w:before="36"/>
        <w:ind w:right="1126"/>
        <w:jc w:val="both"/>
      </w:pPr>
      <w:r>
        <w:rPr>
          <w:spacing w:val="-2"/>
        </w:rPr>
        <w:t>年度，在提供劳务交易的结果能够可靠估计的情况下，公司于资产负债表日按完工百分比法确认相关的劳</w:t>
      </w:r>
      <w:r>
        <w:rPr>
          <w:spacing w:val="-43"/>
        </w:rPr>
        <w:t> </w:t>
      </w:r>
      <w:r>
        <w:rPr>
          <w:spacing w:val="-43"/>
        </w:rPr>
      </w:r>
      <w:r>
        <w:rPr>
          <w:spacing w:val="-2"/>
        </w:rPr>
        <w:t>务收入。如提供劳务交易的结果不能够可靠估计且已经发生的劳务成本预计能够得到补偿的，按已经发生</w:t>
      </w:r>
      <w:r>
        <w:rPr>
          <w:spacing w:val="-44"/>
        </w:rPr>
        <w:t> </w:t>
      </w:r>
      <w:r>
        <w:rPr>
          <w:spacing w:val="-44"/>
        </w:rPr>
      </w:r>
      <w:r>
        <w:rPr>
          <w:spacing w:val="-2"/>
        </w:rPr>
        <w:t>的劳务成本金额确认收入，并按相同金额结转成本；发生的劳务成本预计不能够全部得到补偿的，按能够</w:t>
      </w:r>
      <w:r>
        <w:rPr>
          <w:spacing w:val="-45"/>
        </w:rPr>
        <w:t> </w:t>
      </w:r>
      <w:r>
        <w:rPr>
          <w:spacing w:val="-45"/>
        </w:rPr>
      </w:r>
      <w:r>
        <w:rPr>
          <w:spacing w:val="-2"/>
        </w:rPr>
        <w:t>得到补偿的劳务成本金额确认收入，并按已经发生的劳务成本作为当期费用；发生的劳务成本预计全部不</w:t>
      </w:r>
      <w:r>
        <w:rPr>
          <w:spacing w:val="-43"/>
        </w:rPr>
        <w:t> </w:t>
      </w:r>
      <w:r>
        <w:rPr>
          <w:spacing w:val="-43"/>
        </w:rPr>
      </w:r>
      <w:r>
        <w:rPr/>
        <w:t>能够得到补偿，应按已经发生的劳务成本作为当期费用，不确认收入。</w:t>
      </w:r>
    </w:p>
    <w:p>
      <w:pPr>
        <w:pStyle w:val="BodyText"/>
        <w:spacing w:line="420" w:lineRule="auto" w:before="84"/>
        <w:ind w:left="533" w:right="0" w:hanging="106"/>
        <w:jc w:val="left"/>
      </w:pPr>
      <w:r>
        <w:rPr/>
        <w:t>（</w:t>
      </w:r>
      <w:r>
        <w:rPr>
          <w:rFonts w:ascii="Times New Roman" w:hAnsi="Times New Roman" w:cs="Times New Roman" w:eastAsia="Times New Roman" w:hint="default"/>
        </w:rPr>
        <w:t>3</w:t>
      </w:r>
      <w:r>
        <w:rPr/>
        <w:t>）让渡资产使用权</w:t>
      </w:r>
      <w:r>
        <w:rPr>
          <w:spacing w:val="-103"/>
        </w:rPr>
        <w:t> </w:t>
      </w:r>
      <w:r>
        <w:rPr>
          <w:spacing w:val="-103"/>
        </w:rPr>
      </w:r>
      <w:r>
        <w:rPr>
          <w:spacing w:val="2"/>
        </w:rPr>
        <w:t>本公司在与让渡资产使用权相关的经济利益能够流入和收入的金额能够可靠的计量时确认让渡资产</w:t>
      </w:r>
    </w:p>
    <w:p>
      <w:pPr>
        <w:pStyle w:val="BodyText"/>
        <w:spacing w:line="240" w:lineRule="auto" w:before="35"/>
        <w:ind w:right="0"/>
        <w:jc w:val="both"/>
      </w:pPr>
      <w:r>
        <w:rPr/>
        <w:t>使用权收入。</w:t>
      </w:r>
    </w:p>
    <w:p>
      <w:pPr>
        <w:spacing w:line="240" w:lineRule="auto" w:before="12"/>
        <w:rPr>
          <w:rFonts w:ascii="宋体" w:hAnsi="宋体" w:cs="宋体" w:eastAsia="宋体" w:hint="default"/>
          <w:sz w:val="17"/>
          <w:szCs w:val="17"/>
        </w:rPr>
      </w:pPr>
    </w:p>
    <w:p>
      <w:pPr>
        <w:pStyle w:val="BodyText"/>
        <w:spacing w:line="408" w:lineRule="auto"/>
        <w:ind w:right="1126" w:firstLine="420"/>
        <w:jc w:val="both"/>
      </w:pPr>
      <w:r>
        <w:rPr>
          <w:spacing w:val="-2"/>
        </w:rPr>
        <w:t>利息收入按使用货币资金的使用时间和适用利率计算确定。使用费收入金额，按照有关合同或协议约</w:t>
      </w:r>
      <w:r>
        <w:rPr>
          <w:w w:val="100"/>
        </w:rPr>
        <w:t> </w:t>
      </w:r>
      <w:r>
        <w:rPr/>
        <w:t>定的收费时间和方法计算确定。</w:t>
      </w:r>
    </w:p>
    <w:p>
      <w:pPr>
        <w:pStyle w:val="BodyText"/>
        <w:spacing w:line="240" w:lineRule="auto" w:before="84"/>
        <w:ind w:left="427" w:right="0"/>
        <w:jc w:val="left"/>
      </w:pPr>
      <w:r>
        <w:rPr/>
        <w:t>（</w:t>
      </w:r>
      <w:r>
        <w:rPr>
          <w:rFonts w:ascii="Times New Roman" w:hAnsi="Times New Roman" w:cs="Times New Roman" w:eastAsia="Times New Roman" w:hint="default"/>
        </w:rPr>
        <w:t>4</w:t>
      </w:r>
      <w:r>
        <w:rPr/>
        <w:t>）公司确认收入的具体方式</w:t>
      </w:r>
    </w:p>
    <w:p>
      <w:pPr>
        <w:spacing w:line="240" w:lineRule="auto" w:before="9"/>
        <w:rPr>
          <w:rFonts w:ascii="宋体" w:hAnsi="宋体" w:cs="宋体" w:eastAsia="宋体" w:hint="default"/>
          <w:sz w:val="16"/>
          <w:szCs w:val="16"/>
        </w:rPr>
      </w:pPr>
    </w:p>
    <w:p>
      <w:pPr>
        <w:pStyle w:val="BodyText"/>
        <w:spacing w:line="403" w:lineRule="auto"/>
        <w:ind w:right="1126" w:firstLine="420"/>
        <w:jc w:val="both"/>
      </w:pPr>
      <w:r>
        <w:rPr>
          <w:rFonts w:ascii="Times New Roman" w:hAnsi="Times New Roman" w:cs="Times New Roman" w:eastAsia="Times New Roman" w:hint="default"/>
        </w:rPr>
        <w:t>1</w:t>
      </w:r>
      <w:r>
        <w:rPr/>
        <w:t>）公司具体的销售商品确认原则如下：①对直营店（联销模式）的销售：于收到商场的结算单，开</w:t>
      </w:r>
      <w:r>
        <w:rPr>
          <w:w w:val="100"/>
        </w:rPr>
        <w:t> </w:t>
      </w:r>
      <w:r>
        <w:rPr>
          <w:spacing w:val="-2"/>
        </w:rPr>
        <w:t>具发票时，确认销售收入；②对直营店（非联销模式）的销售：于商品交付给消费者，收取价款时，确认</w:t>
      </w:r>
      <w:r>
        <w:rPr>
          <w:spacing w:val="-48"/>
        </w:rPr>
        <w:t> </w:t>
      </w:r>
      <w:r>
        <w:rPr>
          <w:spacing w:val="-48"/>
        </w:rPr>
      </w:r>
      <w:r>
        <w:rPr>
          <w:spacing w:val="-2"/>
        </w:rPr>
        <w:t>销售收入；③对于加盟商的销售：于向加盟商发出货物，开具销售发票时，确认销售收入；④线上自营电</w:t>
      </w:r>
      <w:r>
        <w:rPr>
          <w:spacing w:val="-43"/>
        </w:rPr>
        <w:t> </w:t>
      </w:r>
      <w:r>
        <w:rPr>
          <w:spacing w:val="-43"/>
        </w:rPr>
      </w:r>
      <w:r>
        <w:rPr>
          <w:spacing w:val="-2"/>
        </w:rPr>
        <w:t>商的销售：消费者将货款支付至互联网支付平台，公司发出商品，消费者确认收货或退货期满，收到货款</w:t>
      </w:r>
      <w:r>
        <w:rPr>
          <w:spacing w:val="-50"/>
        </w:rPr>
        <w:t> </w:t>
      </w:r>
      <w:r>
        <w:rPr>
          <w:spacing w:val="-50"/>
        </w:rPr>
      </w:r>
      <w:r>
        <w:rPr/>
        <w:t>时确认收入；⑤线上代销模式的销售：公司在收到客户确认的结算（代销）清单时确认销售收入。</w:t>
      </w:r>
    </w:p>
    <w:p>
      <w:pPr>
        <w:pStyle w:val="BodyText"/>
        <w:spacing w:line="386" w:lineRule="auto" w:before="91"/>
        <w:ind w:right="1136" w:firstLine="420"/>
        <w:jc w:val="both"/>
        <w:rPr>
          <w:rFonts w:ascii="Times New Roman" w:hAnsi="Times New Roman" w:cs="Times New Roman" w:eastAsia="Times New Roman" w:hint="default"/>
        </w:rPr>
      </w:pPr>
      <w:r>
        <w:rPr>
          <w:rFonts w:ascii="Times New Roman" w:hAnsi="Times New Roman" w:cs="Times New Roman" w:eastAsia="Times New Roman" w:hint="default"/>
        </w:rPr>
        <w:t>2</w:t>
      </w:r>
      <w:r>
        <w:rPr/>
        <w:t>）公司移动应用产品主要分为个性化工具、微任务工具及社交辅助工具三类，不同产品收入确认的</w:t>
      </w:r>
      <w:r>
        <w:rPr>
          <w:w w:val="100"/>
        </w:rPr>
        <w:t> </w:t>
      </w:r>
      <w:r>
        <w:rPr/>
        <w:t>具体方式如下</w:t>
      </w:r>
      <w:r>
        <w:rPr>
          <w:rFonts w:ascii="Times New Roman" w:hAnsi="Times New Roman" w:cs="Times New Roman" w:eastAsia="Times New Roman" w:hint="default"/>
        </w:rPr>
        <w:t>:</w:t>
      </w:r>
    </w:p>
    <w:p>
      <w:pPr>
        <w:pStyle w:val="BodyText"/>
        <w:spacing w:line="444" w:lineRule="auto" w:before="74"/>
        <w:ind w:left="533" w:right="1126"/>
        <w:jc w:val="left"/>
      </w:pPr>
      <w:r>
        <w:rPr/>
        <w:t>①个性化工具</w:t>
      </w:r>
      <w:r>
        <w:rPr>
          <w:w w:val="100"/>
        </w:rPr>
        <w:t> </w:t>
      </w:r>
      <w:r>
        <w:rPr/>
        <w:t>公司个性化工具收入类型包括广告收入和应用内付费收入，收入确认的具体方式如下：</w:t>
      </w:r>
      <w:r>
        <w:rPr>
          <w:w w:val="100"/>
        </w:rPr>
        <w:t> </w:t>
      </w:r>
      <w:r>
        <w:rPr>
          <w:spacing w:val="-4"/>
        </w:rPr>
        <w:t>应用内付费收入</w:t>
      </w:r>
      <w:r>
        <w:rPr>
          <w:rFonts w:ascii="Times New Roman" w:hAnsi="Times New Roman" w:cs="Times New Roman" w:eastAsia="Times New Roman" w:hint="default"/>
          <w:spacing w:val="-4"/>
        </w:rPr>
        <w:t>:</w:t>
      </w:r>
      <w:r>
        <w:rPr>
          <w:spacing w:val="-4"/>
        </w:rPr>
        <w:t>用户在官方应用商店免费下载软件，在应用内用户需使用高级功能时，在应用内直接</w:t>
      </w:r>
    </w:p>
    <w:p>
      <w:pPr>
        <w:spacing w:after="0" w:line="444"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44" w:lineRule="auto" w:before="36"/>
        <w:ind w:left="533" w:right="0" w:hanging="420"/>
        <w:jc w:val="left"/>
      </w:pPr>
      <w:r>
        <w:rPr>
          <w:spacing w:val="-5"/>
        </w:rPr>
        <w:t>支付，公司与官方应用商店按照协议约定比例分成，在公司与官方应用商店核对结算金额完成后确认收入。</w:t>
      </w:r>
      <w:r>
        <w:rPr>
          <w:spacing w:val="-9"/>
        </w:rPr>
        <w:t> </w:t>
      </w:r>
      <w:r>
        <w:rPr>
          <w:spacing w:val="-9"/>
        </w:rPr>
      </w:r>
      <w:r>
        <w:rPr/>
        <w:t>广告收入：公司广告收入主要系通过与广告平台合作，在</w:t>
      </w:r>
      <w:r>
        <w:rPr>
          <w:rFonts w:ascii="Times New Roman" w:hAnsi="Times New Roman" w:cs="Times New Roman" w:eastAsia="Times New Roman" w:hint="default"/>
        </w:rPr>
        <w:t>APP</w:t>
      </w:r>
      <w:r>
        <w:rPr/>
        <w:t>中嵌入广告平台的展示型广告，与广告</w:t>
      </w:r>
    </w:p>
    <w:p>
      <w:pPr>
        <w:pStyle w:val="BodyText"/>
        <w:spacing w:line="254" w:lineRule="exact"/>
        <w:ind w:right="0"/>
        <w:jc w:val="left"/>
      </w:pPr>
      <w:r>
        <w:rPr/>
        <w:t>平台按照协议约定比例分成，公司每月与广告平台核对结算金额无误后确认收入。</w:t>
      </w:r>
    </w:p>
    <w:p>
      <w:pPr>
        <w:spacing w:line="240" w:lineRule="auto" w:before="9"/>
        <w:rPr>
          <w:rFonts w:ascii="宋体" w:hAnsi="宋体" w:cs="宋体" w:eastAsia="宋体" w:hint="default"/>
          <w:sz w:val="17"/>
          <w:szCs w:val="17"/>
        </w:rPr>
      </w:pPr>
    </w:p>
    <w:p>
      <w:pPr>
        <w:pStyle w:val="BodyText"/>
        <w:spacing w:line="444" w:lineRule="auto"/>
        <w:ind w:left="533" w:right="1126"/>
        <w:jc w:val="left"/>
      </w:pPr>
      <w:r>
        <w:rPr/>
        <w:t>②微任务工具</w:t>
      </w:r>
      <w:r>
        <w:rPr>
          <w:w w:val="100"/>
        </w:rPr>
        <w:t> </w:t>
      </w:r>
      <w:r>
        <w:rPr/>
        <w:t>公司微任务工具收入类型包括广告收入和应用内付费收入，收入确认的具体方式如下：</w:t>
      </w:r>
      <w:r>
        <w:rPr>
          <w:w w:val="100"/>
        </w:rPr>
        <w:t> </w:t>
      </w:r>
      <w:r>
        <w:rPr>
          <w:spacing w:val="-4"/>
        </w:rPr>
        <w:t>应用内付费收入</w:t>
      </w:r>
      <w:r>
        <w:rPr>
          <w:rFonts w:ascii="Times New Roman" w:hAnsi="Times New Roman" w:cs="Times New Roman" w:eastAsia="Times New Roman" w:hint="default"/>
          <w:spacing w:val="-4"/>
        </w:rPr>
        <w:t>:</w:t>
      </w:r>
      <w:r>
        <w:rPr>
          <w:spacing w:val="-4"/>
        </w:rPr>
        <w:t>用户在官方应用商店免费下载软件，在应用内用户需使用高级功能时，在应用内直接</w:t>
      </w:r>
    </w:p>
    <w:p>
      <w:pPr>
        <w:pStyle w:val="BodyText"/>
        <w:spacing w:line="254" w:lineRule="exact"/>
        <w:ind w:right="0"/>
        <w:jc w:val="left"/>
      </w:pPr>
      <w:r>
        <w:rPr>
          <w:spacing w:val="-5"/>
        </w:rPr>
        <w:t>支付，公司与官方应用商店按照协议约定比例分成，在公司与官方应用商店核对结算金额完成后确认收入。</w:t>
      </w:r>
    </w:p>
    <w:p>
      <w:pPr>
        <w:spacing w:line="240" w:lineRule="auto" w:before="9"/>
        <w:rPr>
          <w:rFonts w:ascii="宋体" w:hAnsi="宋体" w:cs="宋体" w:eastAsia="宋体" w:hint="default"/>
          <w:sz w:val="17"/>
          <w:szCs w:val="17"/>
        </w:rPr>
      </w:pPr>
    </w:p>
    <w:p>
      <w:pPr>
        <w:pStyle w:val="BodyText"/>
        <w:spacing w:line="386" w:lineRule="auto"/>
        <w:ind w:right="0" w:firstLine="420"/>
        <w:jc w:val="left"/>
      </w:pPr>
      <w:r>
        <w:rPr>
          <w:spacing w:val="-2"/>
        </w:rPr>
        <w:t>广告收入：公司广告收入主要系通过与广告平台合作，引导用户在</w:t>
      </w:r>
      <w:r>
        <w:rPr>
          <w:rFonts w:ascii="Times New Roman" w:hAnsi="Times New Roman" w:cs="Times New Roman" w:eastAsia="Times New Roman" w:hint="default"/>
          <w:spacing w:val="-2"/>
        </w:rPr>
        <w:t>APP</w:t>
      </w:r>
      <w:r>
        <w:rPr>
          <w:spacing w:val="-2"/>
        </w:rPr>
        <w:t>中完成如观看广告等微任务，</w:t>
      </w:r>
      <w:r>
        <w:rPr>
          <w:w w:val="100"/>
        </w:rPr>
        <w:t> </w:t>
      </w:r>
      <w:r>
        <w:rPr/>
        <w:t>公司与广告平台按照协议约定比例分成，公司每月与广告平台核对结算金额无误后确认收入。</w:t>
      </w:r>
    </w:p>
    <w:p>
      <w:pPr>
        <w:pStyle w:val="BodyText"/>
        <w:spacing w:line="444" w:lineRule="auto" w:before="106"/>
        <w:ind w:left="533" w:right="4609" w:firstLine="52"/>
        <w:jc w:val="left"/>
      </w:pPr>
      <w:r>
        <w:rPr/>
        <w:t>③社交辅助工具</w:t>
      </w:r>
      <w:r>
        <w:rPr>
          <w:w w:val="100"/>
        </w:rPr>
        <w:t> </w:t>
      </w:r>
      <w:r>
        <w:rPr>
          <w:spacing w:val="-2"/>
        </w:rPr>
        <w:t>公司社交辅助工具收入类型包括应用内付费收入和广告收入。</w:t>
      </w:r>
    </w:p>
    <w:p>
      <w:pPr>
        <w:pStyle w:val="BodyText"/>
        <w:spacing w:line="386" w:lineRule="auto" w:before="53"/>
        <w:ind w:right="0" w:firstLine="420"/>
        <w:jc w:val="left"/>
      </w:pPr>
      <w:r>
        <w:rPr>
          <w:spacing w:val="-4"/>
        </w:rPr>
        <w:t>应用内付费收入</w:t>
      </w:r>
      <w:r>
        <w:rPr>
          <w:rFonts w:ascii="Times New Roman" w:hAnsi="Times New Roman" w:cs="Times New Roman" w:eastAsia="Times New Roman" w:hint="default"/>
          <w:spacing w:val="-4"/>
        </w:rPr>
        <w:t>:</w:t>
      </w:r>
      <w:r>
        <w:rPr>
          <w:spacing w:val="-4"/>
        </w:rPr>
        <w:t>用户在官方应用商店免费下载软件，在应用内用户需使用高级功能时，在应用内直接</w:t>
      </w:r>
      <w:r>
        <w:rPr>
          <w:w w:val="100"/>
        </w:rPr>
        <w:t> </w:t>
      </w:r>
      <w:r>
        <w:rPr>
          <w:spacing w:val="-5"/>
        </w:rPr>
        <w:t>支付，公司与官方应用商店按照协议约定比例分成，在公司与官方应用商店核对结算金额无误后确认收入。</w:t>
      </w:r>
    </w:p>
    <w:p>
      <w:pPr>
        <w:pStyle w:val="BodyText"/>
        <w:spacing w:line="386" w:lineRule="auto" w:before="106"/>
        <w:ind w:right="0" w:firstLine="420"/>
        <w:jc w:val="left"/>
      </w:pPr>
      <w:r>
        <w:rPr/>
        <w:t>广告收入系通过与广告平台合作，在 </w:t>
      </w:r>
      <w:r>
        <w:rPr>
          <w:rFonts w:ascii="Times New Roman" w:hAnsi="Times New Roman" w:cs="Times New Roman" w:eastAsia="Times New Roman" w:hint="default"/>
        </w:rPr>
        <w:t>APP </w:t>
      </w:r>
      <w:r>
        <w:rPr/>
        <w:t>中嵌入广告平台的信息推广条，并引导 </w:t>
      </w:r>
      <w:r>
        <w:rPr>
          <w:rFonts w:ascii="Times New Roman" w:hAnsi="Times New Roman" w:cs="Times New Roman" w:eastAsia="Times New Roman" w:hint="default"/>
        </w:rPr>
        <w:t>APP</w:t>
      </w:r>
      <w:r>
        <w:rPr>
          <w:rFonts w:ascii="Times New Roman" w:hAnsi="Times New Roman" w:cs="Times New Roman" w:eastAsia="Times New Roman" w:hint="default"/>
          <w:spacing w:val="37"/>
        </w:rPr>
        <w:t> </w:t>
      </w:r>
      <w:r>
        <w:rPr/>
        <w:t>用户主动点</w:t>
      </w:r>
      <w:r>
        <w:rPr>
          <w:w w:val="100"/>
        </w:rPr>
        <w:t> </w:t>
      </w:r>
      <w:r>
        <w:rPr/>
        <w:t>击或观看广告，与广告平台按照协议约定比例分成，公司每月与广告平台核对结算金额无误后确认收入。</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6"/>
        <w:rPr>
          <w:rFonts w:ascii="宋体" w:hAnsi="宋体" w:cs="宋体" w:eastAsia="宋体" w:hint="default"/>
          <w:b/>
          <w:bCs/>
          <w:sz w:val="30"/>
          <w:szCs w:val="30"/>
        </w:rPr>
      </w:pPr>
    </w:p>
    <w:p>
      <w:pPr>
        <w:pStyle w:val="BodyText"/>
        <w:spacing w:line="444" w:lineRule="auto"/>
        <w:ind w:left="533" w:right="0"/>
        <w:jc w:val="left"/>
      </w:pPr>
      <w:r>
        <w:rPr/>
        <w:t>政府补助是指公司从政府无偿取得货币性资产和非货币性资产，不包括政府作为所有者投入的资本。</w:t>
      </w:r>
      <w:r>
        <w:rPr>
          <w:spacing w:val="-32"/>
        </w:rPr>
        <w:t> </w:t>
      </w:r>
      <w:r>
        <w:rPr>
          <w:spacing w:val="-32"/>
        </w:rPr>
      </w:r>
      <w:r>
        <w:rPr/>
        <w:t>公司在能够满足政府补助所附条件且能够收到政府补助时确认政府补助。其中：</w:t>
      </w:r>
    </w:p>
    <w:p>
      <w:pPr>
        <w:pStyle w:val="BodyText"/>
        <w:spacing w:line="386" w:lineRule="auto" w:before="55"/>
        <w:ind w:right="0" w:firstLine="314"/>
        <w:jc w:val="left"/>
      </w:pPr>
      <w:r>
        <w:rPr>
          <w:spacing w:val="-2"/>
        </w:rPr>
        <w:t>（</w:t>
      </w:r>
      <w:r>
        <w:rPr>
          <w:rFonts w:ascii="Times New Roman" w:hAnsi="Times New Roman" w:cs="Times New Roman" w:eastAsia="Times New Roman" w:hint="default"/>
          <w:spacing w:val="-2"/>
        </w:rPr>
        <w:t>1</w:t>
      </w:r>
      <w:r>
        <w:rPr>
          <w:spacing w:val="-2"/>
        </w:rPr>
        <w:t>）政府补助为货币性资产的，按收到或应收的金额计量；政府补助为非货币性资产的，按公允价值</w:t>
      </w:r>
      <w:r>
        <w:rPr>
          <w:w w:val="100"/>
        </w:rPr>
        <w:t> </w:t>
      </w:r>
      <w:r>
        <w:rPr/>
        <w:t>计量，如公允价值不能可靠取得，则按名义金额计量。</w:t>
      </w:r>
    </w:p>
    <w:p>
      <w:pPr>
        <w:pStyle w:val="BodyText"/>
        <w:spacing w:line="403" w:lineRule="auto" w:before="103"/>
        <w:ind w:right="0" w:firstLine="314"/>
        <w:jc w:val="left"/>
      </w:pPr>
      <w:r>
        <w:rPr>
          <w:spacing w:val="-2"/>
        </w:rPr>
        <w:t>（</w:t>
      </w:r>
      <w:r>
        <w:rPr>
          <w:rFonts w:ascii="Times New Roman" w:hAnsi="Times New Roman" w:cs="Times New Roman" w:eastAsia="Times New Roman" w:hint="default"/>
          <w:spacing w:val="-2"/>
        </w:rPr>
        <w:t>2</w:t>
      </w:r>
      <w:r>
        <w:rPr>
          <w:spacing w:val="-2"/>
        </w:rPr>
        <w:t>）与资产相关的政府补助，冲减相关资产的账面价值或确认为递延收益。与资产相关的政府补助确</w:t>
      </w:r>
      <w:r>
        <w:rPr>
          <w:w w:val="100"/>
        </w:rPr>
        <w:t> </w:t>
      </w:r>
      <w:r>
        <w:rPr>
          <w:spacing w:val="-2"/>
        </w:rPr>
        <w:t>认为递延收益的，在相关资产使用寿命内按照合理、系统的方法分期计入损益。按照名义金额计量的政府</w:t>
      </w:r>
      <w:r>
        <w:rPr>
          <w:spacing w:val="-44"/>
        </w:rPr>
        <w:t> </w:t>
      </w:r>
      <w:r>
        <w:rPr>
          <w:spacing w:val="-44"/>
        </w:rPr>
      </w:r>
      <w:r>
        <w:rPr>
          <w:spacing w:val="-2"/>
        </w:rPr>
        <w:t>补助，直接计入当期损益。与收益相关的政府补助，用于补偿以后期间的相关费用和损失的，确认为递延</w:t>
      </w:r>
      <w:r>
        <w:rPr>
          <w:spacing w:val="-50"/>
        </w:rPr>
        <w:t> </w:t>
      </w:r>
      <w:r>
        <w:rPr>
          <w:spacing w:val="-50"/>
        </w:rPr>
      </w:r>
      <w:r>
        <w:rPr/>
        <w:t>收益，并在确认相关费用的期间计入当期损益或冲减相关成本；用于补偿已经发生的相关费用和损失的，</w:t>
      </w:r>
      <w:r>
        <w:rPr>
          <w:spacing w:val="-24"/>
        </w:rPr>
        <w:t> </w:t>
      </w:r>
      <w:r>
        <w:rPr>
          <w:spacing w:val="-24"/>
        </w:rPr>
      </w:r>
      <w:r>
        <w:rPr/>
        <w:t>直接计入当期损益或冲减相关成本。</w:t>
      </w:r>
    </w:p>
    <w:p>
      <w:pPr>
        <w:pStyle w:val="BodyText"/>
        <w:spacing w:line="408" w:lineRule="auto" w:before="91"/>
        <w:ind w:right="0" w:firstLine="420"/>
        <w:jc w:val="left"/>
      </w:pPr>
      <w:r>
        <w:rPr>
          <w:spacing w:val="-2"/>
        </w:rPr>
        <w:t>与企业日常活动相关的政府补助，按照经济业务实质，计入其他收益或冲减相关成本费用。与企业日</w:t>
      </w:r>
      <w:r>
        <w:rPr>
          <w:w w:val="100"/>
        </w:rPr>
        <w:t> </w:t>
      </w:r>
      <w:r>
        <w:rPr/>
        <w:t>常活动无关的政府补助，计入营业外收支。</w:t>
      </w:r>
    </w:p>
    <w:p>
      <w:pPr>
        <w:spacing w:after="0" w:line="408"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right="1125" w:firstLine="420"/>
        <w:jc w:val="both"/>
      </w:pPr>
      <w:r>
        <w:rPr>
          <w:w w:val="100"/>
        </w:rPr>
        <w:t>已确</w:t>
      </w:r>
      <w:r>
        <w:rPr>
          <w:spacing w:val="-3"/>
          <w:w w:val="100"/>
        </w:rPr>
        <w:t>认</w:t>
      </w:r>
      <w:r>
        <w:rPr>
          <w:w w:val="100"/>
        </w:rPr>
        <w:t>的</w:t>
      </w:r>
      <w:r>
        <w:rPr>
          <w:spacing w:val="-3"/>
          <w:w w:val="100"/>
        </w:rPr>
        <w:t>政</w:t>
      </w:r>
      <w:r>
        <w:rPr>
          <w:w w:val="100"/>
        </w:rPr>
        <w:t>府</w:t>
      </w:r>
      <w:r>
        <w:rPr>
          <w:spacing w:val="-3"/>
          <w:w w:val="100"/>
        </w:rPr>
        <w:t>补</w:t>
      </w:r>
      <w:r>
        <w:rPr>
          <w:w w:val="100"/>
        </w:rPr>
        <w:t>助</w:t>
      </w:r>
      <w:r>
        <w:rPr>
          <w:spacing w:val="-3"/>
          <w:w w:val="100"/>
        </w:rPr>
        <w:t>需</w:t>
      </w:r>
      <w:r>
        <w:rPr>
          <w:w w:val="100"/>
        </w:rPr>
        <w:t>要</w:t>
      </w:r>
      <w:r>
        <w:rPr>
          <w:spacing w:val="-3"/>
          <w:w w:val="100"/>
        </w:rPr>
        <w:t>退</w:t>
      </w:r>
      <w:r>
        <w:rPr>
          <w:w w:val="100"/>
        </w:rPr>
        <w:t>回</w:t>
      </w:r>
      <w:r>
        <w:rPr>
          <w:spacing w:val="-3"/>
          <w:w w:val="100"/>
        </w:rPr>
        <w:t>的</w:t>
      </w:r>
      <w:r>
        <w:rPr>
          <w:spacing w:val="-8"/>
          <w:w w:val="100"/>
        </w:rPr>
        <w:t>，</w:t>
      </w:r>
      <w:r>
        <w:rPr>
          <w:spacing w:val="-3"/>
          <w:w w:val="100"/>
        </w:rPr>
        <w:t>应</w:t>
      </w:r>
      <w:r>
        <w:rPr>
          <w:w w:val="100"/>
        </w:rPr>
        <w:t>当</w:t>
      </w:r>
      <w:r>
        <w:rPr>
          <w:spacing w:val="-3"/>
          <w:w w:val="100"/>
        </w:rPr>
        <w:t>在</w:t>
      </w:r>
      <w:r>
        <w:rPr>
          <w:w w:val="100"/>
        </w:rPr>
        <w:t>需要</w:t>
      </w:r>
      <w:r>
        <w:rPr>
          <w:spacing w:val="-3"/>
          <w:w w:val="100"/>
        </w:rPr>
        <w:t>退</w:t>
      </w:r>
      <w:r>
        <w:rPr>
          <w:w w:val="100"/>
        </w:rPr>
        <w:t>回</w:t>
      </w:r>
      <w:r>
        <w:rPr>
          <w:spacing w:val="-3"/>
          <w:w w:val="100"/>
        </w:rPr>
        <w:t>的</w:t>
      </w:r>
      <w:r>
        <w:rPr>
          <w:w w:val="100"/>
        </w:rPr>
        <w:t>当期</w:t>
      </w:r>
      <w:r>
        <w:rPr>
          <w:spacing w:val="-3"/>
          <w:w w:val="100"/>
        </w:rPr>
        <w:t>分</w:t>
      </w:r>
      <w:r>
        <w:rPr>
          <w:w w:val="100"/>
        </w:rPr>
        <w:t>情</w:t>
      </w:r>
      <w:r>
        <w:rPr>
          <w:spacing w:val="-3"/>
          <w:w w:val="100"/>
        </w:rPr>
        <w:t>况</w:t>
      </w:r>
      <w:r>
        <w:rPr>
          <w:w w:val="100"/>
        </w:rPr>
        <w:t>按</w:t>
      </w:r>
      <w:r>
        <w:rPr>
          <w:spacing w:val="-3"/>
          <w:w w:val="100"/>
        </w:rPr>
        <w:t>照</w:t>
      </w:r>
      <w:r>
        <w:rPr>
          <w:w w:val="100"/>
        </w:rPr>
        <w:t>以</w:t>
      </w:r>
      <w:r>
        <w:rPr>
          <w:spacing w:val="-3"/>
          <w:w w:val="100"/>
        </w:rPr>
        <w:t>下</w:t>
      </w:r>
      <w:r>
        <w:rPr>
          <w:w w:val="100"/>
        </w:rPr>
        <w:t>规</w:t>
      </w:r>
      <w:r>
        <w:rPr>
          <w:spacing w:val="-3"/>
          <w:w w:val="100"/>
        </w:rPr>
        <w:t>定</w:t>
      </w:r>
      <w:r>
        <w:rPr>
          <w:w w:val="100"/>
        </w:rPr>
        <w:t>进行</w:t>
      </w:r>
      <w:r>
        <w:rPr>
          <w:spacing w:val="-3"/>
          <w:w w:val="100"/>
        </w:rPr>
        <w:t>会</w:t>
      </w:r>
      <w:r>
        <w:rPr>
          <w:w w:val="100"/>
        </w:rPr>
        <w:t>计</w:t>
      </w:r>
      <w:r>
        <w:rPr>
          <w:spacing w:val="-3"/>
          <w:w w:val="100"/>
        </w:rPr>
        <w:t>处</w:t>
      </w:r>
      <w:r>
        <w:rPr>
          <w:w w:val="100"/>
        </w:rPr>
        <w:t>理</w:t>
      </w:r>
      <w:r>
        <w:rPr>
          <w:spacing w:val="-116"/>
          <w:w w:val="100"/>
        </w:rPr>
        <w:t>：</w:t>
      </w:r>
      <w:r>
        <w:rPr>
          <w:w w:val="100"/>
        </w:rPr>
        <w:t>（</w:t>
      </w:r>
      <w:r>
        <w:rPr>
          <w:rFonts w:ascii="Times New Roman" w:hAnsi="Times New Roman" w:cs="Times New Roman" w:eastAsia="Times New Roman" w:hint="default"/>
          <w:spacing w:val="-3"/>
          <w:w w:val="100"/>
        </w:rPr>
        <w:t>1</w:t>
      </w:r>
      <w:r>
        <w:rPr>
          <w:spacing w:val="-8"/>
          <w:w w:val="100"/>
        </w:rPr>
        <w:t>）</w:t>
      </w:r>
      <w:r>
        <w:rPr>
          <w:spacing w:val="-3"/>
          <w:w w:val="100"/>
        </w:rPr>
        <w:t>初</w:t>
      </w:r>
      <w:r>
        <w:rPr>
          <w:w w:val="100"/>
        </w:rPr>
        <w:t>始</w:t>
      </w:r>
      <w:r>
        <w:rPr>
          <w:w w:val="100"/>
        </w:rPr>
        <w:t> 确认</w:t>
      </w:r>
      <w:r>
        <w:rPr>
          <w:spacing w:val="-3"/>
          <w:w w:val="100"/>
        </w:rPr>
        <w:t>时</w:t>
      </w:r>
      <w:r>
        <w:rPr>
          <w:w w:val="100"/>
        </w:rPr>
        <w:t>冲</w:t>
      </w:r>
      <w:r>
        <w:rPr>
          <w:spacing w:val="-3"/>
          <w:w w:val="100"/>
        </w:rPr>
        <w:t>减</w:t>
      </w:r>
      <w:r>
        <w:rPr>
          <w:w w:val="100"/>
        </w:rPr>
        <w:t>相</w:t>
      </w:r>
      <w:r>
        <w:rPr>
          <w:spacing w:val="-3"/>
          <w:w w:val="100"/>
        </w:rPr>
        <w:t>关</w:t>
      </w:r>
      <w:r>
        <w:rPr>
          <w:w w:val="100"/>
        </w:rPr>
        <w:t>资</w:t>
      </w:r>
      <w:r>
        <w:rPr>
          <w:spacing w:val="-3"/>
          <w:w w:val="100"/>
        </w:rPr>
        <w:t>产</w:t>
      </w:r>
      <w:r>
        <w:rPr>
          <w:w w:val="100"/>
        </w:rPr>
        <w:t>账</w:t>
      </w:r>
      <w:r>
        <w:rPr>
          <w:spacing w:val="-3"/>
          <w:w w:val="100"/>
        </w:rPr>
        <w:t>面</w:t>
      </w:r>
      <w:r>
        <w:rPr>
          <w:w w:val="100"/>
        </w:rPr>
        <w:t>价值</w:t>
      </w:r>
      <w:r>
        <w:rPr>
          <w:spacing w:val="-3"/>
          <w:w w:val="100"/>
        </w:rPr>
        <w:t>的</w:t>
      </w:r>
      <w:r>
        <w:rPr>
          <w:spacing w:val="-8"/>
          <w:w w:val="100"/>
        </w:rPr>
        <w:t>，</w:t>
      </w:r>
      <w:r>
        <w:rPr>
          <w:w w:val="100"/>
        </w:rPr>
        <w:t>调</w:t>
      </w:r>
      <w:r>
        <w:rPr>
          <w:spacing w:val="-3"/>
          <w:w w:val="100"/>
        </w:rPr>
        <w:t>整</w:t>
      </w:r>
      <w:r>
        <w:rPr>
          <w:w w:val="100"/>
        </w:rPr>
        <w:t>资</w:t>
      </w:r>
      <w:r>
        <w:rPr>
          <w:spacing w:val="-3"/>
          <w:w w:val="100"/>
        </w:rPr>
        <w:t>产</w:t>
      </w:r>
      <w:r>
        <w:rPr>
          <w:w w:val="100"/>
        </w:rPr>
        <w:t>账</w:t>
      </w:r>
      <w:r>
        <w:rPr>
          <w:spacing w:val="-3"/>
          <w:w w:val="100"/>
        </w:rPr>
        <w:t>面价</w:t>
      </w:r>
      <w:r>
        <w:rPr>
          <w:w w:val="100"/>
        </w:rPr>
        <w:t>值</w:t>
      </w:r>
      <w:r>
        <w:rPr>
          <w:spacing w:val="-113"/>
          <w:w w:val="100"/>
        </w:rPr>
        <w:t>；</w:t>
      </w:r>
      <w:r>
        <w:rPr>
          <w:w w:val="100"/>
        </w:rPr>
        <w:t>（</w:t>
      </w:r>
      <w:r>
        <w:rPr>
          <w:rFonts w:ascii="Times New Roman" w:hAnsi="Times New Roman" w:cs="Times New Roman" w:eastAsia="Times New Roman" w:hint="default"/>
          <w:spacing w:val="-3"/>
          <w:w w:val="100"/>
        </w:rPr>
        <w:t>2</w:t>
      </w:r>
      <w:r>
        <w:rPr>
          <w:spacing w:val="-5"/>
          <w:w w:val="100"/>
        </w:rPr>
        <w:t>）</w:t>
      </w:r>
      <w:r>
        <w:rPr>
          <w:spacing w:val="-3"/>
          <w:w w:val="100"/>
        </w:rPr>
        <w:t>存</w:t>
      </w:r>
      <w:r>
        <w:rPr>
          <w:w w:val="100"/>
        </w:rPr>
        <w:t>在</w:t>
      </w:r>
      <w:r>
        <w:rPr>
          <w:spacing w:val="-3"/>
          <w:w w:val="100"/>
        </w:rPr>
        <w:t>相</w:t>
      </w:r>
      <w:r>
        <w:rPr>
          <w:w w:val="100"/>
        </w:rPr>
        <w:t>关</w:t>
      </w:r>
      <w:r>
        <w:rPr>
          <w:spacing w:val="-3"/>
          <w:w w:val="100"/>
        </w:rPr>
        <w:t>递</w:t>
      </w:r>
      <w:r>
        <w:rPr>
          <w:w w:val="100"/>
        </w:rPr>
        <w:t>延</w:t>
      </w:r>
      <w:r>
        <w:rPr>
          <w:spacing w:val="-3"/>
          <w:w w:val="100"/>
        </w:rPr>
        <w:t>收</w:t>
      </w:r>
      <w:r>
        <w:rPr>
          <w:w w:val="100"/>
        </w:rPr>
        <w:t>益</w:t>
      </w:r>
      <w:r>
        <w:rPr>
          <w:spacing w:val="-3"/>
          <w:w w:val="100"/>
        </w:rPr>
        <w:t>的</w:t>
      </w:r>
      <w:r>
        <w:rPr>
          <w:spacing w:val="-5"/>
          <w:w w:val="100"/>
        </w:rPr>
        <w:t>，</w:t>
      </w:r>
      <w:r>
        <w:rPr>
          <w:spacing w:val="-3"/>
          <w:w w:val="100"/>
        </w:rPr>
        <w:t>冲</w:t>
      </w:r>
      <w:r>
        <w:rPr>
          <w:w w:val="100"/>
        </w:rPr>
        <w:t>减</w:t>
      </w:r>
      <w:r>
        <w:rPr>
          <w:spacing w:val="-3"/>
          <w:w w:val="100"/>
        </w:rPr>
        <w:t>相</w:t>
      </w:r>
      <w:r>
        <w:rPr>
          <w:w w:val="100"/>
        </w:rPr>
        <w:t>关</w:t>
      </w:r>
      <w:r>
        <w:rPr>
          <w:spacing w:val="-3"/>
          <w:w w:val="100"/>
        </w:rPr>
        <w:t>递</w:t>
      </w:r>
      <w:r>
        <w:rPr>
          <w:w w:val="100"/>
        </w:rPr>
        <w:t>延</w:t>
      </w:r>
      <w:r>
        <w:rPr>
          <w:spacing w:val="-3"/>
          <w:w w:val="100"/>
        </w:rPr>
        <w:t>收益</w:t>
      </w:r>
      <w:r>
        <w:rPr>
          <w:w w:val="100"/>
        </w:rPr>
        <w:t>账面</w:t>
      </w:r>
      <w:r>
        <w:rPr>
          <w:w w:val="100"/>
        </w:rPr>
        <w:t> 余额</w:t>
      </w:r>
      <w:r>
        <w:rPr>
          <w:spacing w:val="-3"/>
          <w:w w:val="100"/>
        </w:rPr>
        <w:t>，</w:t>
      </w:r>
      <w:r>
        <w:rPr>
          <w:w w:val="100"/>
        </w:rPr>
        <w:t>超</w:t>
      </w:r>
      <w:r>
        <w:rPr>
          <w:spacing w:val="-3"/>
          <w:w w:val="100"/>
        </w:rPr>
        <w:t>出</w:t>
      </w:r>
      <w:r>
        <w:rPr>
          <w:w w:val="100"/>
        </w:rPr>
        <w:t>部</w:t>
      </w:r>
      <w:r>
        <w:rPr>
          <w:spacing w:val="-3"/>
          <w:w w:val="100"/>
        </w:rPr>
        <w:t>分</w:t>
      </w:r>
      <w:r>
        <w:rPr>
          <w:w w:val="100"/>
        </w:rPr>
        <w:t>计</w:t>
      </w:r>
      <w:r>
        <w:rPr>
          <w:spacing w:val="-3"/>
          <w:w w:val="100"/>
        </w:rPr>
        <w:t>入</w:t>
      </w:r>
      <w:r>
        <w:rPr>
          <w:w w:val="100"/>
        </w:rPr>
        <w:t>当</w:t>
      </w:r>
      <w:r>
        <w:rPr>
          <w:spacing w:val="-3"/>
          <w:w w:val="100"/>
        </w:rPr>
        <w:t>期</w:t>
      </w:r>
      <w:r>
        <w:rPr>
          <w:w w:val="100"/>
        </w:rPr>
        <w:t>损益</w:t>
      </w:r>
      <w:r>
        <w:rPr>
          <w:spacing w:val="-108"/>
          <w:w w:val="100"/>
        </w:rPr>
        <w:t>；</w:t>
      </w:r>
      <w:r>
        <w:rPr>
          <w:w w:val="100"/>
        </w:rPr>
        <w:t>（</w:t>
      </w:r>
      <w:r>
        <w:rPr>
          <w:rFonts w:ascii="Times New Roman" w:hAnsi="Times New Roman" w:cs="Times New Roman" w:eastAsia="Times New Roman" w:hint="default"/>
          <w:w w:val="100"/>
        </w:rPr>
        <w:t>3</w:t>
      </w:r>
      <w:r>
        <w:rPr>
          <w:spacing w:val="-3"/>
          <w:w w:val="100"/>
        </w:rPr>
        <w:t>）</w:t>
      </w:r>
      <w:r>
        <w:rPr>
          <w:w w:val="100"/>
        </w:rPr>
        <w:t>属</w:t>
      </w:r>
      <w:r>
        <w:rPr>
          <w:spacing w:val="-3"/>
          <w:w w:val="100"/>
        </w:rPr>
        <w:t>于</w:t>
      </w:r>
      <w:r>
        <w:rPr>
          <w:w w:val="100"/>
        </w:rPr>
        <w:t>其</w:t>
      </w:r>
      <w:r>
        <w:rPr>
          <w:spacing w:val="-3"/>
          <w:w w:val="100"/>
        </w:rPr>
        <w:t>他</w:t>
      </w:r>
      <w:r>
        <w:rPr>
          <w:w w:val="100"/>
        </w:rPr>
        <w:t>情</w:t>
      </w:r>
      <w:r>
        <w:rPr>
          <w:spacing w:val="-3"/>
          <w:w w:val="100"/>
        </w:rPr>
        <w:t>况</w:t>
      </w:r>
      <w:r>
        <w:rPr>
          <w:w w:val="100"/>
        </w:rPr>
        <w:t>的，</w:t>
      </w:r>
      <w:r>
        <w:rPr>
          <w:spacing w:val="-3"/>
          <w:w w:val="100"/>
        </w:rPr>
        <w:t>直</w:t>
      </w:r>
      <w:r>
        <w:rPr>
          <w:w w:val="100"/>
        </w:rPr>
        <w:t>接</w:t>
      </w:r>
      <w:r>
        <w:rPr>
          <w:spacing w:val="-3"/>
          <w:w w:val="100"/>
        </w:rPr>
        <w:t>计</w:t>
      </w:r>
      <w:r>
        <w:rPr>
          <w:w w:val="100"/>
        </w:rPr>
        <w:t>入</w:t>
      </w:r>
      <w:r>
        <w:rPr>
          <w:spacing w:val="-3"/>
          <w:w w:val="100"/>
        </w:rPr>
        <w:t>当</w:t>
      </w:r>
      <w:r>
        <w:rPr>
          <w:w w:val="100"/>
        </w:rPr>
        <w:t>期</w:t>
      </w:r>
      <w:r>
        <w:rPr>
          <w:spacing w:val="-3"/>
          <w:w w:val="100"/>
        </w:rPr>
        <w:t>损</w:t>
      </w:r>
      <w:r>
        <w:rPr>
          <w:w w:val="100"/>
        </w:rPr>
        <w:t>益。</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left="533" w:right="1128" w:hanging="106"/>
        <w:jc w:val="left"/>
      </w:pPr>
      <w:r>
        <w:rPr/>
        <w:t>（</w:t>
      </w:r>
      <w:r>
        <w:rPr>
          <w:rFonts w:ascii="Times New Roman" w:hAnsi="Times New Roman" w:cs="Times New Roman" w:eastAsia="Times New Roman" w:hint="default"/>
        </w:rPr>
        <w:t>1</w:t>
      </w:r>
      <w:r>
        <w:rPr/>
        <w:t>）当期所得税</w:t>
      </w:r>
      <w:r>
        <w:rPr>
          <w:spacing w:val="-102"/>
        </w:rPr>
        <w:t> </w:t>
      </w:r>
      <w:r>
        <w:rPr>
          <w:spacing w:val="-102"/>
        </w:rPr>
      </w:r>
      <w:r>
        <w:rPr>
          <w:spacing w:val="-2"/>
          <w:w w:val="100"/>
        </w:rPr>
        <w:t>资产负债表日，对于当期和以前期间形成的当期所得税负债（或资产），以按照税法规定计算的预期</w:t>
      </w:r>
    </w:p>
    <w:p>
      <w:pPr>
        <w:pStyle w:val="BodyText"/>
        <w:spacing w:line="410" w:lineRule="auto" w:before="37"/>
        <w:ind w:right="0"/>
        <w:jc w:val="left"/>
      </w:pPr>
      <w:r>
        <w:rPr>
          <w:spacing w:val="-2"/>
        </w:rPr>
        <w:t>应交纳（或返还）的所得税金额计量。计算当期所得税费用所依据的应纳税所得额系根据有关税法规定对</w:t>
      </w:r>
      <w:r>
        <w:rPr>
          <w:spacing w:val="-42"/>
        </w:rPr>
        <w:t> </w:t>
      </w:r>
      <w:r>
        <w:rPr>
          <w:spacing w:val="-42"/>
        </w:rPr>
      </w:r>
      <w:r>
        <w:rPr/>
        <w:t>本报告期税前会计利润作相应调整后计算得出。</w:t>
      </w:r>
    </w:p>
    <w:p>
      <w:pPr>
        <w:pStyle w:val="BodyText"/>
        <w:spacing w:line="420" w:lineRule="auto" w:before="85"/>
        <w:ind w:left="533" w:right="0" w:hanging="106"/>
        <w:jc w:val="left"/>
      </w:pPr>
      <w:r>
        <w:rPr/>
        <w:t>（</w:t>
      </w:r>
      <w:r>
        <w:rPr>
          <w:rFonts w:ascii="Times New Roman" w:hAnsi="Times New Roman" w:cs="Times New Roman" w:eastAsia="Times New Roman" w:hint="default"/>
        </w:rPr>
        <w:t>2</w:t>
      </w:r>
      <w:r>
        <w:rPr/>
        <w:t>）递延所得税资产及递延所得税负债</w:t>
      </w:r>
      <w:r>
        <w:rPr>
          <w:w w:val="100"/>
        </w:rPr>
        <w:t> </w:t>
      </w:r>
      <w:r>
        <w:rPr>
          <w:spacing w:val="-2"/>
        </w:rPr>
        <w:t>某些资产、负债项目的账面价值与其计税基础之间的差额，以及未作为资产和负债确认但按照税法规</w:t>
      </w:r>
    </w:p>
    <w:p>
      <w:pPr>
        <w:pStyle w:val="BodyText"/>
        <w:spacing w:line="408" w:lineRule="auto" w:before="35"/>
        <w:ind w:right="0"/>
        <w:jc w:val="left"/>
      </w:pPr>
      <w:r>
        <w:rPr>
          <w:spacing w:val="-2"/>
        </w:rPr>
        <w:t>定可以确定其计税基础的项目的账面价值与计税基础之间的差额产生的暂时性差异，采用资产负债表债务</w:t>
      </w:r>
      <w:r>
        <w:rPr>
          <w:spacing w:val="-43"/>
        </w:rPr>
        <w:t> </w:t>
      </w:r>
      <w:r>
        <w:rPr>
          <w:spacing w:val="-43"/>
        </w:rPr>
      </w:r>
      <w:r>
        <w:rPr/>
        <w:t>法确认递延所得税资产及递延所得税负债。</w:t>
      </w:r>
    </w:p>
    <w:p>
      <w:pPr>
        <w:pStyle w:val="BodyText"/>
        <w:spacing w:line="408" w:lineRule="auto" w:before="84"/>
        <w:ind w:right="0" w:firstLine="420"/>
        <w:jc w:val="left"/>
      </w:pPr>
      <w:r>
        <w:rPr/>
        <w:t>与商誉的初始确认有关，以及与既不是企业合并、发生时也不影响会计利润和应纳税所得额（或可抵</w:t>
      </w:r>
      <w:r>
        <w:rPr>
          <w:w w:val="100"/>
        </w:rPr>
        <w:t> </w:t>
      </w:r>
      <w:r>
        <w:rPr>
          <w:spacing w:val="-2"/>
        </w:rPr>
        <w:t>扣亏损）的交易中产生的资产或负债的初始确认有关的应纳税暂时性差异，不予确认有关的递延所得税负</w:t>
      </w:r>
      <w:r>
        <w:rPr>
          <w:spacing w:val="-43"/>
        </w:rPr>
        <w:t> </w:t>
      </w:r>
      <w:r>
        <w:rPr>
          <w:spacing w:val="-43"/>
        </w:rPr>
      </w:r>
      <w:r>
        <w:rPr>
          <w:spacing w:val="-2"/>
        </w:rPr>
        <w:t>债。此外，对与子公司、联营企业及合营企业投资相关的应纳税暂时性差异，如果本公司能够控制暂时性</w:t>
      </w:r>
      <w:r>
        <w:rPr>
          <w:spacing w:val="-44"/>
        </w:rPr>
        <w:t> </w:t>
      </w:r>
      <w:r>
        <w:rPr>
          <w:spacing w:val="-44"/>
        </w:rPr>
      </w:r>
      <w:r>
        <w:rPr>
          <w:spacing w:val="-5"/>
        </w:rPr>
        <w:t>差异转回的时间，而且该暂时性差异在可预见的未来很可能不会转回，也不予确认有关的递延所得税负债。 </w:t>
      </w:r>
      <w:r>
        <w:rPr>
          <w:spacing w:val="-5"/>
        </w:rPr>
      </w:r>
      <w:r>
        <w:rPr/>
        <w:t>除上述例外情况，本公司确认其他所有应纳税暂时性差异产生的递延所得税负债。</w:t>
      </w:r>
    </w:p>
    <w:p>
      <w:pPr>
        <w:pStyle w:val="BodyText"/>
        <w:spacing w:line="408" w:lineRule="auto" w:before="87"/>
        <w:ind w:right="1126" w:firstLine="420"/>
        <w:jc w:val="both"/>
      </w:pPr>
      <w:r>
        <w:rPr>
          <w:spacing w:val="-2"/>
        </w:rPr>
        <w:t>与既不是企业合并、发生时也不影响会计利润和应纳税所得额（或可抵扣亏损）的交易中产生的资产</w:t>
      </w:r>
      <w:r>
        <w:rPr>
          <w:w w:val="100"/>
        </w:rPr>
        <w:t> </w:t>
      </w:r>
      <w:r>
        <w:rPr>
          <w:spacing w:val="-2"/>
        </w:rPr>
        <w:t>或负债的初始确认有关的可抵扣暂时性差异，不予确认有关的递延所得税资产。此外，对与子公司、联营</w:t>
      </w:r>
      <w:r>
        <w:rPr>
          <w:spacing w:val="-44"/>
        </w:rPr>
        <w:t> </w:t>
      </w:r>
      <w:r>
        <w:rPr>
          <w:spacing w:val="-44"/>
        </w:rPr>
      </w:r>
      <w:r>
        <w:rPr>
          <w:spacing w:val="-2"/>
        </w:rPr>
        <w:t>企业及合营企业投资相关的可抵扣暂时性差异，如果暂时性差异在可预见的未来不是很可能转回，或者未</w:t>
      </w:r>
      <w:r>
        <w:rPr>
          <w:spacing w:val="-44"/>
        </w:rPr>
        <w:t> </w:t>
      </w:r>
      <w:r>
        <w:rPr>
          <w:spacing w:val="-44"/>
        </w:rPr>
      </w:r>
      <w:r>
        <w:rPr>
          <w:spacing w:val="-2"/>
        </w:rPr>
        <w:t>来不是很可能获得用来抵扣可抵扣暂时性差异的应纳税所得额，不予确认有关的递延所得税资产。除上述</w:t>
      </w:r>
      <w:r>
        <w:rPr>
          <w:spacing w:val="-44"/>
        </w:rPr>
        <w:t> </w:t>
      </w:r>
      <w:r>
        <w:rPr>
          <w:spacing w:val="-44"/>
        </w:rPr>
      </w:r>
      <w:r>
        <w:rPr>
          <w:spacing w:val="-2"/>
        </w:rPr>
        <w:t>例外情况，本公司以很可能取得用来抵扣可抵扣暂时性差异的应纳税所得额为限，确认其他可抵扣暂时性</w:t>
      </w:r>
      <w:r>
        <w:rPr>
          <w:spacing w:val="-42"/>
        </w:rPr>
        <w:t> </w:t>
      </w:r>
      <w:r>
        <w:rPr>
          <w:spacing w:val="-42"/>
        </w:rPr>
      </w:r>
      <w:r>
        <w:rPr/>
        <w:t>差异产生的递延所得税资产。</w:t>
      </w:r>
    </w:p>
    <w:p>
      <w:pPr>
        <w:pStyle w:val="BodyText"/>
        <w:spacing w:line="408" w:lineRule="auto" w:before="84"/>
        <w:ind w:right="1126" w:firstLine="420"/>
        <w:jc w:val="both"/>
      </w:pPr>
      <w:r>
        <w:rPr>
          <w:spacing w:val="-2"/>
        </w:rPr>
        <w:t>对于能够结转以后年度的可抵扣亏损和税款抵减，以很可能获得用来抵扣可抵扣亏损和税款抵减的未</w:t>
      </w:r>
      <w:r>
        <w:rPr>
          <w:w w:val="100"/>
        </w:rPr>
        <w:t> </w:t>
      </w:r>
      <w:r>
        <w:rPr/>
        <w:t>来应纳税所得额为限，确认相应的递延所得税资产。</w:t>
      </w:r>
    </w:p>
    <w:p>
      <w:pPr>
        <w:pStyle w:val="BodyText"/>
        <w:spacing w:line="408" w:lineRule="auto" w:before="87"/>
        <w:ind w:right="1126" w:firstLine="420"/>
        <w:jc w:val="both"/>
      </w:pPr>
      <w:r>
        <w:rPr>
          <w:spacing w:val="-2"/>
        </w:rPr>
        <w:t>资产负债表日，对于递延所得税资产和递延所得税负债，根据税法规定，按照预期收回相关资产或清</w:t>
      </w:r>
      <w:r>
        <w:rPr>
          <w:w w:val="100"/>
        </w:rPr>
        <w:t> </w:t>
      </w:r>
      <w:r>
        <w:rPr/>
        <w:t>偿相关负债期间的适用税率计量。</w:t>
      </w:r>
    </w:p>
    <w:p>
      <w:pPr>
        <w:pStyle w:val="BodyText"/>
        <w:spacing w:line="240" w:lineRule="auto" w:before="87"/>
        <w:ind w:left="533" w:right="0"/>
        <w:jc w:val="left"/>
      </w:pPr>
      <w:r>
        <w:rPr/>
        <w:t>于资产负债表日，对递延所得税资产的账面价值进行复核，如果未来很可能无法获得足够的应纳税所</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0"/>
        <w:jc w:val="left"/>
      </w:pPr>
      <w:r>
        <w:rPr>
          <w:spacing w:val="-2"/>
        </w:rPr>
        <w:t>得额用以抵扣递延所得税资产的利益，则减记递延所得税资产的账面价值。在很可能获得足够的应纳税所</w:t>
      </w:r>
      <w:r>
        <w:rPr>
          <w:spacing w:val="-43"/>
        </w:rPr>
        <w:t> </w:t>
      </w:r>
      <w:r>
        <w:rPr>
          <w:spacing w:val="-43"/>
        </w:rPr>
      </w:r>
      <w:r>
        <w:rPr/>
        <w:t>得额时，减记的金额予以转回。</w:t>
      </w:r>
    </w:p>
    <w:p>
      <w:pPr>
        <w:pStyle w:val="BodyText"/>
        <w:spacing w:line="417" w:lineRule="auto" w:before="87"/>
        <w:ind w:left="533" w:right="4993" w:hanging="106"/>
        <w:jc w:val="left"/>
      </w:pPr>
      <w:r>
        <w:rPr/>
        <w:t>（</w:t>
      </w:r>
      <w:r>
        <w:rPr>
          <w:rFonts w:ascii="Times New Roman" w:hAnsi="Times New Roman" w:cs="Times New Roman" w:eastAsia="Times New Roman" w:hint="default"/>
        </w:rPr>
        <w:t>3</w:t>
      </w:r>
      <w:r>
        <w:rPr/>
        <w:t>）所得税费用</w:t>
      </w:r>
      <w:r>
        <w:rPr>
          <w:spacing w:val="-102"/>
        </w:rPr>
        <w:t> </w:t>
      </w:r>
      <w:r>
        <w:rPr>
          <w:spacing w:val="-102"/>
        </w:rPr>
      </w:r>
      <w:r>
        <w:rPr>
          <w:spacing w:val="-2"/>
        </w:rPr>
        <w:t>所得税费用包括当期所得税和递延所得税。</w:t>
      </w:r>
    </w:p>
    <w:p>
      <w:pPr>
        <w:pStyle w:val="BodyText"/>
        <w:spacing w:line="408" w:lineRule="auto" w:before="78"/>
        <w:ind w:right="1126" w:firstLine="420"/>
        <w:jc w:val="both"/>
      </w:pPr>
      <w:r>
        <w:rPr>
          <w:spacing w:val="2"/>
        </w:rPr>
        <w:t>除确认为其他综合收益或直接计入股东权益的交易和事项相关的当期所得税和递延所得税计入其他</w:t>
      </w:r>
      <w:r>
        <w:rPr>
          <w:w w:val="100"/>
        </w:rPr>
        <w:t> </w:t>
      </w:r>
      <w:r>
        <w:rPr>
          <w:spacing w:val="-2"/>
        </w:rPr>
        <w:t>综合收益或股东权益，以及企业合并产生的递延所得税调整商誉的账面价值外，其余当期所得税和递延所</w:t>
      </w:r>
      <w:r>
        <w:rPr>
          <w:spacing w:val="-44"/>
        </w:rPr>
        <w:t> </w:t>
      </w:r>
      <w:r>
        <w:rPr>
          <w:spacing w:val="-44"/>
        </w:rPr>
      </w:r>
      <w:r>
        <w:rPr/>
        <w:t>得税费用或收益计入当期损益。</w:t>
      </w:r>
    </w:p>
    <w:p>
      <w:pPr>
        <w:pStyle w:val="BodyText"/>
        <w:spacing w:line="417" w:lineRule="auto" w:before="87"/>
        <w:ind w:left="533" w:right="0" w:hanging="106"/>
        <w:jc w:val="left"/>
      </w:pPr>
      <w:r>
        <w:rPr/>
        <w:t>（</w:t>
      </w:r>
      <w:r>
        <w:rPr>
          <w:rFonts w:ascii="Times New Roman" w:hAnsi="Times New Roman" w:cs="Times New Roman" w:eastAsia="Times New Roman" w:hint="default"/>
        </w:rPr>
        <w:t>4</w:t>
      </w:r>
      <w:r>
        <w:rPr/>
        <w:t>）所得税的抵销</w:t>
      </w:r>
      <w:r>
        <w:rPr>
          <w:w w:val="100"/>
        </w:rPr>
        <w:t> </w:t>
      </w:r>
      <w:r>
        <w:rPr>
          <w:spacing w:val="-2"/>
        </w:rPr>
        <w:t>当拥有以净额结算的法定权利，且意图以净额结算或取得资产、清偿负债同时进行时，本公司当期所</w:t>
      </w:r>
    </w:p>
    <w:p>
      <w:pPr>
        <w:pStyle w:val="BodyText"/>
        <w:spacing w:line="444" w:lineRule="auto" w:before="37"/>
        <w:ind w:left="533" w:right="0" w:hanging="420"/>
        <w:jc w:val="left"/>
      </w:pPr>
      <w:r>
        <w:rPr/>
        <w:t>得税资产及当期所得税负债以抵销后的净额列报。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408" w:lineRule="auto" w:before="14"/>
        <w:ind w:right="1125"/>
        <w:jc w:val="both"/>
      </w:pPr>
      <w:r>
        <w:rPr>
          <w:spacing w:val="-2"/>
        </w:rPr>
        <w:t>债是与同一税收征管部门对同一纳税主体征收的所得税相关或者是对不同的纳税主体相关，但在未来每一</w:t>
      </w:r>
      <w:r>
        <w:rPr>
          <w:spacing w:val="-42"/>
        </w:rPr>
        <w:t> </w:t>
      </w:r>
      <w:r>
        <w:rPr>
          <w:spacing w:val="-42"/>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债或是同时取得资产、清偿负债时，本公司递延所得税资产及递延所得税负债以抵销后的净额列报。</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5" w:lineRule="auto"/>
        <w:ind w:left="533" w:right="0"/>
        <w:jc w:val="left"/>
      </w:pPr>
      <w:r>
        <w:rPr>
          <w:rFonts w:ascii="Calibri" w:hAnsi="Calibri" w:cs="Calibri" w:eastAsia="Calibri" w:hint="default"/>
        </w:rPr>
        <w:t>①</w:t>
      </w:r>
      <w:r>
        <w:rPr/>
        <w:t>本公司作为承租人记录经营租赁业务</w:t>
      </w:r>
      <w:r>
        <w:rPr>
          <w:w w:val="100"/>
        </w:rPr>
        <w:t> </w:t>
      </w:r>
      <w:r>
        <w:rPr>
          <w:spacing w:val="-2"/>
        </w:rPr>
        <w:t>经营租赁的租金支出在租赁期内的各个期间按直线法计入相关资产成本或当期损益。初始直接费用计</w:t>
      </w:r>
    </w:p>
    <w:p>
      <w:pPr>
        <w:pStyle w:val="BodyText"/>
        <w:spacing w:line="240" w:lineRule="auto" w:before="48"/>
        <w:ind w:right="0"/>
        <w:jc w:val="both"/>
      </w:pPr>
      <w:r>
        <w:rPr/>
        <w:t>入当期损益。或有租金于实际发生时计入当期损益。</w:t>
      </w:r>
    </w:p>
    <w:p>
      <w:pPr>
        <w:spacing w:line="240" w:lineRule="auto" w:before="9"/>
        <w:rPr>
          <w:rFonts w:ascii="宋体" w:hAnsi="宋体" w:cs="宋体" w:eastAsia="宋体" w:hint="default"/>
          <w:sz w:val="17"/>
          <w:szCs w:val="17"/>
        </w:rPr>
      </w:pPr>
    </w:p>
    <w:p>
      <w:pPr>
        <w:pStyle w:val="BodyText"/>
        <w:spacing w:line="405" w:lineRule="auto"/>
        <w:ind w:left="533" w:right="0"/>
        <w:jc w:val="left"/>
      </w:pPr>
      <w:r>
        <w:rPr>
          <w:rFonts w:ascii="Calibri" w:hAnsi="Calibri" w:cs="Calibri" w:eastAsia="Calibri" w:hint="default"/>
        </w:rPr>
        <w:t>②</w:t>
      </w:r>
      <w:r>
        <w:rPr/>
        <w:t>本公司作为出租人记录经营租赁业务</w:t>
      </w:r>
      <w:r>
        <w:rPr>
          <w:w w:val="100"/>
        </w:rPr>
        <w:t> </w:t>
      </w:r>
      <w:r>
        <w:rPr>
          <w:spacing w:val="-2"/>
        </w:rPr>
        <w:t>经营租赁的租金收入在租赁期内的各个期间按直线法确认为当期损益。对金额较大的初始直接费用于</w:t>
      </w:r>
    </w:p>
    <w:p>
      <w:pPr>
        <w:pStyle w:val="BodyText"/>
        <w:spacing w:line="408" w:lineRule="auto" w:before="49"/>
        <w:ind w:right="0"/>
        <w:jc w:val="left"/>
      </w:pPr>
      <w:r>
        <w:rPr>
          <w:spacing w:val="-2"/>
        </w:rPr>
        <w:t>发生时予以资本化，在整个租赁期间内按照与确认租金收入相同的基础分期计入当期损益；其他金额较小</w:t>
      </w:r>
      <w:r>
        <w:rPr>
          <w:spacing w:val="-42"/>
        </w:rPr>
        <w:t> </w:t>
      </w:r>
      <w:r>
        <w:rPr>
          <w:spacing w:val="-42"/>
        </w:rPr>
      </w:r>
      <w:r>
        <w:rPr/>
        <w:t>的初始直接费用于发生时计入当期损益。或有租金于实际发生时计入当期损益。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left="533" w:right="0"/>
        <w:jc w:val="left"/>
      </w:pPr>
      <w:r>
        <w:rPr>
          <w:rFonts w:ascii="Calibri" w:hAnsi="Calibri" w:cs="Calibri" w:eastAsia="Calibri" w:hint="default"/>
        </w:rPr>
        <w:t>①</w:t>
      </w:r>
      <w:r>
        <w:rPr/>
        <w:t>本公司作为承租人记录融资租赁业务</w:t>
      </w:r>
      <w:r>
        <w:rPr>
          <w:w w:val="100"/>
        </w:rPr>
        <w:t> </w:t>
      </w:r>
      <w:r>
        <w:rPr>
          <w:spacing w:val="-2"/>
        </w:rPr>
        <w:t>于租赁期开始日，将租赁开始日租赁资产的公允价值与最低租赁付款额现值两者中较低者作为租入资</w:t>
      </w:r>
    </w:p>
    <w:p>
      <w:pPr>
        <w:spacing w:after="0" w:line="403"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1126"/>
        <w:jc w:val="both"/>
      </w:pPr>
      <w:r>
        <w:rPr>
          <w:spacing w:val="-2"/>
        </w:rPr>
        <w:t>产的入账价值，将最低租赁付款额作为长期应付款的入账价值，其差额作为未确认融资费用。此外，在租</w:t>
      </w:r>
      <w:r>
        <w:rPr>
          <w:spacing w:val="-47"/>
        </w:rPr>
        <w:t> </w:t>
      </w:r>
      <w:r>
        <w:rPr>
          <w:spacing w:val="-47"/>
        </w:rPr>
      </w:r>
      <w:r>
        <w:rPr>
          <w:spacing w:val="-2"/>
        </w:rPr>
        <w:t>赁谈判和签订租赁合同过程中发生的，可归属于租赁项目的初始直接费用也计入租入资产价值。最低租赁</w:t>
      </w:r>
      <w:r>
        <w:rPr>
          <w:spacing w:val="-42"/>
        </w:rPr>
        <w:t> </w:t>
      </w:r>
      <w:r>
        <w:rPr>
          <w:spacing w:val="-42"/>
        </w:rPr>
      </w:r>
      <w:r>
        <w:rPr/>
        <w:t>付款额扣除未确认融资费用后的余额分别长期负债和一年内到期的长期负债列示。</w:t>
      </w:r>
    </w:p>
    <w:p>
      <w:pPr>
        <w:pStyle w:val="BodyText"/>
        <w:spacing w:line="408" w:lineRule="auto" w:before="87"/>
        <w:ind w:right="1126" w:firstLine="420"/>
        <w:jc w:val="both"/>
      </w:pPr>
      <w:r>
        <w:rPr>
          <w:spacing w:val="-2"/>
        </w:rPr>
        <w:t>未确认融资费用在租赁期内采用实际利率法计算确认当期的融资费用。或有租金于实际发生时计入当</w:t>
      </w:r>
      <w:r>
        <w:rPr>
          <w:w w:val="100"/>
        </w:rPr>
        <w:t> </w:t>
      </w:r>
      <w:r>
        <w:rPr/>
        <w:t>期损益。</w:t>
      </w:r>
    </w:p>
    <w:p>
      <w:pPr>
        <w:pStyle w:val="BodyText"/>
        <w:spacing w:line="405" w:lineRule="auto" w:before="84"/>
        <w:ind w:left="533" w:right="0"/>
        <w:jc w:val="left"/>
      </w:pPr>
      <w:r>
        <w:rPr>
          <w:rFonts w:ascii="Calibri" w:hAnsi="Calibri" w:cs="Calibri" w:eastAsia="Calibri" w:hint="default"/>
        </w:rPr>
        <w:t>②</w:t>
      </w:r>
      <w:r>
        <w:rPr/>
        <w:t>本公司作为出租人记录融资租赁业务</w:t>
      </w:r>
      <w:r>
        <w:rPr>
          <w:w w:val="100"/>
        </w:rPr>
        <w:t> </w:t>
      </w:r>
      <w:r>
        <w:rPr>
          <w:spacing w:val="-2"/>
        </w:rPr>
        <w:t>于租赁期开始日，将租赁开始日最低租赁收款额与初始直接费用之和作为应收融资租赁款的入账价值，</w:t>
      </w:r>
    </w:p>
    <w:p>
      <w:pPr>
        <w:pStyle w:val="BodyText"/>
        <w:spacing w:line="410" w:lineRule="auto" w:before="48"/>
        <w:ind w:right="0"/>
        <w:jc w:val="left"/>
      </w:pPr>
      <w:r>
        <w:rPr/>
        <w:t>同时记录未担保余值；将最低租赁收款额、初始直接费用及未担保余值之和与其现值之和的差额确认为未</w:t>
      </w:r>
      <w:r>
        <w:rPr>
          <w:w w:val="100"/>
        </w:rPr>
        <w:t> </w:t>
      </w:r>
      <w:r>
        <w:rPr>
          <w:spacing w:val="-2"/>
        </w:rPr>
        <w:t>实现融资收益。应收融资租赁款扣除未实现融资收益后的余额分别长期债权和一年内到期的长期债权列示。</w:t>
      </w:r>
    </w:p>
    <w:p>
      <w:pPr>
        <w:pStyle w:val="BodyText"/>
        <w:spacing w:line="408" w:lineRule="auto" w:before="85"/>
        <w:ind w:right="1126" w:firstLine="420"/>
        <w:jc w:val="both"/>
      </w:pPr>
      <w:r>
        <w:rPr>
          <w:spacing w:val="-2"/>
        </w:rPr>
        <w:t>未实现融资收益在租赁期内采用实际利率法计算确认当期的融资收入。或有租金于实际发生时计入当</w:t>
      </w:r>
      <w:r>
        <w:rPr>
          <w:w w:val="100"/>
        </w:rPr>
        <w:t> </w:t>
      </w:r>
      <w:r>
        <w:rPr/>
        <w:t>期损益。</w:t>
      </w:r>
    </w:p>
    <w:p>
      <w:pPr>
        <w:spacing w:line="240" w:lineRule="auto" w:before="5"/>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spacing w:val="-2"/>
        </w:rPr>
        <w:t>本公司在运用会计政策过程中，由于经营活动内在的不确定性，本公司需要对无法准确计量的报表项</w:t>
      </w:r>
      <w:r>
        <w:rPr>
          <w:w w:val="100"/>
        </w:rPr>
        <w:t> </w:t>
      </w:r>
      <w:r>
        <w:rPr>
          <w:spacing w:val="-2"/>
        </w:rPr>
        <w:t>目的账面价值进行判断、估计和假设。这些判断、估计和假设是基于本公司管理层过去的历史经验，并在</w:t>
      </w:r>
      <w:r>
        <w:rPr>
          <w:spacing w:val="-47"/>
        </w:rPr>
        <w:t> </w:t>
      </w:r>
      <w:r>
        <w:rPr>
          <w:spacing w:val="-47"/>
        </w:rPr>
      </w:r>
      <w:r>
        <w:rPr>
          <w:spacing w:val="-2"/>
        </w:rPr>
        <w:t>考虑其他相关因素的基础上做出的。这些判断、估计和假设会影响收入、费用、资产和负债的报告金额以</w:t>
      </w:r>
      <w:r>
        <w:rPr>
          <w:spacing w:val="-47"/>
        </w:rPr>
        <w:t> </w:t>
      </w:r>
      <w:r>
        <w:rPr>
          <w:spacing w:val="-47"/>
        </w:rPr>
      </w:r>
      <w:r>
        <w:rPr>
          <w:spacing w:val="-2"/>
        </w:rPr>
        <w:t>及资产负债表日或有负债的披露。然而，这些估计的不确定性所导致的实际结果可能与本公司管理层当前</w:t>
      </w:r>
      <w:r>
        <w:rPr>
          <w:spacing w:val="-44"/>
        </w:rPr>
        <w:t> </w:t>
      </w:r>
      <w:r>
        <w:rPr>
          <w:spacing w:val="-44"/>
        </w:rPr>
      </w:r>
      <w:r>
        <w:rPr/>
        <w:t>的估计存在差异，进而造成对未来受影响的资产或负债的账面金额进行重大调整。</w:t>
      </w:r>
    </w:p>
    <w:p>
      <w:pPr>
        <w:pStyle w:val="BodyText"/>
        <w:spacing w:line="408" w:lineRule="auto" w:before="87"/>
        <w:ind w:right="1126" w:firstLine="420"/>
        <w:jc w:val="both"/>
      </w:pPr>
      <w:r>
        <w:rPr>
          <w:spacing w:val="-2"/>
        </w:rPr>
        <w:t>本公司对前述判断、估计和假设在持续经营的基础上进行定期复核，会计估计的变更仅影响变更当期</w:t>
      </w:r>
      <w:r>
        <w:rPr>
          <w:w w:val="100"/>
        </w:rPr>
        <w:t> </w:t>
      </w:r>
      <w:r>
        <w:rPr>
          <w:spacing w:val="-2"/>
        </w:rPr>
        <w:t>的，其影响数在变更当期予以确认；既影响变更当期又影响未来期间的，其影响数在变更当期和未来期间</w:t>
      </w:r>
      <w:r>
        <w:rPr>
          <w:spacing w:val="-44"/>
        </w:rPr>
        <w:t> </w:t>
      </w:r>
      <w:r>
        <w:rPr>
          <w:spacing w:val="-44"/>
        </w:rPr>
      </w:r>
      <w:r>
        <w:rPr/>
        <w:t>予以确认。</w:t>
      </w:r>
    </w:p>
    <w:p>
      <w:pPr>
        <w:pStyle w:val="BodyText"/>
        <w:spacing w:line="240" w:lineRule="auto" w:before="84"/>
        <w:ind w:left="533" w:right="0"/>
        <w:jc w:val="left"/>
      </w:pPr>
      <w:r>
        <w:rPr/>
        <w:t>于资产负债表日，本公司需对财务报表项目金额进行判断、估计和假设的重要领域如下：</w:t>
      </w:r>
    </w:p>
    <w:p>
      <w:pPr>
        <w:spacing w:line="240" w:lineRule="auto" w:before="12"/>
        <w:rPr>
          <w:rFonts w:ascii="宋体" w:hAnsi="宋体" w:cs="宋体" w:eastAsia="宋体" w:hint="default"/>
          <w:sz w:val="17"/>
          <w:szCs w:val="17"/>
        </w:rPr>
      </w:pPr>
    </w:p>
    <w:p>
      <w:pPr>
        <w:pStyle w:val="BodyText"/>
        <w:spacing w:line="420" w:lineRule="auto"/>
        <w:ind w:left="533" w:right="1111" w:hanging="106"/>
        <w:jc w:val="left"/>
      </w:pPr>
      <w:r>
        <w:rPr/>
        <w:t>（</w:t>
      </w:r>
      <w:r>
        <w:rPr>
          <w:rFonts w:ascii="Times New Roman" w:hAnsi="Times New Roman" w:cs="Times New Roman" w:eastAsia="Times New Roman" w:hint="default"/>
        </w:rPr>
        <w:t>1</w:t>
      </w:r>
      <w:r>
        <w:rPr/>
        <w:t>）坏账准备计提</w:t>
      </w:r>
      <w:r>
        <w:rPr>
          <w:w w:val="100"/>
        </w:rPr>
        <w:t> </w:t>
      </w:r>
      <w:r>
        <w:rPr/>
        <w:t>公司根据应收款项的会计政策，采用备抵法核算坏账损失。应收账款减值是基于评估应收账款</w:t>
      </w:r>
      <w:r>
        <w:rPr>
          <w:spacing w:val="87"/>
        </w:rPr>
        <w:t> </w:t>
      </w:r>
      <w:r>
        <w:rPr/>
        <w:t>的可</w:t>
      </w:r>
    </w:p>
    <w:p>
      <w:pPr>
        <w:pStyle w:val="BodyText"/>
        <w:spacing w:line="408" w:lineRule="auto" w:before="35"/>
        <w:ind w:right="1131"/>
        <w:jc w:val="both"/>
      </w:pPr>
      <w:r>
        <w:rPr/>
        <w:t>收回性。鉴定应收账款减值要求管理层的判断和估计。实际的结果与原先估计的差异将在</w:t>
      </w:r>
      <w:r>
        <w:rPr>
          <w:spacing w:val="70"/>
        </w:rPr>
        <w:t> </w:t>
      </w:r>
      <w:r>
        <w:rPr/>
        <w:t>估计被改变的</w:t>
      </w:r>
      <w:r>
        <w:rPr>
          <w:spacing w:val="-95"/>
        </w:rPr>
        <w:t> </w:t>
      </w:r>
      <w:r>
        <w:rPr>
          <w:spacing w:val="-95"/>
        </w:rPr>
      </w:r>
      <w:r>
        <w:rPr/>
        <w:t>期间影响应收账款的账面价值及应收账款坏账准备的计提或转回。</w:t>
      </w:r>
    </w:p>
    <w:p>
      <w:pPr>
        <w:pStyle w:val="BodyText"/>
        <w:spacing w:line="420" w:lineRule="auto" w:before="84"/>
        <w:ind w:left="533" w:right="0" w:hanging="106"/>
        <w:jc w:val="left"/>
      </w:pPr>
      <w:r>
        <w:rPr/>
        <w:t>（</w:t>
      </w:r>
      <w:r>
        <w:rPr>
          <w:rFonts w:ascii="Times New Roman" w:hAnsi="Times New Roman" w:cs="Times New Roman" w:eastAsia="Times New Roman" w:hint="default"/>
        </w:rPr>
        <w:t>2</w:t>
      </w:r>
      <w:r>
        <w:rPr/>
        <w:t>）存货跌价准备</w:t>
      </w:r>
      <w:r>
        <w:rPr>
          <w:w w:val="100"/>
        </w:rPr>
        <w:t> </w:t>
      </w:r>
      <w:r>
        <w:rPr>
          <w:spacing w:val="-2"/>
        </w:rPr>
        <w:t>公司根据存货会计政策，按照成本与可变现净值孰低计量，对成本高于可变现净值及陈旧和滞销的存</w:t>
      </w:r>
    </w:p>
    <w:p>
      <w:pPr>
        <w:pStyle w:val="BodyText"/>
        <w:spacing w:line="240" w:lineRule="auto" w:before="35"/>
        <w:ind w:right="0"/>
        <w:jc w:val="both"/>
      </w:pPr>
      <w:r>
        <w:rPr/>
        <w:t>货，计提存货跌价准备。存货减值至可变现净值是基于评估存货的可售性及其可变现净值。鉴定存货减值</w:t>
      </w:r>
    </w:p>
    <w:p>
      <w:pPr>
        <w:spacing w:after="0" w:line="240"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1126"/>
        <w:jc w:val="both"/>
      </w:pPr>
      <w:r>
        <w:rPr>
          <w:spacing w:val="-2"/>
        </w:rPr>
        <w:t>要求管理层在取得确凿证据，并且考虑持有存货的目的、资产负债表日后事项的影响等因素的基础上作出</w:t>
      </w:r>
      <w:r>
        <w:rPr>
          <w:spacing w:val="-43"/>
        </w:rPr>
        <w:t> </w:t>
      </w:r>
      <w:r>
        <w:rPr>
          <w:spacing w:val="-43"/>
        </w:rPr>
      </w:r>
      <w:r>
        <w:rPr>
          <w:spacing w:val="-2"/>
        </w:rPr>
        <w:t>判断和估计。实际的结果与原先估计的差异将在估计被改变的期间影响存货的账面价值及存货跌价准备的</w:t>
      </w:r>
      <w:r>
        <w:rPr>
          <w:spacing w:val="-43"/>
        </w:rPr>
        <w:t> </w:t>
      </w:r>
      <w:r>
        <w:rPr>
          <w:spacing w:val="-43"/>
        </w:rPr>
      </w:r>
      <w:r>
        <w:rPr/>
        <w:t>计提或转回。</w:t>
      </w:r>
    </w:p>
    <w:p>
      <w:pPr>
        <w:pStyle w:val="BodyText"/>
        <w:spacing w:line="417" w:lineRule="auto" w:before="87"/>
        <w:ind w:left="533" w:right="1111" w:hanging="106"/>
        <w:jc w:val="left"/>
      </w:pPr>
      <w:r>
        <w:rPr/>
        <w:t>（</w:t>
      </w:r>
      <w:r>
        <w:rPr>
          <w:rFonts w:ascii="Times New Roman" w:hAnsi="Times New Roman" w:cs="Times New Roman" w:eastAsia="Times New Roman" w:hint="default"/>
        </w:rPr>
        <w:t>3</w:t>
      </w:r>
      <w:r>
        <w:rPr/>
        <w:t>）可供出售金融资产减值</w:t>
      </w:r>
      <w:r>
        <w:rPr>
          <w:w w:val="100"/>
        </w:rPr>
        <w:t> </w:t>
      </w:r>
      <w:r>
        <w:rPr/>
        <w:t>公司确定可供出售金融资产是否减值在很大程度上依赖于管理层的判断和假设，以确定是否需</w:t>
      </w:r>
      <w:r>
        <w:rPr>
          <w:spacing w:val="87"/>
        </w:rPr>
        <w:t> </w:t>
      </w:r>
      <w:r>
        <w:rPr/>
        <w:t>要在</w:t>
      </w:r>
    </w:p>
    <w:p>
      <w:pPr>
        <w:pStyle w:val="BodyText"/>
        <w:spacing w:line="408" w:lineRule="auto" w:before="37"/>
        <w:ind w:right="1126"/>
        <w:jc w:val="both"/>
      </w:pPr>
      <w:r>
        <w:rPr/>
        <w:t>利润表中确认其减值损失。在进行判断和作出假设的过程中，公司需评估该项投资的公允</w:t>
      </w:r>
      <w:r>
        <w:rPr>
          <w:spacing w:val="69"/>
        </w:rPr>
        <w:t> </w:t>
      </w:r>
      <w:r>
        <w:rPr/>
        <w:t>价值低于成本</w:t>
      </w:r>
      <w:r>
        <w:rPr>
          <w:spacing w:val="-93"/>
        </w:rPr>
        <w:t> </w:t>
      </w:r>
      <w:r>
        <w:rPr>
          <w:spacing w:val="-93"/>
        </w:rPr>
      </w:r>
      <w:r>
        <w:rPr>
          <w:spacing w:val="-3"/>
        </w:rPr>
        <w:t>的程度和持续期间，以及被投资对象的财务状况和短期业务展望，包括行业状况、 </w:t>
      </w:r>
      <w:r>
        <w:rPr>
          <w:spacing w:val="-5"/>
        </w:rPr>
        <w:t>技术变革、信用评级、</w:t>
      </w:r>
      <w:r>
        <w:rPr>
          <w:spacing w:val="-81"/>
        </w:rPr>
        <w:t> </w:t>
      </w:r>
      <w:r>
        <w:rPr>
          <w:spacing w:val="-81"/>
        </w:rPr>
      </w:r>
      <w:r>
        <w:rPr/>
        <w:t>违约率和对手方的风险。</w:t>
      </w:r>
    </w:p>
    <w:p>
      <w:pPr>
        <w:pStyle w:val="BodyText"/>
        <w:spacing w:line="420" w:lineRule="auto" w:before="87"/>
        <w:ind w:left="533" w:right="0" w:hanging="106"/>
        <w:jc w:val="left"/>
      </w:pPr>
      <w:r>
        <w:rPr/>
        <w:t>（</w:t>
      </w:r>
      <w:r>
        <w:rPr>
          <w:rFonts w:ascii="Times New Roman" w:hAnsi="Times New Roman" w:cs="Times New Roman" w:eastAsia="Times New Roman" w:hint="default"/>
        </w:rPr>
        <w:t>4</w:t>
      </w:r>
      <w:r>
        <w:rPr/>
        <w:t>）长期资产减值准备</w:t>
      </w:r>
      <w:r>
        <w:rPr>
          <w:w w:val="100"/>
        </w:rPr>
        <w:t> </w:t>
      </w:r>
      <w:r>
        <w:rPr>
          <w:spacing w:val="-2"/>
        </w:rPr>
        <w:t>本公司于资产负债表日对除金融资产之外的非流动资产判断是否存在可能发生减值的迹象。对使用寿</w:t>
      </w:r>
    </w:p>
    <w:p>
      <w:pPr>
        <w:pStyle w:val="BodyText"/>
        <w:spacing w:line="408" w:lineRule="auto" w:before="35"/>
        <w:ind w:right="1131"/>
        <w:jc w:val="both"/>
      </w:pPr>
      <w:r>
        <w:rPr>
          <w:spacing w:val="-2"/>
        </w:rPr>
        <w:t>命不确定的无形资产，除每年进行的减值测试外，当其存在减值迹象时，也进行减值测试。其他除金融资</w:t>
      </w:r>
      <w:r>
        <w:rPr>
          <w:spacing w:val="-50"/>
        </w:rPr>
        <w:t> </w:t>
      </w:r>
      <w:r>
        <w:rPr>
          <w:spacing w:val="-50"/>
        </w:rPr>
      </w:r>
      <w:r>
        <w:rPr/>
        <w:t>产之外的非流动资产，当存在迹象表明其账面金额不可收回时，进行减值测试。</w:t>
      </w:r>
    </w:p>
    <w:p>
      <w:pPr>
        <w:pStyle w:val="BodyText"/>
        <w:spacing w:line="408" w:lineRule="auto" w:before="84"/>
        <w:ind w:right="1126" w:firstLine="420"/>
        <w:jc w:val="both"/>
      </w:pPr>
      <w:r>
        <w:rPr>
          <w:spacing w:val="-2"/>
        </w:rPr>
        <w:t>当资产或资产组的账面价值高于可收回金额，即公允价值减去处置费用后的净额和预计未来现金流量</w:t>
      </w:r>
      <w:r>
        <w:rPr>
          <w:w w:val="100"/>
        </w:rPr>
        <w:t> </w:t>
      </w:r>
      <w:r>
        <w:rPr/>
        <w:t>的现值中的较高者，表明发生了减值。</w:t>
      </w:r>
    </w:p>
    <w:p>
      <w:pPr>
        <w:pStyle w:val="BodyText"/>
        <w:spacing w:line="408" w:lineRule="auto" w:before="87"/>
        <w:ind w:right="1030" w:firstLine="420"/>
        <w:jc w:val="both"/>
      </w:pPr>
      <w:r>
        <w:rPr/>
        <w:t>公允价值减去处置费用后的净额，参考公平交易中类似资产的销售协议价格或可观察到的市场价格，</w:t>
      </w:r>
      <w:r>
        <w:rPr>
          <w:w w:val="100"/>
        </w:rPr>
        <w:t> </w:t>
      </w:r>
      <w:r>
        <w:rPr/>
        <w:t>减去可直接归属于该资产处置的增量成本确定。</w:t>
      </w:r>
    </w:p>
    <w:p>
      <w:pPr>
        <w:pStyle w:val="BodyText"/>
        <w:spacing w:line="408" w:lineRule="auto" w:before="87"/>
        <w:ind w:right="1125" w:firstLine="420"/>
        <w:jc w:val="both"/>
      </w:pPr>
      <w:r>
        <w:rPr>
          <w:spacing w:val="-2"/>
        </w:rPr>
        <w:t>在预计未来现金流量现值时，需要对该资产（或资产组）的产量、售价、相关经营成本以及计算现值</w:t>
      </w:r>
      <w:r>
        <w:rPr>
          <w:w w:val="100"/>
        </w:rPr>
        <w:t> </w:t>
      </w:r>
      <w:r>
        <w:rPr>
          <w:spacing w:val="-2"/>
        </w:rPr>
        <w:t>时使用的折现率等作出重大判断。本公司在估计可收回金额时会采用所有能够获得的相关资料，包括根据</w:t>
      </w:r>
      <w:r>
        <w:rPr>
          <w:spacing w:val="-43"/>
        </w:rPr>
        <w:t> </w:t>
      </w:r>
      <w:r>
        <w:rPr>
          <w:spacing w:val="-43"/>
        </w:rPr>
      </w:r>
      <w:r>
        <w:rPr/>
        <w:t>合理和可支持的假设所作出有关产量、售价和相关经营成本的预测。</w:t>
      </w:r>
    </w:p>
    <w:p>
      <w:pPr>
        <w:pStyle w:val="BodyText"/>
        <w:spacing w:line="408" w:lineRule="auto" w:before="84"/>
        <w:ind w:right="1126" w:firstLine="420"/>
        <w:jc w:val="both"/>
      </w:pPr>
      <w:r>
        <w:rPr>
          <w:spacing w:val="-2"/>
        </w:rPr>
        <w:t>本公司至少每年测试商誉是否发生减值。这要求对分配了商誉的资产组或者资产组组合的未来现金流</w:t>
      </w:r>
      <w:r>
        <w:rPr>
          <w:w w:val="100"/>
        </w:rPr>
        <w:t> </w:t>
      </w:r>
      <w:r>
        <w:rPr>
          <w:spacing w:val="-2"/>
        </w:rPr>
        <w:t>量的现值进行预计。对未来现金流量的现值进行预计时，本公司需要预计未来资产组或者资产组组合产生</w:t>
      </w:r>
      <w:r>
        <w:rPr>
          <w:spacing w:val="-42"/>
        </w:rPr>
        <w:t> </w:t>
      </w:r>
      <w:r>
        <w:rPr>
          <w:spacing w:val="-42"/>
        </w:rPr>
      </w:r>
      <w:r>
        <w:rPr/>
        <w:t>的现金流量，同时选择恰当的折现率确定未来现金流量的现值。</w:t>
      </w:r>
    </w:p>
    <w:p>
      <w:pPr>
        <w:pStyle w:val="BodyText"/>
        <w:spacing w:line="420" w:lineRule="auto" w:before="87"/>
        <w:ind w:left="533" w:right="0" w:hanging="106"/>
        <w:jc w:val="left"/>
      </w:pPr>
      <w:r>
        <w:rPr/>
        <w:t>（</w:t>
      </w:r>
      <w:r>
        <w:rPr>
          <w:rFonts w:ascii="Times New Roman" w:hAnsi="Times New Roman" w:cs="Times New Roman" w:eastAsia="Times New Roman" w:hint="default"/>
        </w:rPr>
        <w:t>5</w:t>
      </w:r>
      <w:r>
        <w:rPr/>
        <w:t>）折旧和摊销</w:t>
      </w:r>
      <w:r>
        <w:rPr>
          <w:spacing w:val="-102"/>
        </w:rPr>
        <w:t> </w:t>
      </w:r>
      <w:r>
        <w:rPr>
          <w:spacing w:val="-102"/>
        </w:rPr>
      </w:r>
      <w:r>
        <w:rPr>
          <w:spacing w:val="-5"/>
        </w:rPr>
        <w:t>公司对投资性房地产、固定资产和无形资产在考虑其残值后，在使用寿命内按直线法计提折旧和摊销。</w:t>
      </w:r>
    </w:p>
    <w:p>
      <w:pPr>
        <w:pStyle w:val="BodyText"/>
        <w:spacing w:line="408" w:lineRule="auto" w:before="35"/>
        <w:ind w:right="1132"/>
        <w:jc w:val="both"/>
      </w:pPr>
      <w:r>
        <w:rPr/>
        <w:t>本公司定期复核使用寿命，以决定将计入每个报告期的折旧和摊销费用数额。使用寿</w:t>
      </w:r>
      <w:r>
        <w:rPr>
          <w:spacing w:val="72"/>
        </w:rPr>
        <w:t> </w:t>
      </w:r>
      <w:r>
        <w:rPr/>
        <w:t>命是本公司根据对</w:t>
      </w:r>
      <w:r>
        <w:rPr>
          <w:spacing w:val="-97"/>
        </w:rPr>
        <w:t> </w:t>
      </w:r>
      <w:r>
        <w:rPr>
          <w:spacing w:val="-97"/>
        </w:rPr>
      </w:r>
      <w:r>
        <w:rPr/>
        <w:t>同类资产的以往经验并结合预期的技术更新而确定的。如果以前的估计发生</w:t>
      </w:r>
      <w:r>
        <w:rPr>
          <w:spacing w:val="70"/>
        </w:rPr>
        <w:t> </w:t>
      </w:r>
      <w:r>
        <w:rPr/>
        <w:t>重大变化，则会在未来期间</w:t>
      </w:r>
      <w:r>
        <w:rPr>
          <w:spacing w:val="-96"/>
        </w:rPr>
        <w:t> </w:t>
      </w:r>
      <w:r>
        <w:rPr>
          <w:spacing w:val="-96"/>
        </w:rPr>
      </w:r>
      <w:r>
        <w:rPr/>
        <w:t>对折旧和摊销费用进行调整。</w:t>
      </w:r>
    </w:p>
    <w:p>
      <w:pPr>
        <w:pStyle w:val="BodyText"/>
        <w:spacing w:line="420" w:lineRule="auto" w:before="84"/>
        <w:ind w:left="533" w:right="0" w:hanging="106"/>
        <w:jc w:val="left"/>
      </w:pPr>
      <w:r>
        <w:rPr/>
        <w:t>（</w:t>
      </w:r>
      <w:r>
        <w:rPr>
          <w:rFonts w:ascii="Times New Roman" w:hAnsi="Times New Roman" w:cs="Times New Roman" w:eastAsia="Times New Roman" w:hint="default"/>
        </w:rPr>
        <w:t>6</w:t>
      </w:r>
      <w:r>
        <w:rPr/>
        <w:t>）递延所得税资产的确认</w:t>
      </w:r>
      <w:r>
        <w:rPr>
          <w:w w:val="100"/>
        </w:rPr>
        <w:t> </w:t>
      </w:r>
      <w:r>
        <w:rPr>
          <w:spacing w:val="-2"/>
        </w:rPr>
        <w:t>在很有可能有足够的应纳税利润来抵扣亏损的限度内，本公司就所有未利用的税务亏损确认递延所得</w:t>
      </w:r>
    </w:p>
    <w:p>
      <w:pPr>
        <w:spacing w:after="0" w:line="42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0"/>
        <w:jc w:val="left"/>
      </w:pPr>
      <w:r>
        <w:rPr>
          <w:spacing w:val="-2"/>
        </w:rPr>
        <w:t>税资产。这需要本公司管理层运用大量的判断来估计未来应纳税利润发生的时间和金额，结合纳税筹划策</w:t>
      </w:r>
      <w:r>
        <w:rPr>
          <w:spacing w:val="-44"/>
        </w:rPr>
        <w:t> </w:t>
      </w:r>
      <w:r>
        <w:rPr>
          <w:spacing w:val="-44"/>
        </w:rPr>
      </w:r>
      <w:r>
        <w:rPr/>
        <w:t>略，以决定应确认的递延所得税资产的金额。</w:t>
      </w:r>
    </w:p>
    <w:p>
      <w:pPr>
        <w:pStyle w:val="BodyText"/>
        <w:spacing w:line="417" w:lineRule="auto" w:before="87"/>
        <w:ind w:left="533" w:right="0" w:hanging="106"/>
        <w:jc w:val="left"/>
      </w:pPr>
      <w:r>
        <w:rPr/>
        <w:t>（</w:t>
      </w:r>
      <w:r>
        <w:rPr>
          <w:rFonts w:ascii="Times New Roman" w:hAnsi="Times New Roman" w:cs="Times New Roman" w:eastAsia="Times New Roman" w:hint="default"/>
        </w:rPr>
        <w:t>7</w:t>
      </w:r>
      <w:r>
        <w:rPr/>
        <w:t>）递延所得税负债的确认</w:t>
      </w:r>
      <w:r>
        <w:rPr>
          <w:w w:val="100"/>
        </w:rPr>
        <w:t> </w:t>
      </w:r>
      <w:r>
        <w:rPr/>
        <w:t>除下列情况产生的递延所得税负债以外，本公司确认所有应纳税暂时性差异产生的递延所得税负债：</w:t>
      </w:r>
    </w:p>
    <w:p>
      <w:pPr>
        <w:pStyle w:val="BodyText"/>
        <w:spacing w:line="408" w:lineRule="auto" w:before="37"/>
        <w:ind w:right="0"/>
        <w:jc w:val="left"/>
      </w:pPr>
      <w:r>
        <w:rPr>
          <w:spacing w:val="-2"/>
        </w:rPr>
        <w:t>①商誉的初始确认；②同时满足具有下列特征的交易中产生的资产或负债的初始确认：该项交易不是企业</w:t>
      </w:r>
      <w:r>
        <w:rPr>
          <w:spacing w:val="-42"/>
        </w:rPr>
        <w:t> </w:t>
      </w:r>
      <w:r>
        <w:rPr>
          <w:spacing w:val="-42"/>
        </w:rPr>
      </w:r>
      <w:r>
        <w:rPr>
          <w:spacing w:val="-5"/>
          <w:w w:val="100"/>
        </w:rPr>
        <w:t>合并；交易发生时既不影响会计利润也不影响应纳税所得额（或可抵扣亏损）。</w:t>
      </w:r>
    </w:p>
    <w:p>
      <w:pPr>
        <w:pStyle w:val="BodyText"/>
        <w:spacing w:line="408" w:lineRule="auto" w:before="87"/>
        <w:ind w:right="0" w:firstLine="420"/>
        <w:jc w:val="left"/>
      </w:pPr>
      <w:r>
        <w:rPr>
          <w:spacing w:val="-2"/>
        </w:rPr>
        <w:t>公司对与子公司、联营公司及合营企业投资产生相关的应纳税暂时性差异，同时满足下列条件的：①</w:t>
      </w:r>
      <w:r>
        <w:rPr>
          <w:w w:val="100"/>
        </w:rPr>
        <w:t> </w:t>
      </w:r>
      <w:r>
        <w:rPr/>
        <w:t>投资企业能够控制暂时性差异的转回的时间；②该暂时性差异在可预见的未来很可能不会转回。</w:t>
      </w:r>
    </w:p>
    <w:p>
      <w:pPr>
        <w:pStyle w:val="BodyText"/>
        <w:spacing w:line="417" w:lineRule="auto" w:before="87"/>
        <w:ind w:left="533" w:right="1126" w:hanging="106"/>
        <w:jc w:val="left"/>
      </w:pPr>
      <w:r>
        <w:rPr/>
        <w:t>（</w:t>
      </w:r>
      <w:r>
        <w:rPr>
          <w:rFonts w:ascii="Times New Roman" w:hAnsi="Times New Roman" w:cs="Times New Roman" w:eastAsia="Times New Roman" w:hint="default"/>
        </w:rPr>
        <w:t>8</w:t>
      </w:r>
      <w:r>
        <w:rPr/>
        <w:t>）所得税</w:t>
      </w:r>
      <w:r>
        <w:rPr>
          <w:spacing w:val="-102"/>
        </w:rPr>
        <w:t> </w:t>
      </w:r>
      <w:r>
        <w:rPr>
          <w:spacing w:val="-102"/>
        </w:rPr>
      </w:r>
      <w:r>
        <w:rPr>
          <w:spacing w:val="-2"/>
        </w:rPr>
        <w:t>公司在正常的经营活动中，有部分交易其最终的税务处理和计算存在一定的不确定性。部分项目是否</w:t>
      </w:r>
    </w:p>
    <w:p>
      <w:pPr>
        <w:pStyle w:val="BodyText"/>
        <w:spacing w:line="408" w:lineRule="auto" w:before="37"/>
        <w:ind w:right="0"/>
        <w:jc w:val="left"/>
      </w:pPr>
      <w:r>
        <w:rPr>
          <w:spacing w:val="-2"/>
        </w:rPr>
        <w:t>能够在税前列支需要税收主管机关的审批。如果这些税务事项的最终认定结果同最初估计的金额存在差异，</w:t>
      </w:r>
      <w:r>
        <w:rPr>
          <w:spacing w:val="-43"/>
        </w:rPr>
        <w:t> </w:t>
      </w:r>
      <w:r>
        <w:rPr>
          <w:spacing w:val="-43"/>
        </w:rPr>
      </w:r>
      <w:r>
        <w:rPr/>
        <w:t>则该差异将对其最终认定期间的当期所得税和递延所得税产生影响。</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087"/>
        <w:gridCol w:w="1102"/>
        <w:gridCol w:w="1311"/>
        <w:gridCol w:w="1877"/>
        <w:gridCol w:w="108"/>
        <w:gridCol w:w="3083"/>
      </w:tblGrid>
      <w:tr>
        <w:trPr>
          <w:trHeight w:val="403" w:hRule="exact"/>
        </w:trPr>
        <w:tc>
          <w:tcPr>
            <w:tcW w:w="3189"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8" w:hRule="exact"/>
        </w:trPr>
        <w:tc>
          <w:tcPr>
            <w:tcW w:w="3189" w:type="dxa"/>
            <w:gridSpan w:val="2"/>
            <w:tcBorders>
              <w:top w:val="single" w:sz="4" w:space="0" w:color="933734"/>
              <w:left w:val="single" w:sz="4" w:space="0" w:color="933734"/>
              <w:bottom w:val="single" w:sz="8" w:space="0" w:color="E4B8B7"/>
              <w:right w:val="single" w:sz="4" w:space="0" w:color="933734"/>
            </w:tcBorders>
          </w:tcPr>
          <w:p>
            <w:pPr>
              <w:pStyle w:val="TableParagraph"/>
              <w:spacing w:line="297" w:lineRule="auto" w:before="49"/>
              <w:ind w:left="99" w:right="106"/>
              <w:jc w:val="left"/>
              <w:rPr>
                <w:rFonts w:ascii="宋体" w:hAnsi="宋体" w:cs="宋体" w:eastAsia="宋体" w:hint="default"/>
                <w:sz w:val="18"/>
                <w:szCs w:val="18"/>
              </w:rPr>
            </w:pPr>
            <w:r>
              <w:rPr>
                <w:rFonts w:ascii="宋体" w:hAnsi="宋体" w:cs="宋体" w:eastAsia="宋体" w:hint="default"/>
                <w:sz w:val="18"/>
                <w:szCs w:val="18"/>
              </w:rPr>
              <w:t>关于修订印发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年度一般企业财务 报表格式的通知</w:t>
            </w:r>
          </w:p>
        </w:tc>
        <w:tc>
          <w:tcPr>
            <w:tcW w:w="3188" w:type="dxa"/>
            <w:gridSpan w:val="2"/>
            <w:tcBorders>
              <w:top w:val="single" w:sz="4" w:space="0" w:color="933734"/>
              <w:left w:val="single" w:sz="4" w:space="0" w:color="933734"/>
              <w:bottom w:val="single" w:sz="8" w:space="0" w:color="E4B8B7"/>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1" w:type="dxa"/>
            <w:gridSpan w:val="2"/>
            <w:tcBorders>
              <w:top w:val="single" w:sz="4" w:space="0" w:color="933734"/>
              <w:left w:val="single" w:sz="4" w:space="0" w:color="933734"/>
              <w:bottom w:val="single" w:sz="8" w:space="0" w:color="E4B8B7"/>
              <w:right w:val="single" w:sz="4" w:space="0" w:color="933734"/>
            </w:tcBorders>
          </w:tcPr>
          <w:p>
            <w:pPr/>
          </w:p>
        </w:tc>
      </w:tr>
      <w:tr>
        <w:trPr>
          <w:trHeight w:val="337" w:hRule="exact"/>
        </w:trPr>
        <w:tc>
          <w:tcPr>
            <w:tcW w:w="4500"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59" w:lineRule="exact"/>
              <w:ind w:left="1193" w:right="0"/>
              <w:jc w:val="left"/>
              <w:rPr>
                <w:rFonts w:ascii="宋体" w:hAnsi="宋体" w:cs="宋体" w:eastAsia="宋体" w:hint="default"/>
                <w:sz w:val="20"/>
                <w:szCs w:val="20"/>
              </w:rPr>
            </w:pPr>
            <w:r>
              <w:rPr>
                <w:rFonts w:ascii="宋体" w:hAnsi="宋体" w:cs="宋体" w:eastAsia="宋体" w:hint="default"/>
                <w:sz w:val="20"/>
                <w:szCs w:val="20"/>
              </w:rPr>
              <w:t>原列报报表项目及金额</w:t>
            </w:r>
          </w:p>
        </w:tc>
        <w:tc>
          <w:tcPr>
            <w:tcW w:w="5067"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59" w:lineRule="exact"/>
              <w:ind w:left="1478" w:right="0"/>
              <w:jc w:val="left"/>
              <w:rPr>
                <w:rFonts w:ascii="宋体" w:hAnsi="宋体" w:cs="宋体" w:eastAsia="宋体" w:hint="default"/>
                <w:sz w:val="20"/>
                <w:szCs w:val="20"/>
              </w:rPr>
            </w:pPr>
            <w:r>
              <w:rPr>
                <w:rFonts w:ascii="宋体" w:hAnsi="宋体" w:cs="宋体" w:eastAsia="宋体" w:hint="default"/>
                <w:sz w:val="20"/>
                <w:szCs w:val="20"/>
              </w:rPr>
              <w:t>新列报报表项目及金额</w:t>
            </w:r>
          </w:p>
        </w:tc>
      </w:tr>
      <w:tr>
        <w:trPr>
          <w:trHeight w:val="46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3"/>
              <w:ind w:left="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413" w:type="dxa"/>
            <w:gridSpan w:val="2"/>
            <w:tcBorders>
              <w:top w:val="single" w:sz="9" w:space="0" w:color="933734"/>
              <w:left w:val="single" w:sz="6" w:space="0" w:color="933734"/>
              <w:bottom w:val="single" w:sz="4" w:space="0" w:color="933734"/>
              <w:right w:val="single" w:sz="7" w:space="0" w:color="933734"/>
            </w:tcBorders>
          </w:tcPr>
          <w:p>
            <w:pPr>
              <w:pStyle w:val="TableParagraph"/>
              <w:spacing w:line="240" w:lineRule="auto" w:before="163"/>
              <w:ind w:left="1243" w:right="0"/>
              <w:jc w:val="left"/>
              <w:rPr>
                <w:rFonts w:ascii="Times New Roman" w:hAnsi="Times New Roman" w:cs="Times New Roman" w:eastAsia="Times New Roman" w:hint="default"/>
                <w:sz w:val="20"/>
                <w:szCs w:val="20"/>
              </w:rPr>
            </w:pPr>
            <w:r>
              <w:rPr>
                <w:rFonts w:ascii="Times New Roman"/>
                <w:sz w:val="20"/>
              </w:rPr>
              <w:t>7,850,000.00</w:t>
            </w:r>
          </w:p>
        </w:tc>
        <w:tc>
          <w:tcPr>
            <w:tcW w:w="1985" w:type="dxa"/>
            <w:gridSpan w:val="2"/>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3083" w:type="dxa"/>
            <w:vMerge w:val="restart"/>
            <w:tcBorders>
              <w:top w:val="single" w:sz="9" w:space="0" w:color="933734"/>
              <w:left w:val="single" w:sz="4" w:space="0" w:color="933734"/>
              <w:right w:val="single" w:sz="4" w:space="0" w:color="933734"/>
            </w:tcBorders>
          </w:tcPr>
          <w:p>
            <w:pPr>
              <w:pStyle w:val="TableParagraph"/>
              <w:spacing w:line="240" w:lineRule="auto" w:before="163"/>
              <w:ind w:left="1716" w:right="0"/>
              <w:jc w:val="left"/>
              <w:rPr>
                <w:rFonts w:ascii="Times New Roman" w:hAnsi="Times New Roman" w:cs="Times New Roman" w:eastAsia="Times New Roman" w:hint="default"/>
                <w:sz w:val="20"/>
                <w:szCs w:val="20"/>
              </w:rPr>
            </w:pPr>
            <w:r>
              <w:rPr>
                <w:rFonts w:ascii="Times New Roman"/>
                <w:sz w:val="20"/>
              </w:rPr>
              <w:t>207,163,294.73</w:t>
            </w:r>
          </w:p>
        </w:tc>
      </w:tr>
      <w:tr>
        <w:trPr>
          <w:trHeight w:val="343"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8"/>
              <w:ind w:left="1044" w:right="0"/>
              <w:jc w:val="left"/>
              <w:rPr>
                <w:rFonts w:ascii="Times New Roman" w:hAnsi="Times New Roman" w:cs="Times New Roman" w:eastAsia="Times New Roman" w:hint="default"/>
                <w:sz w:val="20"/>
                <w:szCs w:val="20"/>
              </w:rPr>
            </w:pPr>
            <w:r>
              <w:rPr>
                <w:rFonts w:ascii="Times New Roman"/>
                <w:sz w:val="20"/>
              </w:rPr>
              <w:t>199,313,294.73</w:t>
            </w:r>
          </w:p>
        </w:tc>
        <w:tc>
          <w:tcPr>
            <w:tcW w:w="1985" w:type="dxa"/>
            <w:gridSpan w:val="2"/>
            <w:vMerge/>
            <w:tcBorders>
              <w:left w:val="single" w:sz="4" w:space="0" w:color="933734"/>
              <w:bottom w:val="single" w:sz="4" w:space="0" w:color="933734"/>
              <w:right w:val="single" w:sz="4" w:space="0" w:color="933734"/>
            </w:tcBorders>
            <w:shd w:val="clear" w:color="auto" w:fill="E4B8B7"/>
          </w:tcPr>
          <w:p>
            <w:pPr/>
          </w:p>
        </w:tc>
        <w:tc>
          <w:tcPr>
            <w:tcW w:w="3083" w:type="dxa"/>
            <w:vMerge/>
            <w:tcBorders>
              <w:left w:val="single" w:sz="4" w:space="0" w:color="933734"/>
              <w:bottom w:val="single" w:sz="4" w:space="0" w:color="933734"/>
              <w:right w:val="single" w:sz="4" w:space="0" w:color="933734"/>
            </w:tcBorders>
          </w:tcPr>
          <w:p>
            <w:pPr/>
          </w:p>
        </w:tc>
      </w:tr>
      <w:tr>
        <w:trPr>
          <w:trHeight w:val="341"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413" w:type="dxa"/>
            <w:gridSpan w:val="2"/>
            <w:tcBorders>
              <w:top w:val="single" w:sz="4" w:space="0" w:color="933734"/>
              <w:left w:val="single" w:sz="6" w:space="0" w:color="933734"/>
              <w:bottom w:val="single" w:sz="4" w:space="0" w:color="933734"/>
              <w:right w:val="single" w:sz="4" w:space="0" w:color="933734"/>
            </w:tcBorders>
          </w:tcPr>
          <w:p>
            <w:pPr>
              <w:pStyle w:val="TableParagraph"/>
              <w:spacing w:line="240" w:lineRule="auto" w:before="48"/>
              <w:ind w:left="1495" w:right="0"/>
              <w:jc w:val="left"/>
              <w:rPr>
                <w:rFonts w:ascii="Times New Roman" w:hAnsi="Times New Roman" w:cs="Times New Roman" w:eastAsia="Times New Roman" w:hint="default"/>
                <w:sz w:val="20"/>
                <w:szCs w:val="20"/>
              </w:rPr>
            </w:pPr>
            <w:r>
              <w:rPr>
                <w:rFonts w:ascii="Times New Roman"/>
                <w:sz w:val="20"/>
              </w:rPr>
              <w:t>40,191.78</w:t>
            </w:r>
          </w:p>
        </w:tc>
        <w:tc>
          <w:tcPr>
            <w:tcW w:w="1985" w:type="dxa"/>
            <w:gridSpan w:val="2"/>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083" w:type="dxa"/>
            <w:vMerge w:val="restart"/>
            <w:tcBorders>
              <w:top w:val="single" w:sz="4" w:space="0" w:color="933734"/>
              <w:left w:val="single" w:sz="4" w:space="0" w:color="933734"/>
              <w:right w:val="single" w:sz="4" w:space="0" w:color="933734"/>
            </w:tcBorders>
          </w:tcPr>
          <w:p>
            <w:pPr>
              <w:pStyle w:val="TableParagraph"/>
              <w:spacing w:line="240" w:lineRule="auto" w:before="48"/>
              <w:ind w:left="1817" w:right="0"/>
              <w:jc w:val="left"/>
              <w:rPr>
                <w:rFonts w:ascii="Times New Roman" w:hAnsi="Times New Roman" w:cs="Times New Roman" w:eastAsia="Times New Roman" w:hint="default"/>
                <w:sz w:val="20"/>
                <w:szCs w:val="20"/>
              </w:rPr>
            </w:pPr>
            <w:r>
              <w:rPr>
                <w:rFonts w:ascii="Times New Roman"/>
                <w:sz w:val="20"/>
              </w:rPr>
              <w:t>58,087,106.67</w:t>
            </w: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gridSpan w:val="2"/>
            <w:vMerge/>
            <w:tcBorders>
              <w:left w:val="single" w:sz="4" w:space="0" w:color="933734"/>
              <w:right w:val="single" w:sz="4" w:space="0" w:color="933734"/>
            </w:tcBorders>
            <w:shd w:val="clear" w:color="auto" w:fill="E4B8B7"/>
          </w:tcPr>
          <w:p>
            <w:pPr/>
          </w:p>
        </w:tc>
        <w:tc>
          <w:tcPr>
            <w:tcW w:w="3083" w:type="dxa"/>
            <w:vMerge/>
            <w:tcBorders>
              <w:left w:val="single" w:sz="4" w:space="0" w:color="933734"/>
              <w:right w:val="single" w:sz="4" w:space="0" w:color="933734"/>
            </w:tcBorders>
          </w:tcPr>
          <w:p>
            <w:pP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413" w:type="dxa"/>
            <w:gridSpan w:val="2"/>
            <w:tcBorders>
              <w:top w:val="single" w:sz="4" w:space="0" w:color="933734"/>
              <w:left w:val="single" w:sz="6" w:space="0" w:color="933734"/>
              <w:bottom w:val="single" w:sz="4" w:space="0" w:color="933734"/>
              <w:right w:val="single" w:sz="4" w:space="0" w:color="933734"/>
            </w:tcBorders>
          </w:tcPr>
          <w:p>
            <w:pPr>
              <w:pStyle w:val="TableParagraph"/>
              <w:spacing w:line="240" w:lineRule="auto" w:before="49"/>
              <w:ind w:left="1145" w:right="0"/>
              <w:jc w:val="left"/>
              <w:rPr>
                <w:rFonts w:ascii="Times New Roman" w:hAnsi="Times New Roman" w:cs="Times New Roman" w:eastAsia="Times New Roman" w:hint="default"/>
                <w:sz w:val="20"/>
                <w:szCs w:val="20"/>
              </w:rPr>
            </w:pPr>
            <w:r>
              <w:rPr>
                <w:rFonts w:ascii="Times New Roman"/>
                <w:sz w:val="20"/>
              </w:rPr>
              <w:t>58,046,914.89</w:t>
            </w:r>
          </w:p>
        </w:tc>
        <w:tc>
          <w:tcPr>
            <w:tcW w:w="1985" w:type="dxa"/>
            <w:gridSpan w:val="2"/>
            <w:vMerge/>
            <w:tcBorders>
              <w:left w:val="single" w:sz="4" w:space="0" w:color="933734"/>
              <w:bottom w:val="single" w:sz="4" w:space="0" w:color="933734"/>
              <w:right w:val="single" w:sz="4" w:space="0" w:color="933734"/>
            </w:tcBorders>
            <w:shd w:val="clear" w:color="auto" w:fill="E4B8B7"/>
          </w:tcPr>
          <w:p>
            <w:pPr/>
          </w:p>
        </w:tc>
        <w:tc>
          <w:tcPr>
            <w:tcW w:w="3083" w:type="dxa"/>
            <w:vMerge/>
            <w:tcBorders>
              <w:left w:val="single" w:sz="4" w:space="0" w:color="933734"/>
              <w:bottom w:val="single" w:sz="4" w:space="0" w:color="933734"/>
              <w:right w:val="single" w:sz="4" w:space="0" w:color="933734"/>
            </w:tcBorders>
          </w:tcPr>
          <w:p>
            <w:pPr/>
          </w:p>
        </w:tc>
      </w:tr>
      <w:tr>
        <w:trPr>
          <w:trHeight w:val="343"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left="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9"/>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gridSpan w:val="2"/>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75"/>
              <w:ind w:left="7"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083" w:type="dxa"/>
            <w:vMerge w:val="restart"/>
            <w:tcBorders>
              <w:top w:val="single" w:sz="4" w:space="0" w:color="933734"/>
              <w:left w:val="single" w:sz="4" w:space="0" w:color="933734"/>
              <w:right w:val="single" w:sz="4" w:space="0" w:color="933734"/>
            </w:tcBorders>
          </w:tcPr>
          <w:p>
            <w:pPr>
              <w:pStyle w:val="TableParagraph"/>
              <w:spacing w:line="240" w:lineRule="auto" w:before="49"/>
              <w:ind w:left="1716" w:right="0"/>
              <w:jc w:val="left"/>
              <w:rPr>
                <w:rFonts w:ascii="Times New Roman" w:hAnsi="Times New Roman" w:cs="Times New Roman" w:eastAsia="Times New Roman" w:hint="default"/>
                <w:sz w:val="20"/>
                <w:szCs w:val="20"/>
              </w:rPr>
            </w:pPr>
            <w:r>
              <w:rPr>
                <w:rFonts w:ascii="Times New Roman"/>
                <w:sz w:val="20"/>
              </w:rPr>
              <w:t>503,903,338.04</w:t>
            </w: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9"/>
              <w:ind w:left="1044" w:right="0"/>
              <w:jc w:val="left"/>
              <w:rPr>
                <w:rFonts w:ascii="Times New Roman" w:hAnsi="Times New Roman" w:cs="Times New Roman" w:eastAsia="Times New Roman" w:hint="default"/>
                <w:sz w:val="20"/>
                <w:szCs w:val="20"/>
              </w:rPr>
            </w:pPr>
            <w:r>
              <w:rPr>
                <w:rFonts w:ascii="Times New Roman"/>
                <w:sz w:val="20"/>
              </w:rPr>
              <w:t>503,903,338.04</w:t>
            </w:r>
          </w:p>
        </w:tc>
        <w:tc>
          <w:tcPr>
            <w:tcW w:w="1985" w:type="dxa"/>
            <w:gridSpan w:val="2"/>
            <w:vMerge/>
            <w:tcBorders>
              <w:left w:val="single" w:sz="4" w:space="0" w:color="933734"/>
              <w:bottom w:val="single" w:sz="4" w:space="0" w:color="933734"/>
              <w:right w:val="single" w:sz="4" w:space="0" w:color="933734"/>
            </w:tcBorders>
            <w:shd w:val="clear" w:color="auto" w:fill="E4B8B7"/>
          </w:tcPr>
          <w:p>
            <w:pPr/>
          </w:p>
        </w:tc>
        <w:tc>
          <w:tcPr>
            <w:tcW w:w="3083" w:type="dxa"/>
            <w:vMerge/>
            <w:tcBorders>
              <w:left w:val="single" w:sz="4" w:space="0" w:color="933734"/>
              <w:bottom w:val="single" w:sz="4" w:space="0" w:color="933734"/>
              <w:right w:val="single" w:sz="4" w:space="0" w:color="933734"/>
            </w:tcBorders>
          </w:tcPr>
          <w:p>
            <w:pP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gridSpan w:val="2"/>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74"/>
              <w:ind w:left="7"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3083" w:type="dxa"/>
            <w:vMerge w:val="restart"/>
            <w:tcBorders>
              <w:top w:val="single" w:sz="4" w:space="0" w:color="933734"/>
              <w:left w:val="single" w:sz="4" w:space="0" w:color="933734"/>
              <w:right w:val="single" w:sz="4" w:space="0" w:color="933734"/>
            </w:tcBorders>
          </w:tcPr>
          <w:p>
            <w:pPr>
              <w:pStyle w:val="TableParagraph"/>
              <w:spacing w:line="240" w:lineRule="auto" w:before="48"/>
              <w:ind w:left="1716" w:right="0"/>
              <w:jc w:val="left"/>
              <w:rPr>
                <w:rFonts w:ascii="Times New Roman" w:hAnsi="Times New Roman" w:cs="Times New Roman" w:eastAsia="Times New Roman" w:hint="default"/>
                <w:sz w:val="20"/>
                <w:szCs w:val="20"/>
              </w:rPr>
            </w:pPr>
            <w:r>
              <w:rPr>
                <w:rFonts w:ascii="Times New Roman"/>
                <w:sz w:val="20"/>
              </w:rPr>
              <w:t>271,216,976.10</w:t>
            </w: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9"/>
              <w:ind w:left="1044" w:right="0"/>
              <w:jc w:val="left"/>
              <w:rPr>
                <w:rFonts w:ascii="Times New Roman" w:hAnsi="Times New Roman" w:cs="Times New Roman" w:eastAsia="Times New Roman" w:hint="default"/>
                <w:sz w:val="20"/>
                <w:szCs w:val="20"/>
              </w:rPr>
            </w:pPr>
            <w:r>
              <w:rPr>
                <w:rFonts w:ascii="Times New Roman"/>
                <w:sz w:val="20"/>
              </w:rPr>
              <w:t>271,216,976.10</w:t>
            </w:r>
          </w:p>
        </w:tc>
        <w:tc>
          <w:tcPr>
            <w:tcW w:w="1985" w:type="dxa"/>
            <w:gridSpan w:val="2"/>
            <w:vMerge/>
            <w:tcBorders>
              <w:left w:val="single" w:sz="4" w:space="0" w:color="933734"/>
              <w:bottom w:val="single" w:sz="4" w:space="0" w:color="933734"/>
              <w:right w:val="single" w:sz="4" w:space="0" w:color="933734"/>
            </w:tcBorders>
            <w:shd w:val="clear" w:color="auto" w:fill="E4B8B7"/>
          </w:tcPr>
          <w:p>
            <w:pPr/>
          </w:p>
        </w:tc>
        <w:tc>
          <w:tcPr>
            <w:tcW w:w="3083" w:type="dxa"/>
            <w:vMerge/>
            <w:tcBorders>
              <w:left w:val="single" w:sz="4" w:space="0" w:color="933734"/>
              <w:bottom w:val="single" w:sz="4" w:space="0" w:color="933734"/>
              <w:right w:val="single" w:sz="4" w:space="0" w:color="933734"/>
            </w:tcBorders>
          </w:tcPr>
          <w:p>
            <w:pP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8"/>
              <w:ind w:left="1145" w:right="0"/>
              <w:jc w:val="left"/>
              <w:rPr>
                <w:rFonts w:ascii="Times New Roman" w:hAnsi="Times New Roman" w:cs="Times New Roman" w:eastAsia="Times New Roman" w:hint="default"/>
                <w:sz w:val="20"/>
                <w:szCs w:val="20"/>
              </w:rPr>
            </w:pPr>
            <w:r>
              <w:rPr>
                <w:rFonts w:ascii="Times New Roman"/>
                <w:sz w:val="20"/>
              </w:rPr>
              <w:t>26,740,148.80</w:t>
            </w:r>
          </w:p>
        </w:tc>
        <w:tc>
          <w:tcPr>
            <w:tcW w:w="1985" w:type="dxa"/>
            <w:gridSpan w:val="2"/>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74"/>
              <w:ind w:left="7"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3083" w:type="dxa"/>
            <w:vMerge w:val="restart"/>
            <w:tcBorders>
              <w:top w:val="single" w:sz="4" w:space="0" w:color="933734"/>
              <w:left w:val="single" w:sz="4" w:space="0" w:color="933734"/>
              <w:right w:val="single" w:sz="4" w:space="0" w:color="933734"/>
            </w:tcBorders>
          </w:tcPr>
          <w:p>
            <w:pPr>
              <w:pStyle w:val="TableParagraph"/>
              <w:spacing w:line="240" w:lineRule="auto" w:before="48"/>
              <w:ind w:left="1817" w:right="0"/>
              <w:jc w:val="left"/>
              <w:rPr>
                <w:rFonts w:ascii="Times New Roman" w:hAnsi="Times New Roman" w:cs="Times New Roman" w:eastAsia="Times New Roman" w:hint="default"/>
                <w:sz w:val="20"/>
                <w:szCs w:val="20"/>
              </w:rPr>
            </w:pPr>
            <w:r>
              <w:rPr>
                <w:rFonts w:ascii="Times New Roman"/>
                <w:sz w:val="20"/>
              </w:rPr>
              <w:t>84,339,736.82</w:t>
            </w: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9"/>
              <w:ind w:left="1145" w:right="0"/>
              <w:jc w:val="left"/>
              <w:rPr>
                <w:rFonts w:ascii="Times New Roman" w:hAnsi="Times New Roman" w:cs="Times New Roman" w:eastAsia="Times New Roman" w:hint="default"/>
                <w:sz w:val="20"/>
                <w:szCs w:val="20"/>
              </w:rPr>
            </w:pPr>
            <w:r>
              <w:rPr>
                <w:rFonts w:ascii="Times New Roman"/>
                <w:sz w:val="20"/>
              </w:rPr>
              <w:t>57,599,588.02</w:t>
            </w:r>
          </w:p>
        </w:tc>
        <w:tc>
          <w:tcPr>
            <w:tcW w:w="1985" w:type="dxa"/>
            <w:gridSpan w:val="2"/>
            <w:vMerge/>
            <w:tcBorders>
              <w:left w:val="single" w:sz="4" w:space="0" w:color="933734"/>
              <w:bottom w:val="single" w:sz="4" w:space="0" w:color="933734"/>
              <w:right w:val="single" w:sz="4" w:space="0" w:color="933734"/>
            </w:tcBorders>
            <w:shd w:val="clear" w:color="auto" w:fill="E4B8B7"/>
          </w:tcPr>
          <w:p>
            <w:pPr/>
          </w:p>
        </w:tc>
        <w:tc>
          <w:tcPr>
            <w:tcW w:w="3083" w:type="dxa"/>
            <w:vMerge/>
            <w:tcBorders>
              <w:left w:val="single" w:sz="4" w:space="0" w:color="933734"/>
              <w:bottom w:val="single" w:sz="4" w:space="0" w:color="933734"/>
              <w:right w:val="single" w:sz="4" w:space="0" w:color="933734"/>
            </w:tcBorders>
          </w:tcPr>
          <w:p>
            <w:pP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8"/>
              <w:ind w:left="1243" w:right="0"/>
              <w:jc w:val="left"/>
              <w:rPr>
                <w:rFonts w:ascii="Times New Roman" w:hAnsi="Times New Roman" w:cs="Times New Roman" w:eastAsia="Times New Roman" w:hint="default"/>
                <w:sz w:val="20"/>
                <w:szCs w:val="20"/>
              </w:rPr>
            </w:pPr>
            <w:r>
              <w:rPr>
                <w:rFonts w:ascii="Times New Roman"/>
                <w:sz w:val="20"/>
              </w:rPr>
              <w:t>1,109,452.02</w:t>
            </w:r>
          </w:p>
        </w:tc>
        <w:tc>
          <w:tcPr>
            <w:tcW w:w="1985" w:type="dxa"/>
            <w:gridSpan w:val="2"/>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74"/>
              <w:ind w:left="7"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083" w:type="dxa"/>
            <w:vMerge w:val="restart"/>
            <w:tcBorders>
              <w:top w:val="single" w:sz="4" w:space="0" w:color="933734"/>
              <w:left w:val="single" w:sz="4" w:space="0" w:color="933734"/>
              <w:right w:val="single" w:sz="4" w:space="0" w:color="933734"/>
            </w:tcBorders>
          </w:tcPr>
          <w:p>
            <w:pPr>
              <w:pStyle w:val="TableParagraph"/>
              <w:spacing w:line="240" w:lineRule="auto" w:before="48"/>
              <w:ind w:left="1716" w:right="0"/>
              <w:jc w:val="left"/>
              <w:rPr>
                <w:rFonts w:ascii="Times New Roman" w:hAnsi="Times New Roman" w:cs="Times New Roman" w:eastAsia="Times New Roman" w:hint="default"/>
                <w:sz w:val="20"/>
                <w:szCs w:val="20"/>
              </w:rPr>
            </w:pPr>
            <w:r>
              <w:rPr>
                <w:rFonts w:ascii="Times New Roman"/>
                <w:sz w:val="20"/>
              </w:rPr>
              <w:t>133,753,847.92</w:t>
            </w:r>
          </w:p>
        </w:tc>
      </w:tr>
      <w:tr>
        <w:trPr>
          <w:trHeight w:val="342" w:hRule="exact"/>
        </w:trPr>
        <w:tc>
          <w:tcPr>
            <w:tcW w:w="20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left="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413" w:type="dxa"/>
            <w:gridSpan w:val="2"/>
            <w:tcBorders>
              <w:top w:val="single" w:sz="4" w:space="0" w:color="933734"/>
              <w:left w:val="single" w:sz="6" w:space="0" w:color="933734"/>
              <w:bottom w:val="single" w:sz="4" w:space="0" w:color="933734"/>
              <w:right w:val="single" w:sz="7" w:space="0" w:color="933734"/>
            </w:tcBorders>
          </w:tcPr>
          <w:p>
            <w:pPr>
              <w:pStyle w:val="TableParagraph"/>
              <w:spacing w:line="240" w:lineRule="auto" w:before="49"/>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5" w:type="dxa"/>
            <w:gridSpan w:val="2"/>
            <w:vMerge/>
            <w:tcBorders>
              <w:left w:val="single" w:sz="4" w:space="0" w:color="933734"/>
              <w:bottom w:val="single" w:sz="4" w:space="0" w:color="933734"/>
              <w:right w:val="single" w:sz="4" w:space="0" w:color="933734"/>
            </w:tcBorders>
            <w:shd w:val="clear" w:color="auto" w:fill="E4B8B7"/>
          </w:tcPr>
          <w:p>
            <w:pPr/>
          </w:p>
        </w:tc>
        <w:tc>
          <w:tcPr>
            <w:tcW w:w="3083" w:type="dxa"/>
            <w:vMerge/>
            <w:tcBorders>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093"/>
        <w:gridCol w:w="2411"/>
        <w:gridCol w:w="1985"/>
        <w:gridCol w:w="3083"/>
      </w:tblGrid>
      <w:tr>
        <w:trPr>
          <w:trHeight w:val="344" w:hRule="exact"/>
        </w:trPr>
        <w:tc>
          <w:tcPr>
            <w:tcW w:w="20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41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8"/>
              <w:ind w:left="1044" w:right="0"/>
              <w:jc w:val="left"/>
              <w:rPr>
                <w:rFonts w:ascii="Times New Roman" w:hAnsi="Times New Roman" w:cs="Times New Roman" w:eastAsia="Times New Roman" w:hint="default"/>
                <w:sz w:val="20"/>
                <w:szCs w:val="20"/>
              </w:rPr>
            </w:pPr>
            <w:r>
              <w:rPr>
                <w:rFonts w:ascii="Times New Roman"/>
                <w:sz w:val="20"/>
              </w:rPr>
              <w:t>132,644,395.90</w:t>
            </w:r>
          </w:p>
        </w:tc>
        <w:tc>
          <w:tcPr>
            <w:tcW w:w="1985"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083" w:type="dxa"/>
            <w:tcBorders>
              <w:top w:val="single" w:sz="4" w:space="0" w:color="933734"/>
              <w:left w:val="single" w:sz="4" w:space="0" w:color="933734"/>
              <w:bottom w:val="single" w:sz="4" w:space="0" w:color="933734"/>
              <w:right w:val="single" w:sz="4" w:space="0" w:color="933734"/>
            </w:tcBorders>
          </w:tcPr>
          <w:p>
            <w:pPr/>
          </w:p>
        </w:tc>
      </w:tr>
      <w:tr>
        <w:trPr>
          <w:trHeight w:val="341" w:hRule="exact"/>
        </w:trPr>
        <w:tc>
          <w:tcPr>
            <w:tcW w:w="209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72"/>
              <w:ind w:left="7"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411" w:type="dxa"/>
            <w:vMerge w:val="restart"/>
            <w:tcBorders>
              <w:top w:val="single" w:sz="4" w:space="0" w:color="933734"/>
              <w:left w:val="single" w:sz="4" w:space="0" w:color="933734"/>
              <w:right w:val="single" w:sz="4" w:space="0" w:color="933734"/>
            </w:tcBorders>
          </w:tcPr>
          <w:p>
            <w:pPr>
              <w:pStyle w:val="TableParagraph"/>
              <w:spacing w:line="240" w:lineRule="auto" w:before="48"/>
              <w:ind w:left="1044" w:right="0"/>
              <w:jc w:val="left"/>
              <w:rPr>
                <w:rFonts w:ascii="Times New Roman" w:hAnsi="Times New Roman" w:cs="Times New Roman" w:eastAsia="Times New Roman" w:hint="default"/>
                <w:sz w:val="20"/>
                <w:szCs w:val="20"/>
              </w:rPr>
            </w:pPr>
            <w:r>
              <w:rPr>
                <w:rFonts w:ascii="Times New Roman"/>
                <w:sz w:val="20"/>
              </w:rPr>
              <w:t>100,422,375.61</w:t>
            </w:r>
          </w:p>
        </w:tc>
        <w:tc>
          <w:tcPr>
            <w:tcW w:w="19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30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78,257,250.17</w:t>
            </w:r>
            <w:r>
              <w:rPr>
                <w:rFonts w:ascii="Times New Roman"/>
                <w:sz w:val="20"/>
              </w:rPr>
            </w:r>
          </w:p>
        </w:tc>
      </w:tr>
      <w:tr>
        <w:trPr>
          <w:trHeight w:val="343" w:hRule="exact"/>
        </w:trPr>
        <w:tc>
          <w:tcPr>
            <w:tcW w:w="2093" w:type="dxa"/>
            <w:vMerge/>
            <w:tcBorders>
              <w:left w:val="single" w:sz="4" w:space="0" w:color="933734"/>
              <w:bottom w:val="single" w:sz="4" w:space="0" w:color="933734"/>
              <w:right w:val="single" w:sz="4" w:space="0" w:color="933734"/>
            </w:tcBorders>
            <w:shd w:val="clear" w:color="auto" w:fill="E4B8B7"/>
          </w:tcPr>
          <w:p>
            <w:pPr/>
          </w:p>
        </w:tc>
        <w:tc>
          <w:tcPr>
            <w:tcW w:w="2411" w:type="dxa"/>
            <w:vMerge/>
            <w:tcBorders>
              <w:left w:val="single" w:sz="4" w:space="0" w:color="933734"/>
              <w:bottom w:val="single" w:sz="4" w:space="0" w:color="933734"/>
              <w:right w:val="single" w:sz="4" w:space="0" w:color="933734"/>
            </w:tcBorders>
          </w:tcPr>
          <w:p>
            <w:pPr/>
          </w:p>
        </w:tc>
        <w:tc>
          <w:tcPr>
            <w:tcW w:w="19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30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22,165,125.44</w:t>
            </w:r>
            <w:r>
              <w:rPr>
                <w:rFonts w:ascii="Times New Roman"/>
                <w:sz w:val="20"/>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487" w:lineRule="auto" w:before="120"/>
        <w:ind w:left="113" w:right="89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免、</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10"/>
                <w:sz w:val="18"/>
                <w:szCs w:val="18"/>
              </w:rPr>
              <w:t>免，</w:t>
            </w:r>
            <w:r>
              <w:rPr>
                <w:rFonts w:ascii="Times New Roman" w:hAnsi="Times New Roman" w:cs="Times New Roman" w:eastAsia="Times New Roman" w:hint="default"/>
                <w:spacing w:val="-10"/>
                <w:sz w:val="18"/>
                <w:szCs w:val="18"/>
              </w:rPr>
              <w:t>8.25%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12.5%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16.5%</w:t>
            </w:r>
            <w:r>
              <w:rPr>
                <w:rFonts w:ascii="宋体" w:hAnsi="宋体" w:cs="宋体" w:eastAsia="宋体" w:hint="default"/>
                <w:spacing w:val="-10"/>
                <w:sz w:val="18"/>
                <w:szCs w:val="18"/>
              </w:rPr>
              <w:t>，</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27.90%</w:t>
            </w:r>
            <w:r>
              <w:rPr>
                <w:rFonts w:ascii="宋体" w:hAnsi="宋体" w:cs="宋体" w:eastAsia="宋体" w:hint="default"/>
                <w:sz w:val="18"/>
                <w:szCs w:val="18"/>
              </w:rPr>
              <w:t>，</w:t>
            </w:r>
            <w:r>
              <w:rPr>
                <w:rFonts w:ascii="Times New Roman" w:hAnsi="Times New Roman" w:cs="Times New Roman" w:eastAsia="Times New Roman" w:hint="default"/>
                <w:sz w:val="18"/>
                <w:szCs w:val="18"/>
              </w:rPr>
              <w:t>29.7%</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line="240" w:lineRule="auto" w:before="6"/>
        <w:rPr>
          <w:rFonts w:ascii="宋体" w:hAnsi="宋体" w:cs="宋体" w:eastAsia="宋体" w:hint="default"/>
          <w:b/>
          <w:bCs/>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存在不同企业所得税税率纳税主体的，披露情况说明</w:t>
      </w:r>
      <w:r>
        <w:rPr>
          <w:rFonts w:ascii="宋体" w:hAnsi="宋体" w:cs="宋体" w:eastAsia="宋体" w:hint="default"/>
          <w:sz w:val="18"/>
          <w:szCs w:val="18"/>
        </w:rPr>
      </w:r>
    </w:p>
    <w:p>
      <w:pPr>
        <w:spacing w:line="240" w:lineRule="auto" w:before="0"/>
        <w:rPr>
          <w:rFonts w:ascii="宋体" w:hAnsi="宋体" w:cs="宋体" w:eastAsia="宋体" w:hint="default"/>
          <w:b/>
          <w:bCs/>
          <w:sz w:val="14"/>
          <w:szCs w:val="14"/>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武汉悦然心动网络科技有限公司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武汉威震天网络科技有限公司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武汉乐享无限网络科技有限公司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免</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山南快乐无限网络科技有限公司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霍尔果斯欢乐无限网络科技有限公司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免</w:t>
            </w:r>
          </w:p>
        </w:tc>
      </w:tr>
      <w:tr>
        <w:trPr>
          <w:trHeight w:val="404"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其他内地子公司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香港悦然心动网络科技有限公司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香港欢乐无限网络科技有限公司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香港威震天网络科技有限公司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香港乐享无限网络科技有限公司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摩登大道品牌管理有限公司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8.25%</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b/>
          <w:bCs/>
          <w:sz w:val="25"/>
          <w:szCs w:val="25"/>
        </w:rPr>
      </w:pPr>
    </w:p>
    <w:tbl>
      <w:tblPr>
        <w:tblW w:w="0" w:type="auto"/>
        <w:jc w:val="left"/>
        <w:tblInd w:w="2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德克彼肯伯格斯国际品牌有限公司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摩登大道投资（香港）有限公司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香港一方网络科技有限公司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骏优集团有限公司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乐福仕实业有限公司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铂金国际时尚集合有限公司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27.90%</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27.90%</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X </w:t>
            </w:r>
            <w:r>
              <w:rPr>
                <w:rFonts w:ascii="Times New Roman"/>
                <w:spacing w:val="-4"/>
                <w:sz w:val="18"/>
              </w:rPr>
              <w:t>SPACE</w:t>
            </w:r>
            <w:r>
              <w:rPr>
                <w:rFonts w:ascii="Times New Roman"/>
                <w:spacing w:val="-3"/>
                <w:sz w:val="18"/>
              </w:rPr>
              <w:t> </w:t>
            </w:r>
            <w:r>
              <w:rPr>
                <w:rFonts w:ascii="Times New Roman"/>
                <w:sz w:val="18"/>
              </w:rPr>
              <w:t>S.R.L.</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27.90%</w:t>
            </w:r>
          </w:p>
        </w:tc>
      </w:tr>
      <w:tr>
        <w:trPr>
          <w:trHeight w:val="404"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EBC,INC.</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29.7%</w:t>
            </w:r>
          </w:p>
        </w:tc>
      </w:tr>
    </w:tbl>
    <w:p>
      <w:pPr>
        <w:spacing w:line="240" w:lineRule="auto" w:before="3"/>
        <w:rPr>
          <w:rFonts w:ascii="宋体" w:hAnsi="宋体" w:cs="宋体" w:eastAsia="宋体" w:hint="default"/>
          <w:b/>
          <w:bCs/>
          <w:sz w:val="19"/>
          <w:szCs w:val="19"/>
        </w:rPr>
      </w:pPr>
    </w:p>
    <w:p>
      <w:pPr>
        <w:pStyle w:val="Heading4"/>
        <w:spacing w:line="240" w:lineRule="auto" w:before="36"/>
        <w:ind w:left="213" w:right="95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left="633" w:right="1127"/>
        <w:jc w:val="left"/>
      </w:pPr>
      <w:r>
        <w:rPr>
          <w:rFonts w:ascii="Times New Roman" w:hAnsi="Times New Roman" w:cs="Times New Roman" w:eastAsia="Times New Roman" w:hint="default"/>
        </w:rPr>
        <w:t>1</w:t>
      </w:r>
      <w:r>
        <w:rPr/>
        <w:t>、增值税</w:t>
      </w:r>
      <w:r>
        <w:rPr>
          <w:spacing w:val="-103"/>
        </w:rPr>
        <w:t> </w:t>
      </w:r>
      <w:r>
        <w:rPr>
          <w:spacing w:val="-103"/>
        </w:rPr>
      </w:r>
      <w:r>
        <w:rPr>
          <w:spacing w:val="-4"/>
          <w:w w:val="100"/>
        </w:rPr>
        <w:t>根据《关于全面推开营业税改征增值税试点的通知》（财税〔</w:t>
      </w:r>
      <w:r>
        <w:rPr>
          <w:rFonts w:ascii="Times New Roman" w:hAnsi="Times New Roman" w:cs="Times New Roman" w:eastAsia="Times New Roman" w:hint="default"/>
          <w:spacing w:val="-4"/>
          <w:w w:val="100"/>
        </w:rPr>
        <w:t>2016</w:t>
      </w:r>
      <w:r>
        <w:rPr>
          <w:spacing w:val="-4"/>
          <w:w w:val="100"/>
        </w:rPr>
        <w:t>〕</w:t>
      </w:r>
      <w:r>
        <w:rPr>
          <w:rFonts w:ascii="Times New Roman" w:hAnsi="Times New Roman" w:cs="Times New Roman" w:eastAsia="Times New Roman" w:hint="default"/>
          <w:spacing w:val="-4"/>
          <w:w w:val="100"/>
        </w:rPr>
        <w:t>36</w:t>
      </w:r>
      <w:r>
        <w:rPr>
          <w:spacing w:val="-4"/>
          <w:w w:val="100"/>
        </w:rPr>
        <w:t>号）（附件</w:t>
      </w:r>
      <w:r>
        <w:rPr>
          <w:rFonts w:ascii="Times New Roman" w:hAnsi="Times New Roman" w:cs="Times New Roman" w:eastAsia="Times New Roman" w:hint="default"/>
          <w:spacing w:val="-4"/>
          <w:w w:val="100"/>
        </w:rPr>
        <w:t>4</w:t>
      </w:r>
      <w:r>
        <w:rPr>
          <w:spacing w:val="-4"/>
          <w:w w:val="100"/>
        </w:rPr>
        <w:t>：跨境应税行为适</w:t>
      </w:r>
    </w:p>
    <w:p>
      <w:pPr>
        <w:pStyle w:val="BodyText"/>
        <w:spacing w:line="408" w:lineRule="auto" w:before="5"/>
        <w:ind w:left="213" w:right="1122"/>
        <w:jc w:val="left"/>
      </w:pPr>
      <w:r>
        <w:rPr>
          <w:w w:val="100"/>
        </w:rPr>
        <w:t>用增</w:t>
      </w:r>
      <w:r>
        <w:rPr>
          <w:spacing w:val="-3"/>
          <w:w w:val="100"/>
        </w:rPr>
        <w:t>值</w:t>
      </w:r>
      <w:r>
        <w:rPr>
          <w:w w:val="100"/>
        </w:rPr>
        <w:t>税</w:t>
      </w:r>
      <w:r>
        <w:rPr>
          <w:spacing w:val="-3"/>
          <w:w w:val="100"/>
        </w:rPr>
        <w:t>零</w:t>
      </w:r>
      <w:r>
        <w:rPr>
          <w:w w:val="100"/>
        </w:rPr>
        <w:t>税</w:t>
      </w:r>
      <w:r>
        <w:rPr>
          <w:spacing w:val="-3"/>
          <w:w w:val="100"/>
        </w:rPr>
        <w:t>率</w:t>
      </w:r>
      <w:r>
        <w:rPr>
          <w:w w:val="100"/>
        </w:rPr>
        <w:t>和</w:t>
      </w:r>
      <w:r>
        <w:rPr>
          <w:spacing w:val="-3"/>
          <w:w w:val="100"/>
        </w:rPr>
        <w:t>免</w:t>
      </w:r>
      <w:r>
        <w:rPr>
          <w:w w:val="100"/>
        </w:rPr>
        <w:t>税</w:t>
      </w:r>
      <w:r>
        <w:rPr>
          <w:spacing w:val="-3"/>
          <w:w w:val="100"/>
        </w:rPr>
        <w:t>政</w:t>
      </w:r>
      <w:r>
        <w:rPr>
          <w:w w:val="100"/>
        </w:rPr>
        <w:t>策的</w:t>
      </w:r>
      <w:r>
        <w:rPr>
          <w:spacing w:val="-3"/>
          <w:w w:val="100"/>
        </w:rPr>
        <w:t>规</w:t>
      </w:r>
      <w:r>
        <w:rPr>
          <w:w w:val="100"/>
        </w:rPr>
        <w:t>定</w:t>
      </w:r>
      <w:r>
        <w:rPr>
          <w:spacing w:val="-106"/>
          <w:w w:val="100"/>
        </w:rPr>
        <w:t>）</w:t>
      </w:r>
      <w:r>
        <w:rPr>
          <w:spacing w:val="-120"/>
          <w:w w:val="100"/>
        </w:rPr>
        <w:t>；</w:t>
      </w:r>
      <w:r>
        <w:rPr>
          <w:w w:val="100"/>
        </w:rPr>
        <w:t>《</w:t>
      </w:r>
      <w:r>
        <w:rPr>
          <w:spacing w:val="-3"/>
          <w:w w:val="100"/>
        </w:rPr>
        <w:t>湖</w:t>
      </w:r>
      <w:r>
        <w:rPr>
          <w:w w:val="100"/>
        </w:rPr>
        <w:t>北</w:t>
      </w:r>
      <w:r>
        <w:rPr>
          <w:spacing w:val="-3"/>
          <w:w w:val="100"/>
        </w:rPr>
        <w:t>省</w:t>
      </w:r>
      <w:r>
        <w:rPr>
          <w:w w:val="100"/>
        </w:rPr>
        <w:t>国</w:t>
      </w:r>
      <w:r>
        <w:rPr>
          <w:spacing w:val="-3"/>
          <w:w w:val="100"/>
        </w:rPr>
        <w:t>家</w:t>
      </w:r>
      <w:r>
        <w:rPr>
          <w:w w:val="100"/>
        </w:rPr>
        <w:t>税务</w:t>
      </w:r>
      <w:r>
        <w:rPr>
          <w:spacing w:val="-3"/>
          <w:w w:val="100"/>
        </w:rPr>
        <w:t>局</w:t>
      </w:r>
      <w:r>
        <w:rPr>
          <w:w w:val="100"/>
        </w:rPr>
        <w:t>关</w:t>
      </w:r>
      <w:r>
        <w:rPr>
          <w:spacing w:val="-3"/>
          <w:w w:val="100"/>
        </w:rPr>
        <w:t>于</w:t>
      </w:r>
      <w:r>
        <w:rPr>
          <w:w w:val="100"/>
        </w:rPr>
        <w:t>发</w:t>
      </w:r>
      <w:r>
        <w:rPr>
          <w:spacing w:val="-15"/>
          <w:w w:val="100"/>
        </w:rPr>
        <w:t>布</w:t>
      </w:r>
      <w:r>
        <w:rPr>
          <w:w w:val="100"/>
        </w:rPr>
        <w:t>（</w:t>
      </w:r>
      <w:r>
        <w:rPr>
          <w:spacing w:val="-3"/>
          <w:w w:val="100"/>
        </w:rPr>
        <w:t>湖</w:t>
      </w:r>
      <w:r>
        <w:rPr>
          <w:w w:val="100"/>
        </w:rPr>
        <w:t>北</w:t>
      </w:r>
      <w:r>
        <w:rPr>
          <w:spacing w:val="-3"/>
          <w:w w:val="100"/>
        </w:rPr>
        <w:t>省</w:t>
      </w:r>
      <w:r>
        <w:rPr>
          <w:w w:val="100"/>
        </w:rPr>
        <w:t>增值</w:t>
      </w:r>
      <w:r>
        <w:rPr>
          <w:spacing w:val="-3"/>
          <w:w w:val="100"/>
        </w:rPr>
        <w:t>税</w:t>
      </w:r>
      <w:r>
        <w:rPr>
          <w:w w:val="100"/>
        </w:rPr>
        <w:t>备</w:t>
      </w:r>
      <w:r>
        <w:rPr>
          <w:spacing w:val="-3"/>
          <w:w w:val="100"/>
        </w:rPr>
        <w:t>案</w:t>
      </w:r>
      <w:r>
        <w:rPr>
          <w:w w:val="100"/>
        </w:rPr>
        <w:t>类</w:t>
      </w:r>
      <w:r>
        <w:rPr>
          <w:spacing w:val="-3"/>
          <w:w w:val="100"/>
        </w:rPr>
        <w:t>减</w:t>
      </w:r>
      <w:r>
        <w:rPr>
          <w:w w:val="100"/>
        </w:rPr>
        <w:t>免</w:t>
      </w:r>
      <w:r>
        <w:rPr>
          <w:spacing w:val="-3"/>
          <w:w w:val="100"/>
        </w:rPr>
        <w:t>税</w:t>
      </w:r>
      <w:r>
        <w:rPr>
          <w:w w:val="100"/>
        </w:rPr>
        <w:t>管</w:t>
      </w:r>
      <w:r>
        <w:rPr>
          <w:spacing w:val="-3"/>
          <w:w w:val="100"/>
        </w:rPr>
        <w:t>理</w:t>
      </w:r>
      <w:r>
        <w:rPr>
          <w:w w:val="100"/>
        </w:rPr>
        <w:t>操作</w:t>
      </w:r>
      <w:r>
        <w:rPr>
          <w:w w:val="100"/>
        </w:rPr>
        <w:t> 规</w:t>
      </w:r>
      <w:r>
        <w:rPr>
          <w:spacing w:val="-10"/>
          <w:w w:val="100"/>
        </w:rPr>
        <w:t>程</w:t>
      </w:r>
      <w:r>
        <w:rPr>
          <w:spacing w:val="-3"/>
          <w:w w:val="100"/>
        </w:rPr>
        <w:t>（</w:t>
      </w:r>
      <w:r>
        <w:rPr>
          <w:w w:val="100"/>
        </w:rPr>
        <w:t>试行</w:t>
      </w:r>
      <w:r>
        <w:rPr>
          <w:spacing w:val="-106"/>
          <w:w w:val="100"/>
        </w:rPr>
        <w:t>）</w:t>
      </w:r>
      <w:r>
        <w:rPr>
          <w:spacing w:val="-13"/>
          <w:w w:val="100"/>
        </w:rPr>
        <w:t>）</w:t>
      </w:r>
      <w:r>
        <w:rPr>
          <w:w w:val="100"/>
        </w:rPr>
        <w:t>的</w:t>
      </w:r>
      <w:r>
        <w:rPr>
          <w:spacing w:val="-3"/>
          <w:w w:val="100"/>
        </w:rPr>
        <w:t>公</w:t>
      </w:r>
      <w:r>
        <w:rPr>
          <w:w w:val="100"/>
        </w:rPr>
        <w:t>告</w:t>
      </w:r>
      <w:r>
        <w:rPr>
          <w:spacing w:val="-106"/>
          <w:w w:val="100"/>
        </w:rPr>
        <w:t>）</w:t>
      </w:r>
      <w:r>
        <w:rPr>
          <w:spacing w:val="-118"/>
          <w:w w:val="100"/>
        </w:rPr>
        <w:t>》</w:t>
      </w:r>
      <w:r>
        <w:rPr>
          <w:spacing w:val="-3"/>
          <w:w w:val="100"/>
        </w:rPr>
        <w:t>（</w:t>
      </w:r>
      <w:r>
        <w:rPr>
          <w:w w:val="100"/>
        </w:rPr>
        <w:t>湖北</w:t>
      </w:r>
      <w:r>
        <w:rPr>
          <w:spacing w:val="-3"/>
          <w:w w:val="100"/>
        </w:rPr>
        <w:t>省</w:t>
      </w:r>
      <w:r>
        <w:rPr>
          <w:w w:val="100"/>
        </w:rPr>
        <w:t>国</w:t>
      </w:r>
      <w:r>
        <w:rPr>
          <w:spacing w:val="-3"/>
          <w:w w:val="100"/>
        </w:rPr>
        <w:t>家</w:t>
      </w:r>
      <w:r>
        <w:rPr>
          <w:w w:val="100"/>
        </w:rPr>
        <w:t>税</w:t>
      </w:r>
      <w:r>
        <w:rPr>
          <w:spacing w:val="-3"/>
          <w:w w:val="100"/>
        </w:rPr>
        <w:t>务</w:t>
      </w:r>
      <w:r>
        <w:rPr>
          <w:w w:val="100"/>
        </w:rPr>
        <w:t>局</w:t>
      </w:r>
      <w:r>
        <w:rPr>
          <w:spacing w:val="-2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年第</w:t>
      </w:r>
      <w:r>
        <w:rPr>
          <w:spacing w:val="-21"/>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号</w:t>
      </w:r>
      <w:r>
        <w:rPr>
          <w:spacing w:val="-10"/>
          <w:w w:val="100"/>
        </w:rPr>
        <w:t>）</w:t>
      </w:r>
      <w:r>
        <w:rPr>
          <w:spacing w:val="-3"/>
          <w:w w:val="100"/>
        </w:rPr>
        <w:t>的</w:t>
      </w:r>
      <w:r>
        <w:rPr>
          <w:w w:val="100"/>
        </w:rPr>
        <w:t>规</w:t>
      </w:r>
      <w:r>
        <w:rPr>
          <w:spacing w:val="-3"/>
          <w:w w:val="100"/>
        </w:rPr>
        <w:t>定</w:t>
      </w:r>
      <w:r>
        <w:rPr>
          <w:spacing w:val="-10"/>
          <w:w w:val="100"/>
        </w:rPr>
        <w:t>，</w:t>
      </w:r>
      <w:r>
        <w:rPr>
          <w:spacing w:val="-3"/>
          <w:w w:val="100"/>
        </w:rPr>
        <w:t>武</w:t>
      </w:r>
      <w:r>
        <w:rPr>
          <w:w w:val="100"/>
        </w:rPr>
        <w:t>汉悦</w:t>
      </w:r>
      <w:r>
        <w:rPr>
          <w:spacing w:val="-3"/>
          <w:w w:val="100"/>
        </w:rPr>
        <w:t>然</w:t>
      </w:r>
      <w:r>
        <w:rPr>
          <w:w w:val="100"/>
        </w:rPr>
        <w:t>心</w:t>
      </w:r>
      <w:r>
        <w:rPr>
          <w:spacing w:val="-3"/>
          <w:w w:val="100"/>
        </w:rPr>
        <w:t>动</w:t>
      </w:r>
      <w:r>
        <w:rPr>
          <w:w w:val="100"/>
        </w:rPr>
        <w:t>网</w:t>
      </w:r>
      <w:r>
        <w:rPr>
          <w:spacing w:val="-3"/>
          <w:w w:val="100"/>
        </w:rPr>
        <w:t>络</w:t>
      </w:r>
      <w:r>
        <w:rPr>
          <w:w w:val="100"/>
        </w:rPr>
        <w:t>科</w:t>
      </w:r>
      <w:r>
        <w:rPr>
          <w:spacing w:val="-3"/>
          <w:w w:val="100"/>
        </w:rPr>
        <w:t>技</w:t>
      </w:r>
      <w:r>
        <w:rPr>
          <w:w w:val="100"/>
        </w:rPr>
        <w:t>有</w:t>
      </w:r>
      <w:r>
        <w:rPr>
          <w:spacing w:val="-3"/>
          <w:w w:val="100"/>
        </w:rPr>
        <w:t>限</w:t>
      </w:r>
      <w:r>
        <w:rPr>
          <w:w w:val="100"/>
        </w:rPr>
        <w:t>公司</w:t>
      </w:r>
    </w:p>
    <w:p>
      <w:pPr>
        <w:pStyle w:val="BodyText"/>
        <w:spacing w:line="386" w:lineRule="auto" w:before="14"/>
        <w:ind w:left="213" w:right="953"/>
        <w:jc w:val="left"/>
      </w:pPr>
      <w:r>
        <w:rPr/>
        <w:t>自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日开始享受增值税免税政策。目前武汉悦然心动网络科技有限公司、武汉威震天网络</w:t>
      </w:r>
      <w:r>
        <w:rPr>
          <w:w w:val="100"/>
        </w:rPr>
        <w:t> </w:t>
      </w:r>
      <w:r>
        <w:rPr/>
        <w:t>科技有限公司、武汉乐享无限网络科技有限公司均享受增值税免税政策。</w:t>
      </w:r>
    </w:p>
    <w:p>
      <w:pPr>
        <w:pStyle w:val="BodyText"/>
        <w:spacing w:line="420" w:lineRule="auto" w:before="106"/>
        <w:ind w:left="633" w:right="1017"/>
        <w:jc w:val="left"/>
      </w:pPr>
      <w:r>
        <w:rPr>
          <w:rFonts w:ascii="Times New Roman" w:hAnsi="Times New Roman" w:cs="Times New Roman" w:eastAsia="Times New Roman" w:hint="default"/>
        </w:rPr>
        <w:t>2</w:t>
      </w:r>
      <w:r>
        <w:rPr/>
        <w:t>、所得税</w:t>
      </w:r>
      <w:r>
        <w:rPr>
          <w:spacing w:val="-103"/>
        </w:rPr>
        <w:t> </w:t>
      </w:r>
      <w:r>
        <w:rPr>
          <w:spacing w:val="-103"/>
        </w:rPr>
      </w:r>
      <w:r>
        <w:rPr>
          <w:spacing w:val="-6"/>
          <w:w w:val="100"/>
        </w:rPr>
        <w:t>根据《高新技术企业认定管理办法》（国科发火［</w:t>
      </w:r>
      <w:r>
        <w:rPr>
          <w:rFonts w:ascii="Times New Roman" w:hAnsi="Times New Roman" w:cs="Times New Roman" w:eastAsia="Times New Roman" w:hint="default"/>
          <w:spacing w:val="-6"/>
          <w:w w:val="100"/>
        </w:rPr>
        <w:t>2008</w:t>
      </w:r>
      <w:r>
        <w:rPr>
          <w:spacing w:val="-6"/>
          <w:w w:val="100"/>
        </w:rPr>
        <w:t>］</w:t>
      </w:r>
      <w:r>
        <w:rPr>
          <w:rFonts w:ascii="Times New Roman" w:hAnsi="Times New Roman" w:cs="Times New Roman" w:eastAsia="Times New Roman" w:hint="default"/>
          <w:spacing w:val="-6"/>
          <w:w w:val="100"/>
        </w:rPr>
        <w:t>172</w:t>
      </w:r>
      <w:r>
        <w:rPr>
          <w:spacing w:val="-6"/>
          <w:w w:val="100"/>
        </w:rPr>
        <w:t>号）和《高新技术企业认定管理工作指引》</w:t>
      </w:r>
    </w:p>
    <w:p>
      <w:pPr>
        <w:pStyle w:val="BodyText"/>
        <w:spacing w:line="386" w:lineRule="auto" w:before="3"/>
        <w:ind w:left="213" w:right="1128" w:hanging="107"/>
        <w:jc w:val="both"/>
      </w:pPr>
      <w:r>
        <w:rPr/>
        <w:t>（国科火字 ［</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362</w:t>
      </w:r>
      <w:r>
        <w:rPr>
          <w:rFonts w:ascii="Times New Roman" w:hAnsi="Times New Roman" w:cs="Times New Roman" w:eastAsia="Times New Roman" w:hint="default"/>
          <w:spacing w:val="21"/>
        </w:rPr>
        <w:t> </w:t>
      </w:r>
      <w:r>
        <w:rPr/>
        <w:t>号）有关规定，母公司于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日通过高新技术企业认定，取得高新技术</w:t>
      </w:r>
      <w:r>
        <w:rPr>
          <w:w w:val="100"/>
        </w:rPr>
        <w:t> </w:t>
      </w:r>
      <w:r>
        <w:rPr>
          <w:spacing w:val="-1"/>
          <w:w w:val="100"/>
        </w:rPr>
        <w:t>企业证书（证书编号</w:t>
      </w:r>
      <w:r>
        <w:rPr>
          <w:rFonts w:ascii="Times New Roman" w:hAnsi="Times New Roman" w:cs="Times New Roman" w:eastAsia="Times New Roman" w:hint="default"/>
          <w:spacing w:val="-1"/>
          <w:w w:val="100"/>
        </w:rPr>
        <w:t>GR201844003327</w:t>
      </w:r>
      <w:r>
        <w:rPr>
          <w:spacing w:val="-1"/>
          <w:w w:val="100"/>
        </w:rPr>
        <w:t>），有效期三年，享受高新技术企业所得税优惠政策期限为</w:t>
      </w:r>
      <w:r>
        <w:rPr>
          <w:rFonts w:ascii="Times New Roman" w:hAnsi="Times New Roman" w:cs="Times New Roman" w:eastAsia="Times New Roman" w:hint="default"/>
          <w:spacing w:val="-1"/>
          <w:w w:val="100"/>
        </w:rPr>
        <w:t>2018</w:t>
      </w:r>
      <w:r>
        <w:rPr>
          <w:spacing w:val="-1"/>
          <w:w w:val="100"/>
        </w:rPr>
        <w:t>年</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40" w:lineRule="auto" w:before="74"/>
        <w:ind w:left="633" w:right="953"/>
        <w:jc w:val="left"/>
      </w:pPr>
      <w:r>
        <w:rPr>
          <w:w w:val="100"/>
        </w:rPr>
        <w:t>根</w:t>
      </w:r>
      <w:r>
        <w:rPr>
          <w:spacing w:val="-22"/>
          <w:w w:val="100"/>
        </w:rPr>
        <w:t>据</w:t>
      </w:r>
      <w:r>
        <w:rPr>
          <w:spacing w:val="-3"/>
          <w:w w:val="100"/>
        </w:rPr>
        <w:t>《</w:t>
      </w:r>
      <w:r>
        <w:rPr>
          <w:w w:val="100"/>
        </w:rPr>
        <w:t>高</w:t>
      </w:r>
      <w:r>
        <w:rPr>
          <w:spacing w:val="-3"/>
          <w:w w:val="100"/>
        </w:rPr>
        <w:t>新</w:t>
      </w:r>
      <w:r>
        <w:rPr>
          <w:w w:val="100"/>
        </w:rPr>
        <w:t>技</w:t>
      </w:r>
      <w:r>
        <w:rPr>
          <w:spacing w:val="-3"/>
          <w:w w:val="100"/>
        </w:rPr>
        <w:t>术</w:t>
      </w:r>
      <w:r>
        <w:rPr>
          <w:w w:val="100"/>
        </w:rPr>
        <w:t>企</w:t>
      </w:r>
      <w:r>
        <w:rPr>
          <w:spacing w:val="-3"/>
          <w:w w:val="100"/>
        </w:rPr>
        <w:t>业</w:t>
      </w:r>
      <w:r>
        <w:rPr>
          <w:w w:val="100"/>
        </w:rPr>
        <w:t>认</w:t>
      </w:r>
      <w:r>
        <w:rPr>
          <w:spacing w:val="-3"/>
          <w:w w:val="100"/>
        </w:rPr>
        <w:t>定</w:t>
      </w:r>
      <w:r>
        <w:rPr>
          <w:w w:val="100"/>
        </w:rPr>
        <w:t>管理</w:t>
      </w:r>
      <w:r>
        <w:rPr>
          <w:spacing w:val="-3"/>
          <w:w w:val="100"/>
        </w:rPr>
        <w:t>办</w:t>
      </w:r>
      <w:r>
        <w:rPr>
          <w:w w:val="100"/>
        </w:rPr>
        <w:t>法</w:t>
      </w:r>
      <w:r>
        <w:rPr>
          <w:spacing w:val="-130"/>
          <w:w w:val="100"/>
        </w:rPr>
        <w:t>》</w:t>
      </w:r>
      <w:r>
        <w:rPr>
          <w:w w:val="100"/>
        </w:rPr>
        <w:t>（</w:t>
      </w:r>
      <w:r>
        <w:rPr>
          <w:spacing w:val="-3"/>
          <w:w w:val="100"/>
        </w:rPr>
        <w:t>国</w:t>
      </w:r>
      <w:r>
        <w:rPr>
          <w:w w:val="100"/>
        </w:rPr>
        <w:t>科</w:t>
      </w:r>
      <w:r>
        <w:rPr>
          <w:spacing w:val="-3"/>
          <w:w w:val="100"/>
        </w:rPr>
        <w:t>发</w:t>
      </w:r>
      <w:r>
        <w:rPr>
          <w:spacing w:val="-22"/>
          <w:w w:val="100"/>
        </w:rPr>
        <w:t>火</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8</w:t>
      </w:r>
      <w:r>
        <w:rPr>
          <w:spacing w:val="-22"/>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spacing w:val="-1"/>
          <w:w w:val="100"/>
        </w:rPr>
        <w:t>2</w:t>
      </w:r>
      <w:r>
        <w:rPr>
          <w:w w:val="100"/>
        </w:rPr>
        <w:t>号</w:t>
      </w:r>
      <w:r>
        <w:rPr>
          <w:spacing w:val="-25"/>
          <w:w w:val="100"/>
        </w:rPr>
        <w:t>）</w:t>
      </w:r>
      <w:r>
        <w:rPr>
          <w:spacing w:val="-22"/>
          <w:w w:val="100"/>
        </w:rPr>
        <w:t>和</w:t>
      </w:r>
      <w:r>
        <w:rPr>
          <w:spacing w:val="-3"/>
          <w:w w:val="100"/>
        </w:rPr>
        <w:t>《</w:t>
      </w:r>
      <w:r>
        <w:rPr>
          <w:w w:val="100"/>
        </w:rPr>
        <w:t>高</w:t>
      </w:r>
      <w:r>
        <w:rPr>
          <w:spacing w:val="-3"/>
          <w:w w:val="100"/>
        </w:rPr>
        <w:t>新</w:t>
      </w:r>
      <w:r>
        <w:rPr>
          <w:w w:val="100"/>
        </w:rPr>
        <w:t>技</w:t>
      </w:r>
      <w:r>
        <w:rPr>
          <w:spacing w:val="-3"/>
          <w:w w:val="100"/>
        </w:rPr>
        <w:t>术</w:t>
      </w:r>
      <w:r>
        <w:rPr>
          <w:w w:val="100"/>
        </w:rPr>
        <w:t>企业</w:t>
      </w:r>
      <w:r>
        <w:rPr>
          <w:spacing w:val="-3"/>
          <w:w w:val="100"/>
        </w:rPr>
        <w:t>认</w:t>
      </w:r>
      <w:r>
        <w:rPr>
          <w:w w:val="100"/>
        </w:rPr>
        <w:t>定</w:t>
      </w:r>
      <w:r>
        <w:rPr>
          <w:spacing w:val="-3"/>
          <w:w w:val="100"/>
        </w:rPr>
        <w:t>管</w:t>
      </w:r>
      <w:r>
        <w:rPr>
          <w:w w:val="100"/>
        </w:rPr>
        <w:t>理</w:t>
      </w:r>
      <w:r>
        <w:rPr>
          <w:spacing w:val="-3"/>
          <w:w w:val="100"/>
        </w:rPr>
        <w:t>工</w:t>
      </w:r>
      <w:r>
        <w:rPr>
          <w:w w:val="100"/>
        </w:rPr>
        <w:t>作</w:t>
      </w:r>
      <w:r>
        <w:rPr>
          <w:spacing w:val="-3"/>
          <w:w w:val="100"/>
        </w:rPr>
        <w:t>指</w:t>
      </w:r>
      <w:r>
        <w:rPr>
          <w:w w:val="100"/>
        </w:rPr>
        <w:t>引》</w:t>
      </w:r>
    </w:p>
    <w:p>
      <w:pPr>
        <w:pStyle w:val="BodyText"/>
        <w:spacing w:line="398" w:lineRule="auto" w:before="177"/>
        <w:ind w:left="213" w:right="1126" w:hanging="107"/>
        <w:jc w:val="both"/>
      </w:pPr>
      <w:r>
        <w:rPr/>
        <w:t>（国科火字 ［</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362</w:t>
      </w:r>
      <w:r>
        <w:rPr>
          <w:rFonts w:ascii="Times New Roman" w:hAnsi="Times New Roman" w:cs="Times New Roman" w:eastAsia="Times New Roman" w:hint="default"/>
          <w:spacing w:val="25"/>
        </w:rPr>
        <w:t> </w:t>
      </w:r>
      <w:r>
        <w:rPr/>
        <w:t>号）有关规定，子公司武汉悦然心动网络科技有限公司于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日通过高</w:t>
      </w:r>
      <w:r>
        <w:rPr>
          <w:w w:val="100"/>
        </w:rPr>
        <w:t> </w:t>
      </w:r>
      <w:r>
        <w:rPr>
          <w:spacing w:val="-4"/>
          <w:w w:val="100"/>
        </w:rPr>
        <w:t>新技术企业认定，取得高新技术企业证书（证书编号</w:t>
      </w:r>
      <w:r>
        <w:rPr>
          <w:rFonts w:ascii="Times New Roman" w:hAnsi="Times New Roman" w:cs="Times New Roman" w:eastAsia="Times New Roman" w:hint="default"/>
          <w:spacing w:val="-4"/>
          <w:w w:val="100"/>
        </w:rPr>
        <w:t>GR201742001918</w:t>
      </w:r>
      <w:r>
        <w:rPr>
          <w:spacing w:val="-4"/>
          <w:w w:val="100"/>
        </w:rPr>
        <w:t>），有效期三年。根据相关规定，我</w:t>
      </w:r>
      <w:r>
        <w:rPr>
          <w:w w:val="100"/>
        </w:rPr>
        <w:t> </w:t>
      </w:r>
      <w:r>
        <w:rPr>
          <w:spacing w:val="-2"/>
        </w:rPr>
        <w:t>国境内新办软件企业经认定后，自获利年度起，第一年和第二年免征企业所得税，第三年至第五年减半征</w:t>
      </w:r>
      <w:r>
        <w:rPr>
          <w:w w:val="100"/>
        </w:rPr>
        <w:t> </w:t>
      </w:r>
      <w:r>
        <w:rPr>
          <w:spacing w:val="-2"/>
        </w:rPr>
        <w:t>收企业所得税。经湖北省经济和信息化委员会审核，子公司武汉悦然心动网络科技有限公司符合《关于软</w:t>
      </w:r>
      <w:r>
        <w:rPr>
          <w:w w:val="100"/>
        </w:rPr>
        <w:t> </w:t>
      </w:r>
      <w:r>
        <w:rPr/>
        <w:t>件和集成电路产业企业所得税优惠政策有关问题的通知》 和</w:t>
      </w:r>
      <w:r>
        <w:rPr>
          <w:spacing w:val="-26"/>
        </w:rPr>
        <w:t> </w:t>
      </w:r>
      <w:r>
        <w:rPr/>
        <w:t>《软件企业认定标准及管理办法》的有关规</w:t>
      </w:r>
      <w:r>
        <w:rPr>
          <w:w w:val="100"/>
        </w:rPr>
        <w:t> 定，被认定为软件企业（证书编号：鄂 </w:t>
      </w:r>
      <w:r>
        <w:rPr>
          <w:rFonts w:ascii="Times New Roman" w:hAnsi="Times New Roman" w:cs="Times New Roman" w:eastAsia="Times New Roman" w:hint="default"/>
          <w:spacing w:val="-7"/>
          <w:w w:val="100"/>
        </w:rPr>
        <w:t>R-2014-0280</w:t>
      </w:r>
      <w:r>
        <w:rPr>
          <w:spacing w:val="-7"/>
          <w:w w:val="100"/>
        </w:rPr>
        <w:t>）。</w:t>
      </w:r>
      <w:r>
        <w:rPr>
          <w:rFonts w:ascii="Times New Roman" w:hAnsi="Times New Roman" w:cs="Times New Roman" w:eastAsia="Times New Roman" w:hint="default"/>
          <w:spacing w:val="-7"/>
          <w:w w:val="100"/>
        </w:rPr>
        <w:t>2014</w:t>
      </w:r>
      <w:r>
        <w:rPr>
          <w:rFonts w:ascii="Times New Roman" w:hAnsi="Times New Roman" w:cs="Times New Roman" w:eastAsia="Times New Roman" w:hint="default"/>
          <w:spacing w:val="21"/>
          <w:w w:val="100"/>
        </w:rPr>
        <w:t> </w:t>
      </w:r>
      <w:r>
        <w:rPr>
          <w:w w:val="100"/>
        </w:rPr>
        <w:t>年为武汉悦然心动网络科技有限公司的首个 </w:t>
      </w:r>
      <w:r>
        <w:rPr/>
        <w:t>获利年度，</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2015  </w:t>
      </w:r>
      <w:r>
        <w:rPr/>
        <w:t>年免征企业所得税，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年减半征收企业所得税。</w:t>
      </w:r>
    </w:p>
    <w:p>
      <w:pPr>
        <w:spacing w:after="0" w:line="398" w:lineRule="auto"/>
        <w:jc w:val="both"/>
        <w:sectPr>
          <w:pgSz w:w="11910" w:h="16840"/>
          <w:pgMar w:header="906" w:footer="1079" w:top="1100" w:bottom="1260" w:left="920" w:right="0"/>
        </w:sectPr>
      </w:pPr>
    </w:p>
    <w:p>
      <w:pPr>
        <w:spacing w:line="240" w:lineRule="auto" w:before="9"/>
        <w:rPr>
          <w:rFonts w:ascii="宋体" w:hAnsi="宋体" w:cs="宋体" w:eastAsia="宋体" w:hint="default"/>
          <w:sz w:val="27"/>
          <w:szCs w:val="27"/>
        </w:rPr>
      </w:pPr>
    </w:p>
    <w:p>
      <w:pPr>
        <w:pStyle w:val="BodyText"/>
        <w:spacing w:line="240" w:lineRule="auto" w:before="36"/>
        <w:ind w:left="633" w:right="953"/>
        <w:jc w:val="left"/>
      </w:pPr>
      <w:r>
        <w:rPr>
          <w:w w:val="100"/>
        </w:rPr>
        <w:t>根</w:t>
      </w:r>
      <w:r>
        <w:rPr>
          <w:spacing w:val="-22"/>
          <w:w w:val="100"/>
        </w:rPr>
        <w:t>据</w:t>
      </w:r>
      <w:r>
        <w:rPr>
          <w:spacing w:val="-3"/>
          <w:w w:val="100"/>
        </w:rPr>
        <w:t>《</w:t>
      </w:r>
      <w:r>
        <w:rPr>
          <w:w w:val="100"/>
        </w:rPr>
        <w:t>高</w:t>
      </w:r>
      <w:r>
        <w:rPr>
          <w:spacing w:val="-3"/>
          <w:w w:val="100"/>
        </w:rPr>
        <w:t>新</w:t>
      </w:r>
      <w:r>
        <w:rPr>
          <w:w w:val="100"/>
        </w:rPr>
        <w:t>技</w:t>
      </w:r>
      <w:r>
        <w:rPr>
          <w:spacing w:val="-3"/>
          <w:w w:val="100"/>
        </w:rPr>
        <w:t>术</w:t>
      </w:r>
      <w:r>
        <w:rPr>
          <w:w w:val="100"/>
        </w:rPr>
        <w:t>企</w:t>
      </w:r>
      <w:r>
        <w:rPr>
          <w:spacing w:val="-3"/>
          <w:w w:val="100"/>
        </w:rPr>
        <w:t>业</w:t>
      </w:r>
      <w:r>
        <w:rPr>
          <w:w w:val="100"/>
        </w:rPr>
        <w:t>认</w:t>
      </w:r>
      <w:r>
        <w:rPr>
          <w:spacing w:val="-3"/>
          <w:w w:val="100"/>
        </w:rPr>
        <w:t>定</w:t>
      </w:r>
      <w:r>
        <w:rPr>
          <w:w w:val="100"/>
        </w:rPr>
        <w:t>管理</w:t>
      </w:r>
      <w:r>
        <w:rPr>
          <w:spacing w:val="-3"/>
          <w:w w:val="100"/>
        </w:rPr>
        <w:t>办</w:t>
      </w:r>
      <w:r>
        <w:rPr>
          <w:w w:val="100"/>
        </w:rPr>
        <w:t>法</w:t>
      </w:r>
      <w:r>
        <w:rPr>
          <w:spacing w:val="-130"/>
          <w:w w:val="100"/>
        </w:rPr>
        <w:t>》</w:t>
      </w:r>
      <w:r>
        <w:rPr>
          <w:w w:val="100"/>
        </w:rPr>
        <w:t>（</w:t>
      </w:r>
      <w:r>
        <w:rPr>
          <w:spacing w:val="-3"/>
          <w:w w:val="100"/>
        </w:rPr>
        <w:t>国</w:t>
      </w:r>
      <w:r>
        <w:rPr>
          <w:w w:val="100"/>
        </w:rPr>
        <w:t>科</w:t>
      </w:r>
      <w:r>
        <w:rPr>
          <w:spacing w:val="-3"/>
          <w:w w:val="100"/>
        </w:rPr>
        <w:t>发</w:t>
      </w:r>
      <w:r>
        <w:rPr>
          <w:spacing w:val="-22"/>
          <w:w w:val="100"/>
        </w:rPr>
        <w:t>火</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8</w:t>
      </w:r>
      <w:r>
        <w:rPr>
          <w:spacing w:val="-22"/>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spacing w:val="-1"/>
          <w:w w:val="100"/>
        </w:rPr>
        <w:t>2</w:t>
      </w:r>
      <w:r>
        <w:rPr>
          <w:w w:val="100"/>
        </w:rPr>
        <w:t>号</w:t>
      </w:r>
      <w:r>
        <w:rPr>
          <w:spacing w:val="-25"/>
          <w:w w:val="100"/>
        </w:rPr>
        <w:t>）</w:t>
      </w:r>
      <w:r>
        <w:rPr>
          <w:spacing w:val="-22"/>
          <w:w w:val="100"/>
        </w:rPr>
        <w:t>和</w:t>
      </w:r>
      <w:r>
        <w:rPr>
          <w:spacing w:val="-3"/>
          <w:w w:val="100"/>
        </w:rPr>
        <w:t>《</w:t>
      </w:r>
      <w:r>
        <w:rPr>
          <w:w w:val="100"/>
        </w:rPr>
        <w:t>高</w:t>
      </w:r>
      <w:r>
        <w:rPr>
          <w:spacing w:val="-3"/>
          <w:w w:val="100"/>
        </w:rPr>
        <w:t>新</w:t>
      </w:r>
      <w:r>
        <w:rPr>
          <w:w w:val="100"/>
        </w:rPr>
        <w:t>技</w:t>
      </w:r>
      <w:r>
        <w:rPr>
          <w:spacing w:val="-3"/>
          <w:w w:val="100"/>
        </w:rPr>
        <w:t>术</w:t>
      </w:r>
      <w:r>
        <w:rPr>
          <w:w w:val="100"/>
        </w:rPr>
        <w:t>企业</w:t>
      </w:r>
      <w:r>
        <w:rPr>
          <w:spacing w:val="-3"/>
          <w:w w:val="100"/>
        </w:rPr>
        <w:t>认</w:t>
      </w:r>
      <w:r>
        <w:rPr>
          <w:w w:val="100"/>
        </w:rPr>
        <w:t>定</w:t>
      </w:r>
      <w:r>
        <w:rPr>
          <w:spacing w:val="-3"/>
          <w:w w:val="100"/>
        </w:rPr>
        <w:t>管</w:t>
      </w:r>
      <w:r>
        <w:rPr>
          <w:w w:val="100"/>
        </w:rPr>
        <w:t>理</w:t>
      </w:r>
      <w:r>
        <w:rPr>
          <w:spacing w:val="-3"/>
          <w:w w:val="100"/>
        </w:rPr>
        <w:t>工</w:t>
      </w:r>
      <w:r>
        <w:rPr>
          <w:w w:val="100"/>
        </w:rPr>
        <w:t>作</w:t>
      </w:r>
      <w:r>
        <w:rPr>
          <w:spacing w:val="-3"/>
          <w:w w:val="100"/>
        </w:rPr>
        <w:t>指</w:t>
      </w:r>
      <w:r>
        <w:rPr>
          <w:w w:val="100"/>
        </w:rPr>
        <w:t>引》</w:t>
      </w:r>
    </w:p>
    <w:p>
      <w:pPr>
        <w:pStyle w:val="BodyText"/>
        <w:spacing w:line="386" w:lineRule="auto" w:before="177"/>
        <w:ind w:left="213" w:right="1126" w:hanging="107"/>
        <w:jc w:val="both"/>
      </w:pPr>
      <w:r>
        <w:rPr/>
        <w:t>（国科火字 ［</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362</w:t>
      </w:r>
      <w:r>
        <w:rPr>
          <w:rFonts w:ascii="Times New Roman" w:hAnsi="Times New Roman" w:cs="Times New Roman" w:eastAsia="Times New Roman" w:hint="default"/>
          <w:spacing w:val="24"/>
        </w:rPr>
        <w:t> </w:t>
      </w:r>
      <w:r>
        <w:rPr/>
        <w:t>号）有关规定，孙公司武汉威震天网络科技有限公司于于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日通过高</w:t>
      </w:r>
      <w:r>
        <w:rPr>
          <w:w w:val="100"/>
        </w:rPr>
        <w:t> </w:t>
      </w:r>
      <w:r>
        <w:rPr>
          <w:spacing w:val="-4"/>
          <w:w w:val="100"/>
        </w:rPr>
        <w:t>新技术企业认定，取得高新技术企业证书（证书编号</w:t>
      </w:r>
      <w:r>
        <w:rPr>
          <w:rFonts w:ascii="Times New Roman" w:hAnsi="Times New Roman" w:cs="Times New Roman" w:eastAsia="Times New Roman" w:hint="default"/>
          <w:spacing w:val="-4"/>
          <w:w w:val="100"/>
        </w:rPr>
        <w:t>GR201642001060</w:t>
      </w:r>
      <w:r>
        <w:rPr>
          <w:spacing w:val="-4"/>
          <w:w w:val="100"/>
        </w:rPr>
        <w:t>），有效期三年，享受高新技术企业</w:t>
      </w:r>
      <w:r>
        <w:rPr>
          <w:w w:val="100"/>
        </w:rPr>
        <w:t> </w:t>
      </w:r>
      <w:r>
        <w:rPr>
          <w:spacing w:val="-2"/>
        </w:rPr>
        <w:t>所得税优惠政策期限为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日。武汉威震天网络科技有限公司自</w:t>
      </w:r>
      <w:r>
        <w:rPr>
          <w:rFonts w:ascii="Times New Roman" w:hAnsi="Times New Roman" w:cs="Times New Roman" w:eastAsia="Times New Roman" w:hint="default"/>
          <w:spacing w:val="-2"/>
        </w:rPr>
        <w:t>2016</w:t>
      </w:r>
      <w:r>
        <w:rPr>
          <w:spacing w:val="-2"/>
        </w:rPr>
        <w:t>年度起被认</w:t>
      </w:r>
      <w:r>
        <w:rPr>
          <w:w w:val="100"/>
        </w:rPr>
        <w:t> </w:t>
      </w:r>
      <w:r>
        <w:rPr>
          <w:spacing w:val="-2"/>
          <w:w w:val="100"/>
        </w:rPr>
        <w:t>定为软件企业（鄂</w:t>
      </w:r>
      <w:r>
        <w:rPr>
          <w:rFonts w:ascii="Times New Roman" w:hAnsi="Times New Roman" w:cs="Times New Roman" w:eastAsia="Times New Roman" w:hint="default"/>
          <w:spacing w:val="-2"/>
          <w:w w:val="100"/>
        </w:rPr>
        <w:t>RQ-2016-0242</w:t>
      </w:r>
      <w:r>
        <w:rPr>
          <w:spacing w:val="-2"/>
          <w:w w:val="100"/>
        </w:rPr>
        <w:t>），</w:t>
      </w:r>
      <w:r>
        <w:rPr>
          <w:rFonts w:ascii="Times New Roman" w:hAnsi="Times New Roman" w:cs="Times New Roman" w:eastAsia="Times New Roman" w:hint="default"/>
          <w:spacing w:val="-2"/>
          <w:w w:val="100"/>
        </w:rPr>
        <w:t>2016</w:t>
      </w:r>
      <w:r>
        <w:rPr>
          <w:spacing w:val="-2"/>
          <w:w w:val="100"/>
        </w:rPr>
        <w:t>年为武汉威震天网络科技有限公司的首个获利年度，</w:t>
      </w:r>
      <w:r>
        <w:rPr>
          <w:rFonts w:ascii="Times New Roman" w:hAnsi="Times New Roman" w:cs="Times New Roman" w:eastAsia="Times New Roman" w:hint="default"/>
          <w:spacing w:val="-2"/>
          <w:w w:val="100"/>
        </w:rPr>
        <w:t>2016</w:t>
      </w:r>
      <w:r>
        <w:rPr>
          <w:spacing w:val="-2"/>
          <w:w w:val="100"/>
        </w:rPr>
        <w:t>－</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w w:val="100"/>
        </w:rPr>
        <w:t> </w:t>
      </w:r>
      <w:r>
        <w:rPr/>
        <w:t>年免征企业所得税，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2020</w:t>
      </w:r>
      <w:r>
        <w:rPr/>
        <w:t>年减半征收企业所得税。</w:t>
      </w:r>
    </w:p>
    <w:p>
      <w:pPr>
        <w:pStyle w:val="BodyText"/>
        <w:spacing w:line="386" w:lineRule="auto" w:before="76"/>
        <w:ind w:left="213" w:right="1126" w:firstLine="420"/>
        <w:jc w:val="both"/>
      </w:pPr>
      <w:r>
        <w:rPr>
          <w:spacing w:val="-2"/>
          <w:w w:val="100"/>
        </w:rPr>
        <w:t>孙公司武汉乐享无限网络科技有限公司自</w:t>
      </w:r>
      <w:r>
        <w:rPr>
          <w:rFonts w:ascii="Times New Roman" w:hAnsi="Times New Roman" w:cs="Times New Roman" w:eastAsia="Times New Roman" w:hint="default"/>
          <w:spacing w:val="-2"/>
          <w:w w:val="100"/>
        </w:rPr>
        <w:t>2017</w:t>
      </w:r>
      <w:r>
        <w:rPr>
          <w:spacing w:val="-2"/>
          <w:w w:val="100"/>
        </w:rPr>
        <w:t>年度起被认定为软件企业（鄂</w:t>
      </w:r>
      <w:r>
        <w:rPr>
          <w:rFonts w:ascii="Times New Roman" w:hAnsi="Times New Roman" w:cs="Times New Roman" w:eastAsia="Times New Roman" w:hint="default"/>
          <w:spacing w:val="-2"/>
          <w:w w:val="100"/>
        </w:rPr>
        <w:t>RQ-2017-0073</w:t>
      </w:r>
      <w:r>
        <w:rPr>
          <w:spacing w:val="-2"/>
          <w:w w:val="100"/>
        </w:rPr>
        <w:t>），</w:t>
      </w:r>
      <w:r>
        <w:rPr>
          <w:rFonts w:ascii="Times New Roman" w:hAnsi="Times New Roman" w:cs="Times New Roman" w:eastAsia="Times New Roman" w:hint="default"/>
          <w:spacing w:val="-2"/>
          <w:w w:val="100"/>
        </w:rPr>
        <w:t>2017</w:t>
      </w:r>
      <w:r>
        <w:rPr>
          <w:spacing w:val="-2"/>
          <w:w w:val="100"/>
        </w:rPr>
        <w:t>年</w:t>
      </w:r>
      <w:r>
        <w:rPr>
          <w:w w:val="100"/>
        </w:rPr>
        <w:t> </w:t>
      </w:r>
      <w:r>
        <w:rPr/>
        <w:t>为武汉乐享无限网络科技有限公司的首个获利年度，</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 </w:t>
      </w:r>
      <w:r>
        <w:rPr/>
        <w:t>年免征企业所得税，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2021</w:t>
      </w:r>
      <w:r>
        <w:rPr/>
        <w:t>年减半</w:t>
      </w:r>
      <w:r>
        <w:rPr>
          <w:spacing w:val="-82"/>
        </w:rPr>
        <w:t> </w:t>
      </w:r>
      <w:r>
        <w:rPr/>
        <w:t>征收企业所得税。</w:t>
      </w:r>
    </w:p>
    <w:p>
      <w:pPr>
        <w:pStyle w:val="BodyText"/>
        <w:spacing w:line="386" w:lineRule="auto" w:before="103"/>
        <w:ind w:left="213" w:right="1126" w:firstLine="420"/>
        <w:jc w:val="left"/>
      </w:pPr>
      <w:r>
        <w:rPr>
          <w:spacing w:val="-2"/>
        </w:rPr>
        <w:t>孙公司霍尔果斯欢乐无限网络科技有限公司成立于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日，根据《霍尔果斯经济开发区国家税</w:t>
      </w:r>
      <w:r>
        <w:rPr>
          <w:w w:val="100"/>
        </w:rPr>
        <w:t> </w:t>
      </w:r>
      <w:r>
        <w:rPr>
          <w:spacing w:val="-8"/>
          <w:w w:val="100"/>
        </w:rPr>
        <w:t>务局税务事项通知书》（霍经国税通</w:t>
      </w:r>
      <w:r>
        <w:rPr>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5"/>
          <w:w w:val="100"/>
        </w:rPr>
        <w:t>16180</w:t>
      </w:r>
      <w:r>
        <w:rPr>
          <w:spacing w:val="-5"/>
          <w:w w:val="100"/>
        </w:rPr>
        <w:t>号），依据《财政部国家税务总局关于新疆喀什霍尔果斯</w:t>
      </w:r>
    </w:p>
    <w:p>
      <w:pPr>
        <w:pStyle w:val="BodyText"/>
        <w:spacing w:line="386" w:lineRule="auto" w:before="35"/>
        <w:ind w:left="213" w:right="1126"/>
        <w:jc w:val="both"/>
      </w:pPr>
      <w:r>
        <w:rPr>
          <w:spacing w:val="-5"/>
          <w:w w:val="100"/>
        </w:rPr>
        <w:t>两个特殊经济开发区企业所得税优惠政策的通知》（财税</w:t>
      </w:r>
      <w:r>
        <w:rPr>
          <w:w w:val="100"/>
        </w:rPr>
        <w:t> </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w w:val="100"/>
        </w:rPr>
        <w:t> </w:t>
      </w:r>
      <w:r>
        <w:rPr>
          <w:rFonts w:ascii="Times New Roman" w:hAnsi="Times New Roman" w:cs="Times New Roman" w:eastAsia="Times New Roman" w:hint="default"/>
          <w:spacing w:val="-4"/>
          <w:w w:val="100"/>
        </w:rPr>
        <w:t>112</w:t>
      </w:r>
      <w:r>
        <w:rPr>
          <w:rFonts w:ascii="Times New Roman" w:hAnsi="Times New Roman" w:cs="Times New Roman" w:eastAsia="Times New Roman" w:hint="default"/>
          <w:spacing w:val="-8"/>
          <w:w w:val="100"/>
        </w:rPr>
        <w:t> </w:t>
      </w:r>
      <w:r>
        <w:rPr>
          <w:spacing w:val="-1"/>
          <w:w w:val="100"/>
        </w:rPr>
        <w:t>号）第一条，霍尔果斯欢乐无限网络</w:t>
      </w:r>
      <w:r>
        <w:rPr>
          <w:w w:val="100"/>
        </w:rPr>
        <w:t> </w:t>
      </w:r>
      <w:r>
        <w:rPr>
          <w:spacing w:val="-4"/>
        </w:rPr>
        <w:t>科技有限公司可自取得第一笔生产经营收入所属纳税年度起，五年内免征企业所得税。</w:t>
      </w:r>
      <w:r>
        <w:rPr>
          <w:rFonts w:ascii="Times New Roman" w:hAnsi="Times New Roman" w:cs="Times New Roman" w:eastAsia="Times New Roman" w:hint="default"/>
          <w:spacing w:val="-4"/>
        </w:rPr>
        <w:t>2017-2021</w:t>
      </w:r>
      <w:r>
        <w:rPr>
          <w:spacing w:val="-4"/>
        </w:rPr>
        <w:t>年免征企</w:t>
      </w:r>
      <w:r>
        <w:rPr>
          <w:spacing w:val="-3"/>
        </w:rPr>
        <w:t> </w:t>
      </w:r>
      <w:r>
        <w:rPr>
          <w:spacing w:val="-3"/>
        </w:rPr>
      </w:r>
      <w:r>
        <w:rPr/>
        <w:t>业所得税。</w:t>
      </w:r>
    </w:p>
    <w:p>
      <w:pPr>
        <w:pStyle w:val="BodyText"/>
        <w:spacing w:line="386" w:lineRule="auto" w:before="106"/>
        <w:ind w:left="213" w:right="953" w:firstLine="420"/>
        <w:jc w:val="left"/>
      </w:pPr>
      <w:r>
        <w:rPr/>
        <w:t>根据《西藏自治区人民政府关于我区企业所得税税率问题的通知》</w:t>
      </w:r>
      <w:r>
        <w:rPr>
          <w:rFonts w:ascii="Times New Roman" w:hAnsi="Times New Roman" w:cs="Times New Roman" w:eastAsia="Times New Roman" w:hint="default"/>
        </w:rPr>
        <w:t>(</w:t>
      </w:r>
      <w:r>
        <w:rPr/>
        <w:t>藏政发</w:t>
      </w:r>
      <w:r>
        <w:rPr>
          <w:rFonts w:ascii="Times New Roman" w:hAnsi="Times New Roman" w:cs="Times New Roman" w:eastAsia="Times New Roman" w:hint="default"/>
        </w:rPr>
        <w:t>[2011]14</w:t>
      </w:r>
      <w:r>
        <w:rPr>
          <w:rFonts w:ascii="Times New Roman" w:hAnsi="Times New Roman" w:cs="Times New Roman" w:eastAsia="Times New Roman" w:hint="default"/>
          <w:spacing w:val="44"/>
        </w:rPr>
        <w:t> </w:t>
      </w:r>
      <w:r>
        <w:rPr/>
        <w:t>号</w:t>
      </w:r>
      <w:r>
        <w:rPr>
          <w:rFonts w:ascii="Times New Roman" w:hAnsi="Times New Roman" w:cs="Times New Roman" w:eastAsia="Times New Roman" w:hint="default"/>
        </w:rPr>
        <w:t>)</w:t>
      </w:r>
      <w:r>
        <w:rPr/>
        <w:t>的规定，对设</w:t>
      </w:r>
      <w:r>
        <w:rPr>
          <w:w w:val="100"/>
        </w:rPr>
        <w:t> </w:t>
      </w:r>
      <w:r>
        <w:rPr/>
        <w:t>在西藏自治区的各类企业</w:t>
      </w:r>
      <w:r>
        <w:rPr>
          <w:rFonts w:ascii="Times New Roman" w:hAnsi="Times New Roman" w:cs="Times New Roman" w:eastAsia="Times New Roman" w:hint="default"/>
        </w:rPr>
        <w:t>(</w:t>
      </w:r>
      <w:r>
        <w:rPr/>
        <w:t>含西藏驻区外企业</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2011 </w:t>
      </w:r>
      <w:r>
        <w:rPr/>
        <w:t>年至</w:t>
      </w:r>
      <w:r>
        <w:rPr>
          <w:rFonts w:ascii="Times New Roman" w:hAnsi="Times New Roman" w:cs="Times New Roman" w:eastAsia="Times New Roman" w:hint="default"/>
        </w:rPr>
        <w:t>2020</w:t>
      </w:r>
      <w:r>
        <w:rPr>
          <w:rFonts w:ascii="Times New Roman" w:hAnsi="Times New Roman" w:cs="Times New Roman" w:eastAsia="Times New Roman" w:hint="default"/>
          <w:spacing w:val="22"/>
        </w:rPr>
        <w:t> </w:t>
      </w:r>
      <w:r>
        <w:rPr/>
        <w:t>年期间，按</w:t>
      </w:r>
      <w:r>
        <w:rPr>
          <w:rFonts w:ascii="Times New Roman" w:hAnsi="Times New Roman" w:cs="Times New Roman" w:eastAsia="Times New Roman" w:hint="default"/>
        </w:rPr>
        <w:t>15%</w:t>
      </w:r>
      <w:r>
        <w:rPr/>
        <w:t>的税率征收企业所得税，</w:t>
      </w:r>
      <w:r>
        <w:rPr>
          <w:w w:val="100"/>
        </w:rPr>
        <w:t> </w:t>
      </w:r>
      <w:r>
        <w:rPr/>
        <w:t>因此孙公司山南快乐无限网络科技有限公司可以享受</w:t>
      </w:r>
      <w:r>
        <w:rPr>
          <w:rFonts w:ascii="Times New Roman" w:hAnsi="Times New Roman" w:cs="Times New Roman" w:eastAsia="Times New Roman" w:hint="default"/>
        </w:rPr>
        <w:t>15%</w:t>
      </w:r>
      <w:r>
        <w:rPr/>
        <w:t>的西部大开发优惠税率政策。</w:t>
      </w:r>
    </w:p>
    <w:p>
      <w:pPr>
        <w:pStyle w:val="BodyText"/>
        <w:spacing w:line="386" w:lineRule="auto" w:before="76"/>
        <w:ind w:left="213" w:right="953" w:firstLine="420"/>
        <w:jc w:val="left"/>
      </w:pPr>
      <w:r>
        <w:rPr/>
        <w:t>根据《西藏自治区人民政府关于我区企业所得税税率问题的通知》</w:t>
      </w:r>
      <w:r>
        <w:rPr>
          <w:rFonts w:ascii="Times New Roman" w:hAnsi="Times New Roman" w:cs="Times New Roman" w:eastAsia="Times New Roman" w:hint="default"/>
        </w:rPr>
        <w:t>(</w:t>
      </w:r>
      <w:r>
        <w:rPr/>
        <w:t>藏政发</w:t>
      </w:r>
      <w:r>
        <w:rPr>
          <w:rFonts w:ascii="Times New Roman" w:hAnsi="Times New Roman" w:cs="Times New Roman" w:eastAsia="Times New Roman" w:hint="default"/>
        </w:rPr>
        <w:t>[2011]14</w:t>
      </w:r>
      <w:r>
        <w:rPr>
          <w:rFonts w:ascii="Times New Roman" w:hAnsi="Times New Roman" w:cs="Times New Roman" w:eastAsia="Times New Roman" w:hint="default"/>
          <w:spacing w:val="44"/>
        </w:rPr>
        <w:t> </w:t>
      </w:r>
      <w:r>
        <w:rPr/>
        <w:t>号</w:t>
      </w:r>
      <w:r>
        <w:rPr>
          <w:rFonts w:ascii="Times New Roman" w:hAnsi="Times New Roman" w:cs="Times New Roman" w:eastAsia="Times New Roman" w:hint="default"/>
        </w:rPr>
        <w:t>)</w:t>
      </w:r>
      <w:r>
        <w:rPr/>
        <w:t>的规定，对设</w:t>
      </w:r>
      <w:r>
        <w:rPr>
          <w:w w:val="100"/>
        </w:rPr>
        <w:t> </w:t>
      </w:r>
      <w:r>
        <w:rPr/>
        <w:t>在西藏自治区的各类企业</w:t>
      </w:r>
      <w:r>
        <w:rPr>
          <w:rFonts w:ascii="Times New Roman" w:hAnsi="Times New Roman" w:cs="Times New Roman" w:eastAsia="Times New Roman" w:hint="default"/>
        </w:rPr>
        <w:t>(</w:t>
      </w:r>
      <w:r>
        <w:rPr/>
        <w:t>含西藏驻区外企业</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2011 </w:t>
      </w:r>
      <w:r>
        <w:rPr/>
        <w:t>年至</w:t>
      </w:r>
      <w:r>
        <w:rPr>
          <w:rFonts w:ascii="Times New Roman" w:hAnsi="Times New Roman" w:cs="Times New Roman" w:eastAsia="Times New Roman" w:hint="default"/>
        </w:rPr>
        <w:t>2020</w:t>
      </w:r>
      <w:r>
        <w:rPr>
          <w:rFonts w:ascii="Times New Roman" w:hAnsi="Times New Roman" w:cs="Times New Roman" w:eastAsia="Times New Roman" w:hint="default"/>
          <w:spacing w:val="22"/>
        </w:rPr>
        <w:t> </w:t>
      </w:r>
      <w:r>
        <w:rPr/>
        <w:t>年期间，按</w:t>
      </w:r>
      <w:r>
        <w:rPr>
          <w:rFonts w:ascii="Times New Roman" w:hAnsi="Times New Roman" w:cs="Times New Roman" w:eastAsia="Times New Roman" w:hint="default"/>
        </w:rPr>
        <w:t>15%</w:t>
      </w:r>
      <w:r>
        <w:rPr/>
        <w:t>的税率征收企业所得税，</w:t>
      </w:r>
      <w:r>
        <w:rPr>
          <w:w w:val="100"/>
        </w:rPr>
        <w:t> </w:t>
      </w:r>
      <w:r>
        <w:rPr/>
        <w:t>因此子公司山南卡奴迪路商贸有限公司可以享受</w:t>
      </w:r>
      <w:r>
        <w:rPr>
          <w:rFonts w:ascii="Times New Roman" w:hAnsi="Times New Roman" w:cs="Times New Roman" w:eastAsia="Times New Roman" w:hint="default"/>
        </w:rPr>
        <w:t>15%</w:t>
      </w:r>
      <w:r>
        <w:rPr/>
        <w:t>的优惠税率政策。</w:t>
      </w:r>
    </w:p>
    <w:p>
      <w:pPr>
        <w:pStyle w:val="BodyText"/>
        <w:spacing w:line="420" w:lineRule="auto" w:before="74"/>
        <w:ind w:left="633" w:right="95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、地方教育附加</w:t>
      </w:r>
      <w:r>
        <w:rPr>
          <w:w w:val="100"/>
        </w:rPr>
        <w:t> </w:t>
      </w:r>
      <w:r>
        <w:rPr>
          <w:spacing w:val="-10"/>
          <w:w w:val="100"/>
        </w:rPr>
        <w:t>根据《省人民政府办公厅关于降低企业成本激发市场活力的意见》（鄂政办发〔</w:t>
      </w:r>
      <w:r>
        <w:rPr>
          <w:rFonts w:ascii="Times New Roman" w:hAnsi="Times New Roman" w:cs="Times New Roman" w:eastAsia="Times New Roman" w:hint="default"/>
          <w:spacing w:val="-10"/>
          <w:w w:val="100"/>
        </w:rPr>
        <w:t>2016</w:t>
      </w:r>
      <w:r>
        <w:rPr>
          <w:spacing w:val="-10"/>
          <w:w w:val="100"/>
        </w:rPr>
        <w:t>〕</w:t>
      </w:r>
      <w:r>
        <w:rPr>
          <w:rFonts w:ascii="Times New Roman" w:hAnsi="Times New Roman" w:cs="Times New Roman" w:eastAsia="Times New Roman" w:hint="default"/>
          <w:spacing w:val="-10"/>
          <w:w w:val="100"/>
        </w:rPr>
        <w:t>27</w:t>
      </w:r>
      <w:r>
        <w:rPr>
          <w:spacing w:val="-10"/>
          <w:w w:val="100"/>
        </w:rPr>
        <w:t>号），“从</w:t>
      </w:r>
      <w:r>
        <w:rPr>
          <w:rFonts w:ascii="Times New Roman" w:hAnsi="Times New Roman" w:cs="Times New Roman" w:eastAsia="Times New Roman" w:hint="default"/>
          <w:spacing w:val="-10"/>
          <w:w w:val="100"/>
        </w:rPr>
        <w:t>2016</w:t>
      </w:r>
    </w:p>
    <w:p>
      <w:pPr>
        <w:pStyle w:val="BodyText"/>
        <w:spacing w:line="391" w:lineRule="auto" w:before="3"/>
        <w:ind w:left="213" w:right="1126"/>
        <w:jc w:val="both"/>
      </w:pPr>
      <w:r>
        <w:rPr>
          <w:spacing w:val="-4"/>
          <w:w w:val="100"/>
        </w:rPr>
        <w:t>年</w:t>
      </w:r>
      <w:r>
        <w:rPr>
          <w:rFonts w:ascii="Times New Roman" w:hAnsi="Times New Roman" w:cs="Times New Roman" w:eastAsia="Times New Roman" w:hint="default"/>
          <w:spacing w:val="-4"/>
          <w:w w:val="100"/>
        </w:rPr>
        <w:t>5</w:t>
      </w:r>
      <w:r>
        <w:rPr>
          <w:spacing w:val="-4"/>
          <w:w w:val="100"/>
        </w:rPr>
        <w:t>月</w:t>
      </w:r>
      <w:r>
        <w:rPr>
          <w:rFonts w:ascii="Times New Roman" w:hAnsi="Times New Roman" w:cs="Times New Roman" w:eastAsia="Times New Roman" w:hint="default"/>
          <w:spacing w:val="-4"/>
          <w:w w:val="100"/>
        </w:rPr>
        <w:t>1</w:t>
      </w:r>
      <w:r>
        <w:rPr>
          <w:spacing w:val="-4"/>
          <w:w w:val="100"/>
        </w:rPr>
        <w:t>日起，将企业地方教育附加征收率由</w:t>
      </w:r>
      <w:r>
        <w:rPr>
          <w:rFonts w:ascii="Times New Roman" w:hAnsi="Times New Roman" w:cs="Times New Roman" w:eastAsia="Times New Roman" w:hint="default"/>
          <w:spacing w:val="-4"/>
          <w:w w:val="100"/>
        </w:rPr>
        <w:t>2%</w:t>
      </w:r>
      <w:r>
        <w:rPr>
          <w:spacing w:val="-4"/>
          <w:w w:val="100"/>
        </w:rPr>
        <w:t>下调至</w:t>
      </w:r>
      <w:r>
        <w:rPr>
          <w:rFonts w:ascii="Times New Roman" w:hAnsi="Times New Roman" w:cs="Times New Roman" w:eastAsia="Times New Roman" w:hint="default"/>
          <w:spacing w:val="-4"/>
          <w:w w:val="100"/>
        </w:rPr>
        <w:t>1.5%</w:t>
      </w:r>
      <w:r>
        <w:rPr>
          <w:spacing w:val="-4"/>
          <w:w w:val="100"/>
        </w:rPr>
        <w:t>，降低征收率的期限暂按两年执行”。根据《关</w:t>
      </w:r>
      <w:r>
        <w:rPr>
          <w:spacing w:val="-86"/>
          <w:w w:val="100"/>
        </w:rPr>
        <w:t> </w:t>
      </w:r>
      <w:r>
        <w:rPr>
          <w:spacing w:val="-86"/>
          <w:w w:val="100"/>
        </w:rPr>
      </w:r>
      <w:r>
        <w:rPr>
          <w:spacing w:val="-6"/>
          <w:w w:val="100"/>
        </w:rPr>
        <w:t>于进一步降低企业成本增强经济发展新动能的意见》（鄂政办发〔</w:t>
      </w:r>
      <w:r>
        <w:rPr>
          <w:rFonts w:ascii="Times New Roman" w:hAnsi="Times New Roman" w:cs="Times New Roman" w:eastAsia="Times New Roman" w:hint="default"/>
          <w:spacing w:val="-6"/>
          <w:w w:val="100"/>
        </w:rPr>
        <w:t>2018</w:t>
      </w:r>
      <w:r>
        <w:rPr>
          <w:spacing w:val="-6"/>
          <w:w w:val="100"/>
        </w:rPr>
        <w:t>〕</w:t>
      </w:r>
      <w:r>
        <w:rPr>
          <w:rFonts w:ascii="Times New Roman" w:hAnsi="Times New Roman" w:cs="Times New Roman" w:eastAsia="Times New Roman" w:hint="default"/>
          <w:spacing w:val="-6"/>
          <w:w w:val="100"/>
        </w:rPr>
        <w:t>13</w:t>
      </w:r>
      <w:r>
        <w:rPr>
          <w:spacing w:val="-6"/>
          <w:w w:val="100"/>
        </w:rPr>
        <w:t>号），“四、进一步降低企业税</w:t>
      </w:r>
      <w:r>
        <w:rPr>
          <w:spacing w:val="-94"/>
          <w:w w:val="100"/>
        </w:rPr>
        <w:t> </w:t>
      </w:r>
      <w:r>
        <w:rPr>
          <w:spacing w:val="-94"/>
          <w:w w:val="100"/>
        </w:rPr>
      </w:r>
      <w:r>
        <w:rPr/>
        <w:t>费负担</w:t>
      </w:r>
      <w:r>
        <w:rPr>
          <w:spacing w:val="53"/>
        </w:rPr>
        <w:t> </w:t>
      </w:r>
      <w:r>
        <w:rPr/>
        <w:t>（十七）延长部分到期税费优惠政策。至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日，企业地方教育附加征收率继续按</w:t>
      </w:r>
      <w:r>
        <w:rPr>
          <w:rFonts w:ascii="Times New Roman" w:hAnsi="Times New Roman" w:cs="Times New Roman" w:eastAsia="Times New Roman" w:hint="default"/>
        </w:rPr>
        <w:t>1.5%</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7"/>
          <w:w w:val="100"/>
        </w:rPr>
        <w:t>执行”。</w:t>
      </w:r>
      <w:r>
        <w:rPr>
          <w:w w:val="100"/>
        </w:rPr>
        <w:t> </w:t>
      </w:r>
      <w:r>
        <w:rPr>
          <w:spacing w:val="-2"/>
          <w:w w:val="100"/>
        </w:rPr>
        <w:t>目前武汉悦然心动网络科技有限公司和其子公司武汉威震天网络科技有限公司、武汉乐享无限网</w:t>
      </w:r>
      <w:r>
        <w:rPr>
          <w:spacing w:val="-104"/>
          <w:w w:val="100"/>
        </w:rPr>
        <w:t> </w:t>
      </w:r>
      <w:r>
        <w:rPr>
          <w:spacing w:val="-104"/>
          <w:w w:val="100"/>
        </w:rPr>
      </w:r>
      <w:r>
        <w:rPr/>
        <w:t>络科技有限公司均享受</w:t>
      </w:r>
      <w:r>
        <w:rPr>
          <w:rFonts w:ascii="Times New Roman" w:hAnsi="Times New Roman" w:cs="Times New Roman" w:eastAsia="Times New Roman" w:hint="default"/>
        </w:rPr>
        <w:t>1.5%</w:t>
      </w:r>
      <w:r>
        <w:rPr/>
        <w:t>的地方教育附加征收率。</w:t>
      </w:r>
    </w:p>
    <w:p>
      <w:pPr>
        <w:spacing w:after="0" w:line="391" w:lineRule="auto"/>
        <w:jc w:val="both"/>
        <w:sectPr>
          <w:pgSz w:w="11910" w:h="16840"/>
          <w:pgMar w:header="906" w:footer="1079" w:top="1100" w:bottom="1260" w:left="920" w:right="0"/>
        </w:sectPr>
      </w:pPr>
    </w:p>
    <w:p>
      <w:pPr>
        <w:spacing w:line="240" w:lineRule="auto" w:before="11"/>
        <w:rPr>
          <w:rFonts w:ascii="宋体" w:hAnsi="宋体" w:cs="宋体" w:eastAsia="宋体" w:hint="default"/>
          <w:sz w:val="21"/>
          <w:szCs w:val="21"/>
        </w:rPr>
      </w:pPr>
    </w:p>
    <w:p>
      <w:pPr>
        <w:spacing w:line="487" w:lineRule="auto" w:before="36"/>
        <w:ind w:left="113" w:right="7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5,124,099.31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1,744,266.95</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259,163,920.41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555,412,455.88</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38,924,573.71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78,481,010.69</w:t>
            </w:r>
          </w:p>
        </w:tc>
      </w:tr>
      <w:tr>
        <w:trPr>
          <w:trHeight w:val="404"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303,212,593.43</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635,637,733.52</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74,850,738.38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118,053,567.66</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其他说明</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386" w:lineRule="auto"/>
        <w:ind w:right="1126" w:firstLine="420"/>
        <w:jc w:val="both"/>
      </w:pPr>
      <w:r>
        <w:rPr>
          <w:spacing w:val="-2"/>
        </w:rPr>
        <w:t>注：截至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日，除银行承兑汇票保证金、保函保证金、网店店铺保证金、威尼斯店铺租金</w:t>
      </w:r>
      <w:r>
        <w:rPr>
          <w:w w:val="100"/>
        </w:rPr>
        <w:t> </w:t>
      </w:r>
      <w:r>
        <w:rPr>
          <w:spacing w:val="-1"/>
        </w:rPr>
        <w:t>保证金和第三方支付平台保证金合计</w:t>
      </w:r>
      <w:r>
        <w:rPr>
          <w:rFonts w:ascii="Times New Roman" w:hAnsi="Times New Roman" w:cs="Times New Roman" w:eastAsia="Times New Roman" w:hint="default"/>
          <w:spacing w:val="-1"/>
        </w:rPr>
        <w:t>19,712,608.79</w:t>
      </w:r>
      <w:r>
        <w:rPr>
          <w:spacing w:val="-1"/>
        </w:rPr>
        <w:t>元使用受限外，公司报告期末不存在抵押、冻结，或有</w:t>
      </w:r>
      <w:r>
        <w:rPr>
          <w:spacing w:val="-24"/>
        </w:rPr>
        <w:t> </w:t>
      </w:r>
      <w:r>
        <w:rPr>
          <w:spacing w:val="-24"/>
        </w:rPr>
      </w:r>
      <w:r>
        <w:rPr/>
        <w:t>潜在收回风险的款项。</w:t>
      </w:r>
    </w:p>
    <w:p>
      <w:pPr>
        <w:pStyle w:val="BodyText"/>
        <w:spacing w:line="240" w:lineRule="auto" w:before="108"/>
        <w:ind w:left="533" w:right="0"/>
        <w:jc w:val="left"/>
      </w:pPr>
      <w:r>
        <w:rPr/>
        <w:t>其他货币资金明细如下：</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229"/>
        <w:gridCol w:w="2835"/>
        <w:gridCol w:w="2657"/>
      </w:tblGrid>
      <w:tr>
        <w:trPr>
          <w:trHeight w:val="346"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tabs>
                <w:tab w:pos="1161" w:val="left" w:leader="none"/>
              </w:tabs>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2018-12-31</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2017-12-31</w:t>
            </w:r>
          </w:p>
        </w:tc>
      </w:tr>
      <w:tr>
        <w:trPr>
          <w:trHeight w:val="348"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票据保证金</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6,940,677.10</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9,702,051.45</w:t>
            </w:r>
          </w:p>
        </w:tc>
      </w:tr>
      <w:tr>
        <w:trPr>
          <w:trHeight w:val="348"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1,100,000.00</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346"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店铺保证金</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11,321,451.69</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8"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POS</w:t>
            </w:r>
            <w:r>
              <w:rPr>
                <w:rFonts w:ascii="宋体" w:hAnsi="宋体" w:cs="宋体" w:eastAsia="宋体" w:hint="default"/>
                <w:sz w:val="21"/>
                <w:szCs w:val="21"/>
              </w:rPr>
              <w:t>机款</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2,206,658.53</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1,904,855.33</w:t>
            </w:r>
          </w:p>
        </w:tc>
      </w:tr>
      <w:tr>
        <w:trPr>
          <w:trHeight w:val="346"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第三方支付平台保证金</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350,480.00</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8"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第三方支付平台余额</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17,005,306.39</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732,156.18</w:t>
            </w:r>
          </w:p>
        </w:tc>
      </w:tr>
      <w:tr>
        <w:trPr>
          <w:trHeight w:val="346"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在途资金</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65,341,947.73</w:t>
            </w:r>
          </w:p>
        </w:tc>
      </w:tr>
      <w:tr>
        <w:trPr>
          <w:trHeight w:val="348" w:hRule="exact"/>
        </w:trPr>
        <w:tc>
          <w:tcPr>
            <w:tcW w:w="3229" w:type="dxa"/>
            <w:tcBorders>
              <w:top w:val="single" w:sz="6" w:space="0" w:color="933734"/>
              <w:left w:val="single" w:sz="6" w:space="0" w:color="933734"/>
              <w:bottom w:val="single" w:sz="6" w:space="0" w:color="933734"/>
              <w:right w:val="single" w:sz="6" w:space="0" w:color="933734"/>
            </w:tcBorders>
            <w:shd w:val="clear" w:color="auto" w:fill="E4B8B7"/>
          </w:tcPr>
          <w:p>
            <w:pPr>
              <w:pStyle w:val="TableParagraph"/>
              <w:tabs>
                <w:tab w:pos="1055" w:val="left" w:leader="none"/>
              </w:tabs>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5"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38,924,573.71</w:t>
            </w:r>
          </w:p>
        </w:tc>
        <w:tc>
          <w:tcPr>
            <w:tcW w:w="2657" w:type="dxa"/>
            <w:tcBorders>
              <w:top w:val="single" w:sz="6" w:space="0" w:color="933734"/>
              <w:left w:val="single" w:sz="6" w:space="0" w:color="933734"/>
              <w:bottom w:val="single" w:sz="6" w:space="0" w:color="933734"/>
              <w:right w:val="single" w:sz="6" w:space="0" w:color="933734"/>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78,481,010.69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95"/>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 期损益的金融资产</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44,343,908.71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44,343,908.71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44,343,908.71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22,000.00</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left="107" w:right="953" w:firstLine="526"/>
        <w:jc w:val="left"/>
      </w:pPr>
      <w:r>
        <w:rPr>
          <w:spacing w:val="2"/>
        </w:rPr>
        <w:t>注：公司报告期末以公允价值计量且其变动计入当期损益的金融资产余额为购买中国工商银行法人</w:t>
      </w:r>
      <w:r>
        <w:rPr>
          <w:w w:val="100"/>
        </w:rPr>
        <w:t> </w:t>
      </w:r>
      <w:r>
        <w:rPr/>
        <w:t>“添利宝”净值型理财产品</w:t>
      </w:r>
      <w:r>
        <w:rPr>
          <w:rFonts w:ascii="Times New Roman" w:hAnsi="Times New Roman" w:cs="Times New Roman" w:eastAsia="Times New Roman" w:hint="default"/>
        </w:rPr>
        <w:t>26,551,770.14</w:t>
      </w:r>
      <w:r>
        <w:rPr/>
        <w:t>元、民生天天增利对公理财产品</w:t>
      </w:r>
      <w:r>
        <w:rPr>
          <w:rFonts w:ascii="Times New Roman" w:hAnsi="Times New Roman" w:cs="Times New Roman" w:eastAsia="Times New Roman" w:hint="default"/>
        </w:rPr>
        <w:t>17,792,138.57</w:t>
      </w:r>
      <w:r>
        <w:rPr/>
        <w:t>元。</w:t>
      </w:r>
    </w:p>
    <w:p>
      <w:pPr>
        <w:spacing w:line="240" w:lineRule="auto" w:before="2"/>
        <w:rPr>
          <w:rFonts w:ascii="宋体" w:hAnsi="宋体" w:cs="宋体" w:eastAsia="宋体" w:hint="default"/>
          <w:sz w:val="18"/>
          <w:szCs w:val="18"/>
        </w:rPr>
      </w:pPr>
    </w:p>
    <w:p>
      <w:pPr>
        <w:pStyle w:val="Heading4"/>
        <w:spacing w:line="240" w:lineRule="auto"/>
        <w:ind w:left="213" w:right="95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spacing w:before="0"/>
        <w:ind w:left="213" w:right="95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left="213" w:right="953"/>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13,703,438.88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7,850,000.00</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354,451,925.69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199,313,294.73</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368,155,364.57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207,163,294.73</w:t>
            </w:r>
          </w:p>
        </w:tc>
      </w:tr>
    </w:tbl>
    <w:p>
      <w:pPr>
        <w:spacing w:line="240" w:lineRule="auto" w:before="3"/>
        <w:rPr>
          <w:rFonts w:ascii="宋体" w:hAnsi="宋体" w:cs="宋体" w:eastAsia="宋体" w:hint="default"/>
          <w:sz w:val="19"/>
          <w:szCs w:val="19"/>
        </w:rPr>
      </w:pPr>
    </w:p>
    <w:p>
      <w:pPr>
        <w:pStyle w:val="Heading4"/>
        <w:spacing w:line="240" w:lineRule="auto" w:before="36"/>
        <w:ind w:left="213" w:right="95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spacing w:before="44"/>
        <w:ind w:left="213" w:right="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7,850,000.00</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13,603,438.88</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13,703,438.88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7,850,000.00</w:t>
            </w:r>
          </w:p>
        </w:tc>
      </w:tr>
    </w:tbl>
    <w:p>
      <w:pPr>
        <w:spacing w:before="49"/>
        <w:ind w:left="213" w:right="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0"/>
        <w:ind w:left="213" w:right="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3191"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13" w:right="95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213" w:right="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633"/>
        <w:gridCol w:w="1525"/>
        <w:gridCol w:w="1527"/>
        <w:gridCol w:w="787"/>
        <w:gridCol w:w="1417"/>
        <w:gridCol w:w="1747"/>
        <w:gridCol w:w="932"/>
      </w:tblGrid>
      <w:tr>
        <w:trPr>
          <w:trHeight w:val="403" w:hRule="exact"/>
        </w:trPr>
        <w:tc>
          <w:tcPr>
            <w:tcW w:w="163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3" w:type="dxa"/>
            <w:vMerge/>
            <w:tcBorders>
              <w:left w:val="single" w:sz="4" w:space="0" w:color="933734"/>
              <w:bottom w:val="single" w:sz="4" w:space="0" w:color="933734"/>
              <w:right w:val="single" w:sz="4" w:space="0" w:color="933734"/>
            </w:tcBorders>
            <w:shd w:val="clear" w:color="auto" w:fill="E4B8B7"/>
          </w:tcPr>
          <w:p>
            <w:pPr/>
          </w:p>
        </w:tc>
        <w:tc>
          <w:tcPr>
            <w:tcW w:w="15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8"/>
              <w:ind w:left="119"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141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8"/>
              <w:ind w:left="190" w:right="0"/>
              <w:jc w:val="left"/>
              <w:rPr>
                <w:rFonts w:ascii="宋体" w:hAnsi="宋体" w:cs="宋体" w:eastAsia="宋体" w:hint="default"/>
                <w:sz w:val="18"/>
                <w:szCs w:val="18"/>
              </w:rPr>
            </w:pPr>
            <w:r>
              <w:rPr>
                <w:rFonts w:ascii="宋体" w:hAnsi="宋体" w:cs="宋体" w:eastAsia="宋体" w:hint="default"/>
                <w:sz w:val="18"/>
                <w:szCs w:val="18"/>
              </w:rPr>
              <w:t>账面价</w:t>
            </w:r>
          </w:p>
        </w:tc>
      </w:tr>
    </w:tbl>
    <w:p>
      <w:pPr>
        <w:spacing w:after="0" w:line="240" w:lineRule="auto"/>
        <w:jc w:val="left"/>
        <w:rPr>
          <w:rFonts w:ascii="宋体" w:hAnsi="宋体" w:cs="宋体" w:eastAsia="宋体" w:hint="default"/>
          <w:sz w:val="18"/>
          <w:szCs w:val="18"/>
        </w:rPr>
        <w:sectPr>
          <w:pgSz w:w="11910" w:h="16840"/>
          <w:pgMar w:header="906" w:footer="1079" w:top="1100" w:bottom="1260" w:left="9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713"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7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
              <w:ind w:left="299" w:right="0"/>
              <w:jc w:val="left"/>
              <w:rPr>
                <w:rFonts w:ascii="宋体" w:hAnsi="宋体" w:cs="宋体" w:eastAsia="宋体" w:hint="default"/>
                <w:sz w:val="18"/>
                <w:szCs w:val="18"/>
              </w:rPr>
            </w:pPr>
            <w:r>
              <w:rPr>
                <w:rFonts w:ascii="宋体" w:hAnsi="宋体" w:cs="宋体" w:eastAsia="宋体" w:hint="default"/>
                <w:sz w:val="18"/>
                <w:szCs w:val="18"/>
              </w:rPr>
              <w:t>值</w:t>
            </w:r>
          </w:p>
        </w:tc>
        <w:tc>
          <w:tcPr>
            <w:tcW w:w="6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371"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值</w:t>
            </w:r>
          </w:p>
        </w:tc>
      </w:tr>
      <w:tr>
        <w:trPr>
          <w:trHeight w:val="1027"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3,695.4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99.91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70,111,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769.75</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16.51</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354,45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1,925.6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245,3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97,23</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6.26</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46,083,</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941.53</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18.78%</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199,313,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294.73</w:t>
            </w:r>
          </w:p>
        </w:tc>
      </w:tr>
      <w:tr>
        <w:trPr>
          <w:trHeight w:val="1027"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371,22</w:t>
            </w:r>
          </w:p>
          <w:p>
            <w:pPr>
              <w:pStyle w:val="TableParagraph"/>
              <w:spacing w:line="240" w:lineRule="auto" w:before="102"/>
              <w:ind w:left="232" w:right="0"/>
              <w:jc w:val="center"/>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0.09%</w:t>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371,22</w:t>
            </w:r>
          </w:p>
          <w:p>
            <w:pPr>
              <w:pStyle w:val="TableParagraph"/>
              <w:spacing w:line="240" w:lineRule="auto" w:before="102"/>
              <w:ind w:left="238" w:right="0"/>
              <w:jc w:val="center"/>
              <w:rPr>
                <w:rFonts w:ascii="Times New Roman" w:hAnsi="Times New Roman" w:cs="Times New Roman" w:eastAsia="Times New Roman" w:hint="default"/>
                <w:sz w:val="18"/>
                <w:szCs w:val="18"/>
              </w:rPr>
            </w:pPr>
            <w:r>
              <w:rPr>
                <w:rFonts w:ascii="Times New Roman"/>
                <w:sz w:val="18"/>
              </w:rPr>
              <w:t>5.00</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5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933734"/>
              <w:left w:val="single" w:sz="4" w:space="0" w:color="933734"/>
              <w:bottom w:val="single" w:sz="4" w:space="0" w:color="933734"/>
              <w:right w:val="single" w:sz="4" w:space="0" w:color="933734"/>
            </w:tcBorders>
          </w:tcPr>
          <w:p>
            <w:pPr/>
          </w:p>
        </w:tc>
        <w:tc>
          <w:tcPr>
            <w:tcW w:w="655" w:type="dxa"/>
            <w:tcBorders>
              <w:top w:val="single" w:sz="4" w:space="0" w:color="933734"/>
              <w:left w:val="single" w:sz="4" w:space="0" w:color="933734"/>
              <w:bottom w:val="single" w:sz="4" w:space="0" w:color="933734"/>
              <w:right w:val="single" w:sz="4" w:space="0" w:color="933734"/>
            </w:tcBorders>
          </w:tcPr>
          <w:p>
            <w:pPr/>
          </w:p>
        </w:tc>
        <w:tc>
          <w:tcPr>
            <w:tcW w:w="761" w:type="dxa"/>
            <w:tcBorders>
              <w:top w:val="single" w:sz="4" w:space="0" w:color="933734"/>
              <w:left w:val="single" w:sz="4" w:space="0" w:color="933734"/>
              <w:bottom w:val="single" w:sz="4" w:space="0" w:color="933734"/>
              <w:right w:val="single" w:sz="4" w:space="0" w:color="933734"/>
            </w:tcBorders>
          </w:tcPr>
          <w:p>
            <w:pPr/>
          </w:p>
        </w:tc>
        <w:tc>
          <w:tcPr>
            <w:tcW w:w="814" w:type="dxa"/>
            <w:tcBorders>
              <w:top w:val="single" w:sz="4" w:space="0" w:color="933734"/>
              <w:left w:val="single" w:sz="4" w:space="0" w:color="933734"/>
              <w:bottom w:val="single" w:sz="4" w:space="0" w:color="933734"/>
              <w:right w:val="single" w:sz="4" w:space="0" w:color="933734"/>
            </w:tcBorders>
          </w:tcPr>
          <w:p>
            <w:pPr/>
          </w:p>
        </w:tc>
        <w:tc>
          <w:tcPr>
            <w:tcW w:w="934" w:type="dxa"/>
            <w:tcBorders>
              <w:top w:val="single" w:sz="4" w:space="0" w:color="933734"/>
              <w:left w:val="single" w:sz="4" w:space="0" w:color="933734"/>
              <w:bottom w:val="single" w:sz="4" w:space="0" w:color="933734"/>
              <w:right w:val="single" w:sz="4" w:space="0" w:color="933734"/>
            </w:tcBorders>
          </w:tcPr>
          <w:p>
            <w:pPr/>
          </w:p>
        </w:tc>
        <w:tc>
          <w:tcPr>
            <w:tcW w:w="932" w:type="dxa"/>
            <w:tcBorders>
              <w:top w:val="single" w:sz="4" w:space="0" w:color="933734"/>
              <w:left w:val="single" w:sz="4" w:space="0" w:color="933734"/>
              <w:bottom w:val="single" w:sz="4" w:space="0" w:color="933734"/>
              <w:right w:val="single" w:sz="4" w:space="0" w:color="933734"/>
            </w:tcBorders>
          </w:tcPr>
          <w:p>
            <w:pPr/>
          </w:p>
        </w:tc>
      </w:tr>
      <w:tr>
        <w:trPr>
          <w:trHeight w:val="1028"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4,920.4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70,482,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994.75</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16.59</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354,45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1,925.6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245,3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97,23</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6.26</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46,083,</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941.53</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18.78%</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199,313,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294.73</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期末单项金额重大并单项计提坏账准备的应收账款：</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line="439" w:lineRule="auto" w:before="0"/>
        <w:ind w:left="113" w:right="677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组合中，按账龄分析法计提坏账准备的应收账款：</w:t>
      </w:r>
      <w:r>
        <w:rPr>
          <w:rFonts w:ascii="宋体" w:hAnsi="宋体" w:cs="宋体" w:eastAsia="宋体" w:hint="default"/>
          <w:sz w:val="18"/>
          <w:szCs w:val="18"/>
        </w:rPr>
      </w:r>
    </w:p>
    <w:p>
      <w:pPr>
        <w:spacing w:before="42"/>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3" w:type="dxa"/>
            <w:vMerge/>
            <w:tcBorders>
              <w:left w:val="single" w:sz="4" w:space="0" w:color="933734"/>
              <w:bottom w:val="single" w:sz="4" w:space="0" w:color="933734"/>
              <w:right w:val="single" w:sz="4" w:space="0" w:color="933734"/>
            </w:tcBorders>
            <w:shd w:val="clear" w:color="auto" w:fill="E4B8B7"/>
          </w:tcPr>
          <w:p>
            <w:pP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326,834,729.10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16,342,843.40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39,059,330.84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3,905,933.07</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17,613,284.48</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8,806,642.26</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41,056,351.02</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41,056,351.02</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424,563,695.44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70,111,769.75</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16.51%</w:t>
            </w:r>
          </w:p>
        </w:tc>
      </w:tr>
    </w:tbl>
    <w:p>
      <w:pPr>
        <w:spacing w:line="436" w:lineRule="auto" w:before="49"/>
        <w:ind w:left="113" w:right="641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b/>
          <w:bCs/>
          <w:sz w:val="18"/>
          <w:szCs w:val="18"/>
        </w:rPr>
        <w:t>组合中，采用余额百分比法计提坏账准备的应收账款：</w:t>
      </w:r>
      <w:r>
        <w:rPr>
          <w:rFonts w:ascii="宋体" w:hAnsi="宋体" w:cs="宋体" w:eastAsia="宋体" w:hint="default"/>
          <w:sz w:val="18"/>
          <w:szCs w:val="18"/>
        </w:rPr>
      </w:r>
    </w:p>
    <w:p>
      <w:pPr>
        <w:spacing w:line="405" w:lineRule="auto" w:before="47"/>
        <w:ind w:left="113" w:right="499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21"/>
          <w:szCs w:val="21"/>
        </w:rPr>
        <w:t>组合中，采用其他方法计提坏账准备的应收账款：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22"/>
        <w:ind w:right="0"/>
        <w:jc w:val="left"/>
      </w:pPr>
      <w:r>
        <w:rPr/>
        <w:t>本期计提坏账准备金额</w:t>
      </w:r>
      <w:r>
        <w:rPr>
          <w:spacing w:val="-54"/>
        </w:rPr>
        <w:t> </w:t>
      </w:r>
      <w:r>
        <w:rPr>
          <w:rFonts w:ascii="Times New Roman" w:hAnsi="Times New Roman" w:cs="Times New Roman" w:eastAsia="Times New Roman" w:hint="default"/>
        </w:rPr>
        <w:t>24,721,155.61</w:t>
      </w:r>
      <w:r>
        <w:rPr>
          <w:rFonts w:ascii="Times New Roman" w:hAnsi="Times New Roman" w:cs="Times New Roman" w:eastAsia="Times New Roman" w:hint="default"/>
          <w:spacing w:val="-3"/>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after="0" w:line="240" w:lineRule="auto"/>
        <w:jc w:val="left"/>
        <w:sectPr>
          <w:pgSz w:w="11910" w:h="16840"/>
          <w:pgMar w:header="906" w:footer="1079" w:top="1100" w:bottom="1260" w:left="1020" w:right="0"/>
        </w:sectPr>
      </w:pPr>
    </w:p>
    <w:p>
      <w:pPr>
        <w:spacing w:line="240" w:lineRule="auto" w:before="10"/>
        <w:rPr>
          <w:rFonts w:ascii="宋体" w:hAnsi="宋体" w:cs="宋体" w:eastAsia="宋体" w:hint="default"/>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无法收回应收款</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507,877.27</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432"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481"/>
              <w:jc w:val="left"/>
              <w:rPr>
                <w:rFonts w:ascii="Times New Roman" w:hAnsi="Times New Roman" w:cs="Times New Roman" w:eastAsia="Times New Roman" w:hint="default"/>
                <w:sz w:val="18"/>
                <w:szCs w:val="18"/>
              </w:rPr>
            </w:pPr>
            <w:r>
              <w:rPr>
                <w:rFonts w:ascii="Times New Roman"/>
                <w:spacing w:val="-3"/>
                <w:sz w:val="18"/>
              </w:rPr>
              <w:t>PUBNATIVE</w:t>
            </w:r>
            <w:r>
              <w:rPr>
                <w:rFonts w:ascii="Times New Roman"/>
                <w:spacing w:val="-40"/>
                <w:sz w:val="18"/>
              </w:rPr>
              <w:t> </w:t>
            </w:r>
            <w:r>
              <w:rPr>
                <w:rFonts w:ascii="Times New Roman"/>
                <w:spacing w:val="-40"/>
                <w:sz w:val="18"/>
              </w:rPr>
            </w:r>
            <w:r>
              <w:rPr>
                <w:rFonts w:ascii="Times New Roman"/>
                <w:sz w:val="18"/>
              </w:rPr>
              <w:t>GMBH</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213,900.87</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60" w:lineRule="auto" w:before="94"/>
              <w:ind w:left="103" w:right="270"/>
              <w:jc w:val="left"/>
              <w:rPr>
                <w:rFonts w:ascii="Times New Roman" w:hAnsi="Times New Roman" w:cs="Times New Roman" w:eastAsia="Times New Roman" w:hint="default"/>
                <w:sz w:val="18"/>
                <w:szCs w:val="18"/>
              </w:rPr>
            </w:pPr>
            <w:r>
              <w:rPr>
                <w:rFonts w:ascii="Times New Roman"/>
                <w:sz w:val="18"/>
              </w:rPr>
              <w:t>Cloud Star</w:t>
            </w:r>
            <w:r>
              <w:rPr>
                <w:rFonts w:ascii="Times New Roman"/>
                <w:spacing w:val="-4"/>
                <w:sz w:val="18"/>
              </w:rPr>
              <w:t> </w:t>
            </w:r>
            <w:r>
              <w:rPr>
                <w:rFonts w:ascii="Times New Roman"/>
                <w:sz w:val="18"/>
              </w:rPr>
              <w:t>Mobi</w:t>
            </w:r>
            <w:r>
              <w:rPr>
                <w:rFonts w:ascii="Times New Roman"/>
                <w:sz w:val="18"/>
              </w:rPr>
              <w:t> </w:t>
            </w:r>
            <w:r>
              <w:rPr>
                <w:rFonts w:ascii="Times New Roman"/>
                <w:spacing w:val="-4"/>
                <w:sz w:val="18"/>
              </w:rPr>
              <w:t>Tech </w:t>
            </w:r>
            <w:r>
              <w:rPr>
                <w:rFonts w:ascii="Times New Roman"/>
                <w:sz w:val="18"/>
              </w:rPr>
              <w:t>Limited</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188,595.27</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456"/>
              <w:jc w:val="left"/>
              <w:rPr>
                <w:rFonts w:ascii="Times New Roman" w:hAnsi="Times New Roman" w:cs="Times New Roman" w:eastAsia="Times New Roman" w:hint="default"/>
                <w:sz w:val="18"/>
                <w:szCs w:val="18"/>
              </w:rPr>
            </w:pPr>
            <w:r>
              <w:rPr>
                <w:rFonts w:ascii="Times New Roman"/>
                <w:sz w:val="18"/>
              </w:rPr>
              <w:t>INMOBI</w:t>
            </w:r>
            <w:r>
              <w:rPr>
                <w:rFonts w:ascii="Times New Roman"/>
                <w:spacing w:val="-3"/>
                <w:sz w:val="18"/>
              </w:rPr>
              <w:t> </w:t>
            </w:r>
            <w:r>
              <w:rPr>
                <w:rFonts w:ascii="Times New Roman"/>
                <w:sz w:val="18"/>
              </w:rPr>
              <w:t>PTE</w:t>
            </w:r>
            <w:r>
              <w:rPr>
                <w:rFonts w:ascii="Times New Roman"/>
                <w:sz w:val="18"/>
              </w:rPr>
              <w:t> </w:t>
            </w:r>
            <w:r>
              <w:rPr>
                <w:rFonts w:ascii="Times New Roman"/>
                <w:spacing w:val="-7"/>
                <w:sz w:val="18"/>
              </w:rPr>
              <w:t>LTD</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55,475.36</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60" w:lineRule="auto" w:before="93"/>
              <w:ind w:left="103" w:right="455"/>
              <w:jc w:val="left"/>
              <w:rPr>
                <w:rFonts w:ascii="Times New Roman" w:hAnsi="Times New Roman" w:cs="Times New Roman" w:eastAsia="Times New Roman" w:hint="default"/>
                <w:sz w:val="18"/>
                <w:szCs w:val="18"/>
              </w:rPr>
            </w:pPr>
            <w:r>
              <w:rPr>
                <w:rFonts w:ascii="Times New Roman"/>
                <w:sz w:val="18"/>
              </w:rPr>
              <w:t>Papaya</w:t>
            </w:r>
            <w:r>
              <w:rPr>
                <w:rFonts w:ascii="Times New Roman"/>
                <w:spacing w:val="-2"/>
                <w:sz w:val="18"/>
              </w:rPr>
              <w:t> </w:t>
            </w:r>
            <w:r>
              <w:rPr>
                <w:rFonts w:ascii="Times New Roman"/>
                <w:sz w:val="18"/>
              </w:rPr>
              <w:t>Group</w:t>
            </w:r>
            <w:r>
              <w:rPr>
                <w:rFonts w:ascii="Times New Roman"/>
                <w:w w:val="99"/>
                <w:sz w:val="18"/>
              </w:rPr>
              <w:t> </w:t>
            </w:r>
            <w:r>
              <w:rPr>
                <w:rFonts w:ascii="Times New Roman"/>
                <w:sz w:val="18"/>
              </w:rPr>
              <w:t>Co.,Limited</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37,396.57</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Mobisummer</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6,279.37</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60" w:lineRule="auto" w:before="93"/>
              <w:ind w:left="103" w:right="286"/>
              <w:jc w:val="left"/>
              <w:rPr>
                <w:rFonts w:ascii="Times New Roman" w:hAnsi="Times New Roman" w:cs="Times New Roman" w:eastAsia="Times New Roman" w:hint="default"/>
                <w:sz w:val="18"/>
                <w:szCs w:val="18"/>
              </w:rPr>
            </w:pPr>
            <w:r>
              <w:rPr>
                <w:rFonts w:ascii="Times New Roman"/>
                <w:sz w:val="18"/>
              </w:rPr>
              <w:t>GOOGLE</w:t>
            </w:r>
            <w:r>
              <w:rPr>
                <w:rFonts w:ascii="Times New Roman"/>
                <w:spacing w:val="-13"/>
                <w:sz w:val="18"/>
              </w:rPr>
              <w:t> </w:t>
            </w:r>
            <w:r>
              <w:rPr>
                <w:rFonts w:ascii="Times New Roman"/>
                <w:sz w:val="18"/>
              </w:rPr>
              <w:t>ASIA</w:t>
            </w:r>
            <w:r>
              <w:rPr>
                <w:rFonts w:ascii="Times New Roman"/>
                <w:w w:val="99"/>
                <w:sz w:val="18"/>
              </w:rPr>
              <w:t> </w:t>
            </w:r>
            <w:r>
              <w:rPr>
                <w:rFonts w:ascii="Times New Roman"/>
                <w:spacing w:val="-3"/>
                <w:sz w:val="18"/>
              </w:rPr>
              <w:t>PACIFIC </w:t>
            </w:r>
            <w:r>
              <w:rPr>
                <w:rFonts w:ascii="Times New Roman"/>
                <w:sz w:val="18"/>
              </w:rPr>
              <w:t>PTE</w:t>
            </w:r>
            <w:r>
              <w:rPr>
                <w:rFonts w:ascii="Times New Roman"/>
                <w:spacing w:val="-41"/>
                <w:sz w:val="18"/>
              </w:rPr>
              <w:t> </w:t>
            </w:r>
            <w:r>
              <w:rPr>
                <w:rFonts w:ascii="Times New Roman"/>
                <w:spacing w:val="-41"/>
                <w:sz w:val="18"/>
              </w:rPr>
            </w:r>
            <w:r>
              <w:rPr>
                <w:rFonts w:ascii="Times New Roman"/>
                <w:spacing w:val="-7"/>
                <w:sz w:val="18"/>
              </w:rPr>
              <w:t>LTD</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2,901.18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pacing w:val="-3"/>
                <w:sz w:val="18"/>
              </w:rPr>
              <w:t>Traffic</w:t>
            </w:r>
            <w:r>
              <w:rPr>
                <w:rFonts w:ascii="Times New Roman"/>
                <w:spacing w:val="5"/>
                <w:sz w:val="18"/>
              </w:rPr>
              <w:t> </w:t>
            </w:r>
            <w:r>
              <w:rPr>
                <w:rFonts w:ascii="Times New Roman"/>
                <w:sz w:val="18"/>
              </w:rPr>
              <w:t>Red</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2,901.18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360" w:lineRule="auto" w:before="93"/>
              <w:ind w:left="103" w:right="223"/>
              <w:jc w:val="left"/>
              <w:rPr>
                <w:rFonts w:ascii="Times New Roman" w:hAnsi="Times New Roman" w:cs="Times New Roman" w:eastAsia="Times New Roman" w:hint="default"/>
                <w:sz w:val="18"/>
                <w:szCs w:val="18"/>
              </w:rPr>
            </w:pPr>
            <w:r>
              <w:rPr>
                <w:rFonts w:ascii="Times New Roman"/>
                <w:sz w:val="18"/>
              </w:rPr>
              <w:t>APP</w:t>
            </w:r>
            <w:r>
              <w:rPr>
                <w:rFonts w:ascii="Times New Roman"/>
                <w:spacing w:val="-9"/>
                <w:sz w:val="18"/>
              </w:rPr>
              <w:t> </w:t>
            </w:r>
            <w:r>
              <w:rPr>
                <w:rFonts w:ascii="Times New Roman"/>
                <w:sz w:val="18"/>
              </w:rPr>
              <w:t>ONBOARD</w:t>
            </w:r>
            <w:r>
              <w:rPr>
                <w:rFonts w:ascii="Times New Roman"/>
                <w:w w:val="99"/>
                <w:sz w:val="18"/>
              </w:rPr>
              <w:t> </w:t>
            </w:r>
            <w:r>
              <w:rPr>
                <w:rFonts w:ascii="Times New Roman"/>
                <w:sz w:val="18"/>
              </w:rPr>
              <w:t>INC</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427.47</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507,877.27</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
        <w:rPr>
          <w:rFonts w:ascii="宋体" w:hAnsi="宋体" w:cs="宋体" w:eastAsia="宋体" w:hint="default"/>
          <w:sz w:val="13"/>
          <w:szCs w:val="13"/>
        </w:rPr>
      </w:pPr>
    </w:p>
    <w:p>
      <w:pPr>
        <w:pStyle w:val="BodyText"/>
        <w:spacing w:line="240" w:lineRule="auto"/>
        <w:ind w:left="533" w:right="0"/>
        <w:jc w:val="left"/>
      </w:pPr>
      <w:r>
        <w:rPr/>
        <w:t>注：本期实际核销的应收账款金额合计</w:t>
      </w:r>
      <w:r>
        <w:rPr>
          <w:rFonts w:ascii="Times New Roman" w:hAnsi="Times New Roman" w:cs="Times New Roman" w:eastAsia="Times New Roman" w:hint="default"/>
        </w:rPr>
        <w:t>507,877.27</w:t>
      </w:r>
      <w:r>
        <w:rPr/>
        <w:t>元。</w:t>
      </w:r>
    </w:p>
    <w:p>
      <w:pPr>
        <w:spacing w:before="162"/>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40" w:lineRule="auto" w:before="157"/>
        <w:ind w:left="0" w:right="1126"/>
        <w:jc w:val="right"/>
      </w:pPr>
      <w:r>
        <w:rPr>
          <w:spacing w:val="-3"/>
        </w:rPr>
        <w:t>公司报告期末，应收账款余额前五名的客户应收金额合计</w:t>
      </w:r>
      <w:r>
        <w:rPr>
          <w:rFonts w:ascii="Times New Roman" w:hAnsi="Times New Roman" w:cs="Times New Roman" w:eastAsia="Times New Roman" w:hint="default"/>
          <w:spacing w:val="-3"/>
        </w:rPr>
        <w:t>132,381,532.12</w:t>
      </w:r>
      <w:r>
        <w:rPr>
          <w:spacing w:val="-3"/>
        </w:rPr>
        <w:t>元，占应收账款总额的比例为</w:t>
      </w:r>
    </w:p>
    <w:p>
      <w:pPr>
        <w:pStyle w:val="BodyText"/>
        <w:spacing w:line="240" w:lineRule="auto" w:before="177"/>
        <w:ind w:right="0"/>
        <w:jc w:val="left"/>
      </w:pPr>
      <w:r>
        <w:rPr>
          <w:rFonts w:ascii="Times New Roman" w:hAnsi="Times New Roman" w:cs="Times New Roman" w:eastAsia="Times New Roman" w:hint="default"/>
        </w:rPr>
        <w:t>31.15%</w:t>
      </w:r>
      <w:r>
        <w:rPr/>
        <w:t>，相应计提的坏账准备年末余额汇总金额为</w:t>
      </w:r>
      <w:r>
        <w:rPr>
          <w:rFonts w:ascii="Times New Roman" w:hAnsi="Times New Roman" w:cs="Times New Roman" w:eastAsia="Times New Roman" w:hint="default"/>
        </w:rPr>
        <w:t>7,863,544.37</w:t>
      </w:r>
      <w:r>
        <w:rPr/>
        <w:t>元。</w:t>
      </w:r>
    </w:p>
    <w:p>
      <w:pPr>
        <w:spacing w:before="162"/>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13" w:right="68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2" w:hRule="exact"/>
        </w:trPr>
        <w:tc>
          <w:tcPr>
            <w:tcW w:w="191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129,895,809.12</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98.74%</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75,103,930.33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94.11%</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1,422,401.72</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1.08%</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3,673,174.50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4.60%</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238,597.59</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0.18%</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1,028,568.49</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131,556,808.43</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79,805,673.32</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157"/>
        <w:ind w:left="533" w:right="0"/>
        <w:jc w:val="left"/>
      </w:pPr>
      <w:r>
        <w:rPr/>
        <w:t>公司报告期末，无账龄超过</w:t>
      </w:r>
      <w:r>
        <w:rPr>
          <w:rFonts w:ascii="Times New Roman" w:hAnsi="Times New Roman" w:cs="Times New Roman" w:eastAsia="Times New Roman" w:hint="default"/>
        </w:rPr>
        <w:t>1</w:t>
      </w:r>
      <w:r>
        <w:rPr/>
        <w:t>年且金额重要的预付款项。</w:t>
      </w:r>
    </w:p>
    <w:p>
      <w:pPr>
        <w:spacing w:line="692" w:lineRule="exact" w:before="92"/>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公司报告期末，预付款项余额前五名的供应商金额合计</w:t>
      </w:r>
      <w:r>
        <w:rPr>
          <w:rFonts w:ascii="Times New Roman" w:hAnsi="Times New Roman" w:cs="Times New Roman" w:eastAsia="Times New Roman" w:hint="default"/>
          <w:spacing w:val="2"/>
          <w:sz w:val="21"/>
          <w:szCs w:val="21"/>
        </w:rPr>
        <w:t>78,774,246.63</w:t>
      </w:r>
      <w:r>
        <w:rPr>
          <w:rFonts w:ascii="宋体" w:hAnsi="宋体" w:cs="宋体" w:eastAsia="宋体" w:hint="default"/>
          <w:spacing w:val="2"/>
          <w:sz w:val="21"/>
          <w:szCs w:val="21"/>
        </w:rPr>
        <w:t>元，占预付款项总额的比例为</w:t>
      </w:r>
    </w:p>
    <w:p>
      <w:pPr>
        <w:pStyle w:val="BodyText"/>
        <w:spacing w:line="240" w:lineRule="auto" w:before="84"/>
        <w:ind w:right="0"/>
        <w:jc w:val="left"/>
      </w:pPr>
      <w:r>
        <w:rPr>
          <w:rFonts w:ascii="Times New Roman" w:hAnsi="Times New Roman" w:cs="Times New Roman" w:eastAsia="Times New Roman" w:hint="default"/>
        </w:rPr>
        <w:t>59.88%</w:t>
      </w:r>
      <w:r>
        <w:rPr/>
        <w:t>。</w:t>
      </w:r>
    </w:p>
    <w:p>
      <w:pPr>
        <w:spacing w:before="162"/>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2,322,528.75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40,191.78</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51,792,874.39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58,046,914.89</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54,115,403.14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58,087,106.67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42,528.75</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2,280,000.00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40,191.78</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2,322,528.75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40,191.78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3"/>
        <w:gridCol w:w="3839"/>
        <w:gridCol w:w="4095"/>
      </w:tblGrid>
      <w:tr>
        <w:trPr>
          <w:trHeight w:val="402" w:hRule="exact"/>
        </w:trPr>
        <w:tc>
          <w:tcPr>
            <w:tcW w:w="163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402" w:hRule="exact"/>
        </w:trPr>
        <w:tc>
          <w:tcPr>
            <w:tcW w:w="1634" w:type="dxa"/>
            <w:vMerge w:val="restart"/>
            <w:tcBorders>
              <w:top w:val="single" w:sz="4" w:space="0" w:color="933734"/>
              <w:left w:val="single" w:sz="4" w:space="0" w:color="933734"/>
              <w:right w:val="single" w:sz="4" w:space="0" w:color="933734"/>
            </w:tcBorders>
            <w:shd w:val="clear" w:color="auto" w:fill="E4B8B7"/>
          </w:tcPr>
          <w:p>
            <w:pPr/>
          </w:p>
        </w:tc>
        <w:tc>
          <w:tcPr>
            <w:tcW w:w="1525"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9" w:right="115"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5" w:hRule="exact"/>
        </w:trPr>
        <w:tc>
          <w:tcPr>
            <w:tcW w:w="1634" w:type="dxa"/>
            <w:vMerge/>
            <w:tcBorders>
              <w:left w:val="single" w:sz="4" w:space="0" w:color="933734"/>
              <w:bottom w:val="single" w:sz="4" w:space="0" w:color="933734"/>
              <w:right w:val="single" w:sz="4" w:space="0" w:color="933734"/>
            </w:tcBorders>
            <w:shd w:val="clear" w:color="auto" w:fill="E4B8B7"/>
          </w:tcPr>
          <w:p>
            <w:pPr/>
          </w:p>
        </w:tc>
        <w:tc>
          <w:tcPr>
            <w:tcW w:w="7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933734"/>
              <w:bottom w:val="single" w:sz="4" w:space="0" w:color="933734"/>
              <w:right w:val="single" w:sz="4" w:space="0" w:color="933734"/>
            </w:tcBorders>
            <w:shd w:val="clear" w:color="auto" w:fill="E4B8B7"/>
          </w:tcPr>
          <w:p>
            <w:pPr/>
          </w:p>
        </w:tc>
        <w:tc>
          <w:tcPr>
            <w:tcW w:w="6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371"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933734"/>
              <w:bottom w:val="single" w:sz="4" w:space="0" w:color="933734"/>
              <w:right w:val="single" w:sz="4" w:space="0" w:color="933734"/>
            </w:tcBorders>
            <w:shd w:val="clear" w:color="auto" w:fill="E4B8B7"/>
          </w:tcPr>
          <w:p>
            <w:pPr/>
          </w:p>
        </w:tc>
      </w:tr>
      <w:tr>
        <w:trPr>
          <w:trHeight w:val="1025"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58,613,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593.24</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99.70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6,820,7</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18.85</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11.64</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51,792,</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874.39</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64,89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5,095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.56</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98.02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6,848,1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80.67</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10.55%</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58,046,9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14.89</w:t>
            </w:r>
          </w:p>
        </w:tc>
      </w:tr>
      <w:tr>
        <w:trPr>
          <w:trHeight w:val="1339"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179,23</w:t>
            </w:r>
          </w:p>
          <w:p>
            <w:pPr>
              <w:pStyle w:val="TableParagraph"/>
              <w:spacing w:line="240" w:lineRule="auto" w:before="102"/>
              <w:ind w:left="232" w:right="0"/>
              <w:jc w:val="center"/>
              <w:rPr>
                <w:rFonts w:ascii="Times New Roman" w:hAnsi="Times New Roman" w:cs="Times New Roman" w:eastAsia="Times New Roman" w:hint="default"/>
                <w:sz w:val="18"/>
                <w:szCs w:val="18"/>
              </w:rPr>
            </w:pPr>
            <w:r>
              <w:rPr>
                <w:rFonts w:ascii="Times New Roman"/>
                <w:sz w:val="18"/>
              </w:rPr>
              <w:t>4.20</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0.30%</w:t>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179,23</w:t>
            </w:r>
          </w:p>
          <w:p>
            <w:pPr>
              <w:pStyle w:val="TableParagraph"/>
              <w:spacing w:line="240" w:lineRule="auto" w:before="102"/>
              <w:ind w:left="238" w:right="0"/>
              <w:jc w:val="center"/>
              <w:rPr>
                <w:rFonts w:ascii="Times New Roman" w:hAnsi="Times New Roman" w:cs="Times New Roman" w:eastAsia="Times New Roman" w:hint="default"/>
                <w:sz w:val="18"/>
                <w:szCs w:val="18"/>
              </w:rPr>
            </w:pPr>
            <w:r>
              <w:rPr>
                <w:rFonts w:ascii="Times New Roman"/>
                <w:sz w:val="18"/>
              </w:rPr>
              <w:t>4.20</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5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933734"/>
              <w:left w:val="single" w:sz="4" w:space="0" w:color="933734"/>
              <w:bottom w:val="single" w:sz="4" w:space="0" w:color="933734"/>
              <w:right w:val="single" w:sz="4" w:space="0" w:color="933734"/>
            </w:tcBorders>
          </w:tcPr>
          <w:p>
            <w:pP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1,313</w:t>
            </w:r>
          </w:p>
          <w:p>
            <w:pPr>
              <w:pStyle w:val="TableParagraph"/>
              <w:spacing w:line="240" w:lineRule="auto" w:before="102"/>
              <w:ind w:left="80" w:right="0"/>
              <w:jc w:val="center"/>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05"/>
              <w:ind w:left="261" w:right="0"/>
              <w:jc w:val="center"/>
              <w:rPr>
                <w:rFonts w:ascii="Times New Roman" w:hAnsi="Times New Roman" w:cs="Times New Roman" w:eastAsia="Times New Roman" w:hint="default"/>
                <w:sz w:val="18"/>
                <w:szCs w:val="18"/>
              </w:rPr>
            </w:pPr>
            <w:r>
              <w:rPr>
                <w:rFonts w:ascii="Times New Roman"/>
                <w:sz w:val="18"/>
              </w:rPr>
              <w:t>88</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1.98%</w:t>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1,313,9</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07.88</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933734"/>
              <w:left w:val="single" w:sz="4" w:space="0" w:color="933734"/>
              <w:bottom w:val="single" w:sz="4" w:space="0" w:color="933734"/>
              <w:right w:val="single" w:sz="4" w:space="0" w:color="933734"/>
            </w:tcBorders>
          </w:tcPr>
          <w:p>
            <w:pPr/>
          </w:p>
        </w:tc>
      </w:tr>
      <w:tr>
        <w:trPr>
          <w:trHeight w:val="1028"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58,792,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827.44</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6,999,9</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53.05</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11.91</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51,792,</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874.39</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66,20</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9,003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.44</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8,162,0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88.55</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12.33%</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58,046,9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14.89</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before="49"/>
        <w:ind w:left="11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5"/>
        <w:ind w:left="113"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组合中，按账龄分析法计提坏账准备的其他应收款：</w:t>
      </w:r>
    </w:p>
    <w:p>
      <w:pPr>
        <w:spacing w:before="25"/>
        <w:ind w:left="113"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380" w:bottom="280" w:left="1020" w:right="0"/>
          <w:cols w:num="2" w:equalWidth="0">
            <w:col w:w="4434" w:space="4395"/>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933734"/>
              <w:bottom w:val="single" w:sz="4" w:space="0" w:color="933734"/>
              <w:right w:val="single" w:sz="4" w:space="0" w:color="933734"/>
            </w:tcBorders>
            <w:shd w:val="clear" w:color="auto" w:fill="E4B8B7"/>
          </w:tcPr>
          <w:p>
            <w:pP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48,959,743.10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2,447,987.16</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5,710,239.18</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571,023.91</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283,806.37</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141,903.19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3,659,804.59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3,659,804.59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58,613,593.24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6,820,718.85</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11.64%</w:t>
            </w:r>
          </w:p>
        </w:tc>
      </w:tr>
    </w:tbl>
    <w:p>
      <w:pPr>
        <w:spacing w:line="436" w:lineRule="auto" w:before="49"/>
        <w:ind w:left="113" w:right="6235"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b/>
          <w:bCs/>
          <w:sz w:val="18"/>
          <w:szCs w:val="18"/>
        </w:rPr>
        <w:t>组合中，采用余额百分比法计提坏账准备的其他应收款：</w:t>
      </w:r>
      <w:r>
        <w:rPr>
          <w:rFonts w:ascii="宋体" w:hAnsi="宋体" w:cs="宋体" w:eastAsia="宋体" w:hint="default"/>
          <w:sz w:val="18"/>
          <w:szCs w:val="18"/>
        </w:rPr>
      </w:r>
    </w:p>
    <w:p>
      <w:pPr>
        <w:spacing w:line="439" w:lineRule="auto" w:before="46"/>
        <w:ind w:left="113" w:right="65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组合中，采用其他方法计提坏账准备的其他应收款：</w:t>
      </w:r>
      <w:r>
        <w:rPr>
          <w:rFonts w:ascii="宋体" w:hAnsi="宋体" w:cs="宋体" w:eastAsia="宋体" w:hint="default"/>
          <w:sz w:val="18"/>
          <w:szCs w:val="18"/>
        </w:rPr>
      </w: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157"/>
        <w:ind w:right="0"/>
        <w:jc w:val="left"/>
      </w:pPr>
      <w:r>
        <w:rPr/>
        <w:t>本期计提坏账准备金额</w:t>
      </w:r>
      <w:r>
        <w:rPr>
          <w:spacing w:val="-55"/>
        </w:rPr>
        <w:t> </w:t>
      </w:r>
      <w:r>
        <w:rPr>
          <w:rFonts w:ascii="Times New Roman" w:hAnsi="Times New Roman" w:cs="Times New Roman" w:eastAsia="Times New Roman" w:hint="default"/>
        </w:rPr>
        <w:t>603,032.36</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after="0" w:line="240" w:lineRule="auto"/>
        <w:jc w:val="left"/>
        <w:sectPr>
          <w:type w:val="continuous"/>
          <w:pgSz w:w="11910" w:h="16840"/>
          <w:pgMar w:top="380" w:bottom="280" w:left="1020" w:right="0"/>
        </w:sectPr>
      </w:pPr>
    </w:p>
    <w:p>
      <w:pPr>
        <w:spacing w:line="240" w:lineRule="auto" w:before="10"/>
        <w:rPr>
          <w:rFonts w:ascii="宋体" w:hAnsi="宋体" w:cs="宋体" w:eastAsia="宋体" w:hint="default"/>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无法收回的其他应收款</w:t>
            </w:r>
          </w:p>
        </w:tc>
        <w:tc>
          <w:tcPr>
            <w:tcW w:w="47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1,857,015.07</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434"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惠城区联顺制衣 厂</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455,025.61</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8"/>
                <w:sz w:val="18"/>
                <w:szCs w:val="18"/>
              </w:rPr>
              <w:t>该公司已注销，无</w:t>
            </w:r>
            <w:r>
              <w:rPr>
                <w:rFonts w:ascii="宋体" w:hAnsi="宋体" w:cs="宋体" w:eastAsia="宋体" w:hint="default"/>
                <w:sz w:val="18"/>
                <w:szCs w:val="18"/>
              </w:rPr>
              <w:t> 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2"/>
              <w:ind w:left="103" w:right="218"/>
              <w:jc w:val="left"/>
              <w:rPr>
                <w:rFonts w:ascii="宋体" w:hAnsi="宋体" w:cs="宋体" w:eastAsia="宋体" w:hint="default"/>
                <w:sz w:val="18"/>
                <w:szCs w:val="18"/>
              </w:rPr>
            </w:pPr>
            <w:r>
              <w:rPr>
                <w:rFonts w:ascii="宋体" w:hAnsi="宋体" w:cs="宋体" w:eastAsia="宋体" w:hint="default"/>
                <w:sz w:val="18"/>
                <w:szCs w:val="18"/>
              </w:rPr>
              <w:t>中山市小榄镇迪 雅制衣厂</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345,185.00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合同未到期撤离</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深圳市优惟尚品 商贸有限公司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332,332.07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218"/>
              <w:jc w:val="left"/>
              <w:rPr>
                <w:rFonts w:ascii="宋体" w:hAnsi="宋体" w:cs="宋体" w:eastAsia="宋体" w:hint="default"/>
                <w:sz w:val="18"/>
                <w:szCs w:val="18"/>
              </w:rPr>
            </w:pPr>
            <w:r>
              <w:rPr>
                <w:rFonts w:ascii="宋体" w:hAnsi="宋体" w:cs="宋体" w:eastAsia="宋体" w:hint="default"/>
                <w:sz w:val="18"/>
                <w:szCs w:val="18"/>
              </w:rPr>
              <w:t>沈阳冠芝衣服饰 店</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321,310.00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该公司已注销，无</w:t>
            </w:r>
            <w:r>
              <w:rPr>
                <w:rFonts w:ascii="宋体" w:hAnsi="宋体" w:cs="宋体" w:eastAsia="宋体" w:hint="default"/>
                <w:sz w:val="18"/>
                <w:szCs w:val="18"/>
              </w:rPr>
              <w:t> 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广州高盾皮具有 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161,224.07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8"/>
                <w:sz w:val="18"/>
                <w:szCs w:val="18"/>
              </w:rPr>
              <w:t>该公司已注销，无</w:t>
            </w:r>
            <w:r>
              <w:rPr>
                <w:rFonts w:ascii="宋体" w:hAnsi="宋体" w:cs="宋体" w:eastAsia="宋体" w:hint="default"/>
                <w:sz w:val="18"/>
                <w:szCs w:val="18"/>
              </w:rPr>
              <w:t> 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218"/>
              <w:jc w:val="left"/>
              <w:rPr>
                <w:rFonts w:ascii="宋体" w:hAnsi="宋体" w:cs="宋体" w:eastAsia="宋体" w:hint="default"/>
                <w:sz w:val="18"/>
                <w:szCs w:val="18"/>
              </w:rPr>
            </w:pPr>
            <w:r>
              <w:rPr>
                <w:rFonts w:ascii="宋体" w:hAnsi="宋体" w:cs="宋体" w:eastAsia="宋体" w:hint="default"/>
                <w:sz w:val="18"/>
                <w:szCs w:val="18"/>
              </w:rPr>
              <w:t>广州市银盛皮具 有限公司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146,989.00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该公司已注销，无</w:t>
            </w:r>
            <w:r>
              <w:rPr>
                <w:rFonts w:ascii="宋体" w:hAnsi="宋体" w:cs="宋体" w:eastAsia="宋体" w:hint="default"/>
                <w:sz w:val="18"/>
                <w:szCs w:val="18"/>
              </w:rPr>
              <w:t> 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湖北香利资产管 理有限公司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74,021.85</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218"/>
              <w:jc w:val="left"/>
              <w:rPr>
                <w:rFonts w:ascii="宋体" w:hAnsi="宋体" w:cs="宋体" w:eastAsia="宋体" w:hint="default"/>
                <w:sz w:val="18"/>
                <w:szCs w:val="18"/>
              </w:rPr>
            </w:pPr>
            <w:r>
              <w:rPr>
                <w:rFonts w:ascii="宋体" w:hAnsi="宋体" w:cs="宋体" w:eastAsia="宋体" w:hint="default"/>
                <w:sz w:val="18"/>
                <w:szCs w:val="18"/>
              </w:rPr>
              <w:t>武汉新鹏发展有 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8"/>
                <w:sz w:val="18"/>
                <w:szCs w:val="18"/>
              </w:rPr>
              <w:t>卓越（上海）国际</w:t>
            </w:r>
            <w:r>
              <w:rPr>
                <w:rFonts w:ascii="宋体" w:hAnsi="宋体" w:cs="宋体" w:eastAsia="宋体" w:hint="default"/>
                <w:sz w:val="18"/>
                <w:szCs w:val="18"/>
              </w:rPr>
              <w:t> 货物运输代理有 限公司广州分公 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5,752.43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218"/>
              <w:jc w:val="both"/>
              <w:rPr>
                <w:rFonts w:ascii="宋体" w:hAnsi="宋体" w:cs="宋体" w:eastAsia="宋体" w:hint="default"/>
                <w:sz w:val="18"/>
                <w:szCs w:val="18"/>
              </w:rPr>
            </w:pPr>
            <w:r>
              <w:rPr>
                <w:rFonts w:ascii="宋体" w:hAnsi="宋体" w:cs="宋体" w:eastAsia="宋体" w:hint="default"/>
                <w:sz w:val="18"/>
                <w:szCs w:val="18"/>
              </w:rPr>
              <w:t>中国电信股份有 限公司广州分公 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1,708.04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其他零星应收款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8"/>
                <w:sz w:val="18"/>
                <w:szCs w:val="18"/>
              </w:rPr>
              <w:t>其他往来、保证金</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3,467.00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1,857,015.07</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
        <w:rPr>
          <w:rFonts w:ascii="宋体" w:hAnsi="宋体" w:cs="宋体" w:eastAsia="宋体" w:hint="default"/>
          <w:sz w:val="13"/>
          <w:szCs w:val="13"/>
        </w:rPr>
      </w:pPr>
    </w:p>
    <w:p>
      <w:pPr>
        <w:pStyle w:val="BodyText"/>
        <w:spacing w:line="240" w:lineRule="auto"/>
        <w:ind w:left="533" w:right="0"/>
        <w:jc w:val="left"/>
      </w:pPr>
      <w:r>
        <w:rPr/>
        <w:t>注：本期实际核销的其他应收款金额合计</w:t>
      </w:r>
      <w:r>
        <w:rPr>
          <w:rFonts w:ascii="Times New Roman" w:hAnsi="Times New Roman" w:cs="Times New Roman" w:eastAsia="Times New Roman" w:hint="default"/>
        </w:rPr>
        <w:t>1,857,015.07</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15,567,362.98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11,084,128.60</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392,903.17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163,500.00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42,236,425.87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54,095,198.67</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596,135.42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866,176.17</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58,792,827.44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66,209,003.44</w:t>
            </w:r>
          </w:p>
        </w:tc>
      </w:tr>
    </w:tbl>
    <w:p>
      <w:pPr>
        <w:spacing w:before="4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8"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63" w:right="159"/>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5" w:right="159"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60" w:lineRule="auto" w:before="91"/>
              <w:ind w:left="103" w:right="116"/>
              <w:jc w:val="left"/>
              <w:rPr>
                <w:rFonts w:ascii="Times New Roman" w:hAnsi="Times New Roman" w:cs="Times New Roman" w:eastAsia="Times New Roman" w:hint="default"/>
                <w:sz w:val="18"/>
                <w:szCs w:val="18"/>
              </w:rPr>
            </w:pPr>
            <w:r>
              <w:rPr>
                <w:rFonts w:ascii="Times New Roman"/>
                <w:sz w:val="18"/>
              </w:rPr>
              <w:t>VENETIAN</w:t>
            </w:r>
            <w:r>
              <w:rPr>
                <w:rFonts w:ascii="Times New Roman"/>
                <w:w w:val="99"/>
                <w:sz w:val="18"/>
              </w:rPr>
              <w:t> </w:t>
            </w:r>
            <w:r>
              <w:rPr>
                <w:rFonts w:ascii="Times New Roman"/>
                <w:spacing w:val="-4"/>
                <w:sz w:val="18"/>
              </w:rPr>
              <w:t>COTAI</w:t>
            </w:r>
            <w:r>
              <w:rPr>
                <w:rFonts w:ascii="Times New Roman"/>
                <w:spacing w:val="-1"/>
                <w:sz w:val="18"/>
              </w:rPr>
              <w:t> </w:t>
            </w:r>
            <w:r>
              <w:rPr>
                <w:rFonts w:ascii="Times New Roman"/>
                <w:sz w:val="18"/>
              </w:rPr>
              <w:t>LIMITED.</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18,874,482.62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32.10%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943,724.13</w:t>
            </w:r>
          </w:p>
        </w:tc>
      </w:tr>
      <w:tr>
        <w:trPr>
          <w:trHeight w:val="1027"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571"/>
              <w:jc w:val="left"/>
              <w:rPr>
                <w:rFonts w:ascii="Times New Roman" w:hAnsi="Times New Roman" w:cs="Times New Roman" w:eastAsia="Times New Roman" w:hint="default"/>
                <w:sz w:val="18"/>
                <w:szCs w:val="18"/>
              </w:rPr>
            </w:pPr>
            <w:r>
              <w:rPr>
                <w:rFonts w:ascii="Times New Roman"/>
                <w:sz w:val="18"/>
              </w:rPr>
              <w:t>VENETIAN</w:t>
            </w:r>
            <w:r>
              <w:rPr>
                <w:rFonts w:ascii="Times New Roman"/>
                <w:w w:val="99"/>
                <w:sz w:val="18"/>
              </w:rPr>
              <w:t> </w:t>
            </w:r>
            <w:r>
              <w:rPr>
                <w:rFonts w:ascii="Times New Roman"/>
                <w:sz w:val="18"/>
              </w:rPr>
              <w:t>ORIENT</w:t>
            </w:r>
            <w:r>
              <w:rPr>
                <w:rFonts w:ascii="Times New Roman"/>
                <w:w w:val="99"/>
                <w:sz w:val="18"/>
              </w:rPr>
              <w:t> </w:t>
            </w:r>
            <w:r>
              <w:rPr>
                <w:rFonts w:ascii="Times New Roman"/>
                <w:sz w:val="18"/>
              </w:rPr>
              <w:t>LIMITED</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7,426,486.36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12.63%</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371,324.32</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永易贸易有限公 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4,314,412.09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7.34%</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426,955.17</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湖南欣汇商贸发 展有限公司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1025"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8"/>
              <w:jc w:val="both"/>
              <w:rPr>
                <w:rFonts w:ascii="宋体" w:hAnsi="宋体" w:cs="宋体" w:eastAsia="宋体" w:hint="default"/>
                <w:sz w:val="18"/>
                <w:szCs w:val="18"/>
              </w:rPr>
            </w:pPr>
            <w:r>
              <w:rPr>
                <w:rFonts w:ascii="宋体" w:hAnsi="宋体" w:cs="宋体" w:eastAsia="宋体" w:hint="default"/>
                <w:sz w:val="18"/>
                <w:szCs w:val="18"/>
              </w:rPr>
              <w:t>广州宏城广场房 地产开发有限公 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1,446,380.03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2.46%</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72,319.00</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35,061,761.10</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59.63%</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1,964,322.62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13" w:right="751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933734"/>
              <w:bottom w:val="single" w:sz="4" w:space="0" w:color="933734"/>
              <w:right w:val="single" w:sz="4" w:space="0" w:color="933734"/>
            </w:tcBorders>
            <w:shd w:val="clear" w:color="auto" w:fill="E4B8B7"/>
          </w:tcPr>
          <w:p>
            <w:pP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17,962,862.05</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17,962,862.05</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13,687,147.68</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13,687,147.68</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430,924,166.04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41,344,829.17</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389,579,336.87</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372,884,717.69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33,265,194.74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339,619,522.95</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37,953,580.73</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37,953,580.73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28,337,213.25</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28,337,213.25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1,854,917.86</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1,854,917.86</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1,696,922.14</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1,696,922.14</w:t>
            </w:r>
          </w:p>
        </w:tc>
      </w:tr>
      <w:tr>
        <w:trPr>
          <w:trHeight w:val="403" w:hRule="exact"/>
        </w:trPr>
        <w:tc>
          <w:tcPr>
            <w:tcW w:w="13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488,695,526.68</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41,344,829.17</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447,350,697.51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416,606,000.76</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33,265,194.74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383,340,806.02</w:t>
            </w:r>
          </w:p>
        </w:tc>
      </w:tr>
    </w:tbl>
    <w:p>
      <w:pPr>
        <w:spacing w:line="240" w:lineRule="auto" w:before="5"/>
        <w:rPr>
          <w:rFonts w:ascii="宋体" w:hAnsi="宋体" w:cs="宋体" w:eastAsia="宋体" w:hint="default"/>
          <w:sz w:val="6"/>
          <w:szCs w:val="6"/>
        </w:rPr>
      </w:pPr>
    </w:p>
    <w:p>
      <w:pPr>
        <w:spacing w:line="410" w:lineRule="auto" w:before="44"/>
        <w:ind w:left="113" w:right="2443" w:firstLine="0"/>
        <w:jc w:val="left"/>
        <w:rPr>
          <w:rFonts w:ascii="宋体" w:hAnsi="宋体" w:cs="宋体" w:eastAsia="宋体" w:hint="default"/>
          <w:sz w:val="18"/>
          <w:szCs w:val="18"/>
        </w:rPr>
      </w:pPr>
      <w:r>
        <w:rPr>
          <w:rFonts w:ascii="宋体" w:hAnsi="宋体" w:cs="宋体" w:eastAsia="宋体" w:hint="default"/>
          <w:b/>
          <w:bCs/>
          <w:sz w:val="18"/>
          <w:szCs w:val="18"/>
        </w:rPr>
        <w:t>公司是否需遵守《深圳证券交易所行业信息披露指引第</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上市公司从事种业、种植业务》的披露要求</w:t>
      </w:r>
      <w:r>
        <w:rPr>
          <w:rFonts w:ascii="宋体" w:hAnsi="宋体" w:cs="宋体" w:eastAsia="宋体" w:hint="default"/>
          <w:b/>
          <w:bCs/>
          <w:w w:val="99"/>
          <w:sz w:val="18"/>
          <w:szCs w:val="18"/>
        </w:rPr>
        <w:t> </w:t>
      </w:r>
      <w:r>
        <w:rPr>
          <w:rFonts w:ascii="宋体" w:hAnsi="宋体" w:cs="宋体" w:eastAsia="宋体" w:hint="default"/>
          <w:sz w:val="18"/>
          <w:szCs w:val="18"/>
        </w:rPr>
        <w:t>否</w:t>
      </w:r>
    </w:p>
    <w:p>
      <w:pPr>
        <w:spacing w:line="412" w:lineRule="auto" w:before="68"/>
        <w:ind w:left="113" w:right="2728" w:firstLine="0"/>
        <w:jc w:val="left"/>
        <w:rPr>
          <w:rFonts w:ascii="宋体" w:hAnsi="宋体" w:cs="宋体" w:eastAsia="宋体" w:hint="default"/>
          <w:sz w:val="18"/>
          <w:szCs w:val="18"/>
        </w:rPr>
      </w:pPr>
      <w:r>
        <w:rPr>
          <w:rFonts w:ascii="宋体" w:hAnsi="宋体" w:cs="宋体" w:eastAsia="宋体" w:hint="default"/>
          <w:b/>
          <w:bCs/>
          <w:sz w:val="18"/>
          <w:szCs w:val="18"/>
        </w:rPr>
        <w:t>公司需遵守《深圳证券交易所行业信息披露指引第</w:t>
      </w:r>
      <w:r>
        <w:rPr>
          <w:rFonts w:ascii="宋体" w:hAnsi="宋体" w:cs="宋体" w:eastAsia="宋体" w:hint="default"/>
          <w:b/>
          <w:bCs/>
          <w:spacing w:val="-46"/>
          <w:sz w:val="18"/>
          <w:szCs w:val="18"/>
        </w:rPr>
        <w:t> </w:t>
      </w:r>
      <w:r>
        <w:rPr>
          <w:rFonts w:ascii="Times New Roman" w:hAnsi="Times New Roman" w:cs="Times New Roman" w:eastAsia="Times New Roman" w:hint="default"/>
          <w:b/>
          <w:bCs/>
          <w:spacing w:val="-6"/>
          <w:sz w:val="18"/>
          <w:szCs w:val="18"/>
        </w:rPr>
        <w:t>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上市公司从事珠宝相关业务》的披露要求</w:t>
      </w:r>
      <w:r>
        <w:rPr>
          <w:rFonts w:ascii="宋体" w:hAnsi="宋体" w:cs="宋体" w:eastAsia="宋体" w:hint="default"/>
          <w:b/>
          <w:bCs/>
          <w:w w:val="99"/>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4" w:hRule="exact"/>
        </w:trPr>
        <w:tc>
          <w:tcPr>
            <w:tcW w:w="13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933734"/>
              <w:bottom w:val="single" w:sz="4" w:space="0" w:color="933734"/>
              <w:right w:val="single" w:sz="4" w:space="0" w:color="933734"/>
            </w:tcBorders>
            <w:shd w:val="clear" w:color="auto" w:fill="E4B8B7"/>
          </w:tcPr>
          <w:p>
            <w:pPr/>
          </w:p>
        </w:tc>
        <w:tc>
          <w:tcPr>
            <w:tcW w:w="1369" w:type="dxa"/>
            <w:vMerge/>
            <w:tcBorders>
              <w:left w:val="single" w:sz="4" w:space="0" w:color="933734"/>
              <w:bottom w:val="single" w:sz="4" w:space="0" w:color="933734"/>
              <w:right w:val="single" w:sz="4" w:space="0" w:color="933734"/>
            </w:tcBorders>
            <w:shd w:val="clear" w:color="auto" w:fill="E4B8B7"/>
          </w:tcPr>
          <w:p>
            <w:pP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933734"/>
              <w:bottom w:val="single" w:sz="4" w:space="0" w:color="933734"/>
              <w:right w:val="single" w:sz="4" w:space="0" w:color="933734"/>
            </w:tcBorders>
            <w:shd w:val="clear" w:color="auto" w:fill="E4B8B7"/>
          </w:tcPr>
          <w:p>
            <w:pP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33,265,194.74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24,021,373.27</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16,292,639.99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-350,901.15</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41,344,829.17</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33,265,194.74</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24,021,373.27</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16,292,639.99</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-350,901.15</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41,344,829.17</w:t>
            </w:r>
          </w:p>
        </w:tc>
      </w:tr>
    </w:tbl>
    <w:p>
      <w:pPr>
        <w:spacing w:line="240" w:lineRule="auto" w:before="6"/>
        <w:rPr>
          <w:rFonts w:ascii="宋体" w:hAnsi="宋体" w:cs="宋体" w:eastAsia="宋体" w:hint="default"/>
          <w:sz w:val="5"/>
          <w:szCs w:val="5"/>
        </w:rPr>
      </w:pPr>
    </w:p>
    <w:p>
      <w:pPr>
        <w:pStyle w:val="BodyText"/>
        <w:spacing w:line="240" w:lineRule="auto" w:before="36"/>
        <w:ind w:left="533" w:right="0"/>
        <w:jc w:val="left"/>
      </w:pPr>
      <w:r>
        <w:rPr/>
        <w:t>（</w:t>
      </w:r>
      <w:r>
        <w:rPr>
          <w:rFonts w:ascii="Times New Roman" w:hAnsi="Times New Roman" w:cs="Times New Roman" w:eastAsia="Times New Roman" w:hint="default"/>
        </w:rPr>
        <w:t>3</w:t>
      </w:r>
      <w:r>
        <w:rPr/>
        <w:t>）存货跌价准备计提依据及本期转回或转销原因</w:t>
      </w:r>
    </w:p>
    <w:p>
      <w:pPr>
        <w:spacing w:line="240" w:lineRule="auto" w:before="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814"/>
        <w:gridCol w:w="2309"/>
        <w:gridCol w:w="2158"/>
        <w:gridCol w:w="3320"/>
      </w:tblGrid>
      <w:tr>
        <w:trPr>
          <w:trHeight w:val="649" w:hRule="exact"/>
        </w:trPr>
        <w:tc>
          <w:tcPr>
            <w:tcW w:w="1814"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tabs>
                <w:tab w:pos="547" w:val="left" w:leader="none"/>
              </w:tabs>
              <w:spacing w:line="240" w:lineRule="auto" w:before="14"/>
              <w:ind w:left="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309"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6" w:lineRule="auto" w:before="14"/>
              <w:ind w:left="1058" w:right="68" w:hanging="990"/>
              <w:jc w:val="left"/>
              <w:rPr>
                <w:rFonts w:ascii="宋体" w:hAnsi="宋体" w:cs="宋体" w:eastAsia="宋体" w:hint="default"/>
                <w:sz w:val="18"/>
                <w:szCs w:val="18"/>
              </w:rPr>
            </w:pPr>
            <w:r>
              <w:rPr>
                <w:rFonts w:ascii="宋体" w:hAnsi="宋体" w:cs="宋体" w:eastAsia="宋体" w:hint="default"/>
                <w:sz w:val="18"/>
                <w:szCs w:val="18"/>
              </w:rPr>
              <w:t>计提存货跌价准备的具体依 据</w:t>
            </w:r>
          </w:p>
        </w:tc>
        <w:tc>
          <w:tcPr>
            <w:tcW w:w="215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6" w:lineRule="auto" w:before="14"/>
              <w:ind w:left="895" w:right="81" w:hanging="810"/>
              <w:jc w:val="left"/>
              <w:rPr>
                <w:rFonts w:ascii="宋体" w:hAnsi="宋体" w:cs="宋体" w:eastAsia="宋体" w:hint="default"/>
                <w:sz w:val="18"/>
                <w:szCs w:val="18"/>
              </w:rPr>
            </w:pPr>
            <w:r>
              <w:rPr>
                <w:rFonts w:ascii="宋体" w:hAnsi="宋体" w:cs="宋体" w:eastAsia="宋体" w:hint="default"/>
                <w:sz w:val="18"/>
                <w:szCs w:val="18"/>
              </w:rPr>
              <w:t>本期转回存货跌价准备的 原因</w:t>
            </w:r>
          </w:p>
        </w:tc>
        <w:tc>
          <w:tcPr>
            <w:tcW w:w="3320"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本期转销存货跌价准备的原因</w:t>
            </w:r>
          </w:p>
        </w:tc>
      </w:tr>
      <w:tr>
        <w:trPr>
          <w:trHeight w:val="341" w:hRule="exact"/>
        </w:trPr>
        <w:tc>
          <w:tcPr>
            <w:tcW w:w="1814"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09"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17"/>
              <w:ind w:left="249" w:right="0"/>
              <w:jc w:val="left"/>
              <w:rPr>
                <w:rFonts w:ascii="宋体" w:hAnsi="宋体" w:cs="宋体" w:eastAsia="宋体" w:hint="default"/>
                <w:sz w:val="18"/>
                <w:szCs w:val="18"/>
              </w:rPr>
            </w:pPr>
            <w:r>
              <w:rPr>
                <w:rFonts w:ascii="宋体" w:hAnsi="宋体" w:cs="宋体" w:eastAsia="宋体" w:hint="default"/>
                <w:sz w:val="18"/>
                <w:szCs w:val="18"/>
              </w:rPr>
              <w:t>成本高于其可变现净值</w:t>
            </w:r>
          </w:p>
        </w:tc>
        <w:tc>
          <w:tcPr>
            <w:tcW w:w="2158"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20"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已对外销售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20,852,771.79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22,616,357.48</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预交税金</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4,861,104.72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2,954,268.15</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158,450,000.00</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25,713,876.51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184,020,625.63</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1196"/>
        <w:gridCol w:w="1198"/>
        <w:gridCol w:w="1196"/>
        <w:gridCol w:w="1249"/>
        <w:gridCol w:w="1368"/>
        <w:gridCol w:w="1366"/>
      </w:tblGrid>
      <w:tr>
        <w:trPr>
          <w:trHeight w:val="401" w:hRule="exact"/>
        </w:trPr>
        <w:tc>
          <w:tcPr>
            <w:tcW w:w="199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8" w:type="dxa"/>
            <w:vMerge/>
            <w:tcBorders>
              <w:left w:val="single" w:sz="4" w:space="0" w:color="933734"/>
              <w:bottom w:val="single" w:sz="4" w:space="0" w:color="933734"/>
              <w:right w:val="single" w:sz="4" w:space="0" w:color="933734"/>
            </w:tcBorders>
            <w:shd w:val="clear" w:color="auto" w:fill="E4B8B7"/>
          </w:tcPr>
          <w:p>
            <w:pPr/>
          </w:p>
        </w:tc>
        <w:tc>
          <w:tcPr>
            <w:tcW w:w="11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0"/>
              <w:ind w:left="37" w:right="0"/>
              <w:jc w:val="center"/>
              <w:rPr>
                <w:rFonts w:ascii="Times New Roman" w:hAnsi="Times New Roman" w:cs="Times New Roman" w:eastAsia="Times New Roman" w:hint="default"/>
                <w:sz w:val="18"/>
                <w:szCs w:val="18"/>
              </w:rPr>
            </w:pPr>
            <w:r>
              <w:rPr>
                <w:rFonts w:ascii="Times New Roman"/>
                <w:sz w:val="18"/>
              </w:rPr>
              <w:t>37,201,513.1</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0"/>
              <w:ind w:left="33" w:right="0"/>
              <w:jc w:val="center"/>
              <w:rPr>
                <w:rFonts w:ascii="Times New Roman" w:hAnsi="Times New Roman" w:cs="Times New Roman" w:eastAsia="Times New Roman" w:hint="default"/>
                <w:sz w:val="18"/>
                <w:szCs w:val="18"/>
              </w:rPr>
            </w:pPr>
            <w:r>
              <w:rPr>
                <w:rFonts w:ascii="Times New Roman"/>
                <w:sz w:val="18"/>
              </w:rPr>
              <w:t>37,201,513.1</w:t>
            </w:r>
          </w:p>
        </w:tc>
        <w:tc>
          <w:tcPr>
            <w:tcW w:w="12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0"/>
              <w:ind w:left="85" w:right="0"/>
              <w:jc w:val="center"/>
              <w:rPr>
                <w:rFonts w:ascii="Times New Roman" w:hAnsi="Times New Roman" w:cs="Times New Roman" w:eastAsia="Times New Roman" w:hint="default"/>
                <w:sz w:val="18"/>
                <w:szCs w:val="18"/>
              </w:rPr>
            </w:pPr>
            <w:r>
              <w:rPr>
                <w:rFonts w:ascii="Times New Roman"/>
                <w:sz w:val="18"/>
              </w:rPr>
              <w:t>37,201,513.1</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37,201,513.15</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98"/>
        <w:gridCol w:w="1196"/>
        <w:gridCol w:w="1198"/>
        <w:gridCol w:w="1196"/>
        <w:gridCol w:w="1249"/>
        <w:gridCol w:w="1368"/>
        <w:gridCol w:w="1366"/>
      </w:tblGrid>
      <w:tr>
        <w:trPr>
          <w:trHeight w:val="363" w:hRule="exact"/>
        </w:trPr>
        <w:tc>
          <w:tcPr>
            <w:tcW w:w="1998"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9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37,201,513.1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37,201,513.1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37,201,513.1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37,201,513.15</w:t>
            </w:r>
          </w:p>
        </w:tc>
      </w:tr>
      <w:tr>
        <w:trPr>
          <w:trHeight w:val="715" w:hRule="exact"/>
        </w:trPr>
        <w:tc>
          <w:tcPr>
            <w:tcW w:w="19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37,201,513.1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37,201,513.1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37,201,513.1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37,201,513.15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403" w:hRule="exact"/>
        </w:trPr>
        <w:tc>
          <w:tcPr>
            <w:tcW w:w="86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7" w:right="156"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1"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933734"/>
              <w:left w:val="single" w:sz="4" w:space="0" w:color="933734"/>
              <w:right w:val="single" w:sz="4" w:space="0" w:color="933734"/>
            </w:tcBorders>
            <w:shd w:val="clear" w:color="auto" w:fill="E4B8B7"/>
          </w:tcPr>
          <w:p>
            <w:pPr>
              <w:pStyle w:val="TableParagraph"/>
              <w:spacing w:line="319" w:lineRule="auto" w:before="49"/>
              <w:ind w:left="158"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61"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7" w:hRule="exact"/>
        </w:trPr>
        <w:tc>
          <w:tcPr>
            <w:tcW w:w="864" w:type="dxa"/>
            <w:vMerge/>
            <w:tcBorders>
              <w:left w:val="single" w:sz="4" w:space="0" w:color="933734"/>
              <w:bottom w:val="single" w:sz="4" w:space="0" w:color="933734"/>
              <w:right w:val="single" w:sz="4" w:space="0" w:color="933734"/>
            </w:tcBorders>
            <w:shd w:val="clear" w:color="auto" w:fill="E4B8B7"/>
          </w:tcPr>
          <w:p>
            <w:pP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159"/>
              <w:ind w:left="340" w:right="15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159"/>
              <w:ind w:left="338"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159"/>
              <w:ind w:left="340"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159"/>
              <w:ind w:left="338" w:right="159"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933734"/>
              <w:bottom w:val="single" w:sz="4" w:space="0" w:color="933734"/>
              <w:right w:val="single" w:sz="4" w:space="0" w:color="933734"/>
            </w:tcBorders>
            <w:shd w:val="clear" w:color="auto" w:fill="E4B8B7"/>
          </w:tcPr>
          <w:p>
            <w:pPr/>
          </w:p>
        </w:tc>
        <w:tc>
          <w:tcPr>
            <w:tcW w:w="872" w:type="dxa"/>
            <w:vMerge/>
            <w:tcBorders>
              <w:left w:val="single" w:sz="4" w:space="0" w:color="933734"/>
              <w:bottom w:val="single" w:sz="4" w:space="0" w:color="933734"/>
              <w:right w:val="single" w:sz="4" w:space="0" w:color="933734"/>
            </w:tcBorders>
            <w:shd w:val="clear" w:color="auto" w:fill="E4B8B7"/>
          </w:tcPr>
          <w:p>
            <w:pPr/>
          </w:p>
        </w:tc>
      </w:tr>
      <w:tr>
        <w:trPr>
          <w:trHeight w:val="1025" w:hRule="exact"/>
        </w:trPr>
        <w:tc>
          <w:tcPr>
            <w:tcW w:w="864"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156"/>
              <w:jc w:val="both"/>
              <w:rPr>
                <w:rFonts w:ascii="Times New Roman" w:hAnsi="Times New Roman" w:cs="Times New Roman" w:eastAsia="Times New Roman" w:hint="default"/>
                <w:sz w:val="18"/>
                <w:szCs w:val="18"/>
              </w:rPr>
            </w:pPr>
            <w:r>
              <w:rPr>
                <w:rFonts w:ascii="Times New Roman"/>
                <w:sz w:val="18"/>
              </w:rPr>
              <w:t>YOUSP</w:t>
            </w:r>
            <w:r>
              <w:rPr>
                <w:rFonts w:ascii="Times New Roman"/>
                <w:w w:val="99"/>
                <w:sz w:val="18"/>
              </w:rPr>
              <w:t> </w:t>
            </w:r>
            <w:r>
              <w:rPr>
                <w:rFonts w:ascii="Times New Roman"/>
                <w:sz w:val="18"/>
              </w:rPr>
              <w:t>ACE.IN</w:t>
            </w:r>
            <w:r>
              <w:rPr>
                <w:rFonts w:ascii="Times New Roman"/>
                <w:w w:val="99"/>
                <w:sz w:val="18"/>
              </w:rPr>
              <w:t> </w:t>
            </w:r>
            <w:r>
              <w:rPr>
                <w:rFonts w:ascii="Times New Roman"/>
                <w:sz w:val="18"/>
              </w:rPr>
              <w:t>C</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27,201,5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13.15</w:t>
            </w:r>
          </w:p>
        </w:tc>
        <w:tc>
          <w:tcPr>
            <w:tcW w:w="872"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27,201,5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13.15</w:t>
            </w: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9.23%</w:t>
            </w:r>
          </w:p>
        </w:tc>
        <w:tc>
          <w:tcPr>
            <w:tcW w:w="872" w:type="dxa"/>
            <w:tcBorders>
              <w:top w:val="single" w:sz="4" w:space="0" w:color="933734"/>
              <w:left w:val="single" w:sz="4" w:space="0" w:color="933734"/>
              <w:bottom w:val="single" w:sz="4" w:space="0" w:color="933734"/>
              <w:right w:val="single" w:sz="4" w:space="0" w:color="933734"/>
            </w:tcBorders>
          </w:tcPr>
          <w:p>
            <w:pPr/>
          </w:p>
        </w:tc>
      </w:tr>
      <w:tr>
        <w:trPr>
          <w:trHeight w:val="1651" w:hRule="exact"/>
        </w:trPr>
        <w:tc>
          <w:tcPr>
            <w:tcW w:w="86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09"/>
              <w:jc w:val="both"/>
              <w:rPr>
                <w:rFonts w:ascii="宋体" w:hAnsi="宋体" w:cs="宋体" w:eastAsia="宋体" w:hint="default"/>
                <w:sz w:val="18"/>
                <w:szCs w:val="18"/>
              </w:rPr>
            </w:pPr>
            <w:r>
              <w:rPr>
                <w:rFonts w:ascii="宋体" w:hAnsi="宋体" w:cs="宋体" w:eastAsia="宋体" w:hint="default"/>
                <w:sz w:val="18"/>
                <w:szCs w:val="18"/>
              </w:rPr>
              <w:t>哈尔滨 迈远电 子商务 有限公 司</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00.00</w:t>
            </w:r>
          </w:p>
        </w:tc>
        <w:tc>
          <w:tcPr>
            <w:tcW w:w="872"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w:t>
            </w:r>
          </w:p>
        </w:tc>
        <w:tc>
          <w:tcPr>
            <w:tcW w:w="872"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8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37,201,5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13.15</w:t>
            </w:r>
          </w:p>
        </w:tc>
        <w:tc>
          <w:tcPr>
            <w:tcW w:w="872"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37,201,5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13.15</w:t>
            </w: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tcPr>
          <w:p>
            <w:pPr/>
          </w:p>
        </w:tc>
        <w:tc>
          <w:tcPr>
            <w:tcW w:w="871" w:type="dxa"/>
            <w:tcBorders>
              <w:top w:val="single" w:sz="4" w:space="0" w:color="933734"/>
              <w:left w:val="single" w:sz="4" w:space="0" w:color="933734"/>
              <w:bottom w:val="single" w:sz="4" w:space="0" w:color="933734"/>
              <w:right w:val="single" w:sz="4" w:space="0" w:color="933734"/>
            </w:tcBorders>
          </w:tcPr>
          <w:p>
            <w:pPr/>
          </w:p>
        </w:tc>
        <w:tc>
          <w:tcPr>
            <w:tcW w:w="8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5" w:hRule="exact"/>
        </w:trPr>
        <w:tc>
          <w:tcPr>
            <w:tcW w:w="1367"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18" w:right="137"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9"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6" w:lineRule="auto" w:before="49"/>
              <w:ind w:left="139" w:right="135"/>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9"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87" w:right="134" w:hanging="449"/>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90" w:right="135" w:hanging="449"/>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04"/>
        <w:gridCol w:w="1167"/>
        <w:gridCol w:w="1166"/>
        <w:gridCol w:w="1167"/>
        <w:gridCol w:w="1169"/>
        <w:gridCol w:w="1167"/>
        <w:gridCol w:w="1166"/>
        <w:gridCol w:w="1164"/>
      </w:tblGrid>
      <w:tr>
        <w:trPr>
          <w:trHeight w:val="401" w:hRule="exact"/>
        </w:trPr>
        <w:tc>
          <w:tcPr>
            <w:tcW w:w="140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933734"/>
              <w:bottom w:val="single" w:sz="4" w:space="0" w:color="933734"/>
              <w:right w:val="single" w:sz="4" w:space="0" w:color="933734"/>
            </w:tcBorders>
            <w:shd w:val="clear" w:color="auto" w:fill="E4B8B7"/>
          </w:tcPr>
          <w:p>
            <w:pPr/>
          </w:p>
        </w:tc>
        <w:tc>
          <w:tcPr>
            <w:tcW w:w="11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933734"/>
              <w:bottom w:val="single" w:sz="4" w:space="0" w:color="933734"/>
              <w:right w:val="single" w:sz="4" w:space="0" w:color="933734"/>
            </w:tcBorders>
            <w:shd w:val="clear" w:color="auto" w:fill="E4B8B7"/>
          </w:tcPr>
          <w:p>
            <w:pPr/>
          </w:p>
        </w:tc>
      </w:tr>
      <w:tr>
        <w:trPr>
          <w:trHeight w:val="713" w:hRule="exact"/>
        </w:trPr>
        <w:tc>
          <w:tcPr>
            <w:tcW w:w="140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长期往来款</w:t>
            </w:r>
          </w:p>
        </w:tc>
        <w:tc>
          <w:tcPr>
            <w:tcW w:w="11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933734"/>
              <w:left w:val="single" w:sz="4" w:space="0" w:color="933734"/>
              <w:bottom w:val="single" w:sz="4" w:space="0" w:color="933734"/>
              <w:right w:val="single" w:sz="4" w:space="0" w:color="933734"/>
            </w:tcBorders>
          </w:tcPr>
          <w:p>
            <w:pPr/>
          </w:p>
        </w:tc>
        <w:tc>
          <w:tcPr>
            <w:tcW w:w="11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73,000,000.0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933734"/>
              <w:left w:val="single" w:sz="4" w:space="0" w:color="933734"/>
              <w:bottom w:val="single" w:sz="4" w:space="0" w:color="933734"/>
              <w:right w:val="single" w:sz="4" w:space="0" w:color="933734"/>
            </w:tcBorders>
          </w:tcPr>
          <w:p>
            <w:pPr/>
          </w:p>
        </w:tc>
        <w:tc>
          <w:tcPr>
            <w:tcW w:w="11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3,000,000.00</w:t>
            </w:r>
          </w:p>
        </w:tc>
        <w:tc>
          <w:tcPr>
            <w:tcW w:w="1164"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716" w:hRule="exact"/>
        </w:trPr>
        <w:tc>
          <w:tcPr>
            <w:tcW w:w="140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933734"/>
              <w:left w:val="single" w:sz="4" w:space="0" w:color="933734"/>
              <w:bottom w:val="single" w:sz="4" w:space="0" w:color="933734"/>
              <w:right w:val="single" w:sz="4" w:space="0" w:color="933734"/>
            </w:tcBorders>
          </w:tcPr>
          <w:p>
            <w:pPr/>
          </w:p>
        </w:tc>
        <w:tc>
          <w:tcPr>
            <w:tcW w:w="116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933734"/>
              <w:left w:val="single" w:sz="4" w:space="0" w:color="933734"/>
              <w:bottom w:val="single" w:sz="4" w:space="0" w:color="933734"/>
              <w:right w:val="single" w:sz="4" w:space="0" w:color="933734"/>
            </w:tcBorders>
          </w:tcPr>
          <w:p>
            <w:pPr/>
          </w:p>
        </w:tc>
        <w:tc>
          <w:tcPr>
            <w:tcW w:w="11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3,000,000.00</w:t>
            </w:r>
          </w:p>
        </w:tc>
        <w:tc>
          <w:tcPr>
            <w:tcW w:w="11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ind w:right="0" w:firstLine="420"/>
        <w:jc w:val="left"/>
      </w:pPr>
      <w:r>
        <w:rPr>
          <w:spacing w:val="-9"/>
          <w:w w:val="100"/>
        </w:rPr>
        <w:t>注：（</w:t>
      </w:r>
      <w:r>
        <w:rPr>
          <w:rFonts w:ascii="Times New Roman" w:hAnsi="Times New Roman" w:cs="Times New Roman" w:eastAsia="Times New Roman" w:hint="default"/>
          <w:spacing w:val="-9"/>
          <w:w w:val="100"/>
        </w:rPr>
        <w:t>1</w:t>
      </w:r>
      <w:r>
        <w:rPr>
          <w:spacing w:val="-9"/>
          <w:w w:val="100"/>
        </w:rPr>
        <w:t>）公司本期为了加强与服装制造企业广东中焱服装有限公司的合作，支付项目合作款</w:t>
      </w:r>
      <w:r>
        <w:rPr>
          <w:rFonts w:ascii="Times New Roman" w:hAnsi="Times New Roman" w:cs="Times New Roman" w:eastAsia="Times New Roman" w:hint="default"/>
          <w:spacing w:val="-9"/>
          <w:w w:val="100"/>
        </w:rPr>
        <w:t>7000</w:t>
      </w:r>
      <w:r>
        <w:rPr>
          <w:spacing w:val="-9"/>
          <w:w w:val="100"/>
        </w:rPr>
        <w:t>万元，</w:t>
      </w:r>
      <w:r>
        <w:rPr>
          <w:w w:val="100"/>
        </w:rPr>
        <w:t> </w:t>
      </w:r>
      <w:r>
        <w:rPr/>
        <w:t>合作期限为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日，每年按照固定的利率</w:t>
      </w:r>
      <w:r>
        <w:rPr>
          <w:rFonts w:ascii="Times New Roman" w:hAnsi="Times New Roman" w:cs="Times New Roman" w:eastAsia="Times New Roman" w:hint="default"/>
        </w:rPr>
        <w:t>8%</w:t>
      </w:r>
      <w:r>
        <w:rPr/>
        <w:t>计提利息。</w:t>
      </w:r>
    </w:p>
    <w:p>
      <w:pPr>
        <w:pStyle w:val="BodyText"/>
        <w:spacing w:line="386" w:lineRule="auto" w:before="76"/>
        <w:ind w:right="0" w:firstLine="314"/>
        <w:jc w:val="left"/>
      </w:pPr>
      <w:r>
        <w:rPr>
          <w:spacing w:val="-4"/>
        </w:rPr>
        <w:t>（</w:t>
      </w:r>
      <w:r>
        <w:rPr>
          <w:rFonts w:ascii="Times New Roman" w:hAnsi="Times New Roman" w:cs="Times New Roman" w:eastAsia="Times New Roman" w:hint="default"/>
          <w:spacing w:val="-4"/>
        </w:rPr>
        <w:t>2</w:t>
      </w:r>
      <w:r>
        <w:rPr>
          <w:spacing w:val="-4"/>
        </w:rPr>
        <w:t>）公司</w:t>
      </w:r>
      <w:r>
        <w:rPr>
          <w:rFonts w:ascii="Times New Roman" w:hAnsi="Times New Roman" w:cs="Times New Roman" w:eastAsia="Times New Roman" w:hint="default"/>
          <w:spacing w:val="-4"/>
        </w:rPr>
        <w:t>2017</w:t>
      </w:r>
      <w:r>
        <w:rPr>
          <w:spacing w:val="-4"/>
        </w:rPr>
        <w:t>年支付浙江卡奴迪路服饰有限公司项目合作款</w:t>
      </w:r>
      <w:r>
        <w:rPr>
          <w:rFonts w:ascii="Times New Roman" w:hAnsi="Times New Roman" w:cs="Times New Roman" w:eastAsia="Times New Roman" w:hint="default"/>
          <w:spacing w:val="-4"/>
        </w:rPr>
        <w:t>300</w:t>
      </w:r>
      <w:r>
        <w:rPr>
          <w:spacing w:val="-4"/>
        </w:rPr>
        <w:t>万元，合作期限为</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w:t>
      </w:r>
      <w:r>
        <w:rPr>
          <w:spacing w:val="-4"/>
        </w:rPr>
        <w:t>日至</w:t>
      </w:r>
      <w:r>
        <w:rPr>
          <w:rFonts w:ascii="Times New Roman" w:hAnsi="Times New Roman" w:cs="Times New Roman" w:eastAsia="Times New Roman" w:hint="default"/>
          <w:spacing w:val="-4"/>
        </w:rPr>
        <w:t>2020</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日，每年按照固定的利率</w:t>
      </w:r>
      <w:r>
        <w:rPr>
          <w:rFonts w:ascii="Times New Roman" w:hAnsi="Times New Roman" w:cs="Times New Roman" w:eastAsia="Times New Roman" w:hint="default"/>
        </w:rPr>
        <w:t>6%</w:t>
      </w:r>
      <w:r>
        <w:rPr/>
        <w:t>计提利息。</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33,076,622.77</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33,076,622.77</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458,671,440.45</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458,671,440.45</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49"/>
              <w:ind w:left="103" w:right="101" w:firstLine="328"/>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）在建工程转入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279,872,122.16</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279,872,122.16</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178,799,318.29</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178,799,318.29</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491,748,063.22</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491,748,063.22</w:t>
            </w:r>
          </w:p>
        </w:tc>
      </w:tr>
      <w:tr>
        <w:trPr>
          <w:trHeight w:val="715"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4,308,609.66</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4,308,609.66</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25,059,390.04</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25,059,390.04</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4,983,365.12</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4,983,365.12</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20,076,024.92</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20,076,024.92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29,367,999.70</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29,367,999.70</w:t>
            </w:r>
          </w:p>
        </w:tc>
      </w:tr>
      <w:tr>
        <w:trPr>
          <w:trHeight w:val="403"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462,380,063.52</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462,380,063.52</w:t>
            </w:r>
          </w:p>
        </w:tc>
      </w:tr>
      <w:tr>
        <w:trPr>
          <w:trHeight w:val="403" w:hRule="exact"/>
        </w:trPr>
        <w:tc>
          <w:tcPr>
            <w:tcW w:w="191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28,768,013.11</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28,768,013.11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715" w:hRule="exact"/>
        </w:trPr>
        <w:tc>
          <w:tcPr>
            <w:tcW w:w="3188" w:type="dxa"/>
            <w:tcBorders>
              <w:top w:val="single" w:sz="4" w:space="0" w:color="800000"/>
              <w:left w:val="single" w:sz="4" w:space="0" w:color="800000"/>
              <w:bottom w:val="single" w:sz="4" w:space="0" w:color="800000"/>
              <w:right w:val="single" w:sz="4" w:space="0" w:color="800000"/>
            </w:tcBorders>
          </w:tcPr>
          <w:p>
            <w:pPr>
              <w:pStyle w:val="TableParagraph"/>
              <w:spacing w:line="297"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广州时尚国际中心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 </w:t>
            </w:r>
            <w:r>
              <w:rPr>
                <w:rFonts w:ascii="宋体" w:hAnsi="宋体" w:cs="宋体" w:eastAsia="宋体" w:hint="default"/>
                <w:spacing w:val="-6"/>
                <w:sz w:val="18"/>
                <w:szCs w:val="18"/>
              </w:rPr>
              <w:t>栋、停车场、艺</w:t>
            </w:r>
            <w:r>
              <w:rPr>
                <w:rFonts w:ascii="宋体" w:hAnsi="宋体" w:cs="宋体" w:eastAsia="宋体" w:hint="default"/>
                <w:sz w:val="18"/>
                <w:szCs w:val="18"/>
              </w:rPr>
              <w:t> 术馆</w:t>
            </w:r>
          </w:p>
        </w:tc>
        <w:tc>
          <w:tcPr>
            <w:tcW w:w="3192"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53" w:right="0"/>
              <w:jc w:val="left"/>
              <w:rPr>
                <w:rFonts w:ascii="Times New Roman" w:hAnsi="Times New Roman" w:cs="Times New Roman" w:eastAsia="Times New Roman" w:hint="default"/>
                <w:sz w:val="18"/>
                <w:szCs w:val="18"/>
              </w:rPr>
            </w:pPr>
            <w:r>
              <w:rPr>
                <w:rFonts w:ascii="Times New Roman"/>
                <w:sz w:val="18"/>
              </w:rPr>
              <w:t>384,935,272.94</w:t>
            </w:r>
          </w:p>
        </w:tc>
        <w:tc>
          <w:tcPr>
            <w:tcW w:w="3191"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房产权证正在办理当中</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533" w:right="0"/>
        <w:jc w:val="left"/>
      </w:pPr>
      <w:r>
        <w:rPr/>
        <w:t>（</w:t>
      </w:r>
      <w:r>
        <w:rPr>
          <w:rFonts w:ascii="Times New Roman" w:hAnsi="Times New Roman" w:cs="Times New Roman" w:eastAsia="Times New Roman" w:hint="default"/>
        </w:rPr>
        <w:t>3</w:t>
      </w:r>
      <w:r>
        <w:rPr/>
        <w:t>）投资性房地产期末价值构成内容包括建设成本以及购买房产成本。</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949" w:right="0"/>
              <w:jc w:val="left"/>
              <w:rPr>
                <w:rFonts w:ascii="Times New Roman" w:hAnsi="Times New Roman" w:cs="Times New Roman" w:eastAsia="Times New Roman" w:hint="default"/>
                <w:sz w:val="18"/>
                <w:szCs w:val="18"/>
              </w:rPr>
            </w:pPr>
            <w:r>
              <w:rPr>
                <w:rFonts w:ascii="Times New Roman"/>
                <w:sz w:val="18"/>
              </w:rPr>
              <w:t>334,176,580.65</w:t>
            </w:r>
          </w:p>
        </w:tc>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949" w:right="0"/>
              <w:jc w:val="left"/>
              <w:rPr>
                <w:rFonts w:ascii="Times New Roman" w:hAnsi="Times New Roman" w:cs="Times New Roman" w:eastAsia="Times New Roman" w:hint="default"/>
                <w:sz w:val="18"/>
                <w:szCs w:val="18"/>
              </w:rPr>
            </w:pPr>
            <w:r>
              <w:rPr>
                <w:rFonts w:ascii="Times New Roman"/>
                <w:sz w:val="18"/>
              </w:rPr>
              <w:t>503,903,338.04</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188"/>
        <w:gridCol w:w="3188"/>
      </w:tblGrid>
      <w:tr>
        <w:trPr>
          <w:trHeight w:val="404" w:hRule="exact"/>
        </w:trPr>
        <w:tc>
          <w:tcPr>
            <w:tcW w:w="3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949" w:right="0"/>
              <w:jc w:val="left"/>
              <w:rPr>
                <w:rFonts w:ascii="Times New Roman" w:hAnsi="Times New Roman" w:cs="Times New Roman" w:eastAsia="Times New Roman" w:hint="default"/>
                <w:sz w:val="18"/>
                <w:szCs w:val="18"/>
              </w:rPr>
            </w:pPr>
            <w:r>
              <w:rPr>
                <w:rFonts w:ascii="Times New Roman"/>
                <w:sz w:val="18"/>
              </w:rPr>
              <w:t>334,176,580.65</w:t>
            </w:r>
          </w:p>
        </w:tc>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949" w:right="0"/>
              <w:jc w:val="left"/>
              <w:rPr>
                <w:rFonts w:ascii="Times New Roman" w:hAnsi="Times New Roman" w:cs="Times New Roman" w:eastAsia="Times New Roman" w:hint="default"/>
                <w:sz w:val="18"/>
                <w:szCs w:val="18"/>
              </w:rPr>
            </w:pPr>
            <w:r>
              <w:rPr>
                <w:rFonts w:ascii="Times New Roman"/>
                <w:sz w:val="18"/>
              </w:rPr>
              <w:t>503,903,338.04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509,205,488.44</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14,558,632.86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11,380,035.96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2,700,825.24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537,844,982.50</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2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740,323.02</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1,177,062.04</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4,517,844.18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6,435,229.24</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1,177,062.04</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3,878,814.83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5,055,876.87</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740,323.02</w:t>
            </w: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639,029.35</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1,379,352.37</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2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178,799,318.29</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268,085.30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336,278.00</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179,403,681.59</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268,085.30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336,278.00</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604,363.30</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2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 房产</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178,799,318.29</w:t>
            </w: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178,799,318.29</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汇率影响金额</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134.74</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28,043.40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28,178.14</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331,146,493.17</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15,467,744.34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11,043,757.96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7,246,712.82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364,904,708.29</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18,469,119.67</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7,584,382.37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6,515,533.75</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1,372,608.67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33,941,644.46</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2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12,276,271.18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2,440,707.53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1,054,644.73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1,335,530.92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17,107,154.36</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12,276,271.18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2,440,707.53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1,054,644.73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1,335,530.92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17,107,154.36</w:t>
            </w:r>
          </w:p>
        </w:tc>
      </w:tr>
      <w:tr>
        <w:trPr>
          <w:trHeight w:val="404"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2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20,076,024.92</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103,756.69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164,061.96</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20,343,843.57</w:t>
            </w:r>
          </w:p>
        </w:tc>
      </w:tr>
      <w:tr>
        <w:trPr>
          <w:trHeight w:val="715"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103,756.69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164,061.96</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267,818.65</w:t>
            </w:r>
          </w:p>
        </w:tc>
      </w:tr>
      <w:tr>
        <w:trPr>
          <w:trHeight w:val="71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2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 房产</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20,076,024.92</w:t>
            </w: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20,076,024.92</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汇率影响金额</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141.56</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23,030.83</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23,172.39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10,669,365.93</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9,921,474.77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7,406,116.52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2,731,170.42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30,728,127.64</w:t>
            </w:r>
          </w:p>
        </w:tc>
      </w:tr>
      <w:tr>
        <w:trPr>
          <w:trHeight w:val="403"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2" w:right="2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716"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2"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2" w:right="2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320,477,127.24</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5,546,269.57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3,637,641.44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4,515,542.40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334,176,580.65</w:t>
            </w:r>
          </w:p>
        </w:tc>
      </w:tr>
      <w:tr>
        <w:trPr>
          <w:trHeight w:val="715" w:hRule="exact"/>
        </w:trPr>
        <w:tc>
          <w:tcPr>
            <w:tcW w:w="15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490,736,368.77</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6,974,250.49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4,864,502.21</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1,328,216.57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503,903,338.04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广州时尚国际中心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3192"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3"/>
              <w:ind w:left="1953" w:right="0"/>
              <w:jc w:val="left"/>
              <w:rPr>
                <w:rFonts w:ascii="Times New Roman" w:hAnsi="Times New Roman" w:cs="Times New Roman" w:eastAsia="Times New Roman" w:hint="default"/>
                <w:sz w:val="18"/>
                <w:szCs w:val="18"/>
              </w:rPr>
            </w:pPr>
            <w:r>
              <w:rPr>
                <w:rFonts w:ascii="Times New Roman"/>
                <w:sz w:val="18"/>
              </w:rPr>
              <w:t>318,769,185.96</w:t>
            </w:r>
          </w:p>
        </w:tc>
        <w:tc>
          <w:tcPr>
            <w:tcW w:w="3191"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房产权证正在办理当中</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96"/>
        <w:gridCol w:w="3815"/>
        <w:gridCol w:w="3860"/>
      </w:tblGrid>
      <w:tr>
        <w:trPr>
          <w:trHeight w:val="401" w:hRule="exact"/>
        </w:trPr>
        <w:tc>
          <w:tcPr>
            <w:tcW w:w="18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8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55,591,820.02</w:t>
            </w:r>
          </w:p>
        </w:tc>
        <w:tc>
          <w:tcPr>
            <w:tcW w:w="38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271,216,976.10</w:t>
            </w:r>
          </w:p>
        </w:tc>
      </w:tr>
      <w:tr>
        <w:trPr>
          <w:trHeight w:val="403" w:hRule="exact"/>
        </w:trPr>
        <w:tc>
          <w:tcPr>
            <w:tcW w:w="18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55,591,820.02</w:t>
            </w:r>
          </w:p>
        </w:tc>
        <w:tc>
          <w:tcPr>
            <w:tcW w:w="38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271,216,976.10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933734"/>
              <w:bottom w:val="single" w:sz="4" w:space="0" w:color="933734"/>
              <w:right w:val="single" w:sz="4" w:space="0" w:color="933734"/>
            </w:tcBorders>
            <w:shd w:val="clear" w:color="auto" w:fill="E4B8B7"/>
          </w:tcPr>
          <w:p>
            <w:pP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14,314,305.76</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14,314,305.76</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11,122,832.75</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11,122,832.75</w:t>
            </w:r>
          </w:p>
        </w:tc>
      </w:tr>
      <w:tr>
        <w:trPr>
          <w:trHeight w:val="715"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广州国际时尚 中心项目</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40,121,113.51</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40,121,113.51</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259,359,312.23</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259,359,312.23</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信息化系统项 目</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633,962.24</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633,962.24</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316,981.12</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316,981.12</w:t>
            </w: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417,850.00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417,850.00</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电商平台系统 项目</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522,438.51</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522,438.51</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55,591,820.02</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55,591,820.02</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271,216,976.10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271,216,976.10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962" w:hRule="exact"/>
        </w:trPr>
        <w:tc>
          <w:tcPr>
            <w:tcW w:w="7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180"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73" w:right="182"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2" w:right="180"/>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184" w:right="180"/>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0"/>
              <w:ind w:left="182" w:right="182"/>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182" w:right="18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0"/>
              <w:ind w:left="182" w:right="83"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2" w:right="18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184" w:right="180"/>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025" w:hRule="exact"/>
        </w:trPr>
        <w:tc>
          <w:tcPr>
            <w:tcW w:w="732"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门店 装修 费用</w:t>
            </w:r>
          </w:p>
        </w:tc>
        <w:tc>
          <w:tcPr>
            <w:tcW w:w="737" w:type="dxa"/>
            <w:tcBorders>
              <w:top w:val="single" w:sz="4" w:space="0" w:color="933734"/>
              <w:left w:val="single" w:sz="4" w:space="0" w:color="933734"/>
              <w:bottom w:val="single" w:sz="4" w:space="0" w:color="933734"/>
              <w:right w:val="single" w:sz="4" w:space="0" w:color="933734"/>
            </w:tcBorders>
          </w:tcPr>
          <w:p>
            <w:pP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11,122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,832.7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25,218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,467.2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639,02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9.35</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21,387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,964.8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14,314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,305.7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933734"/>
              <w:left w:val="single" w:sz="4" w:space="0" w:color="933734"/>
              <w:bottom w:val="single" w:sz="4" w:space="0" w:color="933734"/>
              <w:right w:val="single" w:sz="4" w:space="0" w:color="933734"/>
            </w:tcBorders>
          </w:tcPr>
          <w:p>
            <w:pP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933734"/>
              <w:left w:val="single" w:sz="4" w:space="0" w:color="933734"/>
              <w:bottom w:val="single" w:sz="4" w:space="0" w:color="933734"/>
              <w:right w:val="single" w:sz="4" w:space="0" w:color="933734"/>
            </w:tcBorders>
          </w:tcPr>
          <w:p>
            <w:pPr/>
          </w:p>
        </w:tc>
        <w:tc>
          <w:tcPr>
            <w:tcW w:w="737" w:type="dxa"/>
            <w:tcBorders>
              <w:top w:val="single" w:sz="4" w:space="0" w:color="933734"/>
              <w:left w:val="single" w:sz="4" w:space="0" w:color="933734"/>
              <w:bottom w:val="single" w:sz="4" w:space="0" w:color="933734"/>
              <w:right w:val="single" w:sz="4" w:space="0" w:color="933734"/>
            </w:tcBorders>
          </w:tcPr>
          <w:p>
            <w:pPr/>
          </w:p>
        </w:tc>
        <w:tc>
          <w:tcPr>
            <w:tcW w:w="735" w:type="dxa"/>
            <w:tcBorders>
              <w:top w:val="single" w:sz="4" w:space="0" w:color="933734"/>
              <w:left w:val="single" w:sz="4" w:space="0" w:color="933734"/>
              <w:bottom w:val="single" w:sz="4" w:space="0" w:color="933734"/>
              <w:right w:val="single" w:sz="4" w:space="0" w:color="933734"/>
            </w:tcBorders>
          </w:tcPr>
          <w:p>
            <w:pP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1" w:hRule="exact"/>
        </w:trPr>
        <w:tc>
          <w:tcPr>
            <w:tcW w:w="732"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广州 国际 时尚 中心 项目</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259,35</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9,312.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23</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61,374</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,246.4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280,61</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2,445.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18</w:t>
            </w:r>
          </w:p>
        </w:tc>
        <w:tc>
          <w:tcPr>
            <w:tcW w:w="735" w:type="dxa"/>
            <w:tcBorders>
              <w:top w:val="single" w:sz="4" w:space="0" w:color="933734"/>
              <w:left w:val="single" w:sz="4" w:space="0" w:color="933734"/>
              <w:bottom w:val="single" w:sz="4" w:space="0" w:color="933734"/>
              <w:right w:val="single" w:sz="4" w:space="0" w:color="933734"/>
            </w:tcBorders>
          </w:tcPr>
          <w:p>
            <w:pP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40,121</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2"/>
                <w:sz w:val="18"/>
              </w:rPr>
              <w:t>,113.5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95.08</w:t>
            </w:r>
          </w:p>
          <w:p>
            <w:pPr>
              <w:pStyle w:val="TableParagraph"/>
              <w:spacing w:line="240" w:lineRule="auto" w:before="102"/>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95.08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8,072,</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986.79</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2,356,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823.36</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5.87%</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5" w:right="259"/>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7" w:hRule="exact"/>
        </w:trPr>
        <w:tc>
          <w:tcPr>
            <w:tcW w:w="73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270,48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2,144.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86,592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,713.6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281,25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1,474.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53</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21,387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,964.8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54,435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,419.2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8,072,</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986.79</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2,356,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823.36</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5.87%</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15</w:t>
      </w:r>
      <w:r>
        <w:rPr/>
        <w:t>、油气资产</w:t>
      </w:r>
      <w:r>
        <w:rPr>
          <w:b w:val="0"/>
          <w:bCs w:val="0"/>
        </w:rPr>
      </w:r>
    </w:p>
    <w:p>
      <w:pPr>
        <w:spacing w:line="240" w:lineRule="auto" w:before="5"/>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715"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tabs>
                <w:tab w:pos="731" w:val="left" w:leader="none"/>
              </w:tabs>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软</w:t>
              <w:tab/>
              <w:t>件</w:t>
            </w:r>
          </w:p>
        </w:tc>
        <w:tc>
          <w:tcPr>
            <w:tcW w:w="11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tabs>
                <w:tab w:pos="730" w:val="left" w:leader="none"/>
              </w:tabs>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商</w:t>
              <w:tab/>
              <w:t>标</w:t>
            </w:r>
          </w:p>
        </w:tc>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232" w:right="173" w:hanging="58"/>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品牌中 华运营权</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55,039,005.0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25,392,460.6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334,810,679.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89</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560,242,145.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50</w:t>
            </w:r>
          </w:p>
        </w:tc>
      </w:tr>
      <w:tr>
        <w:trPr>
          <w:trHeight w:val="713"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165,319.61</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3,084,270.78</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3,249,590.39</w:t>
            </w:r>
          </w:p>
        </w:tc>
      </w:tr>
      <w:tr>
        <w:trPr>
          <w:trHeight w:val="715"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60,537.57</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9,192.33</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69,729.90</w:t>
            </w:r>
          </w:p>
        </w:tc>
      </w:tr>
      <w:tr>
        <w:trPr>
          <w:trHeight w:val="713"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8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1028"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9" w:lineRule="auto" w:before="49"/>
              <w:ind w:left="103" w:right="8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w:t>
            </w:r>
            <w:r>
              <w:rPr>
                <w:rFonts w:ascii="宋体" w:hAnsi="宋体" w:cs="宋体" w:eastAsia="宋体" w:hint="default"/>
                <w:w w:val="99"/>
                <w:sz w:val="18"/>
                <w:szCs w:val="18"/>
              </w:rPr>
              <w:t> </w:t>
            </w:r>
            <w:r>
              <w:rPr>
                <w:rFonts w:ascii="宋体" w:hAnsi="宋体" w:cs="宋体" w:eastAsia="宋体" w:hint="default"/>
                <w:sz w:val="18"/>
                <w:szCs w:val="18"/>
              </w:rPr>
              <w:t>转入</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104,782.04</w:t>
            </w: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104,782.04</w:t>
            </w:r>
          </w:p>
        </w:tc>
      </w:tr>
      <w:tr>
        <w:trPr>
          <w:trHeight w:val="715"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汇率变动</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3,075,078.45</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3,075,078.45</w:t>
            </w:r>
          </w:p>
        </w:tc>
      </w:tr>
      <w:tr>
        <w:trPr>
          <w:trHeight w:val="713"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22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55,039,005.0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25,557,780.2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337,894,950.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563,491,735.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89</w:t>
            </w:r>
          </w:p>
        </w:tc>
      </w:tr>
      <w:tr>
        <w:trPr>
          <w:trHeight w:val="713"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10,823,569.8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4,062,445.10</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83,194,115.4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18,125,000.1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116,205,130.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55</w:t>
            </w:r>
          </w:p>
        </w:tc>
      </w:tr>
      <w:tr>
        <w:trPr>
          <w:trHeight w:val="401"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1,381,732.32</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4,847,466.30</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17,260,045.3</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7,250,000.04</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30,739,243.9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1195"/>
        <w:gridCol w:w="1196"/>
        <w:gridCol w:w="1198"/>
        <w:gridCol w:w="1196"/>
        <w:gridCol w:w="1195"/>
        <w:gridCol w:w="1198"/>
      </w:tblGrid>
      <w:tr>
        <w:trPr>
          <w:trHeight w:val="36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1,381,732.32</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4,847,466.30</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16,463,962.0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7,250,000.04</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29,943,160.6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9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）汇率变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动金额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796,083.31</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796,083.31</w:t>
            </w:r>
          </w:p>
        </w:tc>
      </w:tr>
      <w:tr>
        <w:trPr>
          <w:trHeight w:val="71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6"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12,205,302.1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8,909,911.40</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100,454,160.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80</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25,375,000.1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146,944,374.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52</w:t>
            </w:r>
          </w:p>
        </w:tc>
      </w:tr>
      <w:tr>
        <w:trPr>
          <w:trHeight w:val="71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80"/>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180"/>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8"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5"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42,833,702.8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16,647,868.8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237,440,789.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87</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119,624,999.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86</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416,547,361.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37</w:t>
            </w:r>
          </w:p>
        </w:tc>
      </w:tr>
      <w:tr>
        <w:trPr>
          <w:trHeight w:val="715" w:hRule="exact"/>
        </w:trPr>
        <w:tc>
          <w:tcPr>
            <w:tcW w:w="11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2" w:right="2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44,215,435.1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195" w:type="dxa"/>
            <w:tcBorders>
              <w:top w:val="single" w:sz="4" w:space="0" w:color="933734"/>
              <w:left w:val="single" w:sz="4" w:space="0" w:color="933734"/>
              <w:bottom w:val="single" w:sz="4" w:space="0" w:color="933734"/>
              <w:right w:val="single" w:sz="4" w:space="0" w:color="933734"/>
            </w:tcBorders>
          </w:tcPr>
          <w:p>
            <w:pPr/>
          </w:p>
        </w:tc>
        <w:tc>
          <w:tcPr>
            <w:tcW w:w="1196" w:type="dxa"/>
            <w:tcBorders>
              <w:top w:val="single" w:sz="4" w:space="0" w:color="933734"/>
              <w:left w:val="single" w:sz="4" w:space="0" w:color="933734"/>
              <w:bottom w:val="single" w:sz="4" w:space="0" w:color="933734"/>
              <w:right w:val="single" w:sz="4" w:space="0" w:color="933734"/>
            </w:tcBorders>
          </w:tcPr>
          <w:p>
            <w:pP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21,330,015.5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251,616,564.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126,874,999.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444,037,014.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spacing w:val="-2"/>
        </w:rPr>
        <w:t>本期末通过公司内部研发形成的无形资产占无形资产余额的比例</w:t>
      </w:r>
      <w:r>
        <w:rPr>
          <w:spacing w:val="10"/>
        </w:rPr>
        <w:t> </w:t>
      </w:r>
      <w:r>
        <w:rPr>
          <w:rFonts w:ascii="Times New Roman" w:hAnsi="Times New Roman" w:cs="Times New Roman" w:eastAsia="Times New Roman" w:hint="default"/>
          <w:spacing w:val="-2"/>
        </w:rPr>
        <w:t>0.00%</w:t>
      </w:r>
      <w:r>
        <w:rPr>
          <w:spacing w:val="-2"/>
        </w:rPr>
        <w:t>。</w:t>
      </w:r>
    </w:p>
    <w:p>
      <w:pPr>
        <w:spacing w:after="0" w:line="240" w:lineRule="auto"/>
        <w:jc w:val="left"/>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5"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杭州连卡恒福 品牌管理有限 公司</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5,731,467.23</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5,731,467.23</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62" w:lineRule="auto" w:before="91"/>
              <w:ind w:left="103" w:right="519"/>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50,725,364.33</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50,725,364.33</w:t>
            </w:r>
          </w:p>
        </w:tc>
      </w:tr>
      <w:tr>
        <w:trPr>
          <w:trHeight w:val="1027"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武汉悦然心动 网络科技有限 公司</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409,074,338.97</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409,074,338.97</w:t>
            </w: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465,531,170.53</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465,531,170.53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5"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杭州连卡恒福 品牌管理有限 公司</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5,731,467.23</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5,731,467.23</w:t>
            </w:r>
          </w:p>
        </w:tc>
      </w:tr>
      <w:tr>
        <w:trPr>
          <w:trHeight w:val="713"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60" w:lineRule="auto" w:before="91"/>
              <w:ind w:left="103" w:right="519"/>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12,680,279.07</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38,045,085.26</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50,725,364.33</w:t>
            </w:r>
          </w:p>
        </w:tc>
      </w:tr>
      <w:tr>
        <w:trPr>
          <w:trHeight w:val="1027"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武汉悦然心动 网络科技有限 公司</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18,411,746.30</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38,045,085.26</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56,456,831.56</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3"/>
        <w:rPr>
          <w:rFonts w:ascii="宋体" w:hAnsi="宋体" w:cs="宋体" w:eastAsia="宋体" w:hint="default"/>
          <w:sz w:val="13"/>
          <w:szCs w:val="13"/>
        </w:rPr>
      </w:pPr>
    </w:p>
    <w:p>
      <w:pPr>
        <w:pStyle w:val="BodyText"/>
        <w:spacing w:line="408" w:lineRule="auto"/>
        <w:ind w:right="0" w:firstLine="420"/>
        <w:jc w:val="left"/>
      </w:pPr>
      <w:r>
        <w:rPr>
          <w:spacing w:val="-5"/>
          <w:w w:val="100"/>
        </w:rPr>
        <w:t>注：注：（</w:t>
      </w:r>
      <w:r>
        <w:rPr>
          <w:rFonts w:ascii="宋体" w:hAnsi="宋体" w:cs="宋体" w:eastAsia="宋体" w:hint="default"/>
          <w:spacing w:val="-5"/>
          <w:w w:val="100"/>
        </w:rPr>
        <w:t>1</w:t>
      </w:r>
      <w:r>
        <w:rPr>
          <w:spacing w:val="-5"/>
          <w:w w:val="100"/>
        </w:rPr>
        <w:t>）公司收购杭州连卡恒福品牌管理有限公司形成的商誉，在以前年度的减值测试已全额计</w:t>
      </w:r>
      <w:r>
        <w:rPr>
          <w:w w:val="100"/>
        </w:rPr>
        <w:t> </w:t>
      </w:r>
      <w:r>
        <w:rPr/>
        <w:t>提减值准备。</w:t>
      </w:r>
    </w:p>
    <w:p>
      <w:pPr>
        <w:pStyle w:val="BodyText"/>
        <w:spacing w:line="408" w:lineRule="auto" w:before="87"/>
        <w:ind w:right="1126" w:firstLine="314"/>
        <w:jc w:val="both"/>
      </w:pPr>
      <w:r>
        <w:rPr/>
        <w:t>（</w:t>
      </w:r>
      <w:r>
        <w:rPr>
          <w:rFonts w:ascii="宋体" w:hAnsi="宋体" w:cs="宋体" w:eastAsia="宋体" w:hint="default"/>
        </w:rPr>
        <w:t>2</w:t>
      </w:r>
      <w:r>
        <w:rPr/>
        <w:t>）公司期末对与</w:t>
      </w:r>
      <w:r>
        <w:rPr>
          <w:rFonts w:ascii="宋体" w:hAnsi="宋体" w:cs="宋体" w:eastAsia="宋体" w:hint="default"/>
        </w:rPr>
        <w:t>LEVITAS S.P.A.</w:t>
      </w:r>
      <w:r>
        <w:rPr>
          <w:rFonts w:ascii="宋体" w:hAnsi="宋体" w:cs="宋体" w:eastAsia="宋体" w:hint="default"/>
          <w:spacing w:val="74"/>
        </w:rPr>
        <w:t> </w:t>
      </w:r>
      <w:r>
        <w:rPr/>
        <w:t>商誉相关的资产组进行了减值测试，首先将该商誉及归属于少数</w:t>
      </w:r>
      <w:r>
        <w:rPr>
          <w:w w:val="100"/>
        </w:rPr>
        <w:t> </w:t>
      </w:r>
      <w:r>
        <w:rPr>
          <w:spacing w:val="-2"/>
        </w:rPr>
        <w:t>股东权益的商誉包括在内，调整资产组的账面价值，然后将调整后的资产组账面价值与其可收回金额进行</w:t>
      </w:r>
      <w:r>
        <w:rPr>
          <w:spacing w:val="-44"/>
        </w:rPr>
        <w:t> </w:t>
      </w:r>
      <w:r>
        <w:rPr>
          <w:spacing w:val="-44"/>
        </w:rPr>
      </w:r>
      <w:r>
        <w:rPr/>
        <w:t>比较，以确定资产组（包括商誉）是否发生了减值。</w:t>
      </w:r>
    </w:p>
    <w:p>
      <w:pPr>
        <w:spacing w:after="0" w:line="408" w:lineRule="auto"/>
        <w:jc w:val="both"/>
        <w:sectPr>
          <w:pgSz w:w="11910" w:h="16840"/>
          <w:pgMar w:header="906" w:footer="1079" w:top="1100" w:bottom="1260" w:left="1020" w:right="0"/>
        </w:sectPr>
      </w:pPr>
    </w:p>
    <w:p>
      <w:pPr>
        <w:spacing w:line="240" w:lineRule="auto" w:before="12"/>
        <w:rPr>
          <w:rFonts w:ascii="宋体" w:hAnsi="宋体" w:cs="宋体" w:eastAsia="宋体" w:hint="default"/>
          <w:sz w:val="27"/>
          <w:szCs w:val="27"/>
        </w:rPr>
      </w:pPr>
    </w:p>
    <w:p>
      <w:pPr>
        <w:pStyle w:val="BodyText"/>
        <w:spacing w:line="384" w:lineRule="auto" w:before="36"/>
        <w:ind w:right="1126" w:firstLine="420"/>
        <w:jc w:val="both"/>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LEVITAS</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
        </w:rPr>
        <w:t>S.P.A.</w:t>
      </w:r>
      <w:r>
        <w:rPr>
          <w:spacing w:val="-3"/>
        </w:rPr>
        <w:t>资产组与以前年度商誉减值测试时所确定的资产组一致，范围包括组成资产组的固</w:t>
      </w:r>
      <w:r>
        <w:rPr>
          <w:w w:val="100"/>
        </w:rPr>
        <w:t> </w:t>
      </w:r>
      <w:r>
        <w:rPr/>
        <w:t>定资产、无形资产、长期待摊费用。</w:t>
      </w:r>
    </w:p>
    <w:p>
      <w:pPr>
        <w:pStyle w:val="BodyText"/>
        <w:spacing w:line="386" w:lineRule="auto" w:before="108"/>
        <w:ind w:right="1128" w:firstLine="420"/>
        <w:jc w:val="both"/>
      </w:pPr>
      <w:r>
        <w:rPr>
          <w:rFonts w:ascii="Times New Roman" w:hAnsi="Times New Roman" w:cs="Times New Roman" w:eastAsia="Times New Roman" w:hint="default"/>
          <w:spacing w:val="-4"/>
        </w:rPr>
        <w:t>LEVITAS</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7"/>
        </w:rPr>
        <w:t>S.P.A.</w:t>
      </w:r>
      <w:r>
        <w:rPr>
          <w:spacing w:val="-7"/>
        </w:rPr>
        <w:t>资产组预计未来现金流量现值（可收回金额）利用了北京北方亚事资产评估事务所（特</w:t>
      </w:r>
      <w:r>
        <w:rPr>
          <w:w w:val="100"/>
        </w:rPr>
        <w:t> </w:t>
      </w:r>
      <w:r>
        <w:rPr/>
        <w:t>殊普通合伙）出具的《摩登大道时尚集团股份有限公司拟对合并</w:t>
      </w:r>
      <w:r>
        <w:rPr>
          <w:rFonts w:ascii="Times New Roman" w:hAnsi="Times New Roman" w:cs="Times New Roman" w:eastAsia="Times New Roman" w:hint="default"/>
        </w:rPr>
        <w:t>Levitas</w:t>
      </w:r>
      <w:r>
        <w:rPr>
          <w:rFonts w:ascii="Times New Roman" w:hAnsi="Times New Roman" w:cs="Times New Roman" w:eastAsia="Times New Roman" w:hint="default"/>
          <w:spacing w:val="19"/>
        </w:rPr>
        <w:t> </w:t>
      </w:r>
      <w:r>
        <w:rPr>
          <w:rFonts w:ascii="Times New Roman" w:hAnsi="Times New Roman" w:cs="Times New Roman" w:eastAsia="Times New Roman" w:hint="default"/>
        </w:rPr>
        <w:t>S.P.A</w:t>
      </w:r>
      <w:r>
        <w:rPr/>
        <w:t>形成的商誉进行减值测试项</w:t>
      </w:r>
      <w:r>
        <w:rPr>
          <w:spacing w:val="-103"/>
        </w:rPr>
        <w:t> </w:t>
      </w:r>
      <w:r>
        <w:rPr/>
        <w:t>目涉及的资产组可回收价值资产评估报告》北方亚事咨评字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01-032</w:t>
      </w:r>
      <w:r>
        <w:rPr/>
        <w:t>号的评估结果。</w:t>
      </w:r>
    </w:p>
    <w:p>
      <w:pPr>
        <w:pStyle w:val="BodyText"/>
        <w:spacing w:line="388" w:lineRule="auto" w:before="76"/>
        <w:ind w:right="1128" w:firstLine="42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LEVITAS</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2"/>
        </w:rPr>
        <w:t>S.P.A.</w:t>
      </w:r>
      <w:r>
        <w:rPr>
          <w:spacing w:val="-2"/>
        </w:rPr>
        <w:t>以预计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-2025</w:t>
      </w:r>
      <w:r>
        <w:rPr>
          <w:spacing w:val="-2"/>
        </w:rPr>
        <w:t>年的每期现金流量以及</w:t>
      </w:r>
      <w:r>
        <w:rPr>
          <w:rFonts w:ascii="Times New Roman" w:hAnsi="Times New Roman" w:cs="Times New Roman" w:eastAsia="Times New Roman" w:hint="default"/>
          <w:spacing w:val="-2"/>
        </w:rPr>
        <w:t>2026</w:t>
      </w:r>
      <w:r>
        <w:rPr>
          <w:spacing w:val="-2"/>
        </w:rPr>
        <w:t>年的永续现金流量，按</w:t>
      </w:r>
      <w:r>
        <w:rPr>
          <w:rFonts w:ascii="Times New Roman" w:hAnsi="Times New Roman" w:cs="Times New Roman" w:eastAsia="Times New Roman" w:hint="default"/>
          <w:spacing w:val="-2"/>
        </w:rPr>
        <w:t>10.69%</w:t>
      </w:r>
      <w:r>
        <w:rPr>
          <w:spacing w:val="-2"/>
        </w:rPr>
        <w:t>的折</w:t>
      </w:r>
      <w:r>
        <w:rPr>
          <w:spacing w:val="-3"/>
          <w:w w:val="100"/>
        </w:rPr>
        <w:t> </w:t>
      </w:r>
      <w:r>
        <w:rPr>
          <w:spacing w:val="-2"/>
        </w:rPr>
        <w:t>现率折现，计算出期末时点的可回收，与商誉加固定资产、无形资产、长期待摊费用账面价值之和进行比</w:t>
      </w:r>
      <w:r>
        <w:rPr>
          <w:spacing w:val="-47"/>
        </w:rPr>
        <w:t> </w:t>
      </w:r>
      <w:r>
        <w:rPr>
          <w:spacing w:val="-47"/>
        </w:rPr>
      </w:r>
      <w:r>
        <w:rPr/>
        <w:t>较对比。</w:t>
      </w:r>
      <w:r>
        <w:rPr>
          <w:rFonts w:ascii="Times New Roman" w:hAnsi="Times New Roman" w:cs="Times New Roman" w:eastAsia="Times New Roman" w:hint="default"/>
        </w:rPr>
        <w:t>LEVITAS </w:t>
      </w:r>
      <w:r>
        <w:rPr>
          <w:rFonts w:ascii="Times New Roman" w:hAnsi="Times New Roman" w:cs="Times New Roman" w:eastAsia="Times New Roman" w:hint="default"/>
          <w:spacing w:val="-5"/>
        </w:rPr>
        <w:t>S.P.A. </w:t>
      </w:r>
      <w:r>
        <w:rPr>
          <w:spacing w:val="4"/>
        </w:rPr>
        <w:t>对预计</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-2025</w:t>
      </w:r>
      <w:r>
        <w:rPr>
          <w:spacing w:val="4"/>
        </w:rPr>
        <w:t>年现金流量现值的计算采用了</w:t>
      </w:r>
      <w:r>
        <w:rPr>
          <w:rFonts w:ascii="Times New Roman" w:hAnsi="Times New Roman" w:cs="Times New Roman" w:eastAsia="Times New Roman" w:hint="default"/>
          <w:spacing w:val="4"/>
        </w:rPr>
        <w:t>77.89%-78.16%</w:t>
      </w:r>
      <w:r>
        <w:rPr>
          <w:spacing w:val="4"/>
        </w:rPr>
        <w:t>的毛利率及</w:t>
      </w:r>
      <w:r>
        <w:rPr>
          <w:spacing w:val="-86"/>
        </w:rPr>
        <w:t> </w:t>
      </w:r>
      <w:r>
        <w:rPr>
          <w:spacing w:val="-86"/>
        </w:rPr>
      </w:r>
      <w:r>
        <w:rPr>
          <w:rFonts w:ascii="Times New Roman" w:hAnsi="Times New Roman" w:cs="Times New Roman" w:eastAsia="Times New Roman" w:hint="default"/>
        </w:rPr>
        <w:t>8.10%-20.08%</w:t>
      </w:r>
      <w:r>
        <w:rPr/>
        <w:t>的营业收入增长率作为关键假设； </w:t>
      </w:r>
      <w:r>
        <w:rPr>
          <w:rFonts w:ascii="Times New Roman" w:hAnsi="Times New Roman" w:cs="Times New Roman" w:eastAsia="Times New Roman" w:hint="default"/>
          <w:spacing w:val="-4"/>
        </w:rPr>
        <w:t>LEVITAS </w:t>
      </w:r>
      <w:r>
        <w:rPr>
          <w:rFonts w:ascii="Times New Roman" w:hAnsi="Times New Roman" w:cs="Times New Roman" w:eastAsia="Times New Roman" w:hint="default"/>
          <w:spacing w:val="-5"/>
        </w:rPr>
        <w:t>S.P.A.</w:t>
      </w:r>
      <w:r>
        <w:rPr>
          <w:rFonts w:ascii="Times New Roman" w:hAnsi="Times New Roman" w:cs="Times New Roman" w:eastAsia="Times New Roman" w:hint="default"/>
          <w:spacing w:val="26"/>
        </w:rPr>
        <w:t> </w:t>
      </w:r>
      <w:r>
        <w:rPr/>
        <w:t>对预计</w:t>
      </w:r>
      <w:r>
        <w:rPr>
          <w:rFonts w:ascii="Times New Roman" w:hAnsi="Times New Roman" w:cs="Times New Roman" w:eastAsia="Times New Roman" w:hint="default"/>
        </w:rPr>
        <w:t>2026</w:t>
      </w:r>
      <w:r>
        <w:rPr/>
        <w:t>年永续现金流量现值的计算</w:t>
      </w:r>
      <w:r>
        <w:rPr>
          <w:w w:val="100"/>
        </w:rPr>
        <w:t> </w:t>
      </w:r>
      <w:r>
        <w:rPr/>
        <w:t>采用了</w:t>
      </w:r>
      <w:r>
        <w:rPr>
          <w:rFonts w:ascii="Times New Roman" w:hAnsi="Times New Roman" w:cs="Times New Roman" w:eastAsia="Times New Roman" w:hint="default"/>
        </w:rPr>
        <w:t>77.89%</w:t>
      </w:r>
      <w:r>
        <w:rPr/>
        <w:t>的毛利率及</w:t>
      </w:r>
      <w:r>
        <w:rPr>
          <w:rFonts w:ascii="Times New Roman" w:hAnsi="Times New Roman" w:cs="Times New Roman" w:eastAsia="Times New Roman" w:hint="default"/>
        </w:rPr>
        <w:t>0%</w:t>
      </w:r>
      <w:r>
        <w:rPr/>
        <w:t>的营业收入增长率作为关键假设。管理层根据预算期间之前的历史情况及对</w:t>
      </w:r>
      <w:r>
        <w:rPr>
          <w:spacing w:val="-12"/>
        </w:rPr>
        <w:t> </w:t>
      </w:r>
      <w:r>
        <w:rPr>
          <w:spacing w:val="-12"/>
        </w:rPr>
      </w:r>
      <w:r>
        <w:rPr>
          <w:spacing w:val="-2"/>
        </w:rPr>
        <w:t>市场发展的预测确定这些假设。根据测试结果对</w:t>
      </w:r>
      <w:r>
        <w:rPr>
          <w:rFonts w:ascii="Times New Roman" w:hAnsi="Times New Roman" w:cs="Times New Roman" w:eastAsia="Times New Roman" w:hint="default"/>
          <w:spacing w:val="-2"/>
        </w:rPr>
        <w:t>LEVITAS</w:t>
      </w:r>
      <w:r>
        <w:rPr>
          <w:rFonts w:ascii="Times New Roman" w:hAnsi="Times New Roman" w:cs="Times New Roman" w:eastAsia="Times New Roman" w:hint="default"/>
        </w:rPr>
        <w:t> </w:t>
      </w:r>
      <w:r>
        <w:rPr>
          <w:rFonts w:ascii="Times New Roman" w:hAnsi="Times New Roman" w:cs="Times New Roman" w:eastAsia="Times New Roman" w:hint="default"/>
          <w:spacing w:val="-2"/>
        </w:rPr>
        <w:t>S.P.A.</w:t>
      </w:r>
      <w:r>
        <w:rPr>
          <w:spacing w:val="-2"/>
        </w:rPr>
        <w:t>商誉剩余账面价值</w:t>
      </w:r>
      <w:r>
        <w:rPr>
          <w:rFonts w:ascii="Times New Roman" w:hAnsi="Times New Roman" w:cs="Times New Roman" w:eastAsia="Times New Roman" w:hint="default"/>
          <w:spacing w:val="-2"/>
        </w:rPr>
        <w:t>38,045,085.26</w:t>
      </w:r>
      <w:r>
        <w:rPr>
          <w:spacing w:val="-2"/>
        </w:rPr>
        <w:t>元全额计</w:t>
      </w:r>
      <w:r>
        <w:rPr>
          <w:spacing w:val="-72"/>
        </w:rPr>
        <w:t> </w:t>
      </w:r>
      <w:r>
        <w:rPr>
          <w:spacing w:val="-72"/>
        </w:rPr>
      </w:r>
      <w:r>
        <w:rPr/>
        <w:t>提减值准备。</w:t>
      </w:r>
    </w:p>
    <w:p>
      <w:pPr>
        <w:pStyle w:val="BodyText"/>
        <w:spacing w:line="384" w:lineRule="auto" w:before="106"/>
        <w:ind w:right="0" w:firstLine="314"/>
        <w:jc w:val="left"/>
      </w:pPr>
      <w:r>
        <w:rPr>
          <w:spacing w:val="-2"/>
        </w:rPr>
        <w:t>（</w:t>
      </w:r>
      <w:r>
        <w:rPr>
          <w:rFonts w:ascii="Times New Roman" w:hAnsi="Times New Roman" w:cs="Times New Roman" w:eastAsia="Times New Roman" w:hint="default"/>
          <w:spacing w:val="-2"/>
        </w:rPr>
        <w:t>3</w:t>
      </w:r>
      <w:r>
        <w:rPr>
          <w:spacing w:val="-2"/>
        </w:rPr>
        <w:t>）公司期末对与武汉悦然心动网络科技有限公司商誉相关的资产组进行了减值测试，将资产组账面</w:t>
      </w:r>
      <w:r>
        <w:rPr>
          <w:w w:val="100"/>
        </w:rPr>
        <w:t> </w:t>
      </w:r>
      <w:r>
        <w:rPr/>
        <w:t>价值与其预计未来现金流量现值进行比较，以确定资产组（包括商誉）是否发生了减值。</w:t>
      </w:r>
    </w:p>
    <w:p>
      <w:pPr>
        <w:pStyle w:val="BodyText"/>
        <w:spacing w:line="386" w:lineRule="auto" w:before="108"/>
        <w:ind w:right="1134" w:firstLine="420"/>
        <w:jc w:val="both"/>
      </w:pPr>
      <w:r>
        <w:rPr>
          <w:rFonts w:ascii="Times New Roman" w:hAnsi="Times New Roman" w:cs="Times New Roman" w:eastAsia="Times New Roman" w:hint="default"/>
        </w:rPr>
        <w:t>1</w:t>
      </w:r>
      <w:r>
        <w:rPr/>
        <w:t>）武汉悦然心动网络科技有限公司资产组与以前年度商誉减值测试时所确定的资产组一致，范围包</w:t>
      </w:r>
      <w:r>
        <w:rPr>
          <w:w w:val="100"/>
        </w:rPr>
        <w:t> </w:t>
      </w:r>
      <w:r>
        <w:rPr/>
        <w:t>括组成资产组的固定资产、无形资产、长期待摊费用。</w:t>
      </w:r>
    </w:p>
    <w:p>
      <w:pPr>
        <w:pStyle w:val="BodyText"/>
        <w:spacing w:line="408" w:lineRule="auto" w:before="106"/>
        <w:ind w:right="1126" w:firstLine="420"/>
        <w:jc w:val="both"/>
      </w:pPr>
      <w:r>
        <w:rPr>
          <w:spacing w:val="-2"/>
        </w:rPr>
        <w:t>武汉悦然心动网络科技有限公司资产组预计未来现金流量现值（可收回金额）利用了北京国融兴华资</w:t>
      </w:r>
      <w:r>
        <w:rPr>
          <w:w w:val="100"/>
        </w:rPr>
        <w:t> </w:t>
      </w:r>
      <w:r>
        <w:rPr>
          <w:spacing w:val="-2"/>
        </w:rPr>
        <w:t>产评估有限责任公司出具的《摩登大道时尚集团股份有限公司拟以财务报告为目的所涉及的武汉悦然心动</w:t>
      </w:r>
      <w:r>
        <w:rPr>
          <w:spacing w:val="-43"/>
        </w:rPr>
        <w:t> </w:t>
      </w:r>
      <w:r>
        <w:rPr>
          <w:spacing w:val="-43"/>
        </w:rPr>
      </w:r>
      <w:r>
        <w:rPr>
          <w:spacing w:val="-4"/>
          <w:w w:val="100"/>
        </w:rPr>
        <w:t>网络科技有限公司商誉减值测试项目资产评估报告》（国融兴华评报字</w:t>
      </w:r>
      <w:r>
        <w:rPr>
          <w:rFonts w:ascii="Times New Roman" w:hAnsi="Times New Roman" w:cs="Times New Roman" w:eastAsia="Times New Roman" w:hint="default"/>
          <w:spacing w:val="-4"/>
          <w:w w:val="100"/>
        </w:rPr>
        <w:t>[2019]</w:t>
      </w:r>
      <w:r>
        <w:rPr>
          <w:spacing w:val="-4"/>
          <w:w w:val="100"/>
        </w:rPr>
        <w:t>第</w:t>
      </w:r>
      <w:r>
        <w:rPr>
          <w:rFonts w:ascii="Times New Roman" w:hAnsi="Times New Roman" w:cs="Times New Roman" w:eastAsia="Times New Roman" w:hint="default"/>
          <w:spacing w:val="-4"/>
          <w:w w:val="100"/>
        </w:rPr>
        <w:t>620002</w:t>
      </w:r>
      <w:r>
        <w:rPr>
          <w:spacing w:val="-4"/>
          <w:w w:val="100"/>
        </w:rPr>
        <w:t>号）的评估结果。</w:t>
      </w:r>
    </w:p>
    <w:p>
      <w:pPr>
        <w:pStyle w:val="BodyText"/>
        <w:spacing w:line="388" w:lineRule="auto" w:before="57"/>
        <w:ind w:right="1022" w:firstLine="420"/>
        <w:jc w:val="left"/>
      </w:pPr>
      <w:r>
        <w:rPr>
          <w:rFonts w:ascii="Times New Roman" w:hAnsi="Times New Roman" w:cs="Times New Roman" w:eastAsia="Times New Roman" w:hint="default"/>
          <w:spacing w:val="-3"/>
          <w:w w:val="100"/>
        </w:rPr>
        <w:t>2</w:t>
      </w:r>
      <w:r>
        <w:rPr>
          <w:spacing w:val="-3"/>
          <w:w w:val="100"/>
        </w:rPr>
        <w:t>）武汉悦然心动网络科技有限公司以预计</w:t>
      </w:r>
      <w:r>
        <w:rPr>
          <w:rFonts w:ascii="Times New Roman" w:hAnsi="Times New Roman" w:cs="Times New Roman" w:eastAsia="Times New Roman" w:hint="default"/>
          <w:spacing w:val="-3"/>
          <w:w w:val="100"/>
        </w:rPr>
        <w:t>2019</w:t>
      </w:r>
      <w:r>
        <w:rPr>
          <w:spacing w:val="-3"/>
          <w:w w:val="100"/>
        </w:rPr>
        <w:t>年</w:t>
      </w:r>
      <w:r>
        <w:rPr>
          <w:rFonts w:ascii="Times New Roman" w:hAnsi="Times New Roman" w:cs="Times New Roman" w:eastAsia="Times New Roman" w:hint="default"/>
          <w:spacing w:val="-3"/>
          <w:w w:val="100"/>
        </w:rPr>
        <w:t>-2023</w:t>
      </w:r>
      <w:r>
        <w:rPr>
          <w:spacing w:val="-3"/>
          <w:w w:val="100"/>
        </w:rPr>
        <w:t>年的每期现金流量以及</w:t>
      </w:r>
      <w:r>
        <w:rPr>
          <w:rFonts w:ascii="Times New Roman" w:hAnsi="Times New Roman" w:cs="Times New Roman" w:eastAsia="Times New Roman" w:hint="default"/>
          <w:spacing w:val="-3"/>
          <w:w w:val="100"/>
        </w:rPr>
        <w:t>2024</w:t>
      </w:r>
      <w:r>
        <w:rPr>
          <w:spacing w:val="-3"/>
          <w:w w:val="100"/>
        </w:rPr>
        <w:t>年的永续现金流量，</w:t>
      </w:r>
      <w:r>
        <w:rPr>
          <w:w w:val="100"/>
        </w:rPr>
        <w:t> </w:t>
      </w:r>
      <w:r>
        <w:rPr>
          <w:spacing w:val="-3"/>
        </w:rPr>
        <w:t>按</w:t>
      </w:r>
      <w:r>
        <w:rPr>
          <w:rFonts w:ascii="Times New Roman" w:hAnsi="Times New Roman" w:cs="Times New Roman" w:eastAsia="Times New Roman" w:hint="default"/>
          <w:spacing w:val="-3"/>
        </w:rPr>
        <w:t>16.06%</w:t>
      </w:r>
      <w:r>
        <w:rPr>
          <w:spacing w:val="-3"/>
        </w:rPr>
        <w:t>的折现率折现，计算出期末时点的价值，与商誉加固定资产、无形资产、长期待摊费用账面价值</w:t>
      </w:r>
      <w:r>
        <w:rPr>
          <w:spacing w:val="-13"/>
        </w:rPr>
        <w:t> </w:t>
      </w:r>
      <w:r>
        <w:rPr>
          <w:spacing w:val="-13"/>
        </w:rPr>
      </w:r>
      <w:r>
        <w:rPr>
          <w:spacing w:val="4"/>
        </w:rPr>
        <w:t>之和进行比较对比。对武汉悦然心动网络科技有限公司预计</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-2023</w:t>
      </w:r>
      <w:r>
        <w:rPr>
          <w:spacing w:val="4"/>
        </w:rPr>
        <w:t>年现金流量现值的计算采用了</w:t>
      </w:r>
      <w:r>
        <w:rPr>
          <w:spacing w:val="6"/>
        </w:rPr>
        <w:t> </w:t>
      </w:r>
      <w:r>
        <w:rPr>
          <w:spacing w:val="6"/>
        </w:rPr>
      </w:r>
      <w:r>
        <w:rPr>
          <w:rFonts w:ascii="Times New Roman" w:hAnsi="Times New Roman" w:cs="Times New Roman" w:eastAsia="Times New Roman" w:hint="default"/>
          <w:spacing w:val="-3"/>
          <w:w w:val="100"/>
        </w:rPr>
        <w:t>29.66%-31.71%</w:t>
      </w:r>
      <w:r>
        <w:rPr>
          <w:spacing w:val="-3"/>
          <w:w w:val="100"/>
        </w:rPr>
        <w:t>的毛利率及</w:t>
      </w:r>
      <w:r>
        <w:rPr>
          <w:rFonts w:ascii="Times New Roman" w:hAnsi="Times New Roman" w:cs="Times New Roman" w:eastAsia="Times New Roman" w:hint="default"/>
          <w:spacing w:val="-3"/>
          <w:w w:val="100"/>
        </w:rPr>
        <w:t>-15.05%-10.07%</w:t>
      </w:r>
      <w:r>
        <w:rPr>
          <w:spacing w:val="-3"/>
          <w:w w:val="100"/>
        </w:rPr>
        <w:t>的营业收入增长率作为关键假设；对武汉悦然心动网络科技有限</w:t>
      </w:r>
      <w:r>
        <w:rPr>
          <w:spacing w:val="-84"/>
          <w:w w:val="100"/>
        </w:rPr>
        <w:t> </w:t>
      </w:r>
      <w:r>
        <w:rPr>
          <w:spacing w:val="-84"/>
          <w:w w:val="100"/>
        </w:rPr>
      </w:r>
      <w:r>
        <w:rPr/>
        <w:t>公司预计</w:t>
      </w:r>
      <w:r>
        <w:rPr>
          <w:rFonts w:ascii="Times New Roman" w:hAnsi="Times New Roman" w:cs="Times New Roman" w:eastAsia="Times New Roman" w:hint="default"/>
        </w:rPr>
        <w:t>2024</w:t>
      </w:r>
      <w:r>
        <w:rPr/>
        <w:t>年永续现金流量现值的计算采用了</w:t>
      </w:r>
      <w:r>
        <w:rPr>
          <w:rFonts w:ascii="Times New Roman" w:hAnsi="Times New Roman" w:cs="Times New Roman" w:eastAsia="Times New Roman" w:hint="default"/>
        </w:rPr>
        <w:t>29.66%</w:t>
      </w:r>
      <w:r>
        <w:rPr/>
        <w:t>的毛利率及</w:t>
      </w:r>
      <w:r>
        <w:rPr>
          <w:rFonts w:ascii="Times New Roman" w:hAnsi="Times New Roman" w:cs="Times New Roman" w:eastAsia="Times New Roman" w:hint="default"/>
        </w:rPr>
        <w:t>0%</w:t>
      </w:r>
      <w:r>
        <w:rPr/>
        <w:t>的营业收入增长率作为关键假设。</w:t>
      </w:r>
      <w:r>
        <w:rPr>
          <w:spacing w:val="-10"/>
        </w:rPr>
        <w:t> </w:t>
      </w:r>
      <w:r>
        <w:rPr>
          <w:spacing w:val="-10"/>
        </w:rPr>
      </w:r>
      <w:r>
        <w:rPr>
          <w:spacing w:val="-2"/>
        </w:rPr>
        <w:t>管理层根据预算期间之前的历史情况及对市场发展的预测确定这些假设。经测试，本期武汉悦然心动网络</w:t>
      </w:r>
      <w:r>
        <w:rPr>
          <w:spacing w:val="-43"/>
        </w:rPr>
        <w:t> </w:t>
      </w:r>
      <w:r>
        <w:rPr>
          <w:spacing w:val="-43"/>
        </w:rPr>
      </w:r>
      <w:r>
        <w:rPr/>
        <w:t>科技有限公司的商誉无需计提减值准备。</w:t>
      </w:r>
    </w:p>
    <w:p>
      <w:pPr>
        <w:spacing w:line="316" w:lineRule="auto" w:before="47"/>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spacing w:line="360" w:lineRule="auto" w:before="57"/>
        <w:ind w:left="113" w:right="9133"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after="0" w:line="36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5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52,224,362.36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24,119,550.02</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28,105,766.48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-1,389,357.24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49,627,503.14</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1,097,608.17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2,302,360.80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1,082,888.94</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2,317,080.03</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购买品牌补偿费</w:t>
            </w:r>
          </w:p>
        </w:tc>
        <w:tc>
          <w:tcPr>
            <w:tcW w:w="15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25,021,449.14</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6,081,195.17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-183,910.95</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19,124,164.92</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银团贷款费用</w:t>
            </w:r>
          </w:p>
        </w:tc>
        <w:tc>
          <w:tcPr>
            <w:tcW w:w="15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437,418.47</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173,339.04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-1,683.82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265,763.25</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588,250.16</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111,714.39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519.85</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476,015.92</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78,780,838.14</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27,010,160.98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35,554,904.02</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-1,574,432.16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71,810,527.26</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113,904,374.93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22,354,581.39</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81,290,300.38</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17,721,475.80</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6,919,412.73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1,007,428.55</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5,190,492.85</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859,142.97</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10,763,552.93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1,614,532.94</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4,893,346.33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734,001.95</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131,587,340.59</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24,976,542.88</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91,374,139.56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19,314,620.72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长期待摊费用摊销差 异</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14,666,364.92</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1,759,963.79</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10,072,512.42</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1,208,701.49</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品牌增值</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66,478,526.63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18,547,508.93</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70,507,528.19</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20,256,812.85</w:t>
            </w:r>
          </w:p>
        </w:tc>
      </w:tr>
      <w:tr>
        <w:trPr>
          <w:trHeight w:val="71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49"/>
              <w:ind w:left="103" w:right="242"/>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品牌账面摊销差 异</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8,449,413.76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2,357,386.44</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6,000,686.46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1,723,997.22</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悦然心动软件增值</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854,628.56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106,828.57</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1,709,257.12</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213,657.14</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90,448,933.87</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22,771,687.73</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88,289,984.19</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23,403,168.70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22" w:right="142" w:hanging="181"/>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30" w:right="142"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30" w:right="142"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24,976,542.88</w:t>
            </w: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19,314,620.72</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22,771,687.73</w:t>
            </w: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23,403,168.70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625,036,951.56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539,237,035.13</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4,923,402.05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592,408.40</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629,960,353.61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539,829,443.53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9"/>
        <w:gridCol w:w="2396"/>
        <w:gridCol w:w="2393"/>
        <w:gridCol w:w="2393"/>
      </w:tblGrid>
      <w:tr>
        <w:trPr>
          <w:trHeight w:val="402"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8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15,520,579.11</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right="8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22,475,633.81</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22,475,633.81</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893"/>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46,040,034.89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46,040,034.89</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right="893"/>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135,907,910.94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135,907,910.94</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893"/>
              <w:jc w:val="righ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268,005,880.98</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268,005,880.98</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right="893"/>
              <w:jc w:val="righ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92,303,894.09</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917"/>
              <w:jc w:val="right"/>
              <w:rPr>
                <w:rFonts w:ascii="宋体" w:hAnsi="宋体" w:cs="宋体" w:eastAsia="宋体" w:hint="default"/>
                <w:sz w:val="18"/>
                <w:szCs w:val="18"/>
              </w:rPr>
            </w:pPr>
            <w:r>
              <w:rPr>
                <w:rFonts w:ascii="宋体" w:hAnsi="宋体" w:cs="宋体" w:eastAsia="宋体" w:hint="default"/>
                <w:sz w:val="18"/>
                <w:szCs w:val="18"/>
              </w:rPr>
              <w:t>无限期</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60,303,596.85</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51,286,995.40</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625,036,951.56</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539,237,035.13</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533" w:right="0"/>
        <w:jc w:val="left"/>
      </w:pPr>
      <w:r>
        <w:rPr/>
        <w:t>注：香港地区子公司、孙公司的亏损可以结转以后年度无限期抵补。</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44,259,676.98</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35,199,223.20</w:t>
            </w:r>
          </w:p>
        </w:tc>
        <w:tc>
          <w:tcPr>
            <w:tcW w:w="3191"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351,625.50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79,810,525.68</w:t>
            </w:r>
          </w:p>
        </w:tc>
        <w:tc>
          <w:tcPr>
            <w:tcW w:w="3191" w:type="dxa"/>
            <w:tcBorders>
              <w:top w:val="single" w:sz="4" w:space="0" w:color="933734"/>
              <w:left w:val="single" w:sz="4" w:space="0" w:color="933734"/>
              <w:bottom w:val="single" w:sz="4" w:space="0" w:color="933734"/>
              <w:right w:val="single" w:sz="4" w:space="0" w:color="933734"/>
            </w:tcBorders>
          </w:tcPr>
          <w:p>
            <w:pP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ind w:right="0" w:firstLine="420"/>
        <w:jc w:val="left"/>
      </w:pPr>
      <w:r>
        <w:rPr>
          <w:spacing w:val="-2"/>
        </w:rPr>
        <w:t>注：预付股权投资款为公司支付收购</w:t>
      </w:r>
      <w:r>
        <w:rPr>
          <w:rFonts w:ascii="Times New Roman" w:hAnsi="Times New Roman" w:cs="Times New Roman" w:eastAsia="Times New Roman" w:hint="default"/>
          <w:spacing w:val="-2"/>
        </w:rPr>
        <w:t>LEVITAS</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rPr>
        <w:t>S.P.A.</w:t>
      </w:r>
      <w:r>
        <w:rPr>
          <w:spacing w:val="-2"/>
        </w:rPr>
        <w:t>少数股东权益款。截止至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日股权尚</w:t>
      </w:r>
      <w:r>
        <w:rPr>
          <w:w w:val="100"/>
        </w:rPr>
        <w:t> </w:t>
      </w:r>
      <w:r>
        <w:rPr/>
        <w:t>未完成交割。</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260,000,000.00</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3"/>
        <w:rPr>
          <w:rFonts w:ascii="宋体" w:hAnsi="宋体" w:cs="宋体" w:eastAsia="宋体" w:hint="default"/>
          <w:sz w:val="13"/>
          <w:szCs w:val="13"/>
        </w:rPr>
      </w:pPr>
    </w:p>
    <w:p>
      <w:pPr>
        <w:pStyle w:val="BodyText"/>
        <w:spacing w:line="386" w:lineRule="auto"/>
        <w:ind w:right="0" w:firstLine="420"/>
        <w:jc w:val="left"/>
      </w:pPr>
      <w:r>
        <w:rPr>
          <w:spacing w:val="-1"/>
        </w:rPr>
        <w:t>注：公司以天河区黄埔大道西</w:t>
      </w:r>
      <w:r>
        <w:rPr>
          <w:rFonts w:ascii="Times New Roman" w:hAnsi="Times New Roman" w:cs="Times New Roman" w:eastAsia="Times New Roman" w:hint="default"/>
          <w:spacing w:val="-1"/>
        </w:rPr>
        <w:t>638</w:t>
      </w:r>
      <w:r>
        <w:rPr>
          <w:spacing w:val="-1"/>
        </w:rPr>
        <w:t>号</w:t>
      </w:r>
      <w:r>
        <w:rPr>
          <w:rFonts w:ascii="Times New Roman" w:hAnsi="Times New Roman" w:cs="Times New Roman" w:eastAsia="Times New Roman" w:hint="default"/>
          <w:spacing w:val="-1"/>
        </w:rPr>
        <w:t>1301</w:t>
      </w:r>
      <w:r>
        <w:rPr>
          <w:spacing w:val="-1"/>
        </w:rPr>
        <w:t>房</w:t>
      </w:r>
      <w:r>
        <w:rPr>
          <w:rFonts w:ascii="Times New Roman" w:hAnsi="Times New Roman" w:cs="Times New Roman" w:eastAsia="Times New Roman" w:hint="default"/>
          <w:spacing w:val="-1"/>
        </w:rPr>
        <w:t>-1310</w:t>
      </w:r>
      <w:r>
        <w:rPr>
          <w:spacing w:val="-1"/>
        </w:rPr>
        <w:t>房作为抵押，股东林永飞作为连带担保，从上海浦东</w:t>
      </w:r>
      <w:r>
        <w:rPr>
          <w:w w:val="100"/>
        </w:rPr>
        <w:t> </w:t>
      </w:r>
      <w:r>
        <w:rPr/>
        <w:t>发展银行取得抵押保证借款</w:t>
      </w:r>
      <w:r>
        <w:rPr>
          <w:rFonts w:ascii="Times New Roman" w:hAnsi="Times New Roman" w:cs="Times New Roman" w:eastAsia="Times New Roman" w:hint="default"/>
        </w:rPr>
        <w:t>15,000</w:t>
      </w:r>
      <w:r>
        <w:rPr/>
        <w:t>万元。</w:t>
      </w:r>
    </w:p>
    <w:p>
      <w:pPr>
        <w:pStyle w:val="BodyText"/>
        <w:spacing w:line="408" w:lineRule="auto" w:before="74"/>
        <w:ind w:right="0" w:firstLine="420"/>
        <w:jc w:val="left"/>
      </w:pPr>
      <w:r>
        <w:rPr>
          <w:spacing w:val="-2"/>
        </w:rPr>
        <w:t>子公司广州狮丹贸易有限公司以及股东林永飞为摩登大道时尚集团股份有限公司提供连带担保，从华</w:t>
      </w:r>
      <w:r>
        <w:rPr>
          <w:w w:val="100"/>
        </w:rPr>
        <w:t> </w:t>
      </w:r>
      <w:r>
        <w:rPr/>
        <w:t>夏银行取得保证借款</w:t>
      </w:r>
      <w:r>
        <w:rPr>
          <w:rFonts w:ascii="Times New Roman" w:hAnsi="Times New Roman" w:cs="Times New Roman" w:eastAsia="Times New Roman" w:hint="default"/>
        </w:rPr>
        <w:t>5,000</w:t>
      </w:r>
      <w:r>
        <w:rPr/>
        <w:t>万元。</w:t>
      </w:r>
    </w:p>
    <w:p>
      <w:pPr>
        <w:pStyle w:val="BodyText"/>
        <w:spacing w:line="408" w:lineRule="auto" w:before="55"/>
        <w:ind w:right="0" w:firstLine="420"/>
        <w:jc w:val="left"/>
      </w:pPr>
      <w:r>
        <w:rPr>
          <w:spacing w:val="-2"/>
        </w:rPr>
        <w:t>子公司广州狮丹贸易有限公司以及股东翁武强为摩登大道时尚集团股份有限公司提供连带担保，从兴</w:t>
      </w:r>
      <w:r>
        <w:rPr>
          <w:w w:val="100"/>
        </w:rPr>
        <w:t> </w:t>
      </w:r>
      <w:r>
        <w:rPr/>
        <w:t>业银行取得保证借款</w:t>
      </w:r>
      <w:r>
        <w:rPr>
          <w:rFonts w:ascii="Times New Roman" w:hAnsi="Times New Roman" w:cs="Times New Roman" w:eastAsia="Times New Roman" w:hint="default"/>
        </w:rPr>
        <w:t>3,000</w:t>
      </w:r>
      <w:r>
        <w:rPr/>
        <w:t>万元。</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22</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23</w:t>
      </w:r>
      <w:r>
        <w:rPr/>
        <w:t>、应付票据及应付账款</w:t>
      </w:r>
      <w:r>
        <w:rPr>
          <w:b w:val="0"/>
          <w:bCs w:val="0"/>
        </w:rPr>
      </w:r>
    </w:p>
    <w:p>
      <w:pPr>
        <w:spacing w:line="240" w:lineRule="auto" w:before="5"/>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6,940,677.10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26,740,148.80</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116,160,569.85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57,599,588.02</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123,101,246.95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84,339,736.82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6,940,677.10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26,740,148.80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6,940,677.10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26,740,148.80</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116,160,569.85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57,599,588.02</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116,160,569.85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57,599,588.02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河北正泰实业集团有限公司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1,311,097.81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广州市亚翁服饰有限公司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1,169,168.87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1,015,200.00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3,495,466.68</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预收货物销售款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42,087,479.70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39,384,643.49</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42,087,479.70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39,384,643.49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南阳红都百货有限公司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1,192,568.40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0"/>
              <w:ind w:left="3" w:right="0"/>
              <w:jc w:val="center"/>
              <w:rPr>
                <w:rFonts w:ascii="宋体" w:hAnsi="宋体" w:cs="宋体" w:eastAsia="宋体" w:hint="default"/>
                <w:sz w:val="18"/>
                <w:szCs w:val="18"/>
              </w:rPr>
            </w:pPr>
            <w:r>
              <w:rPr>
                <w:rFonts w:ascii="宋体" w:hAnsi="宋体" w:cs="宋体" w:eastAsia="宋体" w:hint="default"/>
                <w:sz w:val="18"/>
                <w:szCs w:val="18"/>
              </w:rPr>
              <w:t>以前年度付货款及订金金额较大</w:t>
            </w:r>
            <w:r>
              <w:rPr>
                <w:rFonts w:ascii="宋体" w:hAnsi="宋体" w:cs="宋体" w:eastAsia="宋体" w:hint="default"/>
                <w:spacing w:val="-87"/>
                <w:sz w:val="18"/>
                <w:szCs w:val="18"/>
              </w:rPr>
              <w:t>，</w:t>
            </w:r>
            <w:r>
              <w:rPr>
                <w:rFonts w:ascii="宋体" w:hAnsi="宋体" w:cs="宋体" w:eastAsia="宋体" w:hint="default"/>
                <w:sz w:val="18"/>
                <w:szCs w:val="18"/>
              </w:rPr>
              <w:t>实际</w:t>
            </w:r>
          </w:p>
        </w:tc>
      </w:tr>
    </w:tbl>
    <w:p>
      <w:pPr>
        <w:spacing w:after="0" w:line="240" w:lineRule="auto"/>
        <w:jc w:val="center"/>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363" w:hRule="exact"/>
        </w:trPr>
        <w:tc>
          <w:tcPr>
            <w:tcW w:w="3188" w:type="dxa"/>
            <w:tcBorders>
              <w:top w:val="single" w:sz="4" w:space="0" w:color="933734"/>
              <w:left w:val="single" w:sz="4" w:space="0" w:color="933734"/>
              <w:bottom w:val="single" w:sz="4" w:space="0" w:color="933734"/>
              <w:right w:val="single" w:sz="4" w:space="0" w:color="933734"/>
            </w:tcBorders>
          </w:tcPr>
          <w:p>
            <w:pPr/>
          </w:p>
        </w:tc>
        <w:tc>
          <w:tcPr>
            <w:tcW w:w="3192"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发货较少</w:t>
            </w:r>
          </w:p>
        </w:tc>
      </w:tr>
      <w:tr>
        <w:trPr>
          <w:trHeight w:val="71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岳阳市泓勋商贸有限公司</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6"/>
                <w:sz w:val="18"/>
                <w:szCs w:val="18"/>
              </w:rPr>
              <w:t>以前年度付货款及订金金额较大，实际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发货较少</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2,592,568.40</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9,815,318.73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185,553,900.62</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182,926,034.16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12,443,185.19</w:t>
            </w:r>
          </w:p>
        </w:tc>
      </w:tr>
      <w:tr>
        <w:trPr>
          <w:trHeight w:val="71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1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270,630.74</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11,377,055.96</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11,379,416.92</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268,269.78</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2,115,906.49</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2,115,906.49</w:t>
            </w: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四、一年内到期的其 他福利</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4,893,346.33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5,708,965.27</w:t>
            </w: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10,602,311.60</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14,979,295.80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204,755,828.34</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196,421,357.57</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23,313,766.57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9,624,719.81</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169,528,710.78</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166,825,449.24</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12,327,981.35</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6,684,665.73</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6,684,665.73</w:t>
            </w: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24,618.92</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5,774,648.23</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5,783,447.70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15,819.45</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18,619.26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4,833,759.33</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4,842,593.40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9,785.19</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5,999.66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223,246.73</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223,212.13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6,034.26</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466,731.47</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466,731.47</w:t>
            </w: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137,880.03</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137,880.03</w:t>
            </w: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重大疾病医疗补助</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113,030.67</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113,030.67</w:t>
            </w: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165,980.00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3,206,609.31</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3,315,223.31</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57,366.00</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、职工教育经费</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317,248.18</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317,248.18</w:t>
            </w:r>
          </w:p>
        </w:tc>
        <w:tc>
          <w:tcPr>
            <w:tcW w:w="191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42,018.39</w:t>
            </w: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42,018.39</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9,815,318.73</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185,553,900.62</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182,926,034.16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12,443,185.19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270,630.74</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10,876,581.18</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10,893,900.01</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253,311.91</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500,474.78</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485,516.91</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14,957.87</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270,630.74</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11,377,055.96</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11,379,416.92</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268,269.78</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3"/>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5,005,657.51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7,718,023.73</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3,539,617.58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5,977,458.24</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736,978.46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957,010.80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226,373.75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540,284.98</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3,697,899.23</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241,980.55</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97,024.56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231,271.94</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64,683.05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154,645.93</w:t>
            </w:r>
          </w:p>
        </w:tc>
      </w:tr>
      <w:tr>
        <w:trPr>
          <w:trHeight w:val="404"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43,620.75</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28,228.78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9,507.71</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13,440,083.67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15,830,183.88</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962,513.59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1,109,452.02</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116,852,133.97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132,644,395.90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117,814,647.56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133,753,847.92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应付银行利息</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962,513.59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1,109,452.02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962,513.59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1,109,452.02</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906" w:footer="1079" w:top="1100" w:bottom="1260" w:left="1020" w:right="0"/>
        </w:sectPr>
      </w:pPr>
    </w:p>
    <w:p>
      <w:pPr>
        <w:pStyle w:val="BodyText"/>
        <w:spacing w:line="240" w:lineRule="auto" w:before="36"/>
        <w:ind w:right="0"/>
        <w:jc w:val="left"/>
      </w:pPr>
      <w:r>
        <w:rPr>
          <w:rFonts w:ascii="Times New Roman" w:hAnsi="Times New Roman" w:cs="Times New Roman" w:eastAsia="Times New Roman" w:hint="default"/>
          <w:spacing w:val="-2"/>
        </w:rPr>
        <w:t>1)</w:t>
      </w:r>
      <w:r>
        <w:rPr>
          <w:spacing w:val="-2"/>
        </w:rPr>
        <w:t>按款项性质列示其他应付款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80" w:bottom="280" w:left="1020" w:right="0"/>
          <w:cols w:num="2" w:equalWidth="0">
            <w:col w:w="2812" w:space="6109"/>
            <w:col w:w="1969"/>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39,346,201.21</w:t>
            </w:r>
          </w:p>
        </w:tc>
        <w:tc>
          <w:tcPr>
            <w:tcW w:w="3191"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22,683,511.72</w:t>
            </w:r>
          </w:p>
        </w:tc>
      </w:tr>
      <w:tr>
        <w:trPr>
          <w:trHeight w:val="401" w:hRule="exact"/>
        </w:trPr>
        <w:tc>
          <w:tcPr>
            <w:tcW w:w="3188"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2"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15,433,363.15</w:t>
            </w:r>
          </w:p>
        </w:tc>
        <w:tc>
          <w:tcPr>
            <w:tcW w:w="3191"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11,330,128.30</w:t>
            </w:r>
          </w:p>
        </w:tc>
      </w:tr>
      <w:tr>
        <w:trPr>
          <w:trHeight w:val="403" w:hRule="exact"/>
        </w:trPr>
        <w:tc>
          <w:tcPr>
            <w:tcW w:w="3188"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2"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481,048.23</w:t>
            </w:r>
          </w:p>
        </w:tc>
        <w:tc>
          <w:tcPr>
            <w:tcW w:w="3191"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656,132.99</w:t>
            </w:r>
          </w:p>
        </w:tc>
      </w:tr>
      <w:tr>
        <w:trPr>
          <w:trHeight w:val="401" w:hRule="exact"/>
        </w:trPr>
        <w:tc>
          <w:tcPr>
            <w:tcW w:w="3188"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60,609,728.72</w:t>
            </w:r>
          </w:p>
        </w:tc>
        <w:tc>
          <w:tcPr>
            <w:tcW w:w="3191"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95,328,569.01</w:t>
            </w:r>
          </w:p>
        </w:tc>
      </w:tr>
      <w:tr>
        <w:trPr>
          <w:trHeight w:val="403" w:hRule="exact"/>
        </w:trPr>
        <w:tc>
          <w:tcPr>
            <w:tcW w:w="3188"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981,792.66</w:t>
            </w:r>
          </w:p>
        </w:tc>
        <w:tc>
          <w:tcPr>
            <w:tcW w:w="3191"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2,646,053.88</w:t>
            </w:r>
          </w:p>
        </w:tc>
      </w:tr>
      <w:tr>
        <w:trPr>
          <w:trHeight w:val="403" w:hRule="exact"/>
        </w:trPr>
        <w:tc>
          <w:tcPr>
            <w:tcW w:w="318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116,852,133.97</w:t>
            </w:r>
          </w:p>
        </w:tc>
        <w:tc>
          <w:tcPr>
            <w:tcW w:w="3191" w:type="dxa"/>
            <w:tcBorders>
              <w:top w:val="single" w:sz="4" w:space="0" w:color="800000"/>
              <w:left w:val="single" w:sz="4" w:space="0" w:color="800000"/>
              <w:bottom w:val="single" w:sz="4" w:space="0" w:color="800000"/>
              <w:right w:val="single" w:sz="4" w:space="0" w:color="8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132,644,395.90</w:t>
            </w:r>
          </w:p>
        </w:tc>
      </w:tr>
    </w:tbl>
    <w:p>
      <w:pPr>
        <w:pStyle w:val="BodyText"/>
        <w:spacing w:line="278" w:lineRule="exact"/>
        <w:ind w:right="0"/>
        <w:jc w:val="left"/>
      </w:pPr>
      <w:r>
        <w:rPr>
          <w:rFonts w:ascii="Times New Roman" w:hAnsi="Times New Roman" w:cs="Times New Roman" w:eastAsia="Times New Roman" w:hint="default"/>
        </w:rPr>
        <w:t>2</w:t>
      </w:r>
      <w:r>
        <w:rPr/>
        <w:t>）公司期末不存在账龄超过一年的大额其他应付款。</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49,242,375.57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29,189,375.49</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49,242,375.57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29,189,375.49</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40" w:lineRule="auto"/>
        <w:ind w:left="526" w:right="0"/>
        <w:jc w:val="left"/>
      </w:pPr>
      <w:r>
        <w:rPr/>
        <w:t>注：详见下面附注七：</w:t>
      </w:r>
      <w:r>
        <w:rPr>
          <w:rFonts w:ascii="Times New Roman" w:hAnsi="Times New Roman" w:cs="Times New Roman" w:eastAsia="Times New Roman" w:hint="default"/>
        </w:rPr>
        <w:t>30</w:t>
      </w:r>
      <w:r>
        <w:rPr/>
        <w:t>、长期借款。</w:t>
      </w:r>
    </w:p>
    <w:p>
      <w:pPr>
        <w:pStyle w:val="BodyText"/>
        <w:spacing w:line="240" w:lineRule="auto" w:before="136"/>
        <w:ind w:left="427" w:right="0"/>
        <w:jc w:val="left"/>
      </w:pPr>
      <w:r>
        <w:rPr/>
        <w:t>（</w:t>
      </w:r>
      <w:r>
        <w:rPr>
          <w:rFonts w:ascii="Times New Roman" w:hAnsi="Times New Roman" w:cs="Times New Roman" w:eastAsia="Times New Roman" w:hint="default"/>
        </w:rPr>
        <w:t>2</w:t>
      </w:r>
      <w:r>
        <w:rPr/>
        <w:t>）公司报告期</w:t>
      </w:r>
      <w:r>
        <w:rPr>
          <w:rFonts w:ascii="Times New Roman" w:hAnsi="Times New Roman" w:cs="Times New Roman" w:eastAsia="Times New Roman" w:hint="default"/>
        </w:rPr>
        <w:t>1</w:t>
      </w:r>
      <w:r>
        <w:rPr/>
        <w:t>年内到期的长期借款的利率区间为：</w:t>
      </w:r>
      <w:r>
        <w:rPr>
          <w:rFonts w:ascii="Times New Roman" w:hAnsi="Times New Roman" w:cs="Times New Roman" w:eastAsia="Times New Roman" w:hint="default"/>
        </w:rPr>
        <w:t>4.500%-6.027%</w:t>
      </w:r>
      <w:r>
        <w:rPr/>
        <w:t>。</w:t>
      </w:r>
    </w:p>
    <w:p>
      <w:pPr>
        <w:spacing w:line="240" w:lineRule="auto" w:before="6"/>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29</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暂估销项税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131,331.61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2,275.01</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131,331.61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2,275.01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30</w:t>
      </w:r>
      <w:r>
        <w:rPr/>
        <w:t>、长期借款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type w:val="continuous"/>
          <w:pgSz w:w="11910" w:h="16840"/>
          <w:pgMar w:top="380" w:bottom="28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4,621,187.79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13,784,063.44</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240,000,000.00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244,621,187.79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313,784,063.44</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
        <w:rPr>
          <w:rFonts w:ascii="宋体" w:hAnsi="宋体" w:cs="宋体" w:eastAsia="宋体" w:hint="default"/>
          <w:sz w:val="13"/>
          <w:szCs w:val="13"/>
        </w:rPr>
      </w:pPr>
    </w:p>
    <w:p>
      <w:pPr>
        <w:pStyle w:val="BodyText"/>
        <w:spacing w:line="386" w:lineRule="auto"/>
        <w:ind w:right="0" w:firstLine="420"/>
        <w:jc w:val="left"/>
      </w:pPr>
      <w:r>
        <w:rPr>
          <w:spacing w:val="-1"/>
        </w:rPr>
        <w:t>注：公司从广州银行取得长期借款</w:t>
      </w:r>
      <w:r>
        <w:rPr>
          <w:rFonts w:ascii="Times New Roman" w:hAnsi="Times New Roman" w:cs="Times New Roman" w:eastAsia="Times New Roman" w:hint="default"/>
          <w:spacing w:val="-1"/>
        </w:rPr>
        <w:t>28,000</w:t>
      </w:r>
      <w:r>
        <w:rPr>
          <w:spacing w:val="-1"/>
        </w:rPr>
        <w:t>万元，翁武强、翁武游作为连带保证人，同时以广州国际时</w:t>
      </w:r>
      <w:r>
        <w:rPr>
          <w:w w:val="100"/>
        </w:rPr>
        <w:t> </w:t>
      </w:r>
      <w:r>
        <w:rPr/>
        <w:t>尚中心在建项目及土地作为抵押。已按还款计划将</w:t>
      </w:r>
      <w:r>
        <w:rPr>
          <w:rFonts w:ascii="Times New Roman" w:hAnsi="Times New Roman" w:cs="Times New Roman" w:eastAsia="Times New Roman" w:hint="default"/>
        </w:rPr>
        <w:t>4,000</w:t>
      </w:r>
      <w:r>
        <w:rPr/>
        <w:t>万元分类到一年内到期的非流动负债。</w:t>
      </w:r>
    </w:p>
    <w:p>
      <w:pPr>
        <w:pStyle w:val="BodyText"/>
        <w:spacing w:line="240" w:lineRule="auto" w:before="76"/>
        <w:ind w:left="533" w:right="0"/>
        <w:jc w:val="left"/>
        <w:rPr>
          <w:rFonts w:ascii="Times New Roman" w:hAnsi="Times New Roman" w:cs="Times New Roman" w:eastAsia="Times New Roman" w:hint="default"/>
        </w:rPr>
      </w:pPr>
      <w:r>
        <w:rPr/>
        <w:t>孙公司</w:t>
      </w:r>
      <w:r>
        <w:rPr>
          <w:rFonts w:ascii="Times New Roman" w:hAnsi="Times New Roman" w:cs="Times New Roman" w:eastAsia="Times New Roman" w:hint="default"/>
        </w:rPr>
        <w:t>LEVITAS  S.P.A.</w:t>
      </w:r>
      <w:r>
        <w:rPr/>
        <w:t>从</w:t>
      </w:r>
      <w:r>
        <w:rPr>
          <w:rFonts w:ascii="Times New Roman" w:hAnsi="Times New Roman" w:cs="Times New Roman" w:eastAsia="Times New Roman" w:hint="default"/>
        </w:rPr>
        <w:t>MUTUO  BANCA  IMI</w:t>
      </w:r>
      <w:r>
        <w:rPr/>
        <w:t>取得借款</w:t>
      </w:r>
      <w:r>
        <w:rPr>
          <w:rFonts w:ascii="Times New Roman" w:hAnsi="Times New Roman" w:cs="Times New Roman" w:eastAsia="Times New Roman" w:hint="default"/>
        </w:rPr>
        <w:t>176.67</w:t>
      </w:r>
      <w:r>
        <w:rPr/>
        <w:t>万欧元，由少数股东</w:t>
      </w:r>
      <w:r>
        <w:rPr>
          <w:rFonts w:ascii="Times New Roman" w:hAnsi="Times New Roman" w:cs="Times New Roman" w:eastAsia="Times New Roman" w:hint="default"/>
        </w:rPr>
        <w:t>ZEIS  EXCELSA</w:t>
      </w:r>
    </w:p>
    <w:p>
      <w:pPr>
        <w:pStyle w:val="BodyText"/>
        <w:spacing w:line="386" w:lineRule="auto" w:before="177"/>
        <w:ind w:right="0"/>
        <w:jc w:val="left"/>
      </w:pPr>
      <w:r>
        <w:rPr>
          <w:rFonts w:ascii="Times New Roman" w:hAnsi="Times New Roman" w:cs="Times New Roman" w:eastAsia="Times New Roman" w:hint="default"/>
          <w:spacing w:val="-4"/>
        </w:rPr>
        <w:t>S.P.A.</w:t>
      </w:r>
      <w:r>
        <w:rPr>
          <w:spacing w:val="-4"/>
        </w:rPr>
        <w:t>以其在</w:t>
      </w:r>
      <w:r>
        <w:rPr>
          <w:rFonts w:ascii="Times New Roman" w:hAnsi="Times New Roman" w:cs="Times New Roman" w:eastAsia="Times New Roman" w:hint="default"/>
          <w:spacing w:val="-4"/>
        </w:rPr>
        <w:t>LEVITAS </w:t>
      </w:r>
      <w:r>
        <w:rPr>
          <w:rFonts w:ascii="Times New Roman" w:hAnsi="Times New Roman" w:cs="Times New Roman" w:eastAsia="Times New Roman" w:hint="default"/>
        </w:rPr>
        <w:t>S.P.A.</w:t>
      </w:r>
      <w:r>
        <w:rPr/>
        <w:t>中</w:t>
      </w:r>
      <w:r>
        <w:rPr>
          <w:rFonts w:ascii="Times New Roman" w:hAnsi="Times New Roman" w:cs="Times New Roman" w:eastAsia="Times New Roman" w:hint="default"/>
        </w:rPr>
        <w:t>24.5%</w:t>
      </w:r>
      <w:r>
        <w:rPr/>
        <w:t>的股份作为质押。已按还款计划将</w:t>
      </w:r>
      <w:r>
        <w:rPr>
          <w:rFonts w:ascii="Times New Roman" w:hAnsi="Times New Roman" w:cs="Times New Roman" w:eastAsia="Times New Roman" w:hint="default"/>
        </w:rPr>
        <w:t>117.78</w:t>
      </w:r>
      <w:r>
        <w:rPr/>
        <w:t>万欧元分类到一年内到期的</w:t>
      </w:r>
      <w:r>
        <w:rPr>
          <w:spacing w:val="-102"/>
        </w:rPr>
        <w:t> </w:t>
      </w:r>
      <w:r>
        <w:rPr>
          <w:spacing w:val="-102"/>
        </w:rPr>
      </w:r>
      <w:r>
        <w:rPr/>
        <w:t>非流动负债。</w:t>
      </w:r>
    </w:p>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
        <w:rPr>
          <w:rFonts w:ascii="宋体" w:hAnsi="宋体" w:cs="宋体" w:eastAsia="宋体" w:hint="default"/>
          <w:sz w:val="13"/>
          <w:szCs w:val="13"/>
        </w:rPr>
      </w:pPr>
    </w:p>
    <w:p>
      <w:pPr>
        <w:pStyle w:val="BodyText"/>
        <w:spacing w:line="240" w:lineRule="auto"/>
        <w:ind w:left="427" w:right="0"/>
        <w:jc w:val="left"/>
      </w:pPr>
      <w:r>
        <w:rPr/>
        <w:t>（</w:t>
      </w:r>
      <w:r>
        <w:rPr>
          <w:rFonts w:ascii="Times New Roman" w:hAnsi="Times New Roman" w:cs="Times New Roman" w:eastAsia="Times New Roman" w:hint="default"/>
        </w:rPr>
        <w:t>3</w:t>
      </w:r>
      <w:r>
        <w:rPr/>
        <w:t>）公司报告期长期借款的利率区间为：</w:t>
      </w:r>
      <w:r>
        <w:rPr>
          <w:rFonts w:ascii="Times New Roman" w:hAnsi="Times New Roman" w:cs="Times New Roman" w:eastAsia="Times New Roman" w:hint="default"/>
        </w:rPr>
        <w:t>4.50%-6.027%</w:t>
      </w:r>
      <w:r>
        <w:rPr/>
        <w:t>。</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401" w:hRule="exact"/>
        </w:trPr>
        <w:tc>
          <w:tcPr>
            <w:tcW w:w="1195" w:type="dxa"/>
            <w:vMerge w:val="restart"/>
            <w:tcBorders>
              <w:top w:val="single" w:sz="4" w:space="0" w:color="933734"/>
              <w:left w:val="single" w:sz="4" w:space="0" w:color="933734"/>
              <w:right w:val="single" w:sz="4" w:space="0" w:color="933734"/>
            </w:tcBorders>
            <w:shd w:val="clear" w:color="auto" w:fill="E4B8B7"/>
          </w:tcPr>
          <w:p>
            <w:pPr/>
          </w:p>
        </w:tc>
        <w:tc>
          <w:tcPr>
            <w:tcW w:w="119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9" w:type="dxa"/>
            <w:gridSpan w:val="5"/>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5" w:type="dxa"/>
            <w:vMerge/>
            <w:tcBorders>
              <w:left w:val="single" w:sz="4" w:space="0" w:color="933734"/>
              <w:bottom w:val="single" w:sz="4" w:space="0" w:color="933734"/>
              <w:right w:val="single" w:sz="4" w:space="0" w:color="933734"/>
            </w:tcBorders>
            <w:shd w:val="clear" w:color="auto" w:fill="E4B8B7"/>
          </w:tcPr>
          <w:p>
            <w:pPr/>
          </w:p>
        </w:tc>
        <w:tc>
          <w:tcPr>
            <w:tcW w:w="1198" w:type="dxa"/>
            <w:vMerge/>
            <w:tcBorders>
              <w:left w:val="single" w:sz="4" w:space="0" w:color="933734"/>
              <w:bottom w:val="single" w:sz="4" w:space="0" w:color="933734"/>
              <w:right w:val="single" w:sz="4" w:space="0" w:color="933734"/>
            </w:tcBorders>
            <w:shd w:val="clear" w:color="auto" w:fill="E4B8B7"/>
          </w:tcPr>
          <w:p>
            <w:pPr/>
          </w:p>
        </w:tc>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933734"/>
              <w:bottom w:val="single" w:sz="4" w:space="0" w:color="933734"/>
              <w:right w:val="single" w:sz="4" w:space="0" w:color="933734"/>
            </w:tcBorders>
            <w:shd w:val="clear" w:color="auto" w:fill="E4B8B7"/>
          </w:tcPr>
          <w:p>
            <w:pPr/>
          </w:p>
        </w:tc>
      </w:tr>
      <w:tr>
        <w:trPr>
          <w:trHeight w:val="713" w:hRule="exact"/>
        </w:trPr>
        <w:tc>
          <w:tcPr>
            <w:tcW w:w="11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445,324,903.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267,194,941.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267,194,941.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712,519,844.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386" w:lineRule="auto"/>
        <w:ind w:right="1129"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日，公司召开</w:t>
      </w:r>
      <w:r>
        <w:rPr>
          <w:rFonts w:ascii="Times New Roman" w:hAnsi="Times New Roman" w:cs="Times New Roman" w:eastAsia="Times New Roman" w:hint="default"/>
        </w:rPr>
        <w:t>2017</w:t>
      </w:r>
      <w:r>
        <w:rPr/>
        <w:t>年年度股东大会，审议通过了《关于公司＜</w:t>
      </w:r>
      <w:r>
        <w:rPr>
          <w:rFonts w:ascii="Times New Roman" w:hAnsi="Times New Roman" w:cs="Times New Roman" w:eastAsia="Times New Roman" w:hint="default"/>
        </w:rPr>
        <w:t>2017</w:t>
      </w:r>
      <w:r>
        <w:rPr/>
        <w:t>年度利润分配及资本</w:t>
      </w:r>
      <w:r>
        <w:rPr>
          <w:w w:val="100"/>
        </w:rPr>
        <w:t> </w:t>
      </w:r>
      <w:r>
        <w:rPr>
          <w:spacing w:val="-2"/>
          <w:w w:val="100"/>
        </w:rPr>
        <w:t>公积转增股本预案＞的议案》。同意以截至</w:t>
      </w:r>
      <w:r>
        <w:rPr>
          <w:rFonts w:ascii="Times New Roman" w:hAnsi="Times New Roman" w:cs="Times New Roman" w:eastAsia="Times New Roman" w:hint="default"/>
          <w:spacing w:val="-2"/>
          <w:w w:val="100"/>
        </w:rPr>
        <w:t>2017</w:t>
      </w:r>
      <w:r>
        <w:rPr>
          <w:spacing w:val="-2"/>
          <w:w w:val="100"/>
        </w:rPr>
        <w:t>年</w:t>
      </w:r>
      <w:r>
        <w:rPr>
          <w:rFonts w:ascii="Times New Roman" w:hAnsi="Times New Roman" w:cs="Times New Roman" w:eastAsia="Times New Roman" w:hint="default"/>
          <w:spacing w:val="-2"/>
          <w:w w:val="100"/>
        </w:rPr>
        <w:t>12</w:t>
      </w:r>
      <w:r>
        <w:rPr>
          <w:spacing w:val="-2"/>
          <w:w w:val="100"/>
        </w:rPr>
        <w:t>月</w:t>
      </w:r>
      <w:r>
        <w:rPr>
          <w:rFonts w:ascii="Times New Roman" w:hAnsi="Times New Roman" w:cs="Times New Roman" w:eastAsia="Times New Roman" w:hint="default"/>
          <w:spacing w:val="-2"/>
          <w:w w:val="100"/>
        </w:rPr>
        <w:t>31</w:t>
      </w:r>
      <w:r>
        <w:rPr>
          <w:spacing w:val="-2"/>
          <w:w w:val="100"/>
        </w:rPr>
        <w:t>日公司总股本</w:t>
      </w:r>
      <w:r>
        <w:rPr>
          <w:rFonts w:ascii="Times New Roman" w:hAnsi="Times New Roman" w:cs="Times New Roman" w:eastAsia="Times New Roman" w:hint="default"/>
          <w:spacing w:val="-2"/>
          <w:w w:val="100"/>
        </w:rPr>
        <w:t>445,324,903</w:t>
      </w:r>
      <w:r>
        <w:rPr>
          <w:spacing w:val="-2"/>
          <w:w w:val="100"/>
        </w:rPr>
        <w:t>股为基数，以资本公积</w:t>
      </w:r>
      <w:r>
        <w:rPr>
          <w:spacing w:val="-77"/>
          <w:w w:val="100"/>
        </w:rPr>
        <w:t> </w:t>
      </w:r>
      <w:r>
        <w:rPr>
          <w:spacing w:val="-77"/>
          <w:w w:val="100"/>
        </w:rPr>
      </w:r>
      <w:r>
        <w:rPr/>
        <w:t>金向股权登记日登记在册的全体股东每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267,194,941</w:t>
      </w:r>
      <w:r>
        <w:rPr/>
        <w:t>股，转增后公司总股本增加至</w:t>
      </w:r>
      <w:r>
        <w:rPr>
          <w:spacing w:val="-29"/>
        </w:rPr>
        <w:t> </w:t>
      </w:r>
      <w:r>
        <w:rPr>
          <w:spacing w:val="-29"/>
        </w:rPr>
      </w:r>
      <w:r>
        <w:rPr>
          <w:rFonts w:ascii="Times New Roman" w:hAnsi="Times New Roman" w:cs="Times New Roman" w:eastAsia="Times New Roman" w:hint="default"/>
        </w:rPr>
        <w:t>712,519,844</w:t>
      </w:r>
      <w:r>
        <w:rPr/>
        <w:t>股。</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5"/>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1,630,236,500.99</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267,194,941.00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539" w:right="0"/>
              <w:jc w:val="left"/>
              <w:rPr>
                <w:rFonts w:ascii="Times New Roman" w:hAnsi="Times New Roman" w:cs="Times New Roman" w:eastAsia="Times New Roman" w:hint="default"/>
                <w:sz w:val="18"/>
                <w:szCs w:val="18"/>
              </w:rPr>
            </w:pPr>
            <w:r>
              <w:rPr>
                <w:rFonts w:ascii="Times New Roman"/>
                <w:sz w:val="18"/>
              </w:rPr>
              <w:t>1,363,041,559.99</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1,630,236,500.99</w:t>
            </w:r>
          </w:p>
        </w:tc>
        <w:tc>
          <w:tcPr>
            <w:tcW w:w="1916" w:type="dxa"/>
            <w:tcBorders>
              <w:top w:val="single" w:sz="4" w:space="0" w:color="933734"/>
              <w:left w:val="single" w:sz="4" w:space="0" w:color="933734"/>
              <w:bottom w:val="single" w:sz="4" w:space="0" w:color="933734"/>
              <w:right w:val="single" w:sz="4" w:space="0" w:color="933734"/>
            </w:tcBorders>
          </w:tcPr>
          <w:p>
            <w:pP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267,194,941.00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539" w:right="0"/>
              <w:jc w:val="left"/>
              <w:rPr>
                <w:rFonts w:ascii="Times New Roman" w:hAnsi="Times New Roman" w:cs="Times New Roman" w:eastAsia="Times New Roman" w:hint="default"/>
                <w:sz w:val="18"/>
                <w:szCs w:val="18"/>
              </w:rPr>
            </w:pPr>
            <w:r>
              <w:rPr>
                <w:rFonts w:ascii="Times New Roman"/>
                <w:sz w:val="18"/>
              </w:rPr>
              <w:t>1,363,041,559.99</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4"/>
        <w:ind w:right="0"/>
        <w:jc w:val="left"/>
      </w:pPr>
      <w:r>
        <w:rPr/>
        <w:t>（</w:t>
      </w:r>
      <w:r>
        <w:rPr>
          <w:rFonts w:ascii="Times New Roman" w:hAnsi="Times New Roman" w:cs="Times New Roman" w:eastAsia="Times New Roman" w:hint="default"/>
        </w:rPr>
        <w:t>1</w:t>
      </w:r>
      <w:r>
        <w:rPr/>
        <w:t>）本期资本公积增加附注详见七、</w:t>
      </w:r>
      <w:r>
        <w:rPr>
          <w:rFonts w:ascii="Times New Roman" w:hAnsi="Times New Roman" w:cs="Times New Roman" w:eastAsia="Times New Roman" w:hint="default"/>
        </w:rPr>
        <w:t>31</w:t>
      </w:r>
      <w:r>
        <w:rPr/>
        <w:t>、股本</w:t>
      </w:r>
    </w:p>
    <w:p>
      <w:pPr>
        <w:spacing w:after="0" w:line="240" w:lineRule="auto"/>
        <w:jc w:val="left"/>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811"/>
        <w:gridCol w:w="1068"/>
        <w:gridCol w:w="936"/>
        <w:gridCol w:w="1152"/>
        <w:gridCol w:w="934"/>
        <w:gridCol w:w="936"/>
        <w:gridCol w:w="936"/>
        <w:gridCol w:w="797"/>
      </w:tblGrid>
      <w:tr>
        <w:trPr>
          <w:trHeight w:val="403" w:hRule="exact"/>
        </w:trPr>
        <w:tc>
          <w:tcPr>
            <w:tcW w:w="2811"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7" w:hRule="exact"/>
        </w:trPr>
        <w:tc>
          <w:tcPr>
            <w:tcW w:w="2811" w:type="dxa"/>
            <w:vMerge/>
            <w:tcBorders>
              <w:left w:val="single" w:sz="4" w:space="0" w:color="933734"/>
              <w:bottom w:val="single" w:sz="4" w:space="0" w:color="933734"/>
              <w:right w:val="single" w:sz="4" w:space="0" w:color="933734"/>
            </w:tcBorders>
            <w:shd w:val="clear" w:color="auto" w:fill="E4B8B7"/>
          </w:tcPr>
          <w:p>
            <w:pPr/>
          </w:p>
        </w:tc>
        <w:tc>
          <w:tcPr>
            <w:tcW w:w="1068" w:type="dxa"/>
            <w:vMerge/>
            <w:tcBorders>
              <w:left w:val="single" w:sz="4" w:space="0" w:color="933734"/>
              <w:bottom w:val="single" w:sz="4" w:space="0" w:color="933734"/>
              <w:right w:val="single" w:sz="4" w:space="0" w:color="933734"/>
            </w:tcBorders>
            <w:shd w:val="clear" w:color="auto" w:fill="E4B8B7"/>
          </w:tcPr>
          <w:p>
            <w:pPr/>
          </w:p>
        </w:tc>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4" w:right="190"/>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20" w:right="120"/>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91" w:right="9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4"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7" w:type="dxa"/>
            <w:vMerge/>
            <w:tcBorders>
              <w:left w:val="single" w:sz="4" w:space="0" w:color="933734"/>
              <w:bottom w:val="single" w:sz="4" w:space="0" w:color="933734"/>
              <w:right w:val="single" w:sz="4" w:space="0" w:color="933734"/>
            </w:tcBorders>
            <w:shd w:val="clear" w:color="auto" w:fill="E4B8B7"/>
          </w:tcPr>
          <w:p>
            <w:pPr/>
          </w:p>
        </w:tc>
      </w:tr>
      <w:tr>
        <w:trPr>
          <w:trHeight w:val="715" w:hRule="exact"/>
        </w:trPr>
        <w:tc>
          <w:tcPr>
            <w:tcW w:w="281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76"/>
              <w:jc w:val="left"/>
              <w:rPr>
                <w:rFonts w:ascii="宋体" w:hAnsi="宋体" w:cs="宋体" w:eastAsia="宋体" w:hint="default"/>
                <w:sz w:val="18"/>
                <w:szCs w:val="18"/>
              </w:rPr>
            </w:pPr>
            <w:r>
              <w:rPr>
                <w:rFonts w:ascii="宋体" w:hAnsi="宋体" w:cs="宋体" w:eastAsia="宋体" w:hint="default"/>
                <w:sz w:val="18"/>
                <w:szCs w:val="18"/>
              </w:rPr>
              <w:t>二、将重分类进损益的其他综合 收益</w:t>
            </w:r>
          </w:p>
        </w:tc>
        <w:tc>
          <w:tcPr>
            <w:tcW w:w="10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-15,887,79</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1.80</w:t>
            </w: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-2,102,87</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1.73</w:t>
            </w:r>
          </w:p>
        </w:tc>
        <w:tc>
          <w:tcPr>
            <w:tcW w:w="11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7,133.71</w:t>
            </w:r>
          </w:p>
        </w:tc>
        <w:tc>
          <w:tcPr>
            <w:tcW w:w="934" w:type="dxa"/>
            <w:tcBorders>
              <w:top w:val="single" w:sz="4" w:space="0" w:color="933734"/>
              <w:left w:val="single" w:sz="4" w:space="0" w:color="933734"/>
              <w:bottom w:val="single" w:sz="4" w:space="0" w:color="933734"/>
              <w:right w:val="single" w:sz="4" w:space="0" w:color="933734"/>
            </w:tcBorders>
          </w:tcPr>
          <w:p>
            <w:pP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-3,110,00</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5.43</w:t>
            </w: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999,999.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-18,997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,797.23</w:t>
            </w:r>
          </w:p>
        </w:tc>
      </w:tr>
      <w:tr>
        <w:trPr>
          <w:trHeight w:val="713" w:hRule="exact"/>
        </w:trPr>
        <w:tc>
          <w:tcPr>
            <w:tcW w:w="281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-15,887,79</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1.80</w:t>
            </w: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-2,102,87</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1.73</w:t>
            </w:r>
          </w:p>
        </w:tc>
        <w:tc>
          <w:tcPr>
            <w:tcW w:w="11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7,133.71</w:t>
            </w:r>
          </w:p>
        </w:tc>
        <w:tc>
          <w:tcPr>
            <w:tcW w:w="934" w:type="dxa"/>
            <w:tcBorders>
              <w:top w:val="single" w:sz="4" w:space="0" w:color="933734"/>
              <w:left w:val="single" w:sz="4" w:space="0" w:color="933734"/>
              <w:bottom w:val="single" w:sz="4" w:space="0" w:color="933734"/>
              <w:right w:val="single" w:sz="4" w:space="0" w:color="933734"/>
            </w:tcBorders>
          </w:tcPr>
          <w:p>
            <w:pP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-3,110,00</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5.43</w:t>
            </w: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999,999.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-18,997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,797.23</w:t>
            </w:r>
          </w:p>
        </w:tc>
      </w:tr>
      <w:tr>
        <w:trPr>
          <w:trHeight w:val="715" w:hRule="exact"/>
        </w:trPr>
        <w:tc>
          <w:tcPr>
            <w:tcW w:w="281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-15,887,79</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1.80</w:t>
            </w: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-2,102,87</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1.73</w:t>
            </w:r>
          </w:p>
        </w:tc>
        <w:tc>
          <w:tcPr>
            <w:tcW w:w="115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7,133.71</w:t>
            </w:r>
          </w:p>
        </w:tc>
        <w:tc>
          <w:tcPr>
            <w:tcW w:w="934" w:type="dxa"/>
            <w:tcBorders>
              <w:top w:val="single" w:sz="4" w:space="0" w:color="933734"/>
              <w:left w:val="single" w:sz="4" w:space="0" w:color="933734"/>
              <w:bottom w:val="single" w:sz="4" w:space="0" w:color="933734"/>
              <w:right w:val="single" w:sz="4" w:space="0" w:color="933734"/>
            </w:tcBorders>
          </w:tcPr>
          <w:p>
            <w:pP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-3,110,00</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5.43</w:t>
            </w:r>
          </w:p>
        </w:tc>
        <w:tc>
          <w:tcPr>
            <w:tcW w:w="9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999,999.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-18,997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,797.23</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58,058,037.56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7,494,074.00</w:t>
            </w: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65,552,111.56</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58,058,037.56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7,494,074.00</w:t>
            </w: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65,552,111.56</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8"/>
        <w:rPr>
          <w:rFonts w:ascii="宋体" w:hAnsi="宋体" w:cs="宋体" w:eastAsia="宋体" w:hint="default"/>
          <w:sz w:val="13"/>
          <w:szCs w:val="13"/>
        </w:rPr>
      </w:pPr>
    </w:p>
    <w:p>
      <w:pPr>
        <w:pStyle w:val="BodyText"/>
        <w:spacing w:line="240" w:lineRule="auto"/>
        <w:ind w:left="533" w:right="0"/>
        <w:jc w:val="left"/>
      </w:pPr>
      <w:r>
        <w:rPr/>
        <w:t>注：公司报告期内按母公司弥补亏损后当年净利润的</w:t>
      </w:r>
      <w:r>
        <w:rPr>
          <w:rFonts w:ascii="Times New Roman" w:hAnsi="Times New Roman" w:cs="Times New Roman" w:eastAsia="Times New Roman" w:hint="default"/>
        </w:rPr>
        <w:t>10%</w:t>
      </w:r>
      <w:r>
        <w:rPr/>
        <w:t>计提法定盈余公积。</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25"/>
        <w:gridCol w:w="2924"/>
        <w:gridCol w:w="2919"/>
      </w:tblGrid>
      <w:tr>
        <w:trPr>
          <w:trHeight w:val="403" w:hRule="exact"/>
        </w:trPr>
        <w:tc>
          <w:tcPr>
            <w:tcW w:w="37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245,536,970.11</w:t>
            </w: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117,239,356.24</w:t>
            </w:r>
          </w:p>
        </w:tc>
      </w:tr>
      <w:tr>
        <w:trPr>
          <w:trHeight w:val="403" w:hRule="exact"/>
        </w:trPr>
        <w:tc>
          <w:tcPr>
            <w:tcW w:w="37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245,536,970.11</w:t>
            </w: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117,239,356.24</w:t>
            </w:r>
          </w:p>
        </w:tc>
      </w:tr>
      <w:tr>
        <w:trPr>
          <w:trHeight w:val="401" w:hRule="exact"/>
        </w:trPr>
        <w:tc>
          <w:tcPr>
            <w:tcW w:w="37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27,854,705.17</w:t>
            </w: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134,681,024.91</w:t>
            </w:r>
          </w:p>
        </w:tc>
      </w:tr>
      <w:tr>
        <w:trPr>
          <w:trHeight w:val="403" w:hRule="exact"/>
        </w:trPr>
        <w:tc>
          <w:tcPr>
            <w:tcW w:w="37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7,494,074.00</w:t>
            </w: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6,383,411.04</w:t>
            </w:r>
          </w:p>
        </w:tc>
      </w:tr>
      <w:tr>
        <w:trPr>
          <w:trHeight w:val="401" w:hRule="exact"/>
        </w:trPr>
        <w:tc>
          <w:tcPr>
            <w:tcW w:w="37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6,679,871.89</w:t>
            </w:r>
          </w:p>
        </w:tc>
        <w:tc>
          <w:tcPr>
            <w:tcW w:w="2919"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7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259,217,729.39</w:t>
            </w: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245,536,970.11</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0"/>
        <w:rPr>
          <w:rFonts w:ascii="宋体" w:hAnsi="宋体" w:cs="宋体" w:eastAsia="宋体" w:hint="default"/>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933734"/>
              <w:bottom w:val="single" w:sz="4" w:space="0" w:color="933734"/>
              <w:right w:val="single" w:sz="4" w:space="0" w:color="933734"/>
            </w:tcBorders>
            <w:shd w:val="clear" w:color="auto" w:fill="E4B8B7"/>
          </w:tcPr>
          <w:p>
            <w:pP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1,550,885,430.68</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909,478,045.00</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909,609,209.70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413,785,938.60</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11,194,970.14</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4,983,365.12</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11,670,416.69</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4,037,922.31</w:t>
            </w:r>
          </w:p>
        </w:tc>
      </w:tr>
      <w:tr>
        <w:trPr>
          <w:trHeight w:val="404"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1,562,080,400.82</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914,461,410.12</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921,279,626.39</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417,823,860.91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4,757.67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306,091.41</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3,296,477.05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3,314,609.99</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1,379,110.95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1,420,335.97</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4,163,177.79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1,063,845.24</w:t>
            </w:r>
          </w:p>
        </w:tc>
      </w:tr>
      <w:tr>
        <w:trPr>
          <w:trHeight w:val="404"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241,102.77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8,203.52</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23,340.00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25,800.00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81,658.10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335,791.77</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935,079.05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946,890.16</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253,061.73</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225,736.63</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4,798.63</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198.57</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10,382,563.74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7,647,503.26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121,264,939.32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110,293,346.69</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52,371,343.12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20,257,325.88</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品牌费用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31,673,436.27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31,678,912.46</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门店装修费用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29,263,506.04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34,211,582.26</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门店租金</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40,675,550.48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45,733,923.56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商场管理费</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40,104,046.68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37,749,771.57</w:t>
            </w:r>
          </w:p>
        </w:tc>
      </w:tr>
      <w:tr>
        <w:trPr>
          <w:trHeight w:val="403"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办公、差旅等其他费用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44,125,220.66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39,330,740.28</w:t>
            </w:r>
          </w:p>
        </w:tc>
      </w:tr>
      <w:tr>
        <w:trPr>
          <w:trHeight w:val="401"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仓储物流费用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9,333,809.28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8,245,581.76</w:t>
            </w:r>
          </w:p>
        </w:tc>
      </w:tr>
      <w:tr>
        <w:trPr>
          <w:trHeight w:val="403"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368,811,851.85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327,501,184.46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46,479,375.34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34,768,431.92</w:t>
            </w:r>
          </w:p>
        </w:tc>
      </w:tr>
      <w:tr>
        <w:trPr>
          <w:trHeight w:val="404"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办公、差旅及其他费用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23,276,808.65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15,857,369.82</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办公场地使用费</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5,107,299.88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5,019,483.10</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15,745,604.40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6,241,488.41</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15,476,175.46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9,783,236.90</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无形资产摊销等</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7,094,528.26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6,587,240.02</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113,179,791.99</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78,257,250.17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33,714,198.38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13,628,299.08</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3,437,818.22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3,871,568.31</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5,579,940.07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2,734,428.33</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3,830,825.27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1,141,656.49</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2,844,703.04</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1,245,645.34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775,594.23</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146,917.23</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13,579.00</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50,800,047.55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22,165,125.44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17,516,741.70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18,789,493.51</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5,496,945.61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8,462,024.97</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-1,790,599.57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4,376,846.20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3,911,333.70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2,590,722.41</w:t>
            </w:r>
          </w:p>
        </w:tc>
      </w:tr>
      <w:tr>
        <w:trPr>
          <w:trHeight w:val="403"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14,140,530.22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17,295,037.15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25,324,187.97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17,394,051.18</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24,021,373.27</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12,402,788.58</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38,045,085.26</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87,390,646.50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29,796,839.76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43</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25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内外经贸发展与口岸建设</w:t>
            </w:r>
            <w:r>
              <w:rPr>
                <w:rFonts w:ascii="Times New Roman" w:hAnsi="Times New Roman" w:cs="Times New Roman" w:eastAsia="Times New Roman" w:hint="default"/>
                <w:sz w:val="18"/>
                <w:szCs w:val="18"/>
              </w:rPr>
              <w:t>"</w:t>
            </w:r>
            <w:r>
              <w:rPr>
                <w:rFonts w:ascii="宋体" w:hAnsi="宋体" w:cs="宋体" w:eastAsia="宋体" w:hint="default"/>
                <w:sz w:val="18"/>
                <w:szCs w:val="18"/>
              </w:rPr>
              <w:t>走出 去</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项目专项资金</w:t>
            </w:r>
          </w:p>
        </w:tc>
        <w:tc>
          <w:tcPr>
            <w:tcW w:w="3190"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2,315,075.00</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财政局税费返还</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2,131,500.00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2,350,900.00</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市级服务贸易补贴款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1,307,800.00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第十批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入选企业资助资金</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年科技创业法律中介费补贴款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22,500.00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年科技创业办公租赁费补贴款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81,000.00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95"/>
              <w:jc w:val="left"/>
              <w:rPr>
                <w:rFonts w:ascii="宋体" w:hAnsi="宋体" w:cs="宋体" w:eastAsia="宋体" w:hint="default"/>
                <w:sz w:val="18"/>
                <w:szCs w:val="18"/>
              </w:rPr>
            </w:pPr>
            <w:r>
              <w:rPr>
                <w:rFonts w:ascii="宋体" w:hAnsi="宋体" w:cs="宋体" w:eastAsia="宋体" w:hint="default"/>
                <w:sz w:val="18"/>
                <w:szCs w:val="18"/>
              </w:rPr>
              <w:t>广州市失业保险支持企业稳定岗位补 贴</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38,605.02</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发明专利补助</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1,250.00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计算机软件著作权登记资助经费</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3,300.00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衡阳连卡福免征销售农产品增值税</w:t>
            </w:r>
          </w:p>
        </w:tc>
        <w:tc>
          <w:tcPr>
            <w:tcW w:w="3190"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39,350.19</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湖北省科技局研发加计补贴款</w:t>
            </w:r>
          </w:p>
        </w:tc>
        <w:tc>
          <w:tcPr>
            <w:tcW w:w="3190"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4"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年武汉市外经贸发展资金</w:t>
            </w:r>
          </w:p>
        </w:tc>
        <w:tc>
          <w:tcPr>
            <w:tcW w:w="3190"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458,900.00</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企业研发投入补贴资金</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1,213,100.00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5,399,055.02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5,904,225.19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9"/>
      </w:tblGrid>
      <w:tr>
        <w:trPr>
          <w:trHeight w:val="403" w:hRule="exact"/>
        </w:trPr>
        <w:tc>
          <w:tcPr>
            <w:tcW w:w="34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9"/>
      </w:tblGrid>
      <w:tr>
        <w:trPr>
          <w:trHeight w:val="401" w:hRule="exact"/>
        </w:trPr>
        <w:tc>
          <w:tcPr>
            <w:tcW w:w="34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933734"/>
              <w:left w:val="single" w:sz="4" w:space="0" w:color="933734"/>
              <w:bottom w:val="single" w:sz="4" w:space="0" w:color="933734"/>
              <w:right w:val="single" w:sz="4" w:space="0" w:color="933734"/>
            </w:tcBorders>
          </w:tcPr>
          <w:p>
            <w:pP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98,813,188.57</w:t>
            </w:r>
          </w:p>
        </w:tc>
      </w:tr>
      <w:tr>
        <w:trPr>
          <w:trHeight w:val="715" w:hRule="exact"/>
        </w:trPr>
        <w:tc>
          <w:tcPr>
            <w:tcW w:w="34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2" w:right="10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755,322.21</w:t>
            </w: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74,948.66</w:t>
            </w:r>
          </w:p>
        </w:tc>
      </w:tr>
      <w:tr>
        <w:trPr>
          <w:trHeight w:val="401" w:hRule="exact"/>
        </w:trPr>
        <w:tc>
          <w:tcPr>
            <w:tcW w:w="34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1,642,884.25</w:t>
            </w: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396,367.96</w:t>
            </w:r>
          </w:p>
        </w:tc>
      </w:tr>
      <w:tr>
        <w:trPr>
          <w:trHeight w:val="403" w:hRule="exact"/>
        </w:trPr>
        <w:tc>
          <w:tcPr>
            <w:tcW w:w="34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2,398,206.46</w:t>
            </w:r>
          </w:p>
        </w:tc>
        <w:tc>
          <w:tcPr>
            <w:tcW w:w="291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99,284,505.19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45</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-6,355.46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-92,722.24</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tabs>
                <w:tab w:pos="2085"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-6,355.46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-92,722.24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9"/>
        <w:gridCol w:w="2396"/>
        <w:gridCol w:w="2393"/>
        <w:gridCol w:w="2393"/>
      </w:tblGrid>
      <w:tr>
        <w:trPr>
          <w:trHeight w:val="715"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4,390,000.00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1,906,205.91</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4,390,000.00</w:t>
            </w: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1,941.75</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1,941.75</w:t>
            </w: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质量扣款</w:t>
            </w:r>
          </w:p>
        </w:tc>
        <w:tc>
          <w:tcPr>
            <w:tcW w:w="2396"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10,329.39</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440,622.25</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658,310.19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440,622.25</w:t>
            </w: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4,832,564.00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2,574,845.49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4,832,564.00</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6"/>
        <w:gridCol w:w="919"/>
        <w:gridCol w:w="992"/>
        <w:gridCol w:w="1418"/>
        <w:gridCol w:w="1136"/>
        <w:gridCol w:w="850"/>
        <w:gridCol w:w="1064"/>
        <w:gridCol w:w="1063"/>
        <w:gridCol w:w="1064"/>
      </w:tblGrid>
      <w:tr>
        <w:trPr>
          <w:trHeight w:val="1026" w:hRule="exact"/>
        </w:trPr>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91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64" w:right="182" w:hanging="180"/>
              <w:jc w:val="left"/>
              <w:rPr>
                <w:rFonts w:ascii="宋体" w:hAnsi="宋体" w:cs="宋体" w:eastAsia="宋体" w:hint="default"/>
                <w:sz w:val="18"/>
                <w:szCs w:val="18"/>
              </w:rPr>
            </w:pPr>
            <w:r>
              <w:rPr>
                <w:rFonts w:ascii="宋体" w:hAnsi="宋体" w:cs="宋体" w:eastAsia="宋体" w:hint="default"/>
                <w:sz w:val="18"/>
                <w:szCs w:val="18"/>
              </w:rPr>
              <w:t>发放主 体</w:t>
            </w:r>
          </w:p>
        </w:tc>
        <w:tc>
          <w:tcPr>
            <w:tcW w:w="9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2"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41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1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13" w:right="11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85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51" w:right="146"/>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8" w:right="164" w:hanging="181"/>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7" w:right="163"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7" w:lineRule="auto" w:before="50"/>
              <w:ind w:left="143" w:right="137"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649" w:hRule="exact"/>
        </w:trPr>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103" w:right="18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第一批高 新技术企 业落户奖 励</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22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933734"/>
              <w:left w:val="single" w:sz="4" w:space="0" w:color="933734"/>
              <w:bottom w:val="single" w:sz="4" w:space="0" w:color="933734"/>
              <w:right w:val="single" w:sz="4" w:space="0" w:color="933734"/>
            </w:tcBorders>
          </w:tcPr>
          <w:p>
            <w:pP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3" w:right="230"/>
              <w:jc w:val="left"/>
              <w:rPr>
                <w:rFonts w:ascii="宋体" w:hAnsi="宋体" w:cs="宋体" w:eastAsia="宋体" w:hint="default"/>
                <w:sz w:val="18"/>
                <w:szCs w:val="18"/>
              </w:rPr>
            </w:pPr>
            <w:r>
              <w:rPr>
                <w:rFonts w:ascii="宋体" w:hAnsi="宋体" w:cs="宋体" w:eastAsia="宋体" w:hint="default"/>
                <w:sz w:val="18"/>
                <w:szCs w:val="18"/>
              </w:rPr>
              <w:t>企业上市 奖励</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5" w:right="22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933734"/>
              <w:left w:val="single" w:sz="4" w:space="0" w:color="933734"/>
              <w:bottom w:val="single" w:sz="4" w:space="0" w:color="933734"/>
              <w:right w:val="single" w:sz="4" w:space="0" w:color="933734"/>
            </w:tcBorders>
          </w:tcPr>
          <w:p>
            <w:pP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3" w:hRule="exact"/>
        </w:trPr>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68"/>
              <w:ind w:right="127"/>
              <w:jc w:val="center"/>
              <w:rPr>
                <w:rFonts w:ascii="宋体" w:hAnsi="宋体" w:cs="宋体" w:eastAsia="宋体" w:hint="default"/>
                <w:sz w:val="18"/>
                <w:szCs w:val="18"/>
              </w:rPr>
            </w:pPr>
            <w:r>
              <w:rPr>
                <w:rFonts w:ascii="宋体" w:hAnsi="宋体" w:cs="宋体" w:eastAsia="宋体" w:hint="default"/>
                <w:sz w:val="18"/>
                <w:szCs w:val="18"/>
              </w:rPr>
              <w:t>文化和科</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pacing w:val="-9"/>
                <w:sz w:val="18"/>
                <w:szCs w:val="18"/>
              </w:rPr>
              <w:t>因研究开发、技</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933734"/>
              <w:left w:val="single" w:sz="4" w:space="0" w:color="933734"/>
              <w:bottom w:val="single" w:sz="4" w:space="0" w:color="933734"/>
              <w:right w:val="single" w:sz="4" w:space="0" w:color="933734"/>
            </w:tcBorders>
          </w:tcPr>
          <w:p>
            <w:pP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64"/>
        <w:gridCol w:w="919"/>
        <w:gridCol w:w="992"/>
        <w:gridCol w:w="1418"/>
        <w:gridCol w:w="1136"/>
        <w:gridCol w:w="850"/>
        <w:gridCol w:w="1064"/>
        <w:gridCol w:w="1063"/>
        <w:gridCol w:w="1064"/>
      </w:tblGrid>
      <w:tr>
        <w:trPr>
          <w:trHeight w:val="987"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8"/>
              <w:ind w:left="102" w:right="230"/>
              <w:jc w:val="both"/>
              <w:rPr>
                <w:rFonts w:ascii="宋体" w:hAnsi="宋体" w:cs="宋体" w:eastAsia="宋体" w:hint="default"/>
                <w:sz w:val="18"/>
                <w:szCs w:val="18"/>
              </w:rPr>
            </w:pPr>
            <w:r>
              <w:rPr>
                <w:rFonts w:ascii="宋体" w:hAnsi="宋体" w:cs="宋体" w:eastAsia="宋体" w:hint="default"/>
                <w:sz w:val="18"/>
                <w:szCs w:val="18"/>
              </w:rPr>
              <w:t>技融合专 项奖励补 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8"/>
              <w:ind w:left="105" w:right="221"/>
              <w:jc w:val="left"/>
              <w:rPr>
                <w:rFonts w:ascii="宋体" w:hAnsi="宋体" w:cs="宋体" w:eastAsia="宋体" w:hint="default"/>
                <w:sz w:val="18"/>
                <w:szCs w:val="18"/>
              </w:rPr>
            </w:pPr>
            <w:r>
              <w:rPr>
                <w:rFonts w:ascii="宋体" w:hAnsi="宋体" w:cs="宋体" w:eastAsia="宋体" w:hint="default"/>
                <w:sz w:val="18"/>
                <w:szCs w:val="18"/>
              </w:rPr>
              <w:t>术更新及改造 等获得的补助</w:t>
            </w:r>
          </w:p>
        </w:tc>
        <w:tc>
          <w:tcPr>
            <w:tcW w:w="1136" w:type="dxa"/>
            <w:tcBorders>
              <w:top w:val="single" w:sz="4" w:space="0" w:color="933734"/>
              <w:left w:val="single" w:sz="4" w:space="0" w:color="933734"/>
              <w:bottom w:val="single" w:sz="4" w:space="0" w:color="933734"/>
              <w:right w:val="single" w:sz="4" w:space="0" w:color="933734"/>
            </w:tcBorders>
          </w:tcPr>
          <w:p>
            <w:pPr/>
          </w:p>
        </w:tc>
        <w:tc>
          <w:tcPr>
            <w:tcW w:w="850" w:type="dxa"/>
            <w:tcBorders>
              <w:top w:val="single" w:sz="4" w:space="0" w:color="933734"/>
              <w:left w:val="single" w:sz="4" w:space="0" w:color="933734"/>
              <w:bottom w:val="single" w:sz="4" w:space="0" w:color="933734"/>
              <w:right w:val="single" w:sz="4" w:space="0" w:color="933734"/>
            </w:tcBorders>
          </w:tcPr>
          <w:p>
            <w:pP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649"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102" w:right="18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新兴产业 和创新创 业奖励补 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2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560,000.00</w:t>
            </w:r>
          </w:p>
        </w:tc>
        <w:tc>
          <w:tcPr>
            <w:tcW w:w="1063" w:type="dxa"/>
            <w:tcBorders>
              <w:top w:val="single" w:sz="4" w:space="0" w:color="933734"/>
              <w:left w:val="single" w:sz="4" w:space="0" w:color="933734"/>
              <w:bottom w:val="single" w:sz="4" w:space="0" w:color="933734"/>
              <w:right w:val="single" w:sz="4" w:space="0" w:color="933734"/>
            </w:tcBorders>
          </w:tcPr>
          <w:p>
            <w:pP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102" w:right="18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企业稳岗 补贴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因从事国家鼓 励和扶持特定 </w:t>
            </w:r>
            <w:r>
              <w:rPr>
                <w:rFonts w:ascii="宋体" w:hAnsi="宋体" w:cs="宋体" w:eastAsia="宋体" w:hint="default"/>
                <w:spacing w:val="-9"/>
                <w:sz w:val="18"/>
                <w:szCs w:val="18"/>
              </w:rPr>
              <w:t>行业、产业而获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得的补助（按国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家级政策规定 依法取得）</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21,175.10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230"/>
              <w:jc w:val="both"/>
              <w:rPr>
                <w:rFonts w:ascii="宋体" w:hAnsi="宋体" w:cs="宋体" w:eastAsia="宋体" w:hint="default"/>
                <w:sz w:val="18"/>
                <w:szCs w:val="18"/>
              </w:rPr>
            </w:pPr>
            <w:r>
              <w:rPr>
                <w:rFonts w:ascii="宋体" w:hAnsi="宋体" w:cs="宋体" w:eastAsia="宋体" w:hint="default"/>
                <w:sz w:val="18"/>
                <w:szCs w:val="18"/>
              </w:rPr>
              <w:t>衡阳市商 业广场城 市建设配 套费</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2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23,674.81</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230"/>
              <w:jc w:val="both"/>
              <w:rPr>
                <w:rFonts w:ascii="宋体" w:hAnsi="宋体" w:cs="宋体" w:eastAsia="宋体" w:hint="default"/>
                <w:sz w:val="18"/>
                <w:szCs w:val="18"/>
              </w:rPr>
            </w:pPr>
            <w:r>
              <w:rPr>
                <w:rFonts w:ascii="宋体" w:hAnsi="宋体" w:cs="宋体" w:eastAsia="宋体" w:hint="default"/>
                <w:sz w:val="18"/>
                <w:szCs w:val="18"/>
              </w:rPr>
              <w:t>武汉市创 新基金补 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pacing w:val="-9"/>
                <w:sz w:val="18"/>
                <w:szCs w:val="18"/>
              </w:rPr>
              <w:t>因研究开发、技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术更新及改造 等获得的补助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75,000.00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230"/>
              <w:jc w:val="left"/>
              <w:rPr>
                <w:rFonts w:ascii="宋体" w:hAnsi="宋体" w:cs="宋体" w:eastAsia="宋体" w:hint="default"/>
                <w:sz w:val="18"/>
                <w:szCs w:val="18"/>
              </w:rPr>
            </w:pPr>
            <w:r>
              <w:rPr>
                <w:rFonts w:ascii="宋体" w:hAnsi="宋体" w:cs="宋体" w:eastAsia="宋体" w:hint="default"/>
                <w:sz w:val="18"/>
                <w:szCs w:val="18"/>
              </w:rPr>
              <w:t>软件著作 权补贴款</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pacing w:val="-9"/>
                <w:sz w:val="18"/>
                <w:szCs w:val="18"/>
              </w:rPr>
              <w:t>因研究开发、技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术更新及改造 等获得的补助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2,880.00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2" w:right="230"/>
              <w:jc w:val="both"/>
              <w:rPr>
                <w:rFonts w:ascii="宋体" w:hAnsi="宋体" w:cs="宋体" w:eastAsia="宋体" w:hint="default"/>
                <w:sz w:val="18"/>
                <w:szCs w:val="18"/>
              </w:rPr>
            </w:pPr>
            <w:r>
              <w:rPr>
                <w:rFonts w:ascii="宋体" w:hAnsi="宋体" w:cs="宋体" w:eastAsia="宋体" w:hint="default"/>
                <w:sz w:val="18"/>
                <w:szCs w:val="18"/>
              </w:rPr>
              <w:t>高新技术 企业认定 补贴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pacing w:val="-9"/>
                <w:sz w:val="18"/>
                <w:szCs w:val="18"/>
              </w:rPr>
              <w:t>因研究开发、技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术更新及改造 等获得的补助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740,000.00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29"/>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专 项补贴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pacing w:val="-9"/>
                <w:sz w:val="18"/>
                <w:szCs w:val="18"/>
              </w:rPr>
              <w:t>因研究开发、技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术更新及改造 等获得的补助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38,340.00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2"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102" w:right="182"/>
              <w:jc w:val="both"/>
              <w:rPr>
                <w:rFonts w:ascii="宋体" w:hAnsi="宋体" w:cs="宋体" w:eastAsia="宋体" w:hint="default"/>
                <w:sz w:val="18"/>
                <w:szCs w:val="18"/>
              </w:rPr>
            </w:pP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人才 计划补贴 款</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22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900,000.00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230"/>
              <w:jc w:val="both"/>
              <w:rPr>
                <w:rFonts w:ascii="宋体" w:hAnsi="宋体" w:cs="宋体" w:eastAsia="宋体" w:hint="default"/>
                <w:sz w:val="18"/>
                <w:szCs w:val="18"/>
              </w:rPr>
            </w:pPr>
            <w:r>
              <w:rPr>
                <w:rFonts w:ascii="宋体" w:hAnsi="宋体" w:cs="宋体" w:eastAsia="宋体" w:hint="default"/>
                <w:sz w:val="18"/>
                <w:szCs w:val="18"/>
              </w:rPr>
              <w:t>技术先进 型服务企 业认定补 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22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64"/>
        <w:gridCol w:w="919"/>
        <w:gridCol w:w="992"/>
        <w:gridCol w:w="1418"/>
        <w:gridCol w:w="1136"/>
        <w:gridCol w:w="850"/>
        <w:gridCol w:w="1064"/>
        <w:gridCol w:w="1063"/>
        <w:gridCol w:w="1064"/>
      </w:tblGrid>
      <w:tr>
        <w:trPr>
          <w:trHeight w:val="1649"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230"/>
              <w:jc w:val="both"/>
              <w:rPr>
                <w:rFonts w:ascii="宋体" w:hAnsi="宋体" w:cs="宋体" w:eastAsia="宋体" w:hint="default"/>
                <w:sz w:val="18"/>
                <w:szCs w:val="18"/>
              </w:rPr>
            </w:pPr>
            <w:r>
              <w:rPr>
                <w:rFonts w:ascii="宋体" w:hAnsi="宋体" w:cs="宋体" w:eastAsia="宋体" w:hint="default"/>
                <w:sz w:val="18"/>
                <w:szCs w:val="18"/>
              </w:rPr>
              <w:t>四上企业 小进规服 务业补贴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5" w:right="22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2" w:right="230"/>
              <w:jc w:val="both"/>
              <w:rPr>
                <w:rFonts w:ascii="宋体" w:hAnsi="宋体" w:cs="宋体" w:eastAsia="宋体" w:hint="default"/>
                <w:sz w:val="18"/>
                <w:szCs w:val="18"/>
              </w:rPr>
            </w:pPr>
            <w:r>
              <w:rPr>
                <w:rFonts w:ascii="宋体" w:hAnsi="宋体" w:cs="宋体" w:eastAsia="宋体" w:hint="default"/>
                <w:sz w:val="18"/>
                <w:szCs w:val="18"/>
              </w:rPr>
              <w:t>武汉市版 权登记资 助补贴</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5" w:right="22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5,136.00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5" w:right="226"/>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6" w:hRule="exact"/>
        </w:trPr>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9" w:type="dxa"/>
            <w:tcBorders>
              <w:top w:val="single" w:sz="4" w:space="0" w:color="933734"/>
              <w:left w:val="single" w:sz="4" w:space="0" w:color="933734"/>
              <w:bottom w:val="single" w:sz="4" w:space="0" w:color="933734"/>
              <w:right w:val="single" w:sz="4" w:space="0" w:color="933734"/>
            </w:tcBorders>
          </w:tcPr>
          <w:p>
            <w:pPr/>
          </w:p>
        </w:tc>
        <w:tc>
          <w:tcPr>
            <w:tcW w:w="992" w:type="dxa"/>
            <w:tcBorders>
              <w:top w:val="single" w:sz="4" w:space="0" w:color="933734"/>
              <w:left w:val="single" w:sz="4" w:space="0" w:color="933734"/>
              <w:bottom w:val="single" w:sz="4" w:space="0" w:color="933734"/>
              <w:right w:val="single" w:sz="4" w:space="0" w:color="933734"/>
            </w:tcBorders>
          </w:tcPr>
          <w:p>
            <w:pPr/>
          </w:p>
        </w:tc>
        <w:tc>
          <w:tcPr>
            <w:tcW w:w="1418" w:type="dxa"/>
            <w:tcBorders>
              <w:top w:val="single" w:sz="4" w:space="0" w:color="933734"/>
              <w:left w:val="single" w:sz="4" w:space="0" w:color="933734"/>
              <w:bottom w:val="single" w:sz="4" w:space="0" w:color="933734"/>
              <w:right w:val="single" w:sz="4" w:space="0" w:color="933734"/>
            </w:tcBorders>
          </w:tcPr>
          <w:p>
            <w:pPr/>
          </w:p>
        </w:tc>
        <w:tc>
          <w:tcPr>
            <w:tcW w:w="1136" w:type="dxa"/>
            <w:tcBorders>
              <w:top w:val="single" w:sz="4" w:space="0" w:color="933734"/>
              <w:left w:val="single" w:sz="4" w:space="0" w:color="933734"/>
              <w:bottom w:val="single" w:sz="4" w:space="0" w:color="933734"/>
              <w:right w:val="single" w:sz="4" w:space="0" w:color="933734"/>
            </w:tcBorders>
          </w:tcPr>
          <w:p>
            <w:pPr/>
          </w:p>
        </w:tc>
        <w:tc>
          <w:tcPr>
            <w:tcW w:w="850" w:type="dxa"/>
            <w:tcBorders>
              <w:top w:val="single" w:sz="4" w:space="0" w:color="933734"/>
              <w:left w:val="single" w:sz="4" w:space="0" w:color="933734"/>
              <w:bottom w:val="single" w:sz="4" w:space="0" w:color="933734"/>
              <w:right w:val="single" w:sz="4" w:space="0" w:color="933734"/>
            </w:tcBorders>
          </w:tcPr>
          <w:p>
            <w:pP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4,390,000.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1,906,205.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91</w:t>
            </w:r>
          </w:p>
        </w:tc>
        <w:tc>
          <w:tcPr>
            <w:tcW w:w="1064"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9"/>
        <w:gridCol w:w="2396"/>
        <w:gridCol w:w="2393"/>
        <w:gridCol w:w="2393"/>
      </w:tblGrid>
      <w:tr>
        <w:trPr>
          <w:trHeight w:val="713"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76,698.53</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76,698.53</w:t>
            </w: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10,408.69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13,121.04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10,408.69</w:t>
            </w: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148.74</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101.10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148.74</w:t>
            </w: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217,546.33</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217,546.33</w:t>
            </w:r>
          </w:p>
        </w:tc>
      </w:tr>
      <w:tr>
        <w:trPr>
          <w:trHeight w:val="401"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82,639.32</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142,489.67</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82,639.32</w:t>
            </w: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587,441.61</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155,711.81</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587,441.61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13,347,406.01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13,525,600.09</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-6,293,403.13</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-513,730.66</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7,054,002.88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13,011,869.43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14,949,587.26</w:t>
            </w:r>
          </w:p>
        </w:tc>
      </w:tr>
      <w:tr>
        <w:trPr>
          <w:trHeight w:val="402"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2,242,438.09</w:t>
            </w:r>
          </w:p>
        </w:tc>
      </w:tr>
      <w:tr>
        <w:trPr>
          <w:trHeight w:val="402"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-15,329,754.66</w:t>
            </w:r>
          </w:p>
        </w:tc>
      </w:tr>
      <w:tr>
        <w:trPr>
          <w:trHeight w:val="402"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-30,320.83</w:t>
            </w:r>
          </w:p>
        </w:tc>
      </w:tr>
      <w:tr>
        <w:trPr>
          <w:trHeight w:val="402"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6,568,036.20</w:t>
            </w:r>
          </w:p>
        </w:tc>
      </w:tr>
      <w:tr>
        <w:trPr>
          <w:trHeight w:val="402"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-2,855,367.98</w:t>
            </w:r>
          </w:p>
        </w:tc>
      </w:tr>
      <w:tr>
        <w:trPr>
          <w:trHeight w:val="714"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103" w:right="1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20,594,012.19</w:t>
            </w:r>
          </w:p>
        </w:tc>
      </w:tr>
      <w:tr>
        <w:trPr>
          <w:trHeight w:val="403"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-742,691.00</w:t>
            </w:r>
          </w:p>
        </w:tc>
      </w:tr>
      <w:tr>
        <w:trPr>
          <w:trHeight w:val="402"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-3,392,349.14</w:t>
            </w:r>
          </w:p>
        </w:tc>
      </w:tr>
      <w:tr>
        <w:trPr>
          <w:trHeight w:val="403" w:hRule="exact"/>
        </w:trPr>
        <w:tc>
          <w:tcPr>
            <w:tcW w:w="477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7,054,002.88</w:t>
            </w:r>
          </w:p>
        </w:tc>
      </w:tr>
    </w:tbl>
    <w:p>
      <w:pPr>
        <w:spacing w:line="240" w:lineRule="auto" w:before="3"/>
        <w:rPr>
          <w:rFonts w:ascii="宋体" w:hAnsi="宋体" w:cs="宋体" w:eastAsia="宋体" w:hint="default"/>
          <w:sz w:val="19"/>
          <w:szCs w:val="19"/>
        </w:rPr>
      </w:pPr>
    </w:p>
    <w:p>
      <w:pPr>
        <w:spacing w:line="544" w:lineRule="auto" w:before="36"/>
        <w:ind w:left="113" w:right="88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43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242,589,797.75</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290,869,035.55</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3,303,473.46</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8,424,108.20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9,789,055.02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7,747,406.10</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收回票据保证金</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10,502,051.45</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385,657.24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165,956.01</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266,570,034.92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307,206,505.86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239,750,359.90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43,036,203.80</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241,457,371.72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188,469,144.85</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8,040,677.10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1,779,877.71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381,619.32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491,028,286.43</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231,886,967.97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购买子公司收到的现金净额</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787,344.92</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787,344.92</w:t>
            </w:r>
          </w:p>
        </w:tc>
        <w:tc>
          <w:tcPr>
            <w:tcW w:w="3191"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2"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5,712,085.43</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2,627,904.00</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8,339,989.43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增发中介费</w:t>
            </w:r>
          </w:p>
        </w:tc>
        <w:tc>
          <w:tcPr>
            <w:tcW w:w="3192" w:type="dxa"/>
            <w:tcBorders>
              <w:top w:val="single" w:sz="4" w:space="0" w:color="933734"/>
              <w:left w:val="single" w:sz="4" w:space="0" w:color="933734"/>
              <w:bottom w:val="single" w:sz="4" w:space="0" w:color="933734"/>
              <w:right w:val="single" w:sz="4" w:space="0" w:color="933734"/>
            </w:tcBorders>
          </w:tcPr>
          <w:p>
            <w:pP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3,483,083.63</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支付股利登记费</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270,877.91</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270,877.91</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3,483,083.63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6"/>
      </w:tblGrid>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7,895,584.38</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115,296,097.63</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87,390,646.50</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29,796,839.76</w:t>
            </w:r>
          </w:p>
        </w:tc>
      </w:tr>
      <w:tr>
        <w:trPr>
          <w:trHeight w:val="715"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22,090,519.48</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13,259,457.41</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29,943,160.66</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22,584,273.86</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35,554,904.02</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39,724,923.27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6"/>
      </w:tblGrid>
      <w:tr>
        <w:trPr>
          <w:trHeight w:val="71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03" w:right="1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6,355.46</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92,722.24</w:t>
            </w:r>
          </w:p>
        </w:tc>
      </w:tr>
      <w:tr>
        <w:trPr>
          <w:trHeight w:val="715"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76,698.53</w:t>
            </w:r>
          </w:p>
        </w:tc>
        <w:tc>
          <w:tcPr>
            <w:tcW w:w="318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10,105,908.43</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28,036,319.57</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-2,398,206.46</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-99,284,505.19</w:t>
            </w:r>
          </w:p>
        </w:tc>
      </w:tr>
      <w:tr>
        <w:trPr>
          <w:trHeight w:val="71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-5,661,922.16</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2,209,591.05</w:t>
            </w:r>
          </w:p>
        </w:tc>
      </w:tr>
      <w:tr>
        <w:trPr>
          <w:trHeight w:val="715"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-631,480.97</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-2,723,321.71</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-88,382,165.91</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-945,508.88</w:t>
            </w:r>
          </w:p>
        </w:tc>
      </w:tr>
      <w:tr>
        <w:trPr>
          <w:trHeight w:val="715"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-229,772,851.05</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133,318,898.98</w:t>
            </w:r>
          </w:p>
        </w:tc>
      </w:tr>
      <w:tr>
        <w:trPr>
          <w:trHeight w:val="71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46,510,657.54</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3,010,681.00</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-87,272,191.55</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284,376,468.99</w:t>
            </w:r>
          </w:p>
        </w:tc>
      </w:tr>
      <w:tr>
        <w:trPr>
          <w:trHeight w:val="714"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2"/>
              <w:ind w:left="1466"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283,499,984.64</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625,135,682.07</w:t>
            </w:r>
          </w:p>
        </w:tc>
      </w:tr>
      <w:tr>
        <w:trPr>
          <w:trHeight w:val="404"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625,135,682.07</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470,115,744.21</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-341,635,697.43</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155,019,937.86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45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795,349.92</w:t>
            </w:r>
          </w:p>
        </w:tc>
      </w:tr>
      <w:tr>
        <w:trPr>
          <w:trHeight w:val="397"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45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8,005.00</w:t>
            </w:r>
          </w:p>
        </w:tc>
      </w:tr>
      <w:tr>
        <w:trPr>
          <w:trHeight w:val="402"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45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8,005.00</w:t>
            </w:r>
          </w:p>
        </w:tc>
      </w:tr>
      <w:tr>
        <w:trPr>
          <w:trHeight w:val="407"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795,349.92</w:t>
            </w:r>
          </w:p>
        </w:tc>
      </w:tr>
      <w:tr>
        <w:trPr>
          <w:trHeight w:val="397"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45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-787,344.92</w:t>
            </w:r>
          </w:p>
        </w:tc>
      </w:tr>
      <w:tr>
        <w:trPr>
          <w:trHeight w:val="402"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45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8,005.00</w:t>
            </w:r>
          </w:p>
        </w:tc>
      </w:tr>
      <w:tr>
        <w:trPr>
          <w:trHeight w:val="402"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5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795,349.92</w:t>
            </w:r>
          </w:p>
        </w:tc>
      </w:tr>
      <w:tr>
        <w:trPr>
          <w:trHeight w:val="401"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583"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5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787,344.92</w:t>
            </w:r>
          </w:p>
        </w:tc>
      </w:tr>
      <w:tr>
        <w:trPr>
          <w:trHeight w:val="402"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583" w:type="dxa"/>
            <w:tcBorders>
              <w:top w:val="single" w:sz="4" w:space="0" w:color="933734"/>
              <w:left w:val="single" w:sz="4" w:space="0" w:color="933734"/>
              <w:bottom w:val="single" w:sz="4" w:space="0" w:color="933734"/>
              <w:right w:val="single" w:sz="4" w:space="0" w:color="933734"/>
            </w:tcBorders>
          </w:tcPr>
          <w:p>
            <w:pPr/>
          </w:p>
        </w:tc>
      </w:tr>
      <w:tr>
        <w:trPr>
          <w:trHeight w:val="408"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583" w:type="dxa"/>
            <w:tcBorders>
              <w:top w:val="single" w:sz="4" w:space="0" w:color="933734"/>
              <w:left w:val="single" w:sz="4" w:space="0" w:color="933734"/>
              <w:bottom w:val="single" w:sz="4" w:space="0" w:color="933734"/>
              <w:right w:val="single" w:sz="4" w:space="0" w:color="933734"/>
            </w:tcBorders>
          </w:tcPr>
          <w:p>
            <w:pPr/>
          </w:p>
        </w:tc>
      </w:tr>
      <w:tr>
        <w:trPr>
          <w:trHeight w:val="396" w:hRule="exact"/>
        </w:trPr>
        <w:tc>
          <w:tcPr>
            <w:tcW w:w="49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6"/>
      </w:tblGrid>
      <w:tr>
        <w:trPr>
          <w:trHeight w:val="402"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5,124,099.31</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1,744,266.95</w:t>
            </w:r>
          </w:p>
        </w:tc>
      </w:tr>
      <w:tr>
        <w:trPr>
          <w:trHeight w:val="404"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259,163,920.41</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555,412,455.88</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19,211,964.92</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67,978,959.24</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283,499,984.64</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625,135,682.07</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283,499,984.64</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625,135,682.07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52</w:t>
      </w:r>
      <w:r>
        <w:rPr/>
        <w:t>、所有者权益变动表项目注释</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53</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6"/>
      </w:tblGrid>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9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19,712,608.79</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保证金不可以随时支付</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318,769,185.96</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42,833,702.82</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40,121,113.51</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113,093,917.65</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534,530,528.73</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7"/>
        <w:gridCol w:w="2292"/>
        <w:gridCol w:w="2391"/>
        <w:gridCol w:w="2391"/>
      </w:tblGrid>
      <w:tr>
        <w:trPr>
          <w:trHeight w:val="402"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43" w:right="0"/>
              <w:jc w:val="left"/>
              <w:rPr>
                <w:rFonts w:ascii="Times New Roman" w:hAnsi="Times New Roman" w:cs="Times New Roman" w:eastAsia="Times New Roman" w:hint="default"/>
                <w:sz w:val="18"/>
                <w:szCs w:val="18"/>
              </w:rPr>
            </w:pPr>
            <w:r>
              <w:rPr>
                <w:rFonts w:ascii="Times New Roman"/>
                <w:sz w:val="18"/>
              </w:rPr>
              <w:t>75,673,142.36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5,186,210.25</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35,593,998.29</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1,134,561.22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8,903,212.19</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19,418,641.09</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17,014,581.76</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16,570,286.31</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0.8523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14,122,855.04</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574,933.00</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35,588.35</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39.93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346.44</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372.33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0.0986</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36.72</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523.02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2,523.57</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1079"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1130"/>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13,652,842.34</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93,702,187.90</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9,404,362.71</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73,798,855.49</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536,792.34</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470,336.57</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7,442,722.64</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0.8523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6,343,432.51</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933734"/>
              <w:left w:val="single" w:sz="4" w:space="0" w:color="933734"/>
              <w:bottom w:val="single" w:sz="4" w:space="0" w:color="933734"/>
              <w:right w:val="single" w:sz="4" w:space="0" w:color="933734"/>
            </w:tcBorders>
          </w:tcPr>
          <w:p>
            <w:pPr/>
          </w:p>
        </w:tc>
        <w:tc>
          <w:tcPr>
            <w:tcW w:w="2391" w:type="dxa"/>
            <w:tcBorders>
              <w:top w:val="single" w:sz="4" w:space="0" w:color="933734"/>
              <w:left w:val="single" w:sz="4" w:space="0" w:color="933734"/>
              <w:bottom w:val="single" w:sz="4" w:space="0" w:color="933734"/>
              <w:right w:val="single" w:sz="4" w:space="0" w:color="933734"/>
            </w:tcBorders>
          </w:tcPr>
          <w:p>
            <w:pP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61,410,052.57</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6,739,235.66</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46,252,722.36</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2,898,603.68</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0.8523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2,470,479.92</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1,614,293.59</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12,667,846.09</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130.00</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1,127.90</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286,939.00</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0.0623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17,876.30</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2" w:type="dxa"/>
            <w:tcBorders>
              <w:top w:val="single" w:sz="4" w:space="0" w:color="933734"/>
              <w:left w:val="single" w:sz="4" w:space="0" w:color="933734"/>
              <w:bottom w:val="single" w:sz="4" w:space="0" w:color="933734"/>
              <w:right w:val="single" w:sz="4" w:space="0" w:color="933734"/>
            </w:tcBorders>
          </w:tcPr>
          <w:p>
            <w:pPr/>
          </w:p>
        </w:tc>
        <w:tc>
          <w:tcPr>
            <w:tcW w:w="2391" w:type="dxa"/>
            <w:tcBorders>
              <w:top w:val="single" w:sz="4" w:space="0" w:color="933734"/>
              <w:left w:val="single" w:sz="4" w:space="0" w:color="933734"/>
              <w:bottom w:val="single" w:sz="4" w:space="0" w:color="933734"/>
              <w:right w:val="single" w:sz="4" w:space="0" w:color="933734"/>
            </w:tcBorders>
          </w:tcPr>
          <w:p>
            <w:pP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9,242,375.57</w:t>
            </w:r>
          </w:p>
        </w:tc>
      </w:tr>
      <w:tr>
        <w:trPr>
          <w:trHeight w:val="402"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1,177,777.77</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9,242,375.57</w:t>
            </w:r>
          </w:p>
        </w:tc>
      </w:tr>
      <w:tr>
        <w:trPr>
          <w:trHeight w:val="402"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2"/>
              <w:ind w:left="1079"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2"/>
              <w:ind w:right="1130"/>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4,621,187.79</w:t>
            </w:r>
          </w:p>
        </w:tc>
      </w:tr>
      <w:tr>
        <w:trPr>
          <w:trHeight w:val="401"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933734"/>
              <w:left w:val="single" w:sz="4" w:space="0" w:color="933734"/>
              <w:bottom w:val="single" w:sz="4" w:space="0" w:color="933734"/>
              <w:right w:val="single" w:sz="4" w:space="0" w:color="933734"/>
            </w:tcBorders>
          </w:tcPr>
          <w:p>
            <w:pPr/>
          </w:p>
        </w:tc>
        <w:tc>
          <w:tcPr>
            <w:tcW w:w="2391" w:type="dxa"/>
            <w:tcBorders>
              <w:top w:val="single" w:sz="4" w:space="0" w:color="933734"/>
              <w:left w:val="single" w:sz="4" w:space="0" w:color="933734"/>
              <w:bottom w:val="single" w:sz="4" w:space="0" w:color="933734"/>
              <w:right w:val="single" w:sz="4" w:space="0" w:color="933734"/>
            </w:tcBorders>
          </w:tcPr>
          <w:p>
            <w:pPr/>
          </w:p>
        </w:tc>
        <w:tc>
          <w:tcPr>
            <w:tcW w:w="23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588,888.89</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4,621,187.79</w:t>
            </w:r>
          </w:p>
        </w:tc>
      </w:tr>
      <w:tr>
        <w:trPr>
          <w:trHeight w:val="403" w:hRule="exact"/>
        </w:trPr>
        <w:tc>
          <w:tcPr>
            <w:tcW w:w="24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933734"/>
              <w:left w:val="single" w:sz="4" w:space="0" w:color="933734"/>
              <w:bottom w:val="single" w:sz="4" w:space="0" w:color="933734"/>
              <w:right w:val="single" w:sz="4" w:space="0" w:color="933734"/>
            </w:tcBorders>
          </w:tcPr>
          <w:p>
            <w:pPr/>
          </w:p>
        </w:tc>
        <w:tc>
          <w:tcPr>
            <w:tcW w:w="2391" w:type="dxa"/>
            <w:tcBorders>
              <w:top w:val="single" w:sz="4" w:space="0" w:color="933734"/>
              <w:left w:val="single" w:sz="4" w:space="0" w:color="933734"/>
              <w:bottom w:val="single" w:sz="4" w:space="0" w:color="933734"/>
              <w:right w:val="single" w:sz="4" w:space="0" w:color="933734"/>
            </w:tcBorders>
          </w:tcPr>
          <w:p>
            <w:pPr/>
          </w:p>
        </w:tc>
        <w:tc>
          <w:tcPr>
            <w:tcW w:w="2391"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3"/>
        <w:rPr>
          <w:rFonts w:ascii="宋体" w:hAnsi="宋体" w:cs="宋体" w:eastAsia="宋体" w:hint="default"/>
          <w:sz w:val="19"/>
          <w:szCs w:val="19"/>
        </w:rPr>
      </w:pPr>
    </w:p>
    <w:p>
      <w:pPr>
        <w:pStyle w:val="Heading4"/>
        <w:spacing w:line="256"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398"/>
        <w:gridCol w:w="854"/>
        <w:gridCol w:w="1136"/>
        <w:gridCol w:w="2413"/>
        <w:gridCol w:w="1697"/>
      </w:tblGrid>
      <w:tr>
        <w:trPr>
          <w:trHeight w:val="457" w:hRule="exact"/>
        </w:trPr>
        <w:tc>
          <w:tcPr>
            <w:tcW w:w="33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74"/>
              <w:ind w:left="183" w:right="0"/>
              <w:jc w:val="left"/>
              <w:rPr>
                <w:rFonts w:ascii="宋体" w:hAnsi="宋体" w:cs="宋体" w:eastAsia="宋体" w:hint="default"/>
                <w:sz w:val="18"/>
                <w:szCs w:val="18"/>
              </w:rPr>
            </w:pPr>
            <w:r>
              <w:rPr>
                <w:rFonts w:ascii="宋体" w:hAnsi="宋体" w:cs="宋体" w:eastAsia="宋体" w:hint="default"/>
                <w:sz w:val="18"/>
                <w:szCs w:val="18"/>
              </w:rPr>
              <w:t>境  外  经 营  实</w:t>
            </w:r>
            <w:r>
              <w:rPr>
                <w:rFonts w:ascii="宋体" w:hAnsi="宋体" w:cs="宋体" w:eastAsia="宋体" w:hint="default"/>
                <w:spacing w:val="-1"/>
                <w:sz w:val="18"/>
                <w:szCs w:val="18"/>
              </w:rPr>
              <w:t> </w:t>
            </w:r>
            <w:r>
              <w:rPr>
                <w:rFonts w:ascii="宋体" w:hAnsi="宋体" w:cs="宋体" w:eastAsia="宋体" w:hint="default"/>
                <w:sz w:val="18"/>
                <w:szCs w:val="18"/>
              </w:rPr>
              <w:t>体</w:t>
            </w:r>
          </w:p>
        </w:tc>
        <w:tc>
          <w:tcPr>
            <w:tcW w:w="85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经营地</w:t>
            </w:r>
          </w:p>
        </w:tc>
        <w:tc>
          <w:tcPr>
            <w:tcW w:w="113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4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74"/>
              <w:ind w:left="479" w:right="0"/>
              <w:jc w:val="left"/>
              <w:rPr>
                <w:rFonts w:ascii="宋体" w:hAnsi="宋体" w:cs="宋体" w:eastAsia="宋体" w:hint="default"/>
                <w:sz w:val="18"/>
                <w:szCs w:val="18"/>
              </w:rPr>
            </w:pPr>
            <w:r>
              <w:rPr>
                <w:rFonts w:ascii="宋体" w:hAnsi="宋体" w:cs="宋体" w:eastAsia="宋体" w:hint="default"/>
                <w:sz w:val="18"/>
                <w:szCs w:val="18"/>
              </w:rPr>
              <w:t>主要财务报表项目</w:t>
            </w:r>
          </w:p>
        </w:tc>
        <w:tc>
          <w:tcPr>
            <w:tcW w:w="169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74"/>
              <w:ind w:left="484" w:right="0"/>
              <w:jc w:val="left"/>
              <w:rPr>
                <w:rFonts w:ascii="宋体" w:hAnsi="宋体" w:cs="宋体" w:eastAsia="宋体" w:hint="default"/>
                <w:sz w:val="18"/>
                <w:szCs w:val="18"/>
              </w:rPr>
            </w:pPr>
            <w:r>
              <w:rPr>
                <w:rFonts w:ascii="宋体" w:hAnsi="宋体" w:cs="宋体" w:eastAsia="宋体" w:hint="default"/>
                <w:sz w:val="18"/>
                <w:szCs w:val="18"/>
              </w:rPr>
              <w:t>折算汇率</w:t>
            </w:r>
          </w:p>
        </w:tc>
      </w:tr>
      <w:tr>
        <w:trPr>
          <w:trHeight w:val="1579" w:hRule="exact"/>
        </w:trPr>
        <w:tc>
          <w:tcPr>
            <w:tcW w:w="33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79" w:lineRule="auto" w:before="77"/>
              <w:ind w:left="109" w:right="396"/>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 摩登大道品牌管理有限公司 德克彼肯伯格斯国际品牌有限公司 摩登大道投资（香港）有限公司</w:t>
            </w:r>
          </w:p>
        </w:tc>
        <w:tc>
          <w:tcPr>
            <w:tcW w:w="85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3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77"/>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年度资产和负债项目</w:t>
            </w:r>
          </w:p>
          <w:p>
            <w:pPr>
              <w:pStyle w:val="TableParagraph"/>
              <w:spacing w:line="240" w:lineRule="auto" w:before="12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年度利润表项目</w:t>
            </w:r>
          </w:p>
          <w:p>
            <w:pPr>
              <w:pStyle w:val="TableParagraph"/>
              <w:spacing w:line="240" w:lineRule="auto" w:before="12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年度资产和负债项目</w:t>
            </w:r>
          </w:p>
          <w:p>
            <w:pPr>
              <w:pStyle w:val="TableParagraph"/>
              <w:spacing w:line="240" w:lineRule="auto" w:before="12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年度利润表项目</w:t>
            </w:r>
          </w:p>
        </w:tc>
        <w:tc>
          <w:tcPr>
            <w:tcW w:w="169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0.8762</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0.8448</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0.8359</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0.8675</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03"/>
        <w:gridCol w:w="852"/>
        <w:gridCol w:w="1136"/>
        <w:gridCol w:w="2413"/>
        <w:gridCol w:w="1697"/>
      </w:tblGrid>
      <w:tr>
        <w:trPr>
          <w:trHeight w:val="1577" w:hRule="exact"/>
        </w:trPr>
        <w:tc>
          <w:tcPr>
            <w:tcW w:w="3403" w:type="dxa"/>
            <w:tcBorders>
              <w:top w:val="single" w:sz="4" w:space="0" w:color="933734"/>
              <w:left w:val="single" w:sz="4" w:space="0" w:color="933734"/>
              <w:bottom w:val="single" w:sz="4" w:space="0" w:color="FFFFFF"/>
              <w:right w:val="single" w:sz="4" w:space="0" w:color="933734"/>
            </w:tcBorders>
            <w:shd w:val="clear" w:color="auto" w:fill="E4B8B7"/>
          </w:tcPr>
          <w:p>
            <w:pPr>
              <w:pStyle w:val="TableParagraph"/>
              <w:spacing w:line="240" w:lineRule="auto" w:before="77"/>
              <w:ind w:left="111"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852" w:type="dxa"/>
            <w:tcBorders>
              <w:top w:val="single" w:sz="4" w:space="0" w:color="933734"/>
              <w:left w:val="single" w:sz="4" w:space="0" w:color="933734"/>
              <w:bottom w:val="single" w:sz="4" w:space="0" w:color="FFFFFF"/>
              <w:right w:val="single" w:sz="4" w:space="0" w:color="933734"/>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澳门</w:t>
            </w:r>
          </w:p>
        </w:tc>
        <w:tc>
          <w:tcPr>
            <w:tcW w:w="1136" w:type="dxa"/>
            <w:tcBorders>
              <w:top w:val="single" w:sz="4" w:space="0" w:color="933734"/>
              <w:left w:val="single" w:sz="4" w:space="0" w:color="933734"/>
              <w:bottom w:val="single" w:sz="4" w:space="0" w:color="FFFFFF"/>
              <w:right w:val="single" w:sz="4" w:space="0" w:color="933734"/>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澳门元</w:t>
            </w:r>
          </w:p>
        </w:tc>
        <w:tc>
          <w:tcPr>
            <w:tcW w:w="2413" w:type="dxa"/>
            <w:tcBorders>
              <w:top w:val="single" w:sz="4" w:space="0" w:color="933734"/>
              <w:left w:val="single" w:sz="4" w:space="0" w:color="933734"/>
              <w:bottom w:val="single" w:sz="4" w:space="0" w:color="FFFFFF"/>
              <w:right w:val="single" w:sz="4" w:space="0" w:color="933734"/>
            </w:tcBorders>
          </w:tcPr>
          <w:p>
            <w:pPr>
              <w:pStyle w:val="TableParagraph"/>
              <w:spacing w:line="240" w:lineRule="auto" w:before="77"/>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年度资产和负债项目</w:t>
            </w:r>
          </w:p>
          <w:p>
            <w:pPr>
              <w:pStyle w:val="TableParagraph"/>
              <w:spacing w:line="240" w:lineRule="auto" w:before="123"/>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年度利润表项目</w:t>
            </w:r>
          </w:p>
          <w:p>
            <w:pPr>
              <w:pStyle w:val="TableParagraph"/>
              <w:spacing w:line="240" w:lineRule="auto" w:before="12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年度资产和负债项目</w:t>
            </w:r>
          </w:p>
          <w:p>
            <w:pPr>
              <w:pStyle w:val="TableParagraph"/>
              <w:spacing w:line="240" w:lineRule="auto" w:before="123"/>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年度利润表项目</w:t>
            </w:r>
          </w:p>
        </w:tc>
        <w:tc>
          <w:tcPr>
            <w:tcW w:w="1697" w:type="dxa"/>
            <w:tcBorders>
              <w:top w:val="single" w:sz="4" w:space="0" w:color="933734"/>
              <w:left w:val="single" w:sz="4" w:space="0" w:color="933734"/>
              <w:bottom w:val="single" w:sz="4" w:space="0" w:color="FFFFFF"/>
              <w:right w:val="single" w:sz="4" w:space="0" w:color="933734"/>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0.8523</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0.8216</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0.8122</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0.8433</w:t>
            </w:r>
          </w:p>
        </w:tc>
      </w:tr>
      <w:tr>
        <w:trPr>
          <w:trHeight w:val="1579" w:hRule="exact"/>
        </w:trPr>
        <w:tc>
          <w:tcPr>
            <w:tcW w:w="3403" w:type="dxa"/>
            <w:tcBorders>
              <w:top w:val="single" w:sz="4" w:space="0" w:color="FFFFFF"/>
              <w:left w:val="single" w:sz="4" w:space="0" w:color="933734"/>
              <w:bottom w:val="single" w:sz="4" w:space="0" w:color="FFFFFF"/>
              <w:right w:val="single" w:sz="4" w:space="0" w:color="933734"/>
            </w:tcBorders>
            <w:shd w:val="clear" w:color="auto" w:fill="E4B8B7"/>
          </w:tcPr>
          <w:p>
            <w:pPr>
              <w:pStyle w:val="TableParagraph"/>
              <w:spacing w:line="240" w:lineRule="auto" w:before="80"/>
              <w:ind w:left="111" w:right="0"/>
              <w:jc w:val="left"/>
              <w:rPr>
                <w:rFonts w:ascii="宋体" w:hAnsi="宋体" w:cs="宋体" w:eastAsia="宋体" w:hint="default"/>
                <w:sz w:val="18"/>
                <w:szCs w:val="18"/>
              </w:rPr>
            </w:pPr>
            <w:r>
              <w:rPr>
                <w:rFonts w:ascii="宋体" w:hAnsi="宋体" w:cs="宋体" w:eastAsia="宋体" w:hint="default"/>
                <w:sz w:val="18"/>
                <w:szCs w:val="18"/>
              </w:rPr>
              <w:t>铂金国际时尚集合有限公司</w:t>
            </w:r>
          </w:p>
          <w:p>
            <w:pPr>
              <w:pStyle w:val="TableParagraph"/>
              <w:spacing w:line="240" w:lineRule="auto" w:before="9"/>
              <w:ind w:right="0"/>
              <w:jc w:val="left"/>
              <w:rPr>
                <w:rFonts w:ascii="宋体" w:hAnsi="宋体" w:cs="宋体" w:eastAsia="宋体" w:hint="default"/>
                <w:sz w:val="13"/>
                <w:szCs w:val="13"/>
              </w:rPr>
            </w:pPr>
          </w:p>
          <w:p>
            <w:pPr>
              <w:pStyle w:val="TableParagraph"/>
              <w:spacing w:line="432" w:lineRule="auto"/>
              <w:ind w:left="111" w:right="2052"/>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
                <w:sz w:val="18"/>
              </w:rPr>
              <w:t> </w:t>
            </w:r>
            <w:r>
              <w:rPr>
                <w:rFonts w:ascii="Times New Roman"/>
                <w:spacing w:val="-4"/>
                <w:sz w:val="18"/>
              </w:rPr>
              <w:t>S.P.A.</w:t>
            </w:r>
            <w:r>
              <w:rPr>
                <w:rFonts w:ascii="Times New Roman"/>
                <w:sz w:val="18"/>
              </w:rPr>
              <w:t> X </w:t>
            </w:r>
            <w:r>
              <w:rPr>
                <w:rFonts w:ascii="Times New Roman"/>
                <w:spacing w:val="-4"/>
                <w:sz w:val="18"/>
              </w:rPr>
              <w:t>SPACE</w:t>
            </w:r>
            <w:r>
              <w:rPr>
                <w:rFonts w:ascii="Times New Roman"/>
                <w:spacing w:val="-3"/>
                <w:sz w:val="18"/>
              </w:rPr>
              <w:t> </w:t>
            </w:r>
            <w:r>
              <w:rPr>
                <w:rFonts w:ascii="Times New Roman"/>
                <w:sz w:val="18"/>
              </w:rPr>
              <w:t>S.R.L.</w:t>
            </w:r>
          </w:p>
        </w:tc>
        <w:tc>
          <w:tcPr>
            <w:tcW w:w="852" w:type="dxa"/>
            <w:tcBorders>
              <w:top w:val="single" w:sz="4" w:space="0" w:color="FFFFFF"/>
              <w:left w:val="single" w:sz="4" w:space="0" w:color="933734"/>
              <w:bottom w:val="single" w:sz="4" w:space="0" w:color="FFFFFF"/>
              <w:right w:val="single" w:sz="4" w:space="0" w:color="933734"/>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意大利</w:t>
            </w:r>
          </w:p>
        </w:tc>
        <w:tc>
          <w:tcPr>
            <w:tcW w:w="1136" w:type="dxa"/>
            <w:tcBorders>
              <w:top w:val="single" w:sz="4" w:space="0" w:color="FFFFFF"/>
              <w:left w:val="single" w:sz="4" w:space="0" w:color="933734"/>
              <w:bottom w:val="single" w:sz="4" w:space="0" w:color="FFFFFF"/>
              <w:right w:val="single" w:sz="4" w:space="0" w:color="933734"/>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4" w:space="0" w:color="FFFFFF"/>
              <w:left w:val="single" w:sz="4" w:space="0" w:color="933734"/>
              <w:bottom w:val="single" w:sz="4" w:space="0" w:color="FFFFFF"/>
              <w:right w:val="single" w:sz="4" w:space="0" w:color="933734"/>
            </w:tcBorders>
          </w:tcPr>
          <w:p>
            <w:pPr>
              <w:pStyle w:val="TableParagraph"/>
              <w:spacing w:line="240" w:lineRule="auto" w:before="80"/>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年度资产和负债项目</w:t>
            </w:r>
          </w:p>
          <w:p>
            <w:pPr>
              <w:pStyle w:val="TableParagraph"/>
              <w:spacing w:line="240" w:lineRule="auto" w:before="123"/>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年度利润表项目</w:t>
            </w:r>
          </w:p>
          <w:p>
            <w:pPr>
              <w:pStyle w:val="TableParagraph"/>
              <w:spacing w:line="240" w:lineRule="auto" w:before="12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年度资产和负债项目</w:t>
            </w:r>
          </w:p>
          <w:p>
            <w:pPr>
              <w:pStyle w:val="TableParagraph"/>
              <w:spacing w:line="240" w:lineRule="auto" w:before="123"/>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年度利润表项目</w:t>
            </w:r>
          </w:p>
        </w:tc>
        <w:tc>
          <w:tcPr>
            <w:tcW w:w="1697" w:type="dxa"/>
            <w:tcBorders>
              <w:top w:val="single" w:sz="4" w:space="0" w:color="FFFFFF"/>
              <w:left w:val="single" w:sz="4" w:space="0" w:color="933734"/>
              <w:bottom w:val="single" w:sz="4" w:space="0" w:color="FFFFFF"/>
              <w:right w:val="single" w:sz="4" w:space="0" w:color="933734"/>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7.8473</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7.8095</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7.8023</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7.6372</w:t>
            </w:r>
          </w:p>
        </w:tc>
      </w:tr>
      <w:tr>
        <w:trPr>
          <w:trHeight w:val="1952" w:hRule="exact"/>
        </w:trPr>
        <w:tc>
          <w:tcPr>
            <w:tcW w:w="3403" w:type="dxa"/>
            <w:tcBorders>
              <w:top w:val="single" w:sz="4" w:space="0" w:color="FFFFFF"/>
              <w:left w:val="single" w:sz="4" w:space="0" w:color="933734"/>
              <w:bottom w:val="single" w:sz="4" w:space="0" w:color="933734"/>
              <w:right w:val="single" w:sz="4" w:space="0" w:color="933734"/>
            </w:tcBorders>
            <w:shd w:val="clear" w:color="auto" w:fill="E4B8B7"/>
          </w:tcPr>
          <w:p>
            <w:pPr>
              <w:pStyle w:val="TableParagraph"/>
              <w:spacing w:line="379" w:lineRule="auto" w:before="77"/>
              <w:ind w:left="111" w:right="759"/>
              <w:jc w:val="left"/>
              <w:rPr>
                <w:rFonts w:ascii="宋体" w:hAnsi="宋体" w:cs="宋体" w:eastAsia="宋体" w:hint="default"/>
                <w:sz w:val="18"/>
                <w:szCs w:val="18"/>
              </w:rPr>
            </w:pPr>
            <w:r>
              <w:rPr>
                <w:rFonts w:ascii="宋体" w:hAnsi="宋体" w:cs="宋体" w:eastAsia="宋体" w:hint="default"/>
                <w:sz w:val="18"/>
                <w:szCs w:val="18"/>
              </w:rPr>
              <w:t>香港悦然心动网络科技有限公司 香港欢乐无限网络科技有限公司 香港威震天网络科技有限公司 骏优集团有限公司 乐福仕实业有限公司</w:t>
            </w:r>
          </w:p>
        </w:tc>
        <w:tc>
          <w:tcPr>
            <w:tcW w:w="852" w:type="dxa"/>
            <w:tcBorders>
              <w:top w:val="single" w:sz="4" w:space="0" w:color="FFFFFF"/>
              <w:left w:val="single" w:sz="4" w:space="0" w:color="933734"/>
              <w:bottom w:val="single" w:sz="4" w:space="0" w:color="933734"/>
              <w:right w:val="single" w:sz="4" w:space="0" w:color="933734"/>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36" w:type="dxa"/>
            <w:tcBorders>
              <w:top w:val="single" w:sz="4" w:space="0" w:color="FFFFFF"/>
              <w:left w:val="single" w:sz="4" w:space="0" w:color="933734"/>
              <w:bottom w:val="single" w:sz="4" w:space="0" w:color="933734"/>
              <w:right w:val="single" w:sz="4" w:space="0" w:color="933734"/>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413" w:type="dxa"/>
            <w:tcBorders>
              <w:top w:val="single" w:sz="4" w:space="0" w:color="FFFFFF"/>
              <w:left w:val="single" w:sz="4" w:space="0" w:color="933734"/>
              <w:bottom w:val="single" w:sz="4" w:space="0" w:color="933734"/>
              <w:right w:val="single" w:sz="4" w:space="0" w:color="933734"/>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FFFFFF"/>
              <w:left w:val="single" w:sz="4" w:space="0" w:color="933734"/>
              <w:bottom w:val="single" w:sz="4" w:space="0" w:color="933734"/>
              <w:right w:val="single" w:sz="4" w:space="0" w:color="933734"/>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55</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内外经贸发展与口岸 建设</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项目专项资金</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财政局税费返还</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2,131,500.00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2,131,500.00</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市级服务贸易补贴款</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1,307,800.00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1,307,800.00</w:t>
            </w:r>
          </w:p>
        </w:tc>
      </w:tr>
      <w:tr>
        <w:trPr>
          <w:trHeight w:val="715"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第十批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入选企业人才 资助资金</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2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年科技创业法律中介 费补贴款</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22,500.00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22,500.00</w:t>
            </w:r>
          </w:p>
        </w:tc>
      </w:tr>
      <w:tr>
        <w:trPr>
          <w:trHeight w:val="716"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2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年科技创业办公租赁 费补贴款</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81,000.00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81,000.00</w:t>
            </w:r>
          </w:p>
        </w:tc>
      </w:tr>
      <w:tr>
        <w:trPr>
          <w:trHeight w:val="71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广州市失业保险支持企业稳 定岗位补贴</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38,605.02</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38,605.02</w:t>
            </w: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发明专利补助</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1,250.00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1,250.00</w:t>
            </w:r>
          </w:p>
        </w:tc>
      </w:tr>
      <w:tr>
        <w:trPr>
          <w:trHeight w:val="71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计算机软件著作权登记资助 经费</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3,300.00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3,300.00</w:t>
            </w:r>
          </w:p>
        </w:tc>
      </w:tr>
      <w:tr>
        <w:trPr>
          <w:trHeight w:val="715"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18"/>
              <w:jc w:val="left"/>
              <w:rPr>
                <w:rFonts w:ascii="宋体" w:hAnsi="宋体" w:cs="宋体" w:eastAsia="宋体" w:hint="default"/>
                <w:sz w:val="18"/>
                <w:szCs w:val="18"/>
              </w:rPr>
            </w:pPr>
            <w:r>
              <w:rPr>
                <w:rFonts w:ascii="宋体" w:hAnsi="宋体" w:cs="宋体" w:eastAsia="宋体" w:hint="default"/>
                <w:sz w:val="18"/>
                <w:szCs w:val="18"/>
              </w:rPr>
              <w:t>衡阳连卡福免征销售农产品 增值税</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湖北省科技局研发加计补贴 款</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2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年武汉市外经贸发展 资金</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企业研发投入补贴资金</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1,213,100.00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1,213,100.00</w:t>
            </w:r>
          </w:p>
        </w:tc>
      </w:tr>
      <w:tr>
        <w:trPr>
          <w:trHeight w:val="715"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2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年度第一批高新技术 企业落户奖励</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企业上市奖励</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5"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18"/>
              <w:jc w:val="left"/>
              <w:rPr>
                <w:rFonts w:ascii="宋体" w:hAnsi="宋体" w:cs="宋体" w:eastAsia="宋体" w:hint="default"/>
                <w:sz w:val="18"/>
                <w:szCs w:val="18"/>
              </w:rPr>
            </w:pPr>
            <w:r>
              <w:rPr>
                <w:rFonts w:ascii="宋体" w:hAnsi="宋体" w:cs="宋体" w:eastAsia="宋体" w:hint="default"/>
                <w:sz w:val="18"/>
                <w:szCs w:val="18"/>
              </w:rPr>
              <w:t>文化和科技融合专项奖励补 贴</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2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年度新兴产业和创新 创业奖励补贴</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560,000.00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年度企业稳岗补贴</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衡阳市商业广场城市建设配 套费</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武汉市创新基金补贴</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软件著作权补贴款</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高新技术企业认定补贴</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专项补贴</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4"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人才计划补贴款</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技术先进型服务企业认定补 贴</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四上企业小进规服务业补贴</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武汉市版权登记资助补贴</w:t>
            </w:r>
          </w:p>
        </w:tc>
        <w:tc>
          <w:tcPr>
            <w:tcW w:w="2391"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9,789,055.02</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3" w:right="92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63"/>
        <w:gridCol w:w="1063"/>
        <w:gridCol w:w="1066"/>
        <w:gridCol w:w="1063"/>
        <w:gridCol w:w="1064"/>
        <w:gridCol w:w="1066"/>
        <w:gridCol w:w="1061"/>
        <w:gridCol w:w="1063"/>
        <w:gridCol w:w="1061"/>
      </w:tblGrid>
      <w:tr>
        <w:trPr>
          <w:trHeight w:val="1337" w:hRule="exact"/>
        </w:trPr>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5"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8"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5" w:right="164"/>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67" w:right="163"/>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9" w:lineRule="auto" w:before="49"/>
              <w:ind w:left="165" w:right="165"/>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715" w:hRule="exact"/>
        </w:trPr>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骏优集团 有限公司</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8,005.00</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226"/>
              <w:jc w:val="left"/>
              <w:rPr>
                <w:rFonts w:ascii="宋体" w:hAnsi="宋体" w:cs="宋体" w:eastAsia="宋体" w:hint="default"/>
                <w:sz w:val="18"/>
                <w:szCs w:val="18"/>
              </w:rPr>
            </w:pPr>
            <w:r>
              <w:rPr>
                <w:rFonts w:ascii="宋体" w:hAnsi="宋体" w:cs="宋体" w:eastAsia="宋体" w:hint="default"/>
                <w:sz w:val="18"/>
                <w:szCs w:val="18"/>
              </w:rPr>
              <w:t>取得管理 层控制权</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74,941,217</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.83</w:t>
            </w:r>
          </w:p>
        </w:tc>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-317,438.5</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香港一方 网络科技 有限公司</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933734"/>
              <w:left w:val="single" w:sz="4" w:space="0" w:color="933734"/>
              <w:bottom w:val="single" w:sz="4" w:space="0" w:color="933734"/>
              <w:right w:val="single" w:sz="4" w:space="0" w:color="933734"/>
            </w:tcBorders>
          </w:tcPr>
          <w:p>
            <w:pP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26"/>
              <w:jc w:val="left"/>
              <w:rPr>
                <w:rFonts w:ascii="宋体" w:hAnsi="宋体" w:cs="宋体" w:eastAsia="宋体" w:hint="default"/>
                <w:sz w:val="18"/>
                <w:szCs w:val="18"/>
              </w:rPr>
            </w:pPr>
            <w:r>
              <w:rPr>
                <w:rFonts w:ascii="宋体" w:hAnsi="宋体" w:cs="宋体" w:eastAsia="宋体" w:hint="default"/>
                <w:sz w:val="18"/>
                <w:szCs w:val="18"/>
              </w:rPr>
              <w:t>完成股权 变更</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2,975,051.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38</w:t>
            </w:r>
          </w:p>
        </w:tc>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38,172.22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3"/>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骏优集团有限公司</w:t>
            </w:r>
          </w:p>
        </w:tc>
        <w:tc>
          <w:tcPr>
            <w:tcW w:w="31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香港一方网络科技有限公司</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8,005.00</w:t>
            </w:r>
          </w:p>
        </w:tc>
        <w:tc>
          <w:tcPr>
            <w:tcW w:w="3193"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8,005.00</w:t>
            </w:r>
          </w:p>
        </w:tc>
        <w:tc>
          <w:tcPr>
            <w:tcW w:w="3193"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97" w:lineRule="auto" w:before="51"/>
              <w:ind w:left="103" w:right="14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 产公允价值份额的金额</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8,005.00</w:t>
            </w:r>
          </w:p>
        </w:tc>
        <w:tc>
          <w:tcPr>
            <w:tcW w:w="3193"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合并成本公允价值的确定方法、或有对价及其变动的说明</w:t>
      </w:r>
      <w:r>
        <w:rPr>
          <w:rFonts w:ascii="宋体" w:hAnsi="宋体" w:cs="宋体" w:eastAsia="宋体" w:hint="default"/>
          <w:sz w:val="18"/>
          <w:szCs w:val="18"/>
        </w:rPr>
        <w:t>：</w:t>
      </w:r>
    </w:p>
    <w:p>
      <w:pPr>
        <w:spacing w:line="240" w:lineRule="auto" w:before="4"/>
        <w:rPr>
          <w:rFonts w:ascii="宋体" w:hAnsi="宋体" w:cs="宋体" w:eastAsia="宋体" w:hint="default"/>
          <w:sz w:val="19"/>
          <w:szCs w:val="19"/>
        </w:rPr>
      </w:pPr>
    </w:p>
    <w:p>
      <w:pPr>
        <w:pStyle w:val="BodyText"/>
        <w:spacing w:line="240" w:lineRule="auto"/>
        <w:ind w:left="533" w:right="0"/>
        <w:jc w:val="left"/>
      </w:pPr>
      <w:r>
        <w:rPr/>
        <w:t>合并成本公允价值的确定方法、或有对价及其变动的说明：</w:t>
      </w:r>
    </w:p>
    <w:p>
      <w:pPr>
        <w:pStyle w:val="BodyText"/>
        <w:spacing w:line="384" w:lineRule="auto" w:before="155"/>
        <w:ind w:right="0"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日，卡奴迪路服饰股份（香港）有限公司以</w:t>
      </w:r>
      <w:r>
        <w:rPr>
          <w:rFonts w:ascii="Times New Roman" w:hAnsi="Times New Roman" w:cs="Times New Roman" w:eastAsia="Times New Roman" w:hint="default"/>
          <w:spacing w:val="-2"/>
        </w:rPr>
        <w:t>10,000.00</w:t>
      </w:r>
      <w:r>
        <w:rPr>
          <w:spacing w:val="-2"/>
        </w:rPr>
        <w:t>港元的价格购买程蔼琳持有的骏优集</w:t>
      </w:r>
      <w:r>
        <w:rPr>
          <w:w w:val="100"/>
        </w:rPr>
        <w:t> </w:t>
      </w:r>
      <w:r>
        <w:rPr/>
        <w:t>团有限公司</w:t>
      </w:r>
      <w:r>
        <w:rPr>
          <w:rFonts w:ascii="Times New Roman" w:hAnsi="Times New Roman" w:cs="Times New Roman" w:eastAsia="Times New Roman" w:hint="default"/>
        </w:rPr>
        <w:t>100%</w:t>
      </w:r>
      <w:r>
        <w:rPr/>
        <w:t>的股份，收购前骏优集团有限公司尚未开展实质业务。</w:t>
      </w:r>
    </w:p>
    <w:p>
      <w:pPr>
        <w:pStyle w:val="BodyText"/>
        <w:spacing w:line="386" w:lineRule="auto" w:before="78"/>
        <w:ind w:right="0"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日，香港悦然心动网络科技有限公司以</w:t>
      </w:r>
      <w:r>
        <w:rPr>
          <w:rFonts w:ascii="Times New Roman" w:hAnsi="Times New Roman" w:cs="Times New Roman" w:eastAsia="Times New Roman" w:hint="default"/>
          <w:spacing w:val="-3"/>
        </w:rPr>
        <w:t>0.00</w:t>
      </w:r>
      <w:r>
        <w:rPr>
          <w:spacing w:val="-3"/>
        </w:rPr>
        <w:t>港元的价格购买雷述超持有的香港一方网络科</w:t>
      </w:r>
      <w:r>
        <w:rPr>
          <w:w w:val="100"/>
        </w:rPr>
        <w:t> </w:t>
      </w:r>
      <w:r>
        <w:rPr/>
        <w:t>技有限公司</w:t>
      </w:r>
      <w:r>
        <w:rPr>
          <w:rFonts w:ascii="Times New Roman" w:hAnsi="Times New Roman" w:cs="Times New Roman" w:eastAsia="Times New Roman" w:hint="default"/>
        </w:rPr>
        <w:t>100%</w:t>
      </w:r>
      <w:r>
        <w:rPr/>
        <w:t>的股份，收购前香港一方网络科技有限公司尚未开展实质业务。</w:t>
      </w:r>
    </w:p>
    <w:p>
      <w:pPr>
        <w:spacing w:line="357" w:lineRule="auto" w:before="20"/>
        <w:ind w:left="113" w:right="8593"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3"/>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6383"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收购骏优集团有限公司</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795,349.92</w:t>
            </w:r>
          </w:p>
        </w:tc>
        <w:tc>
          <w:tcPr>
            <w:tcW w:w="31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795,349.92</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795,349.92</w:t>
            </w:r>
          </w:p>
        </w:tc>
        <w:tc>
          <w:tcPr>
            <w:tcW w:w="31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795,349.92</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787,344.92</w:t>
            </w:r>
          </w:p>
        </w:tc>
        <w:tc>
          <w:tcPr>
            <w:tcW w:w="31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787,344.92</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787,344.92</w:t>
            </w:r>
          </w:p>
        </w:tc>
        <w:tc>
          <w:tcPr>
            <w:tcW w:w="31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787,344.92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8,005.00</w:t>
            </w:r>
          </w:p>
        </w:tc>
        <w:tc>
          <w:tcPr>
            <w:tcW w:w="31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8,005.00</w:t>
            </w:r>
          </w:p>
        </w:tc>
      </w:tr>
      <w:tr>
        <w:trPr>
          <w:trHeight w:val="403"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8,005.00</w:t>
            </w:r>
          </w:p>
        </w:tc>
        <w:tc>
          <w:tcPr>
            <w:tcW w:w="31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8,005.00</w:t>
            </w:r>
          </w:p>
        </w:tc>
      </w:tr>
    </w:tbl>
    <w:p>
      <w:pPr>
        <w:spacing w:line="357" w:lineRule="auto" w:before="49"/>
        <w:ind w:left="213"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left="213"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32"/>
          <w:szCs w:val="32"/>
        </w:rPr>
      </w:pPr>
    </w:p>
    <w:p>
      <w:pPr>
        <w:spacing w:before="0"/>
        <w:ind w:left="213" w:right="0" w:firstLine="0"/>
        <w:jc w:val="both"/>
        <w:rPr>
          <w:rFonts w:ascii="宋体" w:hAnsi="宋体" w:cs="宋体" w:eastAsia="宋体" w:hint="default"/>
          <w:sz w:val="18"/>
          <w:szCs w:val="18"/>
        </w:rPr>
      </w:pPr>
      <w:r>
        <w:rPr>
          <w:rFonts w:ascii="宋体" w:hAnsi="宋体" w:cs="宋体" w:eastAsia="宋体" w:hint="default"/>
          <w:b/>
          <w:bCs/>
          <w:sz w:val="18"/>
          <w:szCs w:val="18"/>
        </w:rPr>
        <w:t>是否存在通过多次交易分步实现企业合并且在报告期内取得控制权的交易</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213"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1"/>
        <w:ind w:left="213"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3"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spacing w:line="571" w:lineRule="auto" w:before="0"/>
        <w:ind w:left="633" w:right="525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本期未发生同一控制下的企业合并。</w:t>
      </w:r>
    </w:p>
    <w:p>
      <w:pPr>
        <w:pStyle w:val="Heading4"/>
        <w:spacing w:line="240" w:lineRule="auto" w:before="126"/>
        <w:ind w:left="213" w:right="0"/>
        <w:jc w:val="both"/>
        <w:rPr>
          <w:b w:val="0"/>
          <w:bCs w:val="0"/>
        </w:rPr>
      </w:pPr>
      <w:r>
        <w:rPr>
          <w:rFonts w:ascii="Times New Roman" w:hAnsi="Times New Roman" w:cs="Times New Roman" w:eastAsia="Times New Roman" w:hint="default"/>
        </w:rPr>
        <w:t>3</w:t>
      </w:r>
      <w:r>
        <w:rPr/>
        <w:t>、处置子公司</w:t>
      </w:r>
      <w:r>
        <w:rPr>
          <w:b w:val="0"/>
          <w:bCs w:val="0"/>
        </w:rPr>
      </w:r>
    </w:p>
    <w:p>
      <w:pPr>
        <w:spacing w:line="240" w:lineRule="auto" w:before="5"/>
        <w:rPr>
          <w:rFonts w:ascii="宋体" w:hAnsi="宋体" w:cs="宋体" w:eastAsia="宋体" w:hint="default"/>
          <w:b/>
          <w:bCs/>
          <w:sz w:val="32"/>
          <w:szCs w:val="32"/>
        </w:rPr>
      </w:pPr>
    </w:p>
    <w:p>
      <w:pPr>
        <w:spacing w:before="0"/>
        <w:ind w:left="213" w:right="0" w:firstLine="0"/>
        <w:jc w:val="both"/>
        <w:rPr>
          <w:rFonts w:ascii="宋体" w:hAnsi="宋体" w:cs="宋体" w:eastAsia="宋体" w:hint="default"/>
          <w:sz w:val="18"/>
          <w:szCs w:val="18"/>
        </w:rPr>
      </w:pPr>
      <w:r>
        <w:rPr>
          <w:rFonts w:ascii="宋体" w:hAnsi="宋体" w:cs="宋体" w:eastAsia="宋体" w:hint="default"/>
          <w:b/>
          <w:bCs/>
          <w:sz w:val="18"/>
          <w:szCs w:val="18"/>
        </w:rPr>
        <w:t>是否存在单次处置对子公司投资即丧失控制权的情形</w:t>
      </w:r>
      <w:r>
        <w:rPr>
          <w:rFonts w:ascii="宋体" w:hAnsi="宋体" w:cs="宋体" w:eastAsia="宋体" w:hint="default"/>
          <w:sz w:val="18"/>
          <w:szCs w:val="18"/>
        </w:rPr>
      </w:r>
    </w:p>
    <w:p>
      <w:pPr>
        <w:spacing w:line="240" w:lineRule="auto" w:before="9"/>
        <w:rPr>
          <w:rFonts w:ascii="宋体" w:hAnsi="宋体" w:cs="宋体" w:eastAsia="宋体" w:hint="default"/>
          <w:b/>
          <w:bCs/>
          <w:sz w:val="14"/>
          <w:szCs w:val="14"/>
        </w:rPr>
      </w:pPr>
    </w:p>
    <w:p>
      <w:pPr>
        <w:spacing w:line="439" w:lineRule="auto" w:before="0"/>
        <w:ind w:left="213" w:right="497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w:t>
      </w:r>
      <w:r>
        <w:rPr>
          <w:rFonts w:ascii="宋体" w:hAnsi="宋体" w:cs="宋体" w:eastAsia="宋体" w:hint="default"/>
          <w:b/>
          <w:bCs/>
          <w:sz w:val="18"/>
          <w:szCs w:val="18"/>
        </w:rPr>
        <w:t>是否存在通过多次交易分步处置对子公司投资且在本期丧失控制权的情形</w:t>
      </w:r>
      <w:r>
        <w:rPr>
          <w:rFonts w:ascii="宋体" w:hAnsi="宋体" w:cs="宋体" w:eastAsia="宋体" w:hint="default"/>
          <w:sz w:val="18"/>
          <w:szCs w:val="18"/>
        </w:rPr>
      </w:r>
    </w:p>
    <w:p>
      <w:pPr>
        <w:spacing w:before="44"/>
        <w:ind w:left="213"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18"/>
        <w:ind w:left="213" w:right="0"/>
        <w:jc w:val="both"/>
        <w:rPr>
          <w:b w:val="0"/>
          <w:bCs w:val="0"/>
        </w:rPr>
      </w:pPr>
      <w:r>
        <w:rPr>
          <w:rFonts w:ascii="Times New Roman" w:hAnsi="Times New Roman" w:cs="Times New Roman" w:eastAsia="Times New Roman" w:hint="default"/>
        </w:rPr>
        <w:t>4</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213" w:right="0" w:firstLine="0"/>
        <w:jc w:val="both"/>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3"/>
        <w:rPr>
          <w:rFonts w:ascii="宋体" w:hAnsi="宋体" w:cs="宋体" w:eastAsia="宋体" w:hint="default"/>
          <w:sz w:val="13"/>
          <w:szCs w:val="13"/>
        </w:rPr>
      </w:pPr>
    </w:p>
    <w:p>
      <w:pPr>
        <w:pStyle w:val="BodyText"/>
        <w:spacing w:line="240" w:lineRule="auto"/>
        <w:ind w:left="633" w:right="953"/>
        <w:jc w:val="left"/>
      </w:pPr>
      <w:r>
        <w:rPr>
          <w:rFonts w:ascii="Times New Roman" w:hAnsi="Times New Roman" w:cs="Times New Roman" w:eastAsia="Times New Roman" w:hint="default"/>
        </w:rPr>
        <w:t>1</w:t>
      </w:r>
      <w:r>
        <w:rPr/>
        <w:t>、新设孙公司：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日设立广州伊韵电子商贸有限公司、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日设立美年电子商贸</w:t>
      </w:r>
    </w:p>
    <w:p>
      <w:pPr>
        <w:pStyle w:val="BodyText"/>
        <w:spacing w:line="386" w:lineRule="auto" w:before="177"/>
        <w:ind w:left="213" w:right="1126" w:hanging="107"/>
        <w:jc w:val="both"/>
      </w:pPr>
      <w:r>
        <w:rPr/>
        <w:t>（广州）有限公司、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日设立广州美年科技有限公司、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日设立广州天美电子商贸有</w:t>
      </w:r>
      <w:r>
        <w:rPr>
          <w:spacing w:val="-25"/>
        </w:rPr>
        <w:t> </w:t>
      </w:r>
      <w:r>
        <w:rPr>
          <w:spacing w:val="-25"/>
        </w:rPr>
      </w:r>
      <w:r>
        <w:rPr/>
        <w:t>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日设立广州摩登时尚鞋业有限公司、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日设立</w:t>
      </w:r>
      <w:r>
        <w:rPr>
          <w:rFonts w:ascii="Times New Roman" w:hAnsi="Times New Roman" w:cs="Times New Roman" w:eastAsia="Times New Roman" w:hint="default"/>
        </w:rPr>
        <w:t>EBC,INC.</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20"/>
        </w:rPr>
        <w:t> </w:t>
      </w:r>
      <w:r>
        <w:rPr/>
        <w:t>日设立武汉乐玩互动网络科技有限公司，持股比例情况见附注九。</w:t>
      </w:r>
    </w:p>
    <w:p>
      <w:pPr>
        <w:pStyle w:val="BodyText"/>
        <w:spacing w:line="240" w:lineRule="auto" w:before="103"/>
        <w:ind w:left="633" w:right="953"/>
        <w:jc w:val="left"/>
      </w:pPr>
      <w:r>
        <w:rPr>
          <w:rFonts w:ascii="Times New Roman" w:hAnsi="Times New Roman" w:cs="Times New Roman" w:eastAsia="Times New Roman" w:hint="default"/>
        </w:rPr>
        <w:t>2</w:t>
      </w:r>
      <w:r>
        <w:rPr/>
        <w:t>、注销子公司：</w:t>
      </w:r>
      <w:r>
        <w:rPr>
          <w:rFonts w:ascii="Times New Roman" w:hAnsi="Times New Roman" w:cs="Times New Roman" w:eastAsia="Times New Roman" w:hint="default"/>
        </w:rPr>
        <w:t>EBC,INC.</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月注销，该公司本期无实质业务发生。</w:t>
      </w:r>
    </w:p>
    <w:p>
      <w:pPr>
        <w:spacing w:after="0" w:line="240" w:lineRule="auto"/>
        <w:jc w:val="left"/>
        <w:sectPr>
          <w:pgSz w:w="11910" w:h="16840"/>
          <w:pgMar w:header="906" w:footer="1079" w:top="1100" w:bottom="1260" w:left="9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933734"/>
              <w:bottom w:val="single" w:sz="4" w:space="0" w:color="933734"/>
              <w:right w:val="single" w:sz="4" w:space="0" w:color="933734"/>
            </w:tcBorders>
            <w:shd w:val="clear" w:color="auto" w:fill="E4B8B7"/>
          </w:tcPr>
          <w:p>
            <w:pPr/>
          </w:p>
        </w:tc>
        <w:tc>
          <w:tcPr>
            <w:tcW w:w="1369" w:type="dxa"/>
            <w:vMerge/>
            <w:tcBorders>
              <w:left w:val="single" w:sz="4" w:space="0" w:color="933734"/>
              <w:bottom w:val="single" w:sz="4" w:space="0" w:color="933734"/>
              <w:right w:val="single" w:sz="4" w:space="0" w:color="933734"/>
            </w:tcBorders>
            <w:shd w:val="clear" w:color="auto" w:fill="E4B8B7"/>
          </w:tcPr>
          <w:p>
            <w:pPr/>
          </w:p>
        </w:tc>
        <w:tc>
          <w:tcPr>
            <w:tcW w:w="1366" w:type="dxa"/>
            <w:vMerge/>
            <w:tcBorders>
              <w:left w:val="single" w:sz="4" w:space="0" w:color="933734"/>
              <w:bottom w:val="single" w:sz="4" w:space="0" w:color="933734"/>
              <w:right w:val="single" w:sz="4" w:space="0" w:color="933734"/>
            </w:tcBorders>
            <w:shd w:val="clear" w:color="auto" w:fill="E4B8B7"/>
          </w:tcPr>
          <w:p>
            <w:pPr/>
          </w:p>
        </w:tc>
        <w:tc>
          <w:tcPr>
            <w:tcW w:w="1368" w:type="dxa"/>
            <w:vMerge/>
            <w:tcBorders>
              <w:left w:val="single" w:sz="4" w:space="0" w:color="933734"/>
              <w:bottom w:val="single" w:sz="4" w:space="0" w:color="933734"/>
              <w:right w:val="single" w:sz="4" w:space="0" w:color="933734"/>
            </w:tcBorders>
            <w:shd w:val="clear" w:color="auto" w:fill="E4B8B7"/>
          </w:tcPr>
          <w:p>
            <w:pP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933734"/>
              <w:bottom w:val="single" w:sz="4" w:space="0" w:color="933734"/>
              <w:right w:val="single" w:sz="4" w:space="0" w:color="933734"/>
            </w:tcBorders>
            <w:shd w:val="clear" w:color="auto" w:fill="E4B8B7"/>
          </w:tcPr>
          <w:p>
            <w:pP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广州狮丹贸易 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71"/>
              <w:jc w:val="left"/>
              <w:rPr>
                <w:rFonts w:ascii="宋体" w:hAnsi="宋体" w:cs="宋体" w:eastAsia="宋体" w:hint="default"/>
                <w:sz w:val="18"/>
                <w:szCs w:val="18"/>
              </w:rPr>
            </w:pPr>
            <w:r>
              <w:rPr>
                <w:rFonts w:ascii="宋体" w:hAnsi="宋体" w:cs="宋体" w:eastAsia="宋体" w:hint="default"/>
                <w:sz w:val="18"/>
                <w:szCs w:val="18"/>
              </w:rPr>
              <w:t>同一控制下合 并</w:t>
            </w:r>
          </w:p>
        </w:tc>
      </w:tr>
      <w:tr>
        <w:trPr>
          <w:trHeight w:val="716"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山南卡奴迪路 商贸有限公司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山南</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山南</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广州卡奴迪路 国际品牌管理 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卡奴迪路服饰 股份（香港） 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摩登大道品牌 管理有限公司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6"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卡奴迪路国际 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德克彼肯伯格 斯国际品牌有 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521"/>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摩登大道投资</w:t>
            </w:r>
          </w:p>
          <w:p>
            <w:pPr>
              <w:pStyle w:val="TableParagraph"/>
              <w:spacing w:line="316" w:lineRule="auto" w:before="74"/>
              <w:ind w:left="103" w:right="175"/>
              <w:jc w:val="left"/>
              <w:rPr>
                <w:rFonts w:ascii="宋体" w:hAnsi="宋体" w:cs="宋体" w:eastAsia="宋体" w:hint="default"/>
                <w:sz w:val="18"/>
                <w:szCs w:val="18"/>
              </w:rPr>
            </w:pPr>
            <w:r>
              <w:rPr>
                <w:rFonts w:ascii="宋体" w:hAnsi="宋体" w:cs="宋体" w:eastAsia="宋体" w:hint="default"/>
                <w:sz w:val="18"/>
                <w:szCs w:val="18"/>
              </w:rPr>
              <w:t>（香港）有限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6"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536"/>
              <w:jc w:val="left"/>
              <w:rPr>
                <w:rFonts w:ascii="Times New Roman" w:hAnsi="Times New Roman" w:cs="Times New Roman" w:eastAsia="Times New Roman" w:hint="default"/>
                <w:sz w:val="18"/>
                <w:szCs w:val="18"/>
              </w:rPr>
            </w:pPr>
            <w:r>
              <w:rPr>
                <w:rFonts w:ascii="Times New Roman"/>
                <w:sz w:val="18"/>
              </w:rPr>
              <w:t>X</w:t>
            </w:r>
            <w:r>
              <w:rPr>
                <w:rFonts w:ascii="Times New Roman"/>
                <w:spacing w:val="2"/>
                <w:sz w:val="18"/>
              </w:rPr>
              <w:t> </w:t>
            </w:r>
            <w:r>
              <w:rPr>
                <w:rFonts w:ascii="Times New Roman"/>
                <w:spacing w:val="-4"/>
                <w:sz w:val="18"/>
              </w:rPr>
              <w:t>SPACE</w:t>
            </w:r>
            <w:r>
              <w:rPr>
                <w:rFonts w:ascii="Times New Roman"/>
                <w:sz w:val="18"/>
              </w:rPr>
              <w:t> S.R.L.</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广州连卡悦圆 发展有限公司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杭州连卡恒福 品牌管理有限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广州连卡福名 品管理有限公 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广州摩登大道 贸易有限公司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175"/>
              <w:jc w:val="both"/>
              <w:rPr>
                <w:rFonts w:ascii="宋体" w:hAnsi="宋体" w:cs="宋体" w:eastAsia="宋体" w:hint="default"/>
                <w:sz w:val="18"/>
                <w:szCs w:val="18"/>
              </w:rPr>
            </w:pPr>
            <w:r>
              <w:rPr>
                <w:rFonts w:ascii="宋体" w:hAnsi="宋体" w:cs="宋体" w:eastAsia="宋体" w:hint="default"/>
                <w:sz w:val="18"/>
                <w:szCs w:val="18"/>
              </w:rPr>
              <w:t>摩登大道时尚 电子商务有限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广州中侨汇免 税品有限公司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摩登大道时尚 传媒有限公司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广州摩登魔镜 时尚科技有限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175"/>
              <w:jc w:val="both"/>
              <w:rPr>
                <w:rFonts w:ascii="宋体" w:hAnsi="宋体" w:cs="宋体" w:eastAsia="宋体" w:hint="default"/>
                <w:sz w:val="18"/>
                <w:szCs w:val="18"/>
              </w:rPr>
            </w:pPr>
            <w:r>
              <w:rPr>
                <w:rFonts w:ascii="宋体" w:hAnsi="宋体" w:cs="宋体" w:eastAsia="宋体" w:hint="default"/>
                <w:sz w:val="18"/>
                <w:szCs w:val="18"/>
              </w:rPr>
              <w:t>广州连卡新技 术开发有限公 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铂金国际时尚 集合有限公司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175"/>
              <w:jc w:val="both"/>
              <w:rPr>
                <w:rFonts w:ascii="宋体" w:hAnsi="宋体" w:cs="宋体" w:eastAsia="宋体" w:hint="default"/>
                <w:sz w:val="18"/>
                <w:szCs w:val="18"/>
              </w:rPr>
            </w:pPr>
            <w:r>
              <w:rPr>
                <w:rFonts w:ascii="宋体" w:hAnsi="宋体" w:cs="宋体" w:eastAsia="宋体" w:hint="default"/>
                <w:sz w:val="18"/>
                <w:szCs w:val="18"/>
              </w:rPr>
              <w:t>武汉悦然心动 网络科技有限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武汉威震天网 络科技有限公 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175"/>
              <w:jc w:val="both"/>
              <w:rPr>
                <w:rFonts w:ascii="宋体" w:hAnsi="宋体" w:cs="宋体" w:eastAsia="宋体" w:hint="default"/>
                <w:sz w:val="18"/>
                <w:szCs w:val="18"/>
              </w:rPr>
            </w:pPr>
            <w:r>
              <w:rPr>
                <w:rFonts w:ascii="宋体" w:hAnsi="宋体" w:cs="宋体" w:eastAsia="宋体" w:hint="default"/>
                <w:sz w:val="18"/>
                <w:szCs w:val="18"/>
              </w:rPr>
              <w:t>香港悦然心动 网络科技有限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武汉乐享无限 网络科技有限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8"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175"/>
              <w:jc w:val="both"/>
              <w:rPr>
                <w:rFonts w:ascii="宋体" w:hAnsi="宋体" w:cs="宋体" w:eastAsia="宋体" w:hint="default"/>
                <w:sz w:val="18"/>
                <w:szCs w:val="18"/>
              </w:rPr>
            </w:pPr>
            <w:r>
              <w:rPr>
                <w:rFonts w:ascii="宋体" w:hAnsi="宋体" w:cs="宋体" w:eastAsia="宋体" w:hint="default"/>
                <w:sz w:val="18"/>
                <w:szCs w:val="18"/>
              </w:rPr>
              <w:t>山南快乐无限 网络科技有限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山南</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山南</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霍尔果斯欢乐 无限网络科技 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175"/>
              <w:jc w:val="both"/>
              <w:rPr>
                <w:rFonts w:ascii="宋体" w:hAnsi="宋体" w:cs="宋体" w:eastAsia="宋体" w:hint="default"/>
                <w:sz w:val="18"/>
                <w:szCs w:val="18"/>
              </w:rPr>
            </w:pPr>
            <w:r>
              <w:rPr>
                <w:rFonts w:ascii="宋体" w:hAnsi="宋体" w:cs="宋体" w:eastAsia="宋体" w:hint="default"/>
                <w:sz w:val="18"/>
                <w:szCs w:val="18"/>
              </w:rPr>
              <w:t>香港威震天网 络科技有限公 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674"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香港欢乐无限 网络科技有限</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36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武汉乐玩互动 网络科技有限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香港一方网络 科技有限公司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乐福仕实业有 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广州伊韵电子 商贸有限公司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骏优集团有限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美年电子商贸</w:t>
            </w:r>
          </w:p>
          <w:p>
            <w:pPr>
              <w:pStyle w:val="TableParagraph"/>
              <w:spacing w:line="316" w:lineRule="auto" w:before="76"/>
              <w:ind w:left="103" w:right="175"/>
              <w:jc w:val="left"/>
              <w:rPr>
                <w:rFonts w:ascii="宋体" w:hAnsi="宋体" w:cs="宋体" w:eastAsia="宋体" w:hint="default"/>
                <w:sz w:val="18"/>
                <w:szCs w:val="18"/>
              </w:rPr>
            </w:pPr>
            <w:r>
              <w:rPr>
                <w:rFonts w:ascii="宋体" w:hAnsi="宋体" w:cs="宋体" w:eastAsia="宋体" w:hint="default"/>
                <w:sz w:val="18"/>
                <w:szCs w:val="18"/>
              </w:rPr>
              <w:t>（广州）有限 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广州美年科技 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广州天美电子 商贸有限公司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广州摩登时尚 鞋业有限公司</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9"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line="357" w:lineRule="auto" w:before="49"/>
        <w:ind w:left="11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13" w:right="769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4" w:hRule="exact"/>
        </w:trPr>
        <w:tc>
          <w:tcPr>
            <w:tcW w:w="191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75"/>
              <w:ind w:left="682" w:right="141" w:hanging="541"/>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75"/>
              <w:ind w:left="503" w:right="137"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75"/>
              <w:ind w:left="863" w:right="141"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5" w:hRule="exact"/>
        </w:trPr>
        <w:tc>
          <w:tcPr>
            <w:tcW w:w="1915"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杭州连卡恒福品牌管 理有限公司</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-774,254.10</w:t>
            </w: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3,436,703.41</w:t>
            </w:r>
          </w:p>
        </w:tc>
      </w:tr>
      <w:tr>
        <w:trPr>
          <w:trHeight w:val="403" w:hRule="exact"/>
        </w:trPr>
        <w:tc>
          <w:tcPr>
            <w:tcW w:w="191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-16,741,267.52</w:t>
            </w:r>
          </w:p>
        </w:tc>
        <w:tc>
          <w:tcPr>
            <w:tcW w:w="1913" w:type="dxa"/>
            <w:tcBorders>
              <w:top w:val="single" w:sz="4" w:space="0" w:color="933734"/>
              <w:left w:val="single" w:sz="4" w:space="0" w:color="933734"/>
              <w:bottom w:val="single" w:sz="4" w:space="0" w:color="933734"/>
              <w:right w:val="single" w:sz="4" w:space="0" w:color="933734"/>
            </w:tcBorders>
          </w:tcPr>
          <w:p>
            <w:pP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86,398,257.02</w:t>
            </w:r>
          </w:p>
        </w:tc>
      </w:tr>
    </w:tbl>
    <w:p>
      <w:pPr>
        <w:spacing w:line="357" w:lineRule="auto" w:before="49"/>
        <w:ind w:left="113" w:right="643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after="0" w:line="357"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3" w:hRule="exact"/>
        </w:trPr>
        <w:tc>
          <w:tcPr>
            <w:tcW w:w="73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5" w:hRule="exact"/>
        </w:trPr>
        <w:tc>
          <w:tcPr>
            <w:tcW w:w="737" w:type="dxa"/>
            <w:vMerge/>
            <w:tcBorders>
              <w:left w:val="single" w:sz="4" w:space="0" w:color="933734"/>
              <w:bottom w:val="single" w:sz="4" w:space="0" w:color="933734"/>
              <w:right w:val="single" w:sz="4" w:space="0" w:color="933734"/>
            </w:tcBorders>
            <w:shd w:val="clear" w:color="auto" w:fill="E4B8B7"/>
          </w:tcPr>
          <w:p>
            <w:pPr/>
          </w:p>
        </w:tc>
        <w:tc>
          <w:tcPr>
            <w:tcW w:w="7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84" w:right="18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84" w:right="179"/>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2276" w:hRule="exact"/>
        </w:trPr>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263"/>
              <w:jc w:val="both"/>
              <w:rPr>
                <w:rFonts w:ascii="宋体" w:hAnsi="宋体" w:cs="宋体" w:eastAsia="宋体" w:hint="default"/>
                <w:sz w:val="18"/>
                <w:szCs w:val="18"/>
              </w:rPr>
            </w:pPr>
            <w:r>
              <w:rPr>
                <w:rFonts w:ascii="宋体" w:hAnsi="宋体" w:cs="宋体" w:eastAsia="宋体" w:hint="default"/>
                <w:sz w:val="18"/>
                <w:szCs w:val="18"/>
              </w:rPr>
              <w:t>杭州 连卡 恒福 品牌 管理 有限 公司</w:t>
            </w:r>
          </w:p>
        </w:tc>
        <w:tc>
          <w:tcPr>
            <w:tcW w:w="7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117,85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5,168.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57</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4,078,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997.08</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4,165.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65</w:t>
            </w:r>
          </w:p>
        </w:tc>
        <w:tc>
          <w:tcPr>
            <w:tcW w:w="7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114,92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0,485.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23</w:t>
            </w:r>
          </w:p>
        </w:tc>
        <w:tc>
          <w:tcPr>
            <w:tcW w:w="737" w:type="dxa"/>
            <w:tcBorders>
              <w:top w:val="single" w:sz="4" w:space="0" w:color="933734"/>
              <w:left w:val="single" w:sz="4" w:space="0" w:color="933734"/>
              <w:bottom w:val="single" w:sz="4" w:space="0" w:color="933734"/>
              <w:right w:val="single" w:sz="4" w:space="0" w:color="933734"/>
            </w:tcBorders>
          </w:tcPr>
          <w:p>
            <w:pPr/>
          </w:p>
        </w:tc>
        <w:tc>
          <w:tcPr>
            <w:tcW w:w="7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114,92</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0,485.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23</w:t>
            </w:r>
          </w:p>
        </w:tc>
        <w:tc>
          <w:tcPr>
            <w:tcW w:w="7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106,41</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8,047.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4,804,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776.24</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111,22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2,823.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73</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102,62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9,032.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90</w:t>
            </w:r>
          </w:p>
        </w:tc>
        <w:tc>
          <w:tcPr>
            <w:tcW w:w="735" w:type="dxa"/>
            <w:tcBorders>
              <w:top w:val="single" w:sz="4" w:space="0" w:color="933734"/>
              <w:left w:val="single" w:sz="4" w:space="0" w:color="933734"/>
              <w:bottom w:val="single" w:sz="4" w:space="0" w:color="933734"/>
              <w:right w:val="single" w:sz="4" w:space="0" w:color="933734"/>
            </w:tcBorders>
          </w:tcPr>
          <w:p>
            <w:pP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102,62</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9,032.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90</w:t>
            </w:r>
          </w:p>
        </w:tc>
      </w:tr>
      <w:tr>
        <w:trPr>
          <w:trHeight w:val="1025" w:hRule="exact"/>
        </w:trPr>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101"/>
              <w:jc w:val="left"/>
              <w:rPr>
                <w:rFonts w:ascii="Times New Roman" w:hAnsi="Times New Roman" w:cs="Times New Roman" w:eastAsia="Times New Roman" w:hint="default"/>
                <w:sz w:val="18"/>
                <w:szCs w:val="18"/>
              </w:rPr>
            </w:pPr>
            <w:r>
              <w:rPr>
                <w:rFonts w:ascii="Times New Roman"/>
                <w:sz w:val="18"/>
              </w:rPr>
              <w:t>LEVIT</w:t>
            </w:r>
            <w:r>
              <w:rPr>
                <w:rFonts w:ascii="Times New Roman"/>
                <w:w w:val="99"/>
                <w:sz w:val="18"/>
              </w:rPr>
              <w:t> </w:t>
            </w:r>
            <w:r>
              <w:rPr>
                <w:rFonts w:ascii="Times New Roman"/>
                <w:sz w:val="18"/>
              </w:rPr>
              <w:t>AS</w:t>
            </w:r>
            <w:r>
              <w:rPr>
                <w:rFonts w:ascii="Times New Roman"/>
                <w:w w:val="99"/>
                <w:sz w:val="18"/>
              </w:rPr>
              <w:t> </w:t>
            </w:r>
            <w:r>
              <w:rPr>
                <w:rFonts w:ascii="Times New Roman"/>
                <w:spacing w:val="-4"/>
                <w:sz w:val="18"/>
              </w:rPr>
              <w:t>S.P.A.</w:t>
            </w:r>
          </w:p>
        </w:tc>
        <w:tc>
          <w:tcPr>
            <w:tcW w:w="7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46,138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,921.0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227,96</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9,010.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274,10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7,931.</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07</w:t>
            </w:r>
          </w:p>
        </w:tc>
        <w:tc>
          <w:tcPr>
            <w:tcW w:w="7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72,258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,874.4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,083.1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97,784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,957.5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224,58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7,193.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223,58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7,193.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271,06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9,873.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71</w:t>
            </w:r>
          </w:p>
        </w:tc>
        <w:tc>
          <w:tcPr>
            <w:tcW w:w="7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35,764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,873.5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89,729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2"/>
                <w:sz w:val="18"/>
              </w:rPr>
              <w:t>,114.2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1" w:hRule="exact"/>
        </w:trPr>
        <w:tc>
          <w:tcPr>
            <w:tcW w:w="1061"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34" w:right="163"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4"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933734"/>
              <w:bottom w:val="single" w:sz="4" w:space="0" w:color="933734"/>
              <w:right w:val="single" w:sz="4" w:space="0" w:color="933734"/>
            </w:tcBorders>
            <w:shd w:val="clear" w:color="auto" w:fill="E4B8B7"/>
          </w:tcPr>
          <w:p>
            <w:pPr/>
          </w:p>
        </w:tc>
        <w:tc>
          <w:tcPr>
            <w:tcW w:w="10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47" w:right="163"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70" w:right="163"/>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45"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67" w:right="166"/>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337" w:hRule="exact"/>
        </w:trPr>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25"/>
              <w:jc w:val="both"/>
              <w:rPr>
                <w:rFonts w:ascii="宋体" w:hAnsi="宋体" w:cs="宋体" w:eastAsia="宋体" w:hint="default"/>
                <w:sz w:val="18"/>
                <w:szCs w:val="18"/>
              </w:rPr>
            </w:pPr>
            <w:r>
              <w:rPr>
                <w:rFonts w:ascii="宋体" w:hAnsi="宋体" w:cs="宋体" w:eastAsia="宋体" w:hint="default"/>
                <w:sz w:val="18"/>
                <w:szCs w:val="18"/>
              </w:rPr>
              <w:t>杭州连卡 恒福品牌 管理有限 公司</w:t>
            </w:r>
          </w:p>
        </w:tc>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101,551,13</w:t>
            </w:r>
          </w:p>
          <w:p>
            <w:pPr>
              <w:pStyle w:val="TableParagraph"/>
              <w:spacing w:line="240" w:lineRule="auto" w:before="105"/>
              <w:ind w:left="643" w:right="0"/>
              <w:jc w:val="left"/>
              <w:rPr>
                <w:rFonts w:ascii="Times New Roman" w:hAnsi="Times New Roman" w:cs="Times New Roman" w:eastAsia="Times New Roman" w:hint="default"/>
                <w:sz w:val="18"/>
                <w:szCs w:val="18"/>
              </w:rPr>
            </w:pPr>
            <w:r>
              <w:rPr>
                <w:rFonts w:ascii="Times New Roman"/>
                <w:sz w:val="18"/>
              </w:rPr>
              <w:t>0.11</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-1,580,110.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-1,580,110.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41</w:t>
            </w: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2,849,766.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103,411,97</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1.40</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1,483,599.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1,483,599.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21</w:t>
            </w: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19,852,217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362" w:lineRule="auto" w:before="91"/>
              <w:ind w:left="103" w:right="212"/>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0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33,616,998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.93</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-34,165,85</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2.08</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-33,165,85</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2.09</w:t>
            </w: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-408,624.9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48,459,941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.24</w:t>
            </w:r>
          </w:p>
        </w:tc>
        <w:tc>
          <w:tcPr>
            <w:tcW w:w="10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-27,788,80</w:t>
            </w:r>
          </w:p>
          <w:p>
            <w:pPr>
              <w:pStyle w:val="TableParagraph"/>
              <w:spacing w:line="240" w:lineRule="auto" w:before="105"/>
              <w:ind w:left="639" w:right="0"/>
              <w:jc w:val="left"/>
              <w:rPr>
                <w:rFonts w:ascii="Times New Roman" w:hAnsi="Times New Roman" w:cs="Times New Roman" w:eastAsia="Times New Roman" w:hint="default"/>
                <w:sz w:val="18"/>
                <w:szCs w:val="18"/>
              </w:rPr>
            </w:pPr>
            <w:r>
              <w:rPr>
                <w:rFonts w:ascii="Times New Roman"/>
                <w:sz w:val="18"/>
              </w:rPr>
              <w:t>6.72</w:t>
            </w:r>
          </w:p>
        </w:tc>
        <w:tc>
          <w:tcPr>
            <w:tcW w:w="10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-16,857,89</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9.36</w:t>
            </w:r>
          </w:p>
        </w:tc>
        <w:tc>
          <w:tcPr>
            <w:tcW w:w="10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-7,033,682.</w:t>
            </w:r>
          </w:p>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spacing w:val="-2"/>
        </w:rPr>
        <w:t>本公司的主要金融工具包括外币货币性项目、以公允价值计量且其变动计入当期损益的金融资产、应</w:t>
      </w:r>
      <w:r>
        <w:rPr>
          <w:w w:val="100"/>
        </w:rPr>
        <w:t> </w:t>
      </w:r>
      <w:r>
        <w:rPr>
          <w:spacing w:val="-2"/>
        </w:rPr>
        <w:t>收账款、应收票据、可供出售金融资产、应付账款、应付票据、短期借款、长期借款等，各项金融工具的</w:t>
      </w:r>
      <w:r>
        <w:rPr>
          <w:spacing w:val="-47"/>
        </w:rPr>
        <w:t> </w:t>
      </w:r>
      <w:r>
        <w:rPr>
          <w:spacing w:val="-47"/>
        </w:rPr>
      </w:r>
      <w:r>
        <w:rPr>
          <w:spacing w:val="-2"/>
        </w:rPr>
        <w:t>详细情况说明见本附注五相关项目。与这些金融工具有关的风险，以及本公司为降低这些风险所采取的风</w:t>
      </w:r>
      <w:r>
        <w:rPr>
          <w:spacing w:val="-42"/>
        </w:rPr>
        <w:t> </w:t>
      </w:r>
      <w:r>
        <w:rPr>
          <w:spacing w:val="-42"/>
        </w:rPr>
      </w:r>
      <w:r>
        <w:rPr>
          <w:spacing w:val="-2"/>
        </w:rPr>
        <w:t>险管理政策如下所述。本公司管理层对这些风险敞口进行管理和监控以确保将上述风险控制在限定的范围</w:t>
      </w:r>
      <w:r>
        <w:rPr>
          <w:spacing w:val="-43"/>
        </w:rPr>
        <w:t> </w:t>
      </w:r>
      <w:r>
        <w:rPr>
          <w:spacing w:val="-43"/>
        </w:rPr>
      </w:r>
      <w:r>
        <w:rPr/>
        <w:t>之内。</w:t>
      </w:r>
    </w:p>
    <w:p>
      <w:pPr>
        <w:pStyle w:val="BodyText"/>
        <w:spacing w:line="408" w:lineRule="auto" w:before="87"/>
        <w:ind w:right="0" w:firstLine="420"/>
        <w:jc w:val="left"/>
      </w:pPr>
      <w:r>
        <w:rPr/>
        <w:t>本公司采用敏感性分析技术分析风险变量的合理、可能变化对当期损益或股东权益可能产生的影响。</w:t>
      </w:r>
      <w:r>
        <w:rPr>
          <w:w w:val="100"/>
        </w:rPr>
        <w:t> </w:t>
      </w:r>
      <w:r>
        <w:rPr>
          <w:spacing w:val="-2"/>
        </w:rPr>
        <w:t>由于任何风险变量很少孤立地发生变化，而变量之间存在的相关性对某一风险变量的变化的最终影响金额</w:t>
      </w:r>
      <w:r>
        <w:rPr>
          <w:spacing w:val="-44"/>
        </w:rPr>
        <w:t> </w:t>
      </w:r>
      <w:r>
        <w:rPr>
          <w:spacing w:val="-44"/>
        </w:rPr>
      </w:r>
      <w:r>
        <w:rPr/>
        <w:t>将产生重大作用，因此下述内容是在假设每一变量的变化是在独立的情况下进行的。</w:t>
      </w:r>
    </w:p>
    <w:p>
      <w:pPr>
        <w:spacing w:after="0" w:line="408"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1126" w:firstLine="420"/>
        <w:jc w:val="both"/>
      </w:pPr>
      <w:r>
        <w:rPr>
          <w:spacing w:val="-2"/>
        </w:rPr>
        <w:t>本公司从事风险管理的目标是在风险和收益之间取得适当的平衡，将风险对本公司经营业绩的负面影</w:t>
      </w:r>
      <w:r>
        <w:rPr>
          <w:w w:val="100"/>
        </w:rPr>
        <w:t> </w:t>
      </w:r>
      <w:r>
        <w:rPr>
          <w:spacing w:val="-2"/>
        </w:rPr>
        <w:t>响降低到最低水平，使股东及其它权益投资者的利益最大化。基于该风险管理目标，本公司风险管理的基</w:t>
      </w:r>
      <w:r>
        <w:rPr>
          <w:spacing w:val="-43"/>
        </w:rPr>
        <w:t> </w:t>
      </w:r>
      <w:r>
        <w:rPr>
          <w:spacing w:val="-43"/>
        </w:rPr>
      </w:r>
      <w:r>
        <w:rPr>
          <w:spacing w:val="-2"/>
        </w:rPr>
        <w:t>本策略是确定和分析本公司所面临的各种风险，建立适当的风险承受底线并进行风险管理，并及时可靠地</w:t>
      </w:r>
      <w:r>
        <w:rPr>
          <w:spacing w:val="-43"/>
        </w:rPr>
        <w:t> </w:t>
      </w:r>
      <w:r>
        <w:rPr>
          <w:spacing w:val="-43"/>
        </w:rPr>
      </w:r>
      <w:r>
        <w:rPr/>
        <w:t>对各种风险进行监督，将风险控制在限定的范围之内。</w:t>
      </w:r>
    </w:p>
    <w:p>
      <w:pPr>
        <w:pStyle w:val="BodyText"/>
        <w:spacing w:line="408" w:lineRule="auto" w:before="87"/>
        <w:ind w:right="1126" w:firstLine="420"/>
        <w:jc w:val="both"/>
      </w:pPr>
      <w:r>
        <w:rPr>
          <w:spacing w:val="-2"/>
        </w:rPr>
        <w:t>本公司在经营过程中面临各种金融风险：信用风险、市场风险和流动性风险。公司经营管理层全面负</w:t>
      </w:r>
      <w:r>
        <w:rPr>
          <w:w w:val="100"/>
        </w:rPr>
        <w:t> </w:t>
      </w:r>
      <w:r>
        <w:rPr>
          <w:spacing w:val="-2"/>
        </w:rPr>
        <w:t>责风险管理目标和政策的确定，并对风险管理目标和政策承担最终责任。经营管理层通过职能部门递交的</w:t>
      </w:r>
      <w:r>
        <w:rPr>
          <w:spacing w:val="-43"/>
        </w:rPr>
        <w:t> </w:t>
      </w:r>
      <w:r>
        <w:rPr>
          <w:spacing w:val="-43"/>
        </w:rPr>
      </w:r>
      <w:r>
        <w:rPr>
          <w:spacing w:val="-2"/>
        </w:rPr>
        <w:t>月度工作报告来审查已执行程序的有效性以及风险管理目标和政策的合理性。本公司的审计部执行审计风</w:t>
      </w:r>
      <w:r>
        <w:rPr>
          <w:spacing w:val="-43"/>
        </w:rPr>
        <w:t> </w:t>
      </w:r>
      <w:r>
        <w:rPr>
          <w:spacing w:val="-43"/>
        </w:rPr>
      </w:r>
      <w:r>
        <w:rPr/>
        <w:t>险管理的政策和程序，并且将有关发现汇报给审计委员会。</w:t>
      </w:r>
    </w:p>
    <w:p>
      <w:pPr>
        <w:pStyle w:val="BodyText"/>
        <w:spacing w:line="240" w:lineRule="auto" w:before="85"/>
        <w:ind w:left="533" w:right="0"/>
        <w:jc w:val="left"/>
      </w:pPr>
      <w:r>
        <w:rPr>
          <w:rFonts w:ascii="Times New Roman" w:hAnsi="Times New Roman" w:cs="Times New Roman" w:eastAsia="Times New Roman" w:hint="default"/>
        </w:rPr>
        <w:t>1</w:t>
      </w:r>
      <w:r>
        <w:rPr/>
        <w:t>、信用风险</w:t>
      </w:r>
    </w:p>
    <w:p>
      <w:pPr>
        <w:spacing w:line="240" w:lineRule="auto" w:before="9"/>
        <w:rPr>
          <w:rFonts w:ascii="宋体" w:hAnsi="宋体" w:cs="宋体" w:eastAsia="宋体" w:hint="default"/>
          <w:sz w:val="16"/>
          <w:szCs w:val="16"/>
        </w:rPr>
      </w:pPr>
    </w:p>
    <w:p>
      <w:pPr>
        <w:pStyle w:val="BodyText"/>
        <w:spacing w:line="386" w:lineRule="auto"/>
        <w:ind w:right="1131" w:firstLine="420"/>
        <w:jc w:val="both"/>
      </w:pP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日，可能引起本公司财务损失的最大信用风险敞口主要来自于合同另一方未能履行</w:t>
      </w:r>
      <w:r>
        <w:rPr>
          <w:w w:val="100"/>
        </w:rPr>
        <w:t> </w:t>
      </w:r>
      <w:r>
        <w:rPr/>
        <w:t>义务而导致本公司金融资产产生的损失。</w:t>
      </w:r>
    </w:p>
    <w:p>
      <w:pPr>
        <w:pStyle w:val="BodyText"/>
        <w:spacing w:line="408" w:lineRule="auto" w:before="106"/>
        <w:ind w:right="1126" w:firstLine="420"/>
        <w:jc w:val="both"/>
      </w:pPr>
      <w:r>
        <w:rPr>
          <w:spacing w:val="-2"/>
        </w:rPr>
        <w:t>合并资产负债表中已确认的金融资产的账面金额；对于以公允价值计量的金融工具而言，账面价值反</w:t>
      </w:r>
      <w:r>
        <w:rPr>
          <w:w w:val="100"/>
        </w:rPr>
        <w:t> </w:t>
      </w:r>
      <w:r>
        <w:rPr/>
        <w:t>映了其风险敞口，但并非最大风险敞口，其最大风险敞口将随着未来公允价值的变化而改变。</w:t>
      </w:r>
    </w:p>
    <w:p>
      <w:pPr>
        <w:pStyle w:val="BodyText"/>
        <w:spacing w:line="408" w:lineRule="auto" w:before="84"/>
        <w:ind w:right="0" w:firstLine="420"/>
        <w:jc w:val="left"/>
      </w:pPr>
      <w:r>
        <w:rPr>
          <w:spacing w:val="-2"/>
        </w:rPr>
        <w:t>为降低信用风险，本公司成立了一个小组负责确定信用额度、进行信用审批，并执行其他监控程序以</w:t>
      </w:r>
      <w:r>
        <w:rPr>
          <w:w w:val="100"/>
        </w:rPr>
        <w:t> </w:t>
      </w:r>
      <w:r>
        <w:rPr/>
        <w:t>确保采取必要的措施回收过期债权。此外，本公司于每个资产负债表日审核每一单项应收款的回收情况，</w:t>
      </w:r>
      <w:r>
        <w:rPr>
          <w:spacing w:val="-24"/>
        </w:rPr>
        <w:t> </w:t>
      </w:r>
      <w:r>
        <w:rPr>
          <w:spacing w:val="-24"/>
        </w:rPr>
      </w:r>
      <w:r>
        <w:rPr>
          <w:spacing w:val="-2"/>
        </w:rPr>
        <w:t>以确保就无法回收的款项计提充分的坏账准备。对于投资理财产品，公司董事会对理财产品投资额度、风</w:t>
      </w:r>
      <w:r>
        <w:rPr>
          <w:spacing w:val="-44"/>
        </w:rPr>
        <w:t> </w:t>
      </w:r>
      <w:r>
        <w:rPr>
          <w:spacing w:val="-44"/>
        </w:rPr>
      </w:r>
      <w:r>
        <w:rPr>
          <w:spacing w:val="-2"/>
        </w:rPr>
        <w:t>险性质进行限定，规定在授权范围内只能购买保本理财产品。因此，本公司管理层认为本公司所承担的信</w:t>
      </w:r>
      <w:r>
        <w:rPr>
          <w:spacing w:val="-44"/>
        </w:rPr>
        <w:t> </w:t>
      </w:r>
      <w:r>
        <w:rPr>
          <w:spacing w:val="-44"/>
        </w:rPr>
      </w:r>
      <w:r>
        <w:rPr/>
        <w:t>用风险已经大为降低。</w:t>
      </w:r>
    </w:p>
    <w:p>
      <w:pPr>
        <w:pStyle w:val="BodyText"/>
        <w:spacing w:line="240" w:lineRule="auto" w:before="87"/>
        <w:ind w:left="533" w:right="0"/>
        <w:jc w:val="left"/>
      </w:pPr>
      <w:r>
        <w:rPr/>
        <w:t>本公司的流动资金存放在信用评级较高的银行，故流动资金的信用风险较低。</w:t>
      </w:r>
    </w:p>
    <w:p>
      <w:pPr>
        <w:spacing w:line="240" w:lineRule="auto" w:before="12"/>
        <w:rPr>
          <w:rFonts w:ascii="宋体" w:hAnsi="宋体" w:cs="宋体" w:eastAsia="宋体" w:hint="default"/>
          <w:sz w:val="17"/>
          <w:szCs w:val="17"/>
        </w:rPr>
      </w:pPr>
    </w:p>
    <w:p>
      <w:pPr>
        <w:pStyle w:val="BodyText"/>
        <w:spacing w:line="240" w:lineRule="auto"/>
        <w:ind w:left="533" w:right="0"/>
        <w:jc w:val="left"/>
      </w:pPr>
      <w:r>
        <w:rPr>
          <w:rFonts w:ascii="Times New Roman" w:hAnsi="Times New Roman" w:cs="Times New Roman" w:eastAsia="Times New Roman" w:hint="default"/>
        </w:rPr>
        <w:t>2</w:t>
      </w:r>
      <w:r>
        <w:rPr/>
        <w:t>、市场风险</w:t>
      </w:r>
    </w:p>
    <w:p>
      <w:pPr>
        <w:spacing w:line="240" w:lineRule="auto" w:before="6"/>
        <w:rPr>
          <w:rFonts w:ascii="宋体" w:hAnsi="宋体" w:cs="宋体" w:eastAsia="宋体" w:hint="default"/>
          <w:sz w:val="16"/>
          <w:szCs w:val="16"/>
        </w:rPr>
      </w:pPr>
    </w:p>
    <w:p>
      <w:pPr>
        <w:pStyle w:val="BodyText"/>
        <w:spacing w:line="420" w:lineRule="auto"/>
        <w:ind w:left="533" w:right="0" w:hanging="106"/>
        <w:jc w:val="left"/>
      </w:pPr>
      <w:r>
        <w:rPr/>
        <w:t>（</w:t>
      </w:r>
      <w:r>
        <w:rPr>
          <w:rFonts w:ascii="Times New Roman" w:hAnsi="Times New Roman" w:cs="Times New Roman" w:eastAsia="Times New Roman" w:hint="default"/>
        </w:rPr>
        <w:t>1</w:t>
      </w:r>
      <w:r>
        <w:rPr/>
        <w:t>）外汇风险－现金流量变动风险</w:t>
      </w:r>
      <w:r>
        <w:rPr>
          <w:w w:val="100"/>
        </w:rPr>
        <w:t> </w:t>
      </w:r>
      <w:r>
        <w:rPr>
          <w:spacing w:val="-2"/>
        </w:rPr>
        <w:t>外汇风险，是指金融工具的公允价值或未来现金流量因外汇汇率变动而发生波动的风险。本公司尽可</w:t>
      </w:r>
    </w:p>
    <w:p>
      <w:pPr>
        <w:pStyle w:val="BodyText"/>
        <w:spacing w:line="444" w:lineRule="auto" w:before="35"/>
        <w:ind w:left="533" w:right="0" w:hanging="420"/>
        <w:jc w:val="left"/>
      </w:pPr>
      <w:r>
        <w:rPr/>
        <w:t>能将外币收入与外币支出相匹配以降低外汇风险。</w:t>
      </w:r>
      <w:r>
        <w:rPr>
          <w:w w:val="100"/>
        </w:rPr>
        <w:t> </w:t>
      </w:r>
      <w:r>
        <w:rPr>
          <w:spacing w:val="-2"/>
        </w:rPr>
        <w:t>公司销售包括境外的香港地区、澳门地区和意大利，其中香港地区、澳门地区是公司利润来源的重要</w:t>
      </w:r>
    </w:p>
    <w:p>
      <w:pPr>
        <w:pStyle w:val="BodyText"/>
        <w:spacing w:line="398" w:lineRule="auto" w:before="14"/>
        <w:ind w:right="1126"/>
        <w:jc w:val="both"/>
      </w:pPr>
      <w:r>
        <w:rPr>
          <w:spacing w:val="-2"/>
        </w:rPr>
        <w:t>组成部分，本公司面临的外汇风险主要来源于以外币计价的金融资产和金融负债，外币金融资产和外币金</w:t>
      </w:r>
      <w:r>
        <w:rPr>
          <w:spacing w:val="-42"/>
        </w:rPr>
        <w:t> </w:t>
      </w:r>
      <w:r>
        <w:rPr>
          <w:spacing w:val="-42"/>
        </w:rPr>
      </w:r>
      <w:r>
        <w:rPr>
          <w:spacing w:val="-3"/>
        </w:rPr>
        <w:t>融负债折算成人民币的情况见附注七、</w:t>
      </w:r>
      <w:r>
        <w:rPr>
          <w:rFonts w:ascii="Times New Roman" w:hAnsi="Times New Roman" w:cs="Times New Roman" w:eastAsia="Times New Roman" w:hint="default"/>
          <w:spacing w:val="-3"/>
        </w:rPr>
        <w:t>54</w:t>
      </w:r>
      <w:r>
        <w:rPr>
          <w:spacing w:val="-3"/>
        </w:rPr>
        <w:t>外币货币性项目。本年度公司产生汇兑收益</w:t>
      </w:r>
      <w:r>
        <w:rPr>
          <w:rFonts w:ascii="Times New Roman" w:hAnsi="Times New Roman" w:cs="Times New Roman" w:eastAsia="Times New Roman" w:hint="default"/>
          <w:spacing w:val="-3"/>
        </w:rPr>
        <w:t>1,790,599.57</w:t>
      </w:r>
      <w:r>
        <w:rPr>
          <w:spacing w:val="-3"/>
        </w:rPr>
        <w:t>元，其他</w:t>
      </w:r>
      <w:r>
        <w:rPr>
          <w:spacing w:val="-30"/>
        </w:rPr>
        <w:t> </w:t>
      </w:r>
      <w:r>
        <w:rPr>
          <w:spacing w:val="-30"/>
        </w:rPr>
      </w:r>
      <w:r>
        <w:rPr/>
        <w:t>综合收益</w:t>
      </w:r>
      <w:r>
        <w:rPr>
          <w:rFonts w:ascii="Times New Roman" w:hAnsi="Times New Roman" w:cs="Times New Roman" w:eastAsia="Times New Roman" w:hint="default"/>
        </w:rPr>
        <w:t>-</w:t>
      </w:r>
      <w:r>
        <w:rPr/>
        <w:t>外币财务报表折算差额</w:t>
      </w:r>
      <w:r>
        <w:rPr>
          <w:rFonts w:ascii="Times New Roman" w:hAnsi="Times New Roman" w:cs="Times New Roman" w:eastAsia="Times New Roman" w:hint="default"/>
        </w:rPr>
        <w:t>-2,110,005.44</w:t>
      </w:r>
      <w:r>
        <w:rPr/>
        <w:t>元。</w:t>
      </w:r>
    </w:p>
    <w:p>
      <w:pPr>
        <w:pStyle w:val="BodyText"/>
        <w:spacing w:line="386" w:lineRule="auto" w:before="62"/>
        <w:ind w:right="1011" w:firstLine="314"/>
        <w:jc w:val="left"/>
      </w:pPr>
      <w:r>
        <w:rPr/>
        <w:t>（</w:t>
      </w:r>
      <w:r>
        <w:rPr>
          <w:rFonts w:ascii="Times New Roman" w:hAnsi="Times New Roman" w:cs="Times New Roman" w:eastAsia="Times New Roman" w:hint="default"/>
        </w:rPr>
        <w:t>2</w:t>
      </w:r>
      <w:r>
        <w:rPr/>
        <w:t>）利率风险因公司存在银行借款，故在货币政策稳健偏紧和融资供求关系相对偏紧的条件下，推动</w:t>
      </w:r>
      <w:r>
        <w:rPr>
          <w:w w:val="100"/>
        </w:rPr>
        <w:t> </w:t>
      </w:r>
      <w:r>
        <w:rPr/>
        <w:t>银行贷款利率水平上升，从而增加公司的融资成本。公司报告期短期借款的利率区间为：</w:t>
      </w:r>
      <w:r>
        <w:rPr>
          <w:spacing w:val="82"/>
        </w:rPr>
        <w:t> </w:t>
      </w:r>
      <w:r>
        <w:rPr>
          <w:rFonts w:ascii="Times New Roman" w:hAnsi="Times New Roman" w:cs="Times New Roman" w:eastAsia="Times New Roman" w:hint="default"/>
        </w:rPr>
        <w:t>5.22%-6.09%</w:t>
      </w:r>
      <w:r>
        <w:rPr/>
        <w:t>，</w:t>
      </w:r>
    </w:p>
    <w:p>
      <w:pPr>
        <w:spacing w:after="0" w:line="386"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right="1128"/>
        <w:jc w:val="both"/>
      </w:pPr>
      <w:r>
        <w:rPr>
          <w:spacing w:val="-1"/>
        </w:rPr>
        <w:t>长期借款的利率区间为：</w:t>
      </w:r>
      <w:r>
        <w:rPr>
          <w:rFonts w:ascii="Times New Roman" w:hAnsi="Times New Roman" w:cs="Times New Roman" w:eastAsia="Times New Roman" w:hint="default"/>
          <w:spacing w:val="-1"/>
        </w:rPr>
        <w:t>4.50%-6.027%</w:t>
      </w:r>
      <w:r>
        <w:rPr>
          <w:spacing w:val="-1"/>
        </w:rPr>
        <w:t>。本年度公司的财务费用利息支出为</w:t>
      </w:r>
      <w:r>
        <w:rPr>
          <w:rFonts w:ascii="Times New Roman" w:hAnsi="Times New Roman" w:cs="Times New Roman" w:eastAsia="Times New Roman" w:hint="default"/>
          <w:spacing w:val="-1"/>
        </w:rPr>
        <w:t>17,516,741.70</w:t>
      </w:r>
      <w:r>
        <w:rPr>
          <w:spacing w:val="-1"/>
        </w:rPr>
        <w:t>元，公司管理层</w:t>
      </w:r>
      <w:r>
        <w:rPr>
          <w:spacing w:val="-17"/>
        </w:rPr>
        <w:t> </w:t>
      </w:r>
      <w:r>
        <w:rPr>
          <w:spacing w:val="-17"/>
        </w:rPr>
      </w:r>
      <w:r>
        <w:rPr/>
        <w:t>认为公允利率风险并不重大。</w:t>
      </w:r>
    </w:p>
    <w:p>
      <w:pPr>
        <w:pStyle w:val="BodyText"/>
        <w:spacing w:line="417" w:lineRule="auto" w:before="106"/>
        <w:ind w:left="533" w:right="1126"/>
        <w:jc w:val="left"/>
      </w:pPr>
      <w:r>
        <w:rPr>
          <w:rFonts w:ascii="Times New Roman" w:hAnsi="Times New Roman" w:cs="Times New Roman" w:eastAsia="Times New Roman" w:hint="default"/>
        </w:rPr>
        <w:t>3</w:t>
      </w:r>
      <w:r>
        <w:rPr/>
        <w:t>、流动风险</w:t>
      </w:r>
      <w:r>
        <w:rPr>
          <w:w w:val="100"/>
        </w:rPr>
        <w:t> </w:t>
      </w:r>
      <w:r>
        <w:rPr>
          <w:spacing w:val="-2"/>
        </w:rPr>
        <w:t>管理流动风险时，本公司保持管理层认为充分的现金及现金等价物并对其进行监控，以满足本公司经</w:t>
      </w:r>
    </w:p>
    <w:p>
      <w:pPr>
        <w:pStyle w:val="BodyText"/>
        <w:spacing w:line="398" w:lineRule="auto" w:before="37"/>
        <w:ind w:right="1126"/>
        <w:jc w:val="both"/>
      </w:pPr>
      <w:r>
        <w:rPr>
          <w:spacing w:val="-2"/>
        </w:rPr>
        <w:t>营需要，并降低现金流量波动的影响。流动性风险由公司的财务部门集中控制。财务部门通过监控现金余</w:t>
      </w:r>
      <w:r>
        <w:rPr>
          <w:spacing w:val="-43"/>
        </w:rPr>
        <w:t> </w:t>
      </w:r>
      <w:r>
        <w:rPr>
          <w:spacing w:val="-43"/>
        </w:rPr>
      </w:r>
      <w:r>
        <w:rPr>
          <w:spacing w:val="-2"/>
        </w:rPr>
        <w:t>额以及对未来</w:t>
      </w:r>
      <w:r>
        <w:rPr>
          <w:rFonts w:ascii="Times New Roman" w:hAnsi="Times New Roman" w:cs="Times New Roman" w:eastAsia="Times New Roman" w:hint="default"/>
          <w:spacing w:val="-2"/>
        </w:rPr>
        <w:t>12</w:t>
      </w:r>
      <w:r>
        <w:rPr>
          <w:spacing w:val="-2"/>
        </w:rPr>
        <w:t>个月现金流量的滚动预测，确保公司在所有合理预测的情况下拥有充足的资金满足经营需</w:t>
      </w:r>
      <w:r>
        <w:rPr>
          <w:spacing w:val="-42"/>
        </w:rPr>
        <w:t> </w:t>
      </w:r>
      <w:r>
        <w:rPr>
          <w:spacing w:val="-42"/>
        </w:rPr>
      </w:r>
      <w:r>
        <w:rPr/>
        <w:t>要。</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2199"/>
        <w:gridCol w:w="989"/>
        <w:gridCol w:w="1594"/>
        <w:gridCol w:w="1596"/>
      </w:tblGrid>
      <w:tr>
        <w:trPr>
          <w:trHeight w:val="714" w:hRule="exact"/>
        </w:trPr>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9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343" w:right="159" w:hanging="181"/>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254" w:right="159"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5706"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312" w:lineRule="auto"/>
              <w:ind w:left="103" w:right="125"/>
              <w:jc w:val="both"/>
              <w:rPr>
                <w:rFonts w:ascii="宋体" w:hAnsi="宋体" w:cs="宋体" w:eastAsia="宋体" w:hint="default"/>
                <w:sz w:val="18"/>
                <w:szCs w:val="18"/>
              </w:rPr>
            </w:pPr>
            <w:r>
              <w:rPr>
                <w:rFonts w:ascii="宋体" w:hAnsi="宋体" w:cs="宋体" w:eastAsia="宋体" w:hint="default"/>
                <w:sz w:val="18"/>
                <w:szCs w:val="18"/>
              </w:rPr>
              <w:t>广州市天河区珠 江西路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号广州 国际金融中心主 塔写字楼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2199" w:type="dxa"/>
            <w:tcBorders>
              <w:top w:val="single" w:sz="4" w:space="0" w:color="933734"/>
              <w:left w:val="single" w:sz="4" w:space="0" w:color="933734"/>
              <w:bottom w:val="single" w:sz="4" w:space="0" w:color="933734"/>
              <w:right w:val="single" w:sz="4" w:space="0" w:color="933734"/>
            </w:tcBorders>
          </w:tcPr>
          <w:p>
            <w:pPr>
              <w:pStyle w:val="TableParagraph"/>
              <w:spacing w:line="300" w:lineRule="auto" w:before="49"/>
              <w:ind w:left="103" w:right="113"/>
              <w:jc w:val="left"/>
              <w:rPr>
                <w:rFonts w:ascii="宋体" w:hAnsi="宋体" w:cs="宋体" w:eastAsia="宋体" w:hint="default"/>
                <w:sz w:val="18"/>
                <w:szCs w:val="18"/>
              </w:rPr>
            </w:pPr>
            <w:r>
              <w:rPr>
                <w:rFonts w:ascii="宋体" w:hAnsi="宋体" w:cs="宋体" w:eastAsia="宋体" w:hint="default"/>
                <w:sz w:val="18"/>
                <w:szCs w:val="18"/>
              </w:rPr>
              <w:t>企业管理服务</w:t>
            </w:r>
            <w:r>
              <w:rPr>
                <w:rFonts w:ascii="Times New Roman" w:hAnsi="Times New Roman" w:cs="Times New Roman" w:eastAsia="Times New Roman" w:hint="default"/>
                <w:sz w:val="18"/>
                <w:szCs w:val="18"/>
              </w:rPr>
              <w:t>(</w:t>
            </w:r>
            <w:r>
              <w:rPr>
                <w:rFonts w:ascii="宋体" w:hAnsi="宋体" w:cs="宋体" w:eastAsia="宋体" w:hint="default"/>
                <w:sz w:val="18"/>
                <w:szCs w:val="18"/>
              </w:rPr>
              <w:t>涉及许可 经营项目的除外</w:t>
            </w:r>
            <w:r>
              <w:rPr>
                <w:rFonts w:ascii="Times New Roman" w:hAnsi="Times New Roman" w:cs="Times New Roman" w:eastAsia="Times New Roman" w:hint="default"/>
                <w:sz w:val="18"/>
                <w:szCs w:val="18"/>
              </w:rPr>
              <w:t>);</w:t>
            </w:r>
            <w:r>
              <w:rPr>
                <w:rFonts w:ascii="宋体" w:hAnsi="宋体" w:cs="宋体" w:eastAsia="宋体" w:hint="default"/>
                <w:sz w:val="18"/>
                <w:szCs w:val="18"/>
              </w:rPr>
              <w:t>自有房 地产经营活动</w:t>
            </w:r>
            <w:r>
              <w:rPr>
                <w:rFonts w:ascii="Times New Roman" w:hAnsi="Times New Roman" w:cs="Times New Roman" w:eastAsia="Times New Roman" w:hint="default"/>
                <w:sz w:val="18"/>
                <w:szCs w:val="18"/>
              </w:rPr>
              <w:t>;</w:t>
            </w:r>
            <w:r>
              <w:rPr>
                <w:rFonts w:ascii="宋体" w:hAnsi="宋体" w:cs="宋体" w:eastAsia="宋体" w:hint="default"/>
                <w:sz w:val="18"/>
                <w:szCs w:val="18"/>
              </w:rPr>
              <w:t>房屋租赁</w:t>
            </w:r>
            <w:r>
              <w:rPr>
                <w:rFonts w:ascii="Times New Roman" w:hAnsi="Times New Roman" w:cs="Times New Roman" w:eastAsia="Times New Roman" w:hint="default"/>
                <w:sz w:val="18"/>
                <w:szCs w:val="18"/>
              </w:rPr>
              <w:t>; </w:t>
            </w:r>
            <w:r>
              <w:rPr>
                <w:rFonts w:ascii="宋体" w:hAnsi="宋体" w:cs="宋体" w:eastAsia="宋体" w:hint="default"/>
                <w:sz w:val="18"/>
                <w:szCs w:val="18"/>
              </w:rPr>
              <w:t>货物进出口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专营专控商 品除外</w:t>
            </w:r>
            <w:r>
              <w:rPr>
                <w:rFonts w:ascii="Times New Roman" w:hAnsi="Times New Roman" w:cs="Times New Roman" w:eastAsia="Times New Roman" w:hint="default"/>
                <w:sz w:val="18"/>
                <w:szCs w:val="18"/>
              </w:rPr>
              <w:t>);</w:t>
            </w:r>
            <w:r>
              <w:rPr>
                <w:rFonts w:ascii="宋体" w:hAnsi="宋体" w:cs="宋体" w:eastAsia="宋体" w:hint="default"/>
                <w:sz w:val="18"/>
                <w:szCs w:val="18"/>
              </w:rPr>
              <w:t>纺织品及针织品 零售</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投资管理服务</w:t>
            </w:r>
            <w:r>
              <w:rPr>
                <w:rFonts w:ascii="Times New Roman" w:hAnsi="Times New Roman" w:cs="Times New Roman" w:eastAsia="Times New Roman" w:hint="default"/>
                <w:sz w:val="18"/>
                <w:szCs w:val="18"/>
              </w:rPr>
              <w:t>;</w:t>
            </w:r>
            <w:r>
              <w:rPr>
                <w:rFonts w:ascii="宋体" w:hAnsi="宋体" w:cs="宋体" w:eastAsia="宋体" w:hint="default"/>
                <w:sz w:val="18"/>
                <w:szCs w:val="18"/>
              </w:rPr>
              <w:t>物业 管理</w:t>
            </w:r>
            <w:r>
              <w:rPr>
                <w:rFonts w:ascii="Times New Roman" w:hAnsi="Times New Roman" w:cs="Times New Roman" w:eastAsia="Times New Roman" w:hint="default"/>
                <w:sz w:val="18"/>
                <w:szCs w:val="18"/>
              </w:rPr>
              <w:t>;</w:t>
            </w:r>
            <w:r>
              <w:rPr>
                <w:rFonts w:ascii="宋体" w:hAnsi="宋体" w:cs="宋体" w:eastAsia="宋体" w:hint="default"/>
                <w:sz w:val="18"/>
                <w:szCs w:val="18"/>
              </w:rPr>
              <w:t>企业自有资金投资</w:t>
            </w:r>
            <w:r>
              <w:rPr>
                <w:rFonts w:ascii="Times New Roman" w:hAnsi="Times New Roman" w:cs="Times New Roman" w:eastAsia="Times New Roman" w:hint="default"/>
                <w:sz w:val="18"/>
                <w:szCs w:val="18"/>
              </w:rPr>
              <w:t>; </w:t>
            </w:r>
            <w:r>
              <w:rPr>
                <w:rFonts w:ascii="宋体" w:hAnsi="宋体" w:cs="宋体" w:eastAsia="宋体" w:hint="default"/>
                <w:sz w:val="18"/>
                <w:szCs w:val="18"/>
              </w:rPr>
              <w:t>鞋帽零售</w:t>
            </w:r>
            <w:r>
              <w:rPr>
                <w:rFonts w:ascii="Times New Roman" w:hAnsi="Times New Roman" w:cs="Times New Roman" w:eastAsia="Times New Roman" w:hint="default"/>
                <w:sz w:val="18"/>
                <w:szCs w:val="18"/>
              </w:rPr>
              <w:t>;</w:t>
            </w:r>
            <w:r>
              <w:rPr>
                <w:rFonts w:ascii="宋体" w:hAnsi="宋体" w:cs="宋体" w:eastAsia="宋体" w:hint="default"/>
                <w:sz w:val="18"/>
                <w:szCs w:val="18"/>
              </w:rPr>
              <w:t>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不含 许可审批项目</w:t>
            </w:r>
            <w:r>
              <w:rPr>
                <w:rFonts w:ascii="Times New Roman" w:hAnsi="Times New Roman" w:cs="Times New Roman" w:eastAsia="Times New Roman" w:hint="default"/>
                <w:sz w:val="18"/>
                <w:szCs w:val="18"/>
              </w:rPr>
              <w:t>);</w:t>
            </w:r>
            <w:r>
              <w:rPr>
                <w:rFonts w:ascii="宋体" w:hAnsi="宋体" w:cs="宋体" w:eastAsia="宋体" w:hint="default"/>
                <w:sz w:val="18"/>
                <w:szCs w:val="18"/>
              </w:rPr>
              <w:t>鞋帽批发</w:t>
            </w:r>
            <w:r>
              <w:rPr>
                <w:rFonts w:ascii="Times New Roman" w:hAnsi="Times New Roman" w:cs="Times New Roman" w:eastAsia="Times New Roman" w:hint="default"/>
                <w:sz w:val="18"/>
                <w:szCs w:val="18"/>
              </w:rPr>
              <w:t>; </w:t>
            </w:r>
            <w:r>
              <w:rPr>
                <w:rFonts w:ascii="宋体" w:hAnsi="宋体" w:cs="宋体" w:eastAsia="宋体" w:hint="default"/>
                <w:sz w:val="18"/>
                <w:szCs w:val="18"/>
              </w:rPr>
              <w:t>企业总部管理</w:t>
            </w:r>
            <w:r>
              <w:rPr>
                <w:rFonts w:ascii="Times New Roman" w:hAnsi="Times New Roman" w:cs="Times New Roman" w:eastAsia="Times New Roman" w:hint="default"/>
                <w:sz w:val="18"/>
                <w:szCs w:val="18"/>
              </w:rPr>
              <w:t>;</w:t>
            </w:r>
            <w:r>
              <w:rPr>
                <w:rFonts w:ascii="宋体" w:hAnsi="宋体" w:cs="宋体" w:eastAsia="宋体" w:hint="default"/>
                <w:sz w:val="18"/>
                <w:szCs w:val="18"/>
              </w:rPr>
              <w:t>场地租赁 </w:t>
            </w:r>
            <w:r>
              <w:rPr>
                <w:rFonts w:ascii="Times New Roman" w:hAnsi="Times New Roman" w:cs="Times New Roman" w:eastAsia="Times New Roman" w:hint="default"/>
                <w:sz w:val="18"/>
                <w:szCs w:val="18"/>
              </w:rPr>
              <w:t>(</w:t>
            </w:r>
            <w:r>
              <w:rPr>
                <w:rFonts w:ascii="宋体" w:hAnsi="宋体" w:cs="宋体" w:eastAsia="宋体" w:hint="default"/>
                <w:sz w:val="18"/>
                <w:szCs w:val="18"/>
              </w:rPr>
              <w:t>不含仓储</w:t>
            </w:r>
            <w:r>
              <w:rPr>
                <w:rFonts w:ascii="Times New Roman" w:hAnsi="Times New Roman" w:cs="Times New Roman" w:eastAsia="Times New Roman" w:hint="default"/>
                <w:sz w:val="18"/>
                <w:szCs w:val="18"/>
              </w:rPr>
              <w:t>);</w:t>
            </w:r>
            <w:r>
              <w:rPr>
                <w:rFonts w:ascii="宋体" w:hAnsi="宋体" w:cs="宋体" w:eastAsia="宋体" w:hint="default"/>
                <w:sz w:val="18"/>
                <w:szCs w:val="18"/>
              </w:rPr>
              <w:t>纺织品、针织 品及原料批发</w:t>
            </w:r>
            <w:r>
              <w:rPr>
                <w:rFonts w:ascii="Times New Roman" w:hAnsi="Times New Roman" w:cs="Times New Roman" w:eastAsia="Times New Roman" w:hint="default"/>
                <w:sz w:val="18"/>
                <w:szCs w:val="18"/>
              </w:rPr>
              <w:t>;</w:t>
            </w:r>
            <w:r>
              <w:rPr>
                <w:rFonts w:ascii="宋体" w:hAnsi="宋体" w:cs="宋体" w:eastAsia="宋体" w:hint="default"/>
                <w:sz w:val="18"/>
                <w:szCs w:val="18"/>
              </w:rPr>
              <w:t>服装批发</w:t>
            </w:r>
            <w:r>
              <w:rPr>
                <w:rFonts w:ascii="Times New Roman" w:hAnsi="Times New Roman" w:cs="Times New Roman" w:eastAsia="Times New Roman" w:hint="default"/>
                <w:sz w:val="18"/>
                <w:szCs w:val="18"/>
              </w:rPr>
              <w:t>; </w:t>
            </w:r>
            <w:r>
              <w:rPr>
                <w:rFonts w:ascii="宋体" w:hAnsi="宋体" w:cs="宋体" w:eastAsia="宋体" w:hint="default"/>
                <w:sz w:val="18"/>
                <w:szCs w:val="18"/>
              </w:rPr>
              <w:t>化妆品及卫生用品零售</w:t>
            </w:r>
            <w:r>
              <w:rPr>
                <w:rFonts w:ascii="Times New Roman" w:hAnsi="Times New Roman" w:cs="Times New Roman" w:eastAsia="Times New Roman" w:hint="default"/>
                <w:sz w:val="18"/>
                <w:szCs w:val="18"/>
              </w:rPr>
              <w:t>; </w:t>
            </w:r>
            <w:r>
              <w:rPr>
                <w:rFonts w:ascii="宋体" w:hAnsi="宋体" w:cs="宋体" w:eastAsia="宋体" w:hint="default"/>
                <w:sz w:val="18"/>
                <w:szCs w:val="18"/>
              </w:rPr>
              <w:t>化妆品及卫生用品批发</w:t>
            </w:r>
            <w:r>
              <w:rPr>
                <w:rFonts w:ascii="Times New Roman" w:hAnsi="Times New Roman" w:cs="Times New Roman" w:eastAsia="Times New Roman" w:hint="default"/>
                <w:sz w:val="18"/>
                <w:szCs w:val="18"/>
              </w:rPr>
              <w:t>; </w:t>
            </w:r>
            <w:r>
              <w:rPr>
                <w:rFonts w:ascii="宋体" w:hAnsi="宋体" w:cs="宋体" w:eastAsia="宋体" w:hint="default"/>
                <w:sz w:val="18"/>
                <w:szCs w:val="18"/>
              </w:rPr>
              <w:t>投资咨询服务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商品批发 贸易</w:t>
            </w:r>
            <w:r>
              <w:rPr>
                <w:rFonts w:ascii="Times New Roman" w:hAnsi="Times New Roman" w:cs="Times New Roman" w:eastAsia="Times New Roman" w:hint="default"/>
                <w:sz w:val="18"/>
                <w:szCs w:val="18"/>
              </w:rPr>
              <w:t>(</w:t>
            </w:r>
            <w:r>
              <w:rPr>
                <w:rFonts w:ascii="宋体" w:hAnsi="宋体" w:cs="宋体" w:eastAsia="宋体" w:hint="default"/>
                <w:sz w:val="18"/>
                <w:szCs w:val="18"/>
              </w:rPr>
              <w:t>许可审批类商品除 外</w:t>
            </w:r>
            <w:r>
              <w:rPr>
                <w:rFonts w:ascii="Times New Roman" w:hAnsi="Times New Roman" w:cs="Times New Roman" w:eastAsia="Times New Roman" w:hint="default"/>
                <w:sz w:val="18"/>
                <w:szCs w:val="18"/>
              </w:rPr>
              <w:t>);</w:t>
            </w:r>
            <w:r>
              <w:rPr>
                <w:rFonts w:ascii="宋体" w:hAnsi="宋体" w:cs="宋体" w:eastAsia="宋体" w:hint="default"/>
                <w:sz w:val="18"/>
                <w:szCs w:val="18"/>
              </w:rPr>
              <w:t>服装零售</w:t>
            </w:r>
            <w:r>
              <w:rPr>
                <w:rFonts w:ascii="Times New Roman" w:hAnsi="Times New Roman" w:cs="Times New Roman" w:eastAsia="Times New Roman" w:hint="default"/>
                <w:sz w:val="18"/>
                <w:szCs w:val="18"/>
              </w:rPr>
              <w:t>;</w:t>
            </w:r>
            <w:r>
              <w:rPr>
                <w:rFonts w:ascii="宋体" w:hAnsi="宋体" w:cs="宋体" w:eastAsia="宋体" w:hint="default"/>
                <w:sz w:val="18"/>
                <w:szCs w:val="18"/>
              </w:rPr>
              <w:t>技术进出 口</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95"/>
              <w:jc w:val="right"/>
              <w:rPr>
                <w:rFonts w:ascii="Times New Roman" w:hAnsi="Times New Roman" w:cs="Times New Roman" w:eastAsia="Times New Roman" w:hint="default"/>
                <w:sz w:val="18"/>
                <w:szCs w:val="18"/>
              </w:rPr>
            </w:pPr>
            <w:r>
              <w:rPr>
                <w:rFonts w:ascii="Times New Roman"/>
                <w:sz w:val="18"/>
              </w:rPr>
              <w:t>28.56%</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95"/>
              <w:jc w:val="right"/>
              <w:rPr>
                <w:rFonts w:ascii="Times New Roman" w:hAnsi="Times New Roman" w:cs="Times New Roman" w:eastAsia="Times New Roman" w:hint="default"/>
                <w:sz w:val="18"/>
                <w:szCs w:val="18"/>
              </w:rPr>
            </w:pPr>
            <w:r>
              <w:rPr>
                <w:rFonts w:ascii="Times New Roman"/>
                <w:sz w:val="18"/>
              </w:rPr>
              <w:t>28.56%</w:t>
            </w:r>
          </w:p>
        </w:tc>
      </w:tr>
      <w:tr>
        <w:trPr>
          <w:trHeight w:val="715"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住址：广东省广州</w:t>
            </w:r>
            <w:r>
              <w:rPr>
                <w:rFonts w:ascii="宋体" w:hAnsi="宋体" w:cs="宋体" w:eastAsia="宋体" w:hint="default"/>
                <w:sz w:val="18"/>
                <w:szCs w:val="18"/>
              </w:rPr>
              <w:t> 市</w:t>
            </w:r>
          </w:p>
        </w:tc>
        <w:tc>
          <w:tcPr>
            <w:tcW w:w="219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9.32%</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9.32%</w:t>
            </w:r>
          </w:p>
        </w:tc>
      </w:tr>
      <w:tr>
        <w:trPr>
          <w:trHeight w:val="40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933734"/>
              <w:left w:val="single" w:sz="4" w:space="0" w:color="933734"/>
              <w:bottom w:val="single" w:sz="4" w:space="0" w:color="933734"/>
              <w:right w:val="single" w:sz="4" w:space="0" w:color="933734"/>
            </w:tcBorders>
          </w:tcPr>
          <w:p>
            <w:pPr/>
          </w:p>
        </w:tc>
        <w:tc>
          <w:tcPr>
            <w:tcW w:w="2199" w:type="dxa"/>
            <w:tcBorders>
              <w:top w:val="single" w:sz="4" w:space="0" w:color="933734"/>
              <w:left w:val="single" w:sz="4" w:space="0" w:color="933734"/>
              <w:bottom w:val="single" w:sz="4" w:space="0" w:color="933734"/>
              <w:right w:val="single" w:sz="4" w:space="0" w:color="933734"/>
            </w:tcBorders>
          </w:tcPr>
          <w:p>
            <w:pPr/>
          </w:p>
        </w:tc>
        <w:tc>
          <w:tcPr>
            <w:tcW w:w="989"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37.88%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37.88%</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
        <w:rPr>
          <w:rFonts w:ascii="宋体" w:hAnsi="宋体" w:cs="宋体" w:eastAsia="宋体" w:hint="default"/>
          <w:sz w:val="13"/>
          <w:szCs w:val="13"/>
        </w:rPr>
      </w:pPr>
    </w:p>
    <w:p>
      <w:pPr>
        <w:pStyle w:val="BodyText"/>
        <w:spacing w:line="240" w:lineRule="auto"/>
        <w:ind w:left="533" w:right="0"/>
        <w:jc w:val="left"/>
      </w:pPr>
      <w:r>
        <w:rPr/>
        <w:t>林永飞持有广州瑞丰集团股份有限公司</w:t>
      </w:r>
      <w:r>
        <w:rPr>
          <w:rFonts w:ascii="宋体" w:hAnsi="宋体" w:cs="宋体" w:eastAsia="宋体" w:hint="default"/>
        </w:rPr>
        <w:t>70%</w:t>
      </w:r>
      <w:r>
        <w:rPr/>
        <w:t>股份，林永飞、翁武强、翁武游为一致行动人。</w:t>
      </w:r>
    </w:p>
    <w:p>
      <w:pPr>
        <w:spacing w:after="0" w:line="240" w:lineRule="auto"/>
        <w:jc w:val="left"/>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spacing w:line="544" w:lineRule="auto" w:before="36"/>
        <w:ind w:left="113" w:right="61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本企业子公司的情况详见附注附注九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2"/>
        <w:rPr>
          <w:rFonts w:ascii="宋体" w:hAnsi="宋体" w:cs="宋体" w:eastAsia="宋体" w:hint="default"/>
          <w:b/>
          <w:bCs/>
          <w:sz w:val="3"/>
          <w:szCs w:val="3"/>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396"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广州市豪雅制衣有限公司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实际控制人兄弟控制的企业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广州市润邦投资有限公司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实际控制人姐妹的配偶控制的企业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广州瑞丰圆通投资有限公司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新余瑞广银投资合伙企业（有限合伙）</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江门东方工美文化有限公司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珠海东方工美文化产业投资中心（有限合伙）</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江门市泓源古典傢具有限公司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江门市美隆堂家居有限公司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宁波保税区圣杰投资管理有限公司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广州瑞丰达诚投资有限公司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广州国宝文化有限公司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连卡福（衡阳）商业广场有限公司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广州融鑫投资有限公司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广州元丰鸿和商业保理有限公司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4"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广州合晟矿业有限公司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广州瑞恒嘉利投资有限公司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广州协众金融信息服务有限公司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广州鼎硕文化艺术有限公司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控股股东监事控制的企业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广州丰晟化工有限公司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1"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广州市称心贸易有限公司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3" w:hRule="exact"/>
        </w:trPr>
        <w:tc>
          <w:tcPr>
            <w:tcW w:w="478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广州市展创机电设备工程有限公司</w:t>
            </w:r>
          </w:p>
        </w:tc>
        <w:tc>
          <w:tcPr>
            <w:tcW w:w="4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37"/>
          <w:pgSz w:w="11910" w:h="16840"/>
          <w:pgMar w:footer="1079" w:header="906"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2" w:hRule="exact"/>
        </w:trPr>
        <w:tc>
          <w:tcPr>
            <w:tcW w:w="154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65"/>
              <w:jc w:val="left"/>
              <w:rPr>
                <w:rFonts w:ascii="宋体" w:hAnsi="宋体" w:cs="宋体" w:eastAsia="宋体" w:hint="default"/>
                <w:sz w:val="18"/>
                <w:szCs w:val="18"/>
              </w:rPr>
            </w:pPr>
            <w:r>
              <w:rPr>
                <w:rFonts w:ascii="宋体" w:hAnsi="宋体" w:cs="宋体" w:eastAsia="宋体" w:hint="default"/>
                <w:sz w:val="18"/>
                <w:szCs w:val="18"/>
              </w:rPr>
              <w:t>衡阳恒佳名品管 理有限公司</w:t>
            </w:r>
          </w:p>
        </w:tc>
        <w:tc>
          <w:tcPr>
            <w:tcW w:w="14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52" w:type="dxa"/>
            <w:tcBorders>
              <w:top w:val="single" w:sz="4" w:space="0" w:color="933734"/>
              <w:left w:val="single" w:sz="4" w:space="0" w:color="933734"/>
              <w:bottom w:val="single" w:sz="4" w:space="0" w:color="933734"/>
              <w:right w:val="single" w:sz="4" w:space="0" w:color="933734"/>
            </w:tcBorders>
          </w:tcPr>
          <w:p>
            <w:pPr/>
          </w:p>
        </w:tc>
        <w:tc>
          <w:tcPr>
            <w:tcW w:w="1709" w:type="dxa"/>
            <w:tcBorders>
              <w:top w:val="single" w:sz="4" w:space="0" w:color="933734"/>
              <w:left w:val="single" w:sz="4" w:space="0" w:color="933734"/>
              <w:bottom w:val="single" w:sz="4" w:space="0" w:color="933734"/>
              <w:right w:val="single" w:sz="4" w:space="0" w:color="933734"/>
            </w:tcBorders>
          </w:tcPr>
          <w:p>
            <w:pPr/>
          </w:p>
        </w:tc>
        <w:tc>
          <w:tcPr>
            <w:tcW w:w="170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2,577,094.01</w:t>
            </w:r>
          </w:p>
        </w:tc>
      </w:tr>
      <w:tr>
        <w:trPr>
          <w:trHeight w:val="715" w:hRule="exact"/>
        </w:trPr>
        <w:tc>
          <w:tcPr>
            <w:tcW w:w="1541"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连卡福</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 业广场有限公司</w:t>
            </w:r>
          </w:p>
        </w:tc>
        <w:tc>
          <w:tcPr>
            <w:tcW w:w="14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52" w:type="dxa"/>
            <w:tcBorders>
              <w:top w:val="single" w:sz="4" w:space="0" w:color="933734"/>
              <w:left w:val="single" w:sz="4" w:space="0" w:color="933734"/>
              <w:bottom w:val="single" w:sz="4" w:space="0" w:color="933734"/>
              <w:right w:val="single" w:sz="4" w:space="0" w:color="933734"/>
            </w:tcBorders>
          </w:tcPr>
          <w:p>
            <w:pPr/>
          </w:p>
        </w:tc>
        <w:tc>
          <w:tcPr>
            <w:tcW w:w="1709" w:type="dxa"/>
            <w:tcBorders>
              <w:top w:val="single" w:sz="4" w:space="0" w:color="933734"/>
              <w:left w:val="single" w:sz="4" w:space="0" w:color="933734"/>
              <w:bottom w:val="single" w:sz="4" w:space="0" w:color="933734"/>
              <w:right w:val="single" w:sz="4" w:space="0" w:color="933734"/>
            </w:tcBorders>
          </w:tcPr>
          <w:p>
            <w:pPr/>
          </w:p>
        </w:tc>
        <w:tc>
          <w:tcPr>
            <w:tcW w:w="170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827,264.54</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933734"/>
              <w:left w:val="single" w:sz="4" w:space="0" w:color="933734"/>
              <w:bottom w:val="single" w:sz="4" w:space="0" w:color="933734"/>
              <w:right w:val="single" w:sz="4" w:space="0" w:color="933734"/>
            </w:tcBorders>
          </w:tcPr>
          <w:p>
            <w:pPr>
              <w:pStyle w:val="TableParagraph"/>
              <w:spacing w:line="297"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连卡福</w:t>
            </w:r>
            <w:r>
              <w:rPr>
                <w:rFonts w:ascii="Times New Roman" w:hAnsi="Times New Roman" w:cs="Times New Roman" w:eastAsia="Times New Roman" w:hint="default"/>
                <w:sz w:val="18"/>
                <w:szCs w:val="18"/>
              </w:rPr>
              <w:t>(</w:t>
            </w:r>
            <w:r>
              <w:rPr>
                <w:rFonts w:ascii="宋体" w:hAnsi="宋体" w:cs="宋体" w:eastAsia="宋体" w:hint="default"/>
                <w:sz w:val="18"/>
                <w:szCs w:val="18"/>
              </w:rPr>
              <w:t>衡阳</w:t>
            </w:r>
            <w:r>
              <w:rPr>
                <w:rFonts w:ascii="Times New Roman" w:hAnsi="Times New Roman" w:cs="Times New Roman" w:eastAsia="Times New Roman" w:hint="default"/>
                <w:sz w:val="18"/>
                <w:szCs w:val="18"/>
              </w:rPr>
              <w:t>)</w:t>
            </w:r>
            <w:r>
              <w:rPr>
                <w:rFonts w:ascii="宋体" w:hAnsi="宋体" w:cs="宋体" w:eastAsia="宋体" w:hint="default"/>
                <w:sz w:val="18"/>
                <w:szCs w:val="18"/>
              </w:rPr>
              <w:t>商业广场有限 公司</w:t>
            </w:r>
          </w:p>
        </w:tc>
        <w:tc>
          <w:tcPr>
            <w:tcW w:w="225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259" w:type="dxa"/>
            <w:tcBorders>
              <w:top w:val="single" w:sz="4" w:space="0" w:color="933734"/>
              <w:left w:val="single" w:sz="4" w:space="0" w:color="933734"/>
              <w:bottom w:val="single" w:sz="4" w:space="0" w:color="933734"/>
              <w:right w:val="single" w:sz="4" w:space="0" w:color="933734"/>
            </w:tcBorders>
          </w:tcPr>
          <w:p>
            <w:pPr/>
          </w:p>
        </w:tc>
        <w:tc>
          <w:tcPr>
            <w:tcW w:w="2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54,497.57</w:t>
            </w:r>
          </w:p>
        </w:tc>
      </w:tr>
      <w:tr>
        <w:trPr>
          <w:trHeight w:val="403" w:hRule="exact"/>
        </w:trPr>
        <w:tc>
          <w:tcPr>
            <w:tcW w:w="23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225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25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63,965.52</w:t>
            </w:r>
          </w:p>
        </w:tc>
        <w:tc>
          <w:tcPr>
            <w:tcW w:w="2655"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239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933734"/>
              <w:left w:val="single" w:sz="4" w:space="0" w:color="933734"/>
              <w:bottom w:val="single" w:sz="4" w:space="0" w:color="933734"/>
              <w:right w:val="single" w:sz="4" w:space="0" w:color="933734"/>
            </w:tcBorders>
          </w:tcPr>
          <w:p>
            <w:pPr/>
          </w:p>
        </w:tc>
        <w:tc>
          <w:tcPr>
            <w:tcW w:w="225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63,965.52</w:t>
            </w:r>
          </w:p>
        </w:tc>
        <w:tc>
          <w:tcPr>
            <w:tcW w:w="2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54,497.57</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办公室租赁</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87,151.84</w:t>
            </w:r>
          </w:p>
        </w:tc>
        <w:tc>
          <w:tcPr>
            <w:tcW w:w="2393"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2389"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13"/>
              <w:jc w:val="left"/>
              <w:rPr>
                <w:rFonts w:ascii="宋体" w:hAnsi="宋体" w:cs="宋体" w:eastAsia="宋体" w:hint="default"/>
                <w:sz w:val="18"/>
                <w:szCs w:val="18"/>
              </w:rPr>
            </w:pPr>
            <w:r>
              <w:rPr>
                <w:rFonts w:ascii="宋体" w:hAnsi="宋体" w:cs="宋体" w:eastAsia="宋体" w:hint="default"/>
                <w:sz w:val="18"/>
                <w:szCs w:val="18"/>
              </w:rPr>
              <w:t>广州多维魔镜高新科技有限 公司</w:t>
            </w:r>
          </w:p>
        </w:tc>
        <w:tc>
          <w:tcPr>
            <w:tcW w:w="23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办公室租赁</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76,257.86</w:t>
            </w:r>
          </w:p>
        </w:tc>
        <w:tc>
          <w:tcPr>
            <w:tcW w:w="2393" w:type="dxa"/>
            <w:tcBorders>
              <w:top w:val="single" w:sz="4" w:space="0" w:color="933734"/>
              <w:left w:val="single" w:sz="4" w:space="0" w:color="933734"/>
              <w:bottom w:val="single" w:sz="4" w:space="0" w:color="933734"/>
              <w:right w:val="single" w:sz="4" w:space="0" w:color="933734"/>
            </w:tcBorders>
          </w:tcPr>
          <w:p>
            <w:pP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72"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仓库租赁</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36" w:right="0"/>
              <w:jc w:val="left"/>
              <w:rPr>
                <w:rFonts w:ascii="Times New Roman" w:hAnsi="Times New Roman" w:cs="Times New Roman" w:eastAsia="Times New Roman" w:hint="default"/>
                <w:sz w:val="18"/>
                <w:szCs w:val="18"/>
              </w:rPr>
            </w:pPr>
            <w:r>
              <w:rPr>
                <w:rFonts w:ascii="Times New Roman"/>
                <w:sz w:val="18"/>
              </w:rPr>
              <w:t>3,546,255.79</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34" w:right="0"/>
              <w:jc w:val="left"/>
              <w:rPr>
                <w:rFonts w:ascii="Times New Roman" w:hAnsi="Times New Roman" w:cs="Times New Roman" w:eastAsia="Times New Roman" w:hint="default"/>
                <w:sz w:val="18"/>
                <w:szCs w:val="18"/>
              </w:rPr>
            </w:pPr>
            <w:r>
              <w:rPr>
                <w:rFonts w:ascii="Times New Roman"/>
                <w:sz w:val="18"/>
              </w:rPr>
              <w:t>3,127,147.37</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6"/>
        <w:rPr>
          <w:rFonts w:ascii="宋体" w:hAnsi="宋体" w:cs="宋体" w:eastAsia="宋体" w:hint="default"/>
          <w:sz w:val="13"/>
          <w:szCs w:val="13"/>
        </w:rPr>
      </w:pPr>
    </w:p>
    <w:p>
      <w:pPr>
        <w:pStyle w:val="BodyText"/>
        <w:spacing w:line="264" w:lineRule="auto"/>
        <w:ind w:right="1126" w:firstLine="420"/>
        <w:jc w:val="both"/>
      </w:pPr>
      <w:r>
        <w:rPr>
          <w:spacing w:val="-2"/>
        </w:rPr>
        <w:t>报告期内，摩登大道时尚集团股份有限公司及其下属子公司与广州瑞丰集团股份有限公司控制的企业</w:t>
      </w:r>
      <w:r>
        <w:rPr>
          <w:w w:val="100"/>
        </w:rPr>
        <w:t> </w:t>
      </w:r>
      <w:r>
        <w:rPr/>
        <w:t>广州花园里发展有限公司签订房屋租赁合同，租赁仓库，租赁起始日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日，租赁终止日为</w:t>
      </w:r>
      <w:r>
        <w:rPr>
          <w:rFonts w:ascii="Times New Roman" w:hAnsi="Times New Roman" w:cs="Times New Roman" w:eastAsia="Times New Roman" w:hint="default"/>
        </w:rPr>
        <w:t>2020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日，本期交易总额</w:t>
      </w:r>
      <w:r>
        <w:rPr>
          <w:rFonts w:ascii="Times New Roman" w:hAnsi="Times New Roman" w:cs="Times New Roman" w:eastAsia="Times New Roman" w:hint="default"/>
        </w:rPr>
        <w:t>3,546,255.79</w:t>
      </w:r>
      <w:r>
        <w:rPr/>
        <w:t>元。</w:t>
      </w:r>
    </w:p>
    <w:p>
      <w:pPr>
        <w:spacing w:after="0" w:line="264" w:lineRule="auto"/>
        <w:jc w:val="both"/>
        <w:sectPr>
          <w:footerReference w:type="default" r:id="rId38"/>
          <w:pgSz w:w="11910" w:h="16840"/>
          <w:pgMar w:footer="1079" w:header="906" w:top="1100" w:bottom="1260" w:left="1020" w:right="0"/>
          <w:pgNumType w:start="201"/>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861" w:right="142"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5" w:hRule="exact"/>
        </w:trPr>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连卡福（衡阳）商业 广场有限公司</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290,000,000.00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连卡福（衡阳）商业 广场有限公司</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861" w:right="142"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5" w:hRule="exact"/>
        </w:trPr>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广州瑞丰集团股份有 限公司</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翁武强、翁武游</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72,000,000.00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166,670,000.00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3"/>
        <w:rPr>
          <w:rFonts w:ascii="宋体" w:hAnsi="宋体" w:cs="宋体" w:eastAsia="宋体" w:hint="default"/>
          <w:sz w:val="13"/>
          <w:szCs w:val="13"/>
        </w:rPr>
      </w:pPr>
    </w:p>
    <w:p>
      <w:pPr>
        <w:pStyle w:val="Heading4"/>
        <w:spacing w:line="240" w:lineRule="auto"/>
        <w:ind w:left="430" w:right="0"/>
        <w:jc w:val="left"/>
        <w:rPr>
          <w:b w:val="0"/>
          <w:bCs w:val="0"/>
        </w:rPr>
      </w:pPr>
      <w:r>
        <w:rPr/>
        <w:t>（一）本公司作为担保方的说明</w:t>
      </w:r>
      <w:r>
        <w:rPr>
          <w:b w:val="0"/>
          <w:bCs w:val="0"/>
        </w:rPr>
      </w:r>
    </w:p>
    <w:p>
      <w:pPr>
        <w:spacing w:line="240" w:lineRule="auto" w:before="9"/>
        <w:rPr>
          <w:rFonts w:ascii="宋体" w:hAnsi="宋体" w:cs="宋体" w:eastAsia="宋体" w:hint="default"/>
          <w:b/>
          <w:bCs/>
          <w:sz w:val="17"/>
          <w:szCs w:val="17"/>
        </w:rPr>
      </w:pPr>
    </w:p>
    <w:p>
      <w:pPr>
        <w:pStyle w:val="BodyText"/>
        <w:spacing w:line="386" w:lineRule="auto"/>
        <w:ind w:right="1022" w:firstLine="420"/>
        <w:jc w:val="left"/>
      </w:pPr>
      <w:r>
        <w:rPr>
          <w:rFonts w:ascii="Times New Roman" w:hAnsi="Times New Roman" w:cs="Times New Roman" w:eastAsia="Times New Roman" w:hint="default"/>
          <w:spacing w:val="-12"/>
          <w:w w:val="100"/>
        </w:rPr>
        <w:t>2013</w:t>
      </w:r>
      <w:r>
        <w:rPr>
          <w:spacing w:val="-12"/>
          <w:w w:val="100"/>
        </w:rPr>
        <w:t>年</w:t>
      </w:r>
      <w:r>
        <w:rPr>
          <w:rFonts w:ascii="Times New Roman" w:hAnsi="Times New Roman" w:cs="Times New Roman" w:eastAsia="Times New Roman" w:hint="default"/>
          <w:spacing w:val="-12"/>
          <w:w w:val="100"/>
        </w:rPr>
        <w:t>10</w:t>
      </w:r>
      <w:r>
        <w:rPr>
          <w:spacing w:val="-12"/>
          <w:w w:val="100"/>
        </w:rPr>
        <w:t>月</w:t>
      </w:r>
      <w:r>
        <w:rPr>
          <w:rFonts w:ascii="Times New Roman" w:hAnsi="Times New Roman" w:cs="Times New Roman" w:eastAsia="Times New Roman" w:hint="default"/>
          <w:spacing w:val="-12"/>
          <w:w w:val="100"/>
        </w:rPr>
        <w:t>28</w:t>
      </w:r>
      <w:r>
        <w:rPr>
          <w:spacing w:val="-12"/>
          <w:w w:val="100"/>
        </w:rPr>
        <w:t>日，摩登大道与渤海银行广州分公司签订《最高额保证合同》（编号为：渤广分额保（</w:t>
      </w:r>
      <w:r>
        <w:rPr>
          <w:rFonts w:ascii="Times New Roman" w:hAnsi="Times New Roman" w:cs="Times New Roman" w:eastAsia="Times New Roman" w:hint="default"/>
          <w:spacing w:val="-12"/>
          <w:w w:val="100"/>
        </w:rPr>
        <w:t>2013</w:t>
      </w:r>
      <w:r>
        <w:rPr>
          <w:spacing w:val="-12"/>
          <w:w w:val="100"/>
        </w:rPr>
        <w:t>）</w:t>
      </w:r>
      <w:r>
        <w:rPr>
          <w:w w:val="100"/>
        </w:rPr>
        <w:t> </w:t>
      </w:r>
      <w:r>
        <w:rPr>
          <w:spacing w:val="-2"/>
          <w:w w:val="100"/>
        </w:rPr>
        <w:t>第</w:t>
      </w:r>
      <w:r>
        <w:rPr>
          <w:rFonts w:ascii="Times New Roman" w:hAnsi="Times New Roman" w:cs="Times New Roman" w:eastAsia="Times New Roman" w:hint="default"/>
          <w:spacing w:val="-2"/>
          <w:w w:val="100"/>
        </w:rPr>
        <w:t>123-001</w:t>
      </w:r>
      <w:r>
        <w:rPr>
          <w:spacing w:val="-2"/>
          <w:w w:val="100"/>
        </w:rPr>
        <w:t>号），最高保证金额为</w:t>
      </w:r>
      <w:r>
        <w:rPr>
          <w:rFonts w:ascii="Times New Roman" w:hAnsi="Times New Roman" w:cs="Times New Roman" w:eastAsia="Times New Roman" w:hint="default"/>
          <w:spacing w:val="-2"/>
          <w:w w:val="100"/>
        </w:rPr>
        <w:t>29,000</w:t>
      </w:r>
      <w:r>
        <w:rPr>
          <w:spacing w:val="-2"/>
          <w:w w:val="100"/>
        </w:rPr>
        <w:t>万元。保证期限为</w:t>
      </w:r>
      <w:r>
        <w:rPr>
          <w:rFonts w:ascii="Times New Roman" w:hAnsi="Times New Roman" w:cs="Times New Roman" w:eastAsia="Times New Roman" w:hint="default"/>
          <w:spacing w:val="-2"/>
          <w:w w:val="100"/>
        </w:rPr>
        <w:t>2013</w:t>
      </w:r>
      <w:r>
        <w:rPr>
          <w:spacing w:val="-2"/>
          <w:w w:val="100"/>
        </w:rPr>
        <w:t>年</w:t>
      </w:r>
      <w:r>
        <w:rPr>
          <w:rFonts w:ascii="Times New Roman" w:hAnsi="Times New Roman" w:cs="Times New Roman" w:eastAsia="Times New Roman" w:hint="default"/>
          <w:spacing w:val="-2"/>
          <w:w w:val="100"/>
        </w:rPr>
        <w:t>10</w:t>
      </w:r>
      <w:r>
        <w:rPr>
          <w:spacing w:val="-2"/>
          <w:w w:val="100"/>
        </w:rPr>
        <w:t>月</w:t>
      </w:r>
      <w:r>
        <w:rPr>
          <w:rFonts w:ascii="Times New Roman" w:hAnsi="Times New Roman" w:cs="Times New Roman" w:eastAsia="Times New Roman" w:hint="default"/>
          <w:spacing w:val="-2"/>
          <w:w w:val="100"/>
        </w:rPr>
        <w:t>27</w:t>
      </w:r>
      <w:r>
        <w:rPr>
          <w:spacing w:val="-2"/>
          <w:w w:val="100"/>
        </w:rPr>
        <w:t>日至</w:t>
      </w:r>
      <w:r>
        <w:rPr>
          <w:rFonts w:ascii="Times New Roman" w:hAnsi="Times New Roman" w:cs="Times New Roman" w:eastAsia="Times New Roman" w:hint="default"/>
          <w:spacing w:val="-2"/>
          <w:w w:val="100"/>
        </w:rPr>
        <w:t>2018</w:t>
      </w:r>
      <w:r>
        <w:rPr>
          <w:spacing w:val="-2"/>
          <w:w w:val="100"/>
        </w:rPr>
        <w:t>年</w:t>
      </w:r>
      <w:r>
        <w:rPr>
          <w:rFonts w:ascii="Times New Roman" w:hAnsi="Times New Roman" w:cs="Times New Roman" w:eastAsia="Times New Roman" w:hint="default"/>
          <w:spacing w:val="-2"/>
          <w:w w:val="100"/>
        </w:rPr>
        <w:t>10</w:t>
      </w:r>
      <w:r>
        <w:rPr>
          <w:spacing w:val="-2"/>
          <w:w w:val="100"/>
        </w:rPr>
        <w:t>月</w:t>
      </w:r>
      <w:r>
        <w:rPr>
          <w:rFonts w:ascii="Times New Roman" w:hAnsi="Times New Roman" w:cs="Times New Roman" w:eastAsia="Times New Roman" w:hint="default"/>
          <w:spacing w:val="-2"/>
          <w:w w:val="100"/>
        </w:rPr>
        <w:t>29</w:t>
      </w:r>
      <w:r>
        <w:rPr>
          <w:spacing w:val="-2"/>
          <w:w w:val="100"/>
        </w:rPr>
        <w:t>日，保证期间衡</w:t>
      </w:r>
      <w:r>
        <w:rPr>
          <w:spacing w:val="-90"/>
          <w:w w:val="100"/>
        </w:rPr>
        <w:t> </w:t>
      </w:r>
      <w:r>
        <w:rPr>
          <w:spacing w:val="-90"/>
          <w:w w:val="100"/>
        </w:rPr>
      </w:r>
      <w:r>
        <w:rPr/>
        <w:t>阳连卡福与渤海银行广州分公司签署的借款合同，由摩登大道和肖红梅承担连带责任。</w:t>
      </w:r>
    </w:p>
    <w:p>
      <w:pPr>
        <w:pStyle w:val="BodyText"/>
        <w:spacing w:line="386" w:lineRule="auto" w:before="106"/>
        <w:ind w:right="1126" w:firstLine="420"/>
        <w:jc w:val="both"/>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33"/>
          <w:w w:val="100"/>
        </w:rPr>
        <w:t> </w:t>
      </w:r>
      <w:r>
        <w:rPr>
          <w:w w:val="100"/>
        </w:rPr>
        <w:t>年</w:t>
      </w:r>
      <w:r>
        <w:rPr>
          <w:spacing w:val="-85"/>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0"/>
          <w:w w:val="100"/>
        </w:rPr>
        <w:t> </w:t>
      </w:r>
      <w:r>
        <w:rPr>
          <w:w w:val="100"/>
        </w:rPr>
        <w:t>月</w:t>
      </w:r>
      <w:r>
        <w:rPr>
          <w:spacing w:val="-85"/>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3"/>
          <w:w w:val="100"/>
        </w:rPr>
        <w:t> </w:t>
      </w:r>
      <w:r>
        <w:rPr>
          <w:spacing w:val="9"/>
          <w:w w:val="100"/>
        </w:rPr>
        <w:t>日，</w:t>
      </w:r>
      <w:r>
        <w:rPr>
          <w:spacing w:val="-83"/>
          <w:w w:val="100"/>
        </w:rPr>
        <w:t> </w:t>
      </w:r>
      <w:r>
        <w:rPr>
          <w:spacing w:val="18"/>
          <w:w w:val="100"/>
        </w:rPr>
        <w:t>摩登大道与交通银行股份有限公司衡阳分行签订了《</w:t>
      </w:r>
      <w:r>
        <w:rPr>
          <w:spacing w:val="-85"/>
          <w:w w:val="100"/>
        </w:rPr>
        <w:t> </w:t>
      </w:r>
      <w:r>
        <w:rPr>
          <w:spacing w:val="14"/>
          <w:w w:val="100"/>
        </w:rPr>
        <w:t>保证合同</w:t>
      </w:r>
      <w:r>
        <w:rPr>
          <w:spacing w:val="-85"/>
          <w:w w:val="100"/>
        </w:rPr>
        <w:t> </w:t>
      </w:r>
      <w:r>
        <w:rPr>
          <w:spacing w:val="-43"/>
          <w:w w:val="100"/>
        </w:rPr>
        <w:t>》（</w:t>
      </w:r>
      <w:r>
        <w:rPr>
          <w:spacing w:val="-85"/>
          <w:w w:val="100"/>
        </w:rPr>
        <w:t> </w:t>
      </w:r>
      <w:r>
        <w:rPr>
          <w:spacing w:val="14"/>
          <w:w w:val="100"/>
        </w:rPr>
        <w:t>编号为：</w:t>
      </w:r>
      <w:r>
        <w:rPr>
          <w:w w:val="100"/>
        </w:rPr>
        <w:t> </w:t>
      </w:r>
      <w:r>
        <w:rPr>
          <w:rFonts w:ascii="Times New Roman" w:hAnsi="Times New Roman" w:cs="Times New Roman" w:eastAsia="Times New Roman" w:hint="default"/>
          <w:spacing w:val="-5"/>
          <w:w w:val="100"/>
        </w:rPr>
        <w:t>C1604ZZGR4382910</w:t>
      </w:r>
      <w:r>
        <w:rPr>
          <w:spacing w:val="-5"/>
          <w:w w:val="100"/>
        </w:rPr>
        <w:t>），为衡阳连卡福提供担保，担保金额为</w:t>
      </w:r>
      <w:r>
        <w:rPr>
          <w:rFonts w:ascii="Times New Roman" w:hAnsi="Times New Roman" w:cs="Times New Roman" w:eastAsia="Times New Roman" w:hint="default"/>
          <w:spacing w:val="-5"/>
          <w:w w:val="100"/>
        </w:rPr>
        <w:t>20,000</w:t>
      </w:r>
      <w:r>
        <w:rPr>
          <w:spacing w:val="-5"/>
          <w:w w:val="100"/>
        </w:rPr>
        <w:t>万元。保证期限为</w:t>
      </w:r>
      <w:r>
        <w:rPr>
          <w:rFonts w:ascii="Times New Roman" w:hAnsi="Times New Roman" w:cs="Times New Roman" w:eastAsia="Times New Roman" w:hint="default"/>
          <w:spacing w:val="-5"/>
          <w:w w:val="100"/>
        </w:rPr>
        <w:t>2016</w:t>
      </w:r>
      <w:r>
        <w:rPr>
          <w:spacing w:val="-5"/>
          <w:w w:val="100"/>
        </w:rPr>
        <w:t>年</w:t>
      </w:r>
      <w:r>
        <w:rPr>
          <w:rFonts w:ascii="Times New Roman" w:hAnsi="Times New Roman" w:cs="Times New Roman" w:eastAsia="Times New Roman" w:hint="default"/>
          <w:spacing w:val="-5"/>
          <w:w w:val="100"/>
        </w:rPr>
        <w:t>4</w:t>
      </w:r>
      <w:r>
        <w:rPr>
          <w:spacing w:val="-5"/>
          <w:w w:val="100"/>
        </w:rPr>
        <w:t>月</w:t>
      </w:r>
      <w:r>
        <w:rPr>
          <w:rFonts w:ascii="Times New Roman" w:hAnsi="Times New Roman" w:cs="Times New Roman" w:eastAsia="Times New Roman" w:hint="default"/>
          <w:spacing w:val="-5"/>
          <w:w w:val="100"/>
        </w:rPr>
        <w:t>22</w:t>
      </w:r>
      <w:r>
        <w:rPr>
          <w:spacing w:val="-5"/>
          <w:w w:val="100"/>
        </w:rPr>
        <w:t>日至</w:t>
      </w:r>
      <w:r>
        <w:rPr>
          <w:rFonts w:ascii="Times New Roman" w:hAnsi="Times New Roman" w:cs="Times New Roman" w:eastAsia="Times New Roman" w:hint="default"/>
          <w:spacing w:val="-5"/>
          <w:w w:val="100"/>
        </w:rPr>
        <w:t>2018</w:t>
      </w:r>
      <w:r>
        <w:rPr>
          <w:rFonts w:ascii="Times New Roman" w:hAnsi="Times New Roman" w:cs="Times New Roman" w:eastAsia="Times New Roman" w:hint="default"/>
          <w:spacing w:val="-47"/>
          <w:w w:val="100"/>
        </w:rPr>
        <w:t> </w:t>
      </w:r>
      <w:r>
        <w:rPr>
          <w:rFonts w:ascii="Times New Roman" w:hAnsi="Times New Roman" w:cs="Times New Roman" w:eastAsia="Times New Roman" w:hint="default"/>
          <w:spacing w:val="-47"/>
          <w:w w:val="100"/>
        </w:rPr>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日，保证期间衡阳连卡福与交通银行股份有限公司衡阳分行签订的借款合同，由摩登大道、肖红</w:t>
      </w:r>
      <w:r>
        <w:rPr>
          <w:spacing w:val="-39"/>
        </w:rPr>
        <w:t> </w:t>
      </w:r>
      <w:r>
        <w:rPr>
          <w:spacing w:val="-39"/>
        </w:rPr>
      </w:r>
      <w:r>
        <w:rPr/>
        <w:t>梅、翁武强和广州瑞丰集团股份有限公司承担连带责任。</w:t>
      </w:r>
    </w:p>
    <w:p>
      <w:pPr>
        <w:pStyle w:val="BodyText"/>
        <w:spacing w:line="240" w:lineRule="auto" w:before="103"/>
        <w:ind w:left="533" w:right="0"/>
        <w:jc w:val="left"/>
      </w:pPr>
      <w:r>
        <w:rPr/>
        <w:t>以上担保截止至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日均已履约完毕。</w:t>
      </w:r>
    </w:p>
    <w:p>
      <w:pPr>
        <w:spacing w:line="240" w:lineRule="auto" w:before="9"/>
        <w:rPr>
          <w:rFonts w:ascii="宋体" w:hAnsi="宋体" w:cs="宋体" w:eastAsia="宋体" w:hint="default"/>
          <w:sz w:val="16"/>
          <w:szCs w:val="16"/>
        </w:rPr>
      </w:pPr>
    </w:p>
    <w:p>
      <w:pPr>
        <w:pStyle w:val="Heading4"/>
        <w:spacing w:line="240" w:lineRule="auto"/>
        <w:ind w:left="430" w:right="0"/>
        <w:jc w:val="left"/>
        <w:rPr>
          <w:b w:val="0"/>
          <w:bCs w:val="0"/>
        </w:rPr>
      </w:pPr>
      <w:r>
        <w:rPr/>
        <w:t>（二）本公司作为被担保方的说明</w:t>
      </w:r>
      <w:r>
        <w:rPr>
          <w:b w:val="0"/>
          <w:bCs w:val="0"/>
        </w:rPr>
      </w:r>
    </w:p>
    <w:p>
      <w:pPr>
        <w:spacing w:line="240" w:lineRule="auto" w:before="12"/>
        <w:rPr>
          <w:rFonts w:ascii="宋体" w:hAnsi="宋体" w:cs="宋体" w:eastAsia="宋体" w:hint="default"/>
          <w:b/>
          <w:bCs/>
          <w:sz w:val="17"/>
          <w:szCs w:val="17"/>
        </w:rPr>
      </w:pPr>
    </w:p>
    <w:p>
      <w:pPr>
        <w:pStyle w:val="BodyText"/>
        <w:spacing w:line="386" w:lineRule="auto"/>
        <w:ind w:right="0" w:firstLine="42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日，广州瑞丰集团股份有限公司与广州农村商业银行股份有限公司广州会展新城支行签</w:t>
      </w:r>
      <w:r>
        <w:rPr>
          <w:w w:val="100"/>
        </w:rPr>
        <w:t> </w:t>
      </w:r>
      <w:r>
        <w:rPr>
          <w:spacing w:val="-6"/>
          <w:w w:val="100"/>
        </w:rPr>
        <w:t>订《最高额保证合同》（编号为：</w:t>
      </w:r>
      <w:r>
        <w:rPr>
          <w:rFonts w:ascii="Times New Roman" w:hAnsi="Times New Roman" w:cs="Times New Roman" w:eastAsia="Times New Roman" w:hint="default"/>
          <w:spacing w:val="-6"/>
          <w:w w:val="100"/>
        </w:rPr>
        <w:t>5517073201700046</w:t>
      </w:r>
      <w:r>
        <w:rPr>
          <w:spacing w:val="-6"/>
          <w:w w:val="100"/>
        </w:rPr>
        <w:t>号），授信金额为</w:t>
      </w:r>
      <w:r>
        <w:rPr>
          <w:rFonts w:ascii="Times New Roman" w:hAnsi="Times New Roman" w:cs="Times New Roman" w:eastAsia="Times New Roman" w:hint="default"/>
          <w:spacing w:val="-6"/>
          <w:w w:val="100"/>
        </w:rPr>
        <w:t>5,000</w:t>
      </w:r>
      <w:r>
        <w:rPr>
          <w:spacing w:val="-6"/>
          <w:w w:val="100"/>
        </w:rPr>
        <w:t>万元。授信期限为</w:t>
      </w:r>
      <w:r>
        <w:rPr>
          <w:rFonts w:ascii="Times New Roman" w:hAnsi="Times New Roman" w:cs="Times New Roman" w:eastAsia="Times New Roman" w:hint="default"/>
          <w:spacing w:val="-6"/>
          <w:w w:val="100"/>
        </w:rPr>
        <w:t>2017</w:t>
      </w:r>
      <w:r>
        <w:rPr>
          <w:spacing w:val="-6"/>
          <w:w w:val="100"/>
        </w:rPr>
        <w:t>年</w:t>
      </w:r>
      <w:r>
        <w:rPr>
          <w:rFonts w:ascii="Times New Roman" w:hAnsi="Times New Roman" w:cs="Times New Roman" w:eastAsia="Times New Roman" w:hint="default"/>
          <w:spacing w:val="-6"/>
          <w:w w:val="100"/>
        </w:rPr>
        <w:t>12</w:t>
      </w:r>
      <w:r>
        <w:rPr>
          <w:spacing w:val="-6"/>
          <w:w w:val="100"/>
        </w:rPr>
        <w:t>月</w:t>
      </w:r>
      <w:r>
        <w:rPr>
          <w:rFonts w:ascii="Times New Roman" w:hAnsi="Times New Roman" w:cs="Times New Roman" w:eastAsia="Times New Roman" w:hint="default"/>
          <w:spacing w:val="-6"/>
          <w:w w:val="100"/>
        </w:rPr>
        <w:t>13</w:t>
      </w:r>
      <w:r>
        <w:rPr>
          <w:rFonts w:ascii="Times New Roman" w:hAnsi="Times New Roman" w:cs="Times New Roman" w:eastAsia="Times New Roman" w:hint="default"/>
          <w:w w:val="100"/>
        </w:rPr>
      </w:r>
    </w:p>
    <w:p>
      <w:pPr>
        <w:spacing w:after="0" w:line="386" w:lineRule="auto"/>
        <w:jc w:val="left"/>
        <w:rPr>
          <w:rFonts w:ascii="Times New Roman" w:hAnsi="Times New Roman" w:cs="Times New Roman" w:eastAsia="Times New Roman" w:hint="default"/>
        </w:rPr>
        <w:sectPr>
          <w:pgSz w:w="11910" w:h="16840"/>
          <w:pgMar w:header="906" w:footer="1079" w:top="1100" w:bottom="1260" w:left="102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8"/>
        <w:ind w:right="0"/>
        <w:jc w:val="both"/>
      </w:pP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w:t>
      </w:r>
    </w:p>
    <w:p>
      <w:pPr>
        <w:spacing w:line="240" w:lineRule="auto" w:before="9"/>
        <w:rPr>
          <w:rFonts w:ascii="宋体" w:hAnsi="宋体" w:cs="宋体" w:eastAsia="宋体" w:hint="default"/>
          <w:sz w:val="16"/>
          <w:szCs w:val="16"/>
        </w:rPr>
      </w:pPr>
    </w:p>
    <w:p>
      <w:pPr>
        <w:pStyle w:val="BodyText"/>
        <w:spacing w:line="240" w:lineRule="auto"/>
        <w:ind w:left="533" w:right="0"/>
        <w:jc w:val="left"/>
      </w:pPr>
      <w:r>
        <w:rPr>
          <w:rFonts w:ascii="Times New Roman" w:hAnsi="Times New Roman" w:cs="Times New Roman" w:eastAsia="Times New Roman" w:hint="default"/>
          <w:w w:val="100"/>
        </w:rPr>
        <w:t>2013</w:t>
      </w:r>
      <w:r>
        <w:rPr>
          <w:spacing w:val="2"/>
          <w:w w:val="100"/>
        </w:rPr>
        <w:t>年</w:t>
      </w:r>
      <w:r>
        <w:rPr>
          <w:rFonts w:ascii="Times New Roman" w:hAnsi="Times New Roman" w:cs="Times New Roman" w:eastAsia="Times New Roman" w:hint="default"/>
          <w:w w:val="100"/>
        </w:rPr>
        <w:t>3</w:t>
      </w:r>
      <w:r>
        <w:rPr>
          <w:spacing w:val="2"/>
          <w:w w:val="100"/>
        </w:rPr>
        <w:t>月</w:t>
      </w:r>
      <w:r>
        <w:rPr>
          <w:rFonts w:ascii="Times New Roman" w:hAnsi="Times New Roman" w:cs="Times New Roman" w:eastAsia="Times New Roman" w:hint="default"/>
          <w:w w:val="100"/>
        </w:rPr>
        <w:t>4</w:t>
      </w:r>
      <w:r>
        <w:rPr>
          <w:w w:val="100"/>
        </w:rPr>
        <w:t>日</w:t>
      </w:r>
      <w:r>
        <w:rPr>
          <w:spacing w:val="2"/>
          <w:w w:val="100"/>
        </w:rPr>
        <w:t>，</w:t>
      </w:r>
      <w:r>
        <w:rPr>
          <w:w w:val="100"/>
        </w:rPr>
        <w:t>公司与广</w:t>
      </w:r>
      <w:r>
        <w:rPr>
          <w:spacing w:val="2"/>
          <w:w w:val="100"/>
        </w:rPr>
        <w:t>州</w:t>
      </w:r>
      <w:r>
        <w:rPr>
          <w:w w:val="100"/>
        </w:rPr>
        <w:t>银行</w:t>
      </w:r>
      <w:r>
        <w:rPr>
          <w:spacing w:val="2"/>
          <w:w w:val="100"/>
        </w:rPr>
        <w:t>股</w:t>
      </w:r>
      <w:r>
        <w:rPr>
          <w:w w:val="100"/>
        </w:rPr>
        <w:t>份有限</w:t>
      </w:r>
      <w:r>
        <w:rPr>
          <w:spacing w:val="4"/>
          <w:w w:val="100"/>
        </w:rPr>
        <w:t>公</w:t>
      </w:r>
      <w:r>
        <w:rPr>
          <w:w w:val="100"/>
        </w:rPr>
        <w:t>司广州</w:t>
      </w:r>
      <w:r>
        <w:rPr>
          <w:spacing w:val="2"/>
          <w:w w:val="100"/>
        </w:rPr>
        <w:t>石</w:t>
      </w:r>
      <w:r>
        <w:rPr>
          <w:w w:val="100"/>
        </w:rPr>
        <w:t>牌东</w:t>
      </w:r>
      <w:r>
        <w:rPr>
          <w:spacing w:val="2"/>
          <w:w w:val="100"/>
        </w:rPr>
        <w:t>支</w:t>
      </w:r>
      <w:r>
        <w:rPr>
          <w:w w:val="100"/>
        </w:rPr>
        <w:t>行签订</w:t>
      </w:r>
      <w:r>
        <w:rPr>
          <w:spacing w:val="2"/>
          <w:w w:val="100"/>
        </w:rPr>
        <w:t>担</w:t>
      </w:r>
      <w:r>
        <w:rPr>
          <w:w w:val="100"/>
        </w:rPr>
        <w:t>保合同</w:t>
      </w:r>
      <w:r>
        <w:rPr>
          <w:spacing w:val="2"/>
          <w:w w:val="100"/>
        </w:rPr>
        <w:t>（</w:t>
      </w:r>
      <w:r>
        <w:rPr>
          <w:w w:val="100"/>
        </w:rPr>
        <w:t>编号</w:t>
      </w:r>
      <w:r>
        <w:rPr>
          <w:spacing w:val="2"/>
          <w:w w:val="100"/>
        </w:rPr>
        <w:t>为</w:t>
      </w:r>
      <w:r>
        <w:rPr>
          <w:spacing w:val="-106"/>
          <w:w w:val="100"/>
        </w:rPr>
        <w:t>：</w:t>
      </w:r>
      <w:r>
        <w:rPr>
          <w:w w:val="100"/>
        </w:rPr>
        <w:t>《</w:t>
      </w:r>
      <w:r>
        <w:rPr>
          <w:spacing w:val="2"/>
          <w:w w:val="100"/>
        </w:rPr>
        <w:t>广</w:t>
      </w:r>
      <w:r>
        <w:rPr>
          <w:w w:val="100"/>
        </w:rPr>
        <w:t>银石</w:t>
      </w:r>
      <w:r>
        <w:rPr>
          <w:spacing w:val="2"/>
          <w:w w:val="100"/>
        </w:rPr>
        <w:t>牌</w:t>
      </w:r>
      <w:r>
        <w:rPr>
          <w:w w:val="100"/>
        </w:rPr>
        <w:t>东</w:t>
      </w:r>
    </w:p>
    <w:p>
      <w:pPr>
        <w:pStyle w:val="BodyText"/>
        <w:spacing w:line="386" w:lineRule="auto" w:before="177"/>
        <w:ind w:right="1128"/>
        <w:jc w:val="both"/>
      </w:pPr>
      <w:r>
        <w:rPr>
          <w:rFonts w:ascii="Times New Roman" w:hAnsi="Times New Roman" w:cs="Times New Roman" w:eastAsia="Times New Roman" w:hint="default"/>
          <w:spacing w:val="-11"/>
          <w:w w:val="100"/>
        </w:rPr>
        <w:t>2013</w:t>
      </w:r>
      <w:r>
        <w:rPr>
          <w:spacing w:val="-11"/>
          <w:w w:val="100"/>
        </w:rPr>
        <w:t>年固保字第</w:t>
      </w:r>
      <w:r>
        <w:rPr>
          <w:rFonts w:ascii="Times New Roman" w:hAnsi="Times New Roman" w:cs="Times New Roman" w:eastAsia="Times New Roman" w:hint="default"/>
          <w:spacing w:val="-11"/>
          <w:w w:val="100"/>
        </w:rPr>
        <w:t>001</w:t>
      </w:r>
      <w:r>
        <w:rPr>
          <w:spacing w:val="-11"/>
          <w:w w:val="100"/>
        </w:rPr>
        <w:t>号》、《广银石牌东</w:t>
      </w:r>
      <w:r>
        <w:rPr>
          <w:rFonts w:ascii="Times New Roman" w:hAnsi="Times New Roman" w:cs="Times New Roman" w:eastAsia="Times New Roman" w:hint="default"/>
          <w:spacing w:val="-11"/>
          <w:w w:val="100"/>
        </w:rPr>
        <w:t>2013</w:t>
      </w:r>
      <w:r>
        <w:rPr>
          <w:spacing w:val="-11"/>
          <w:w w:val="100"/>
        </w:rPr>
        <w:t>年固保字第</w:t>
      </w:r>
      <w:r>
        <w:rPr>
          <w:rFonts w:ascii="Times New Roman" w:hAnsi="Times New Roman" w:cs="Times New Roman" w:eastAsia="Times New Roman" w:hint="default"/>
          <w:spacing w:val="-11"/>
          <w:w w:val="100"/>
        </w:rPr>
        <w:t>002</w:t>
      </w:r>
      <w:r>
        <w:rPr>
          <w:spacing w:val="-11"/>
          <w:w w:val="100"/>
        </w:rPr>
        <w:t>号》、《广银石牌东</w:t>
      </w:r>
      <w:r>
        <w:rPr>
          <w:rFonts w:ascii="Times New Roman" w:hAnsi="Times New Roman" w:cs="Times New Roman" w:eastAsia="Times New Roman" w:hint="default"/>
          <w:spacing w:val="-11"/>
          <w:w w:val="100"/>
        </w:rPr>
        <w:t>2013</w:t>
      </w:r>
      <w:r>
        <w:rPr>
          <w:spacing w:val="-11"/>
          <w:w w:val="100"/>
        </w:rPr>
        <w:t>年固抵字第</w:t>
      </w:r>
      <w:r>
        <w:rPr>
          <w:rFonts w:ascii="Times New Roman" w:hAnsi="Times New Roman" w:cs="Times New Roman" w:eastAsia="Times New Roman" w:hint="default"/>
          <w:spacing w:val="-11"/>
          <w:w w:val="100"/>
        </w:rPr>
        <w:t>001</w:t>
      </w:r>
      <w:r>
        <w:rPr>
          <w:spacing w:val="-11"/>
          <w:w w:val="100"/>
        </w:rPr>
        <w:t>号》），公</w:t>
      </w:r>
      <w:r>
        <w:rPr>
          <w:spacing w:val="-70"/>
          <w:w w:val="100"/>
        </w:rPr>
        <w:t> </w:t>
      </w:r>
      <w:r>
        <w:rPr>
          <w:spacing w:val="-70"/>
          <w:w w:val="100"/>
        </w:rPr>
      </w:r>
      <w:r>
        <w:rPr/>
        <w:t>司和翁武强、翁武游为公司提供担保，担保金额为</w:t>
      </w:r>
      <w:r>
        <w:rPr>
          <w:rFonts w:ascii="Times New Roman" w:hAnsi="Times New Roman" w:cs="Times New Roman" w:eastAsia="Times New Roman" w:hint="default"/>
        </w:rPr>
        <w:t>40,000</w:t>
      </w:r>
      <w:r>
        <w:rPr/>
        <w:t>万元。担保主债权期间为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2021</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w:t>
      </w:r>
    </w:p>
    <w:p>
      <w:pPr>
        <w:pStyle w:val="BodyText"/>
        <w:spacing w:line="240" w:lineRule="auto" w:before="74"/>
        <w:ind w:left="533" w:right="0"/>
        <w:jc w:val="left"/>
      </w:pPr>
      <w:r>
        <w:rPr>
          <w:rFonts w:ascii="Times New Roman" w:hAnsi="Times New Roman" w:cs="Times New Roman" w:eastAsia="Times New Roman" w:hint="default"/>
          <w:w w:val="100"/>
        </w:rPr>
        <w:t>2018</w:t>
      </w:r>
      <w:r>
        <w:rPr>
          <w:spacing w:val="-3"/>
          <w:w w:val="100"/>
        </w:rPr>
        <w:t>年</w:t>
      </w:r>
      <w:r>
        <w:rPr>
          <w:rFonts w:ascii="Times New Roman" w:hAnsi="Times New Roman" w:cs="Times New Roman" w:eastAsia="Times New Roman" w:hint="default"/>
          <w:w w:val="100"/>
        </w:rPr>
        <w:t>1</w:t>
      </w:r>
      <w:r>
        <w:rPr>
          <w:w w:val="100"/>
        </w:rPr>
        <w:t>月</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spacing w:val="-3"/>
          <w:w w:val="100"/>
        </w:rPr>
        <w:t>日</w:t>
      </w:r>
      <w:r>
        <w:rPr>
          <w:spacing w:val="-60"/>
          <w:w w:val="100"/>
        </w:rPr>
        <w:t>，</w:t>
      </w:r>
      <w:r>
        <w:rPr>
          <w:spacing w:val="-3"/>
          <w:w w:val="100"/>
        </w:rPr>
        <w:t>林</w:t>
      </w:r>
      <w:r>
        <w:rPr>
          <w:w w:val="100"/>
        </w:rPr>
        <w:t>永</w:t>
      </w:r>
      <w:r>
        <w:rPr>
          <w:spacing w:val="-3"/>
          <w:w w:val="100"/>
        </w:rPr>
        <w:t>飞与</w:t>
      </w:r>
      <w:r>
        <w:rPr>
          <w:w w:val="100"/>
        </w:rPr>
        <w:t>华夏</w:t>
      </w:r>
      <w:r>
        <w:rPr>
          <w:spacing w:val="-3"/>
          <w:w w:val="100"/>
        </w:rPr>
        <w:t>银</w:t>
      </w:r>
      <w:r>
        <w:rPr>
          <w:w w:val="100"/>
        </w:rPr>
        <w:t>行</w:t>
      </w:r>
      <w:r>
        <w:rPr>
          <w:spacing w:val="-3"/>
          <w:w w:val="100"/>
        </w:rPr>
        <w:t>广</w:t>
      </w:r>
      <w:r>
        <w:rPr>
          <w:w w:val="100"/>
        </w:rPr>
        <w:t>州</w:t>
      </w:r>
      <w:r>
        <w:rPr>
          <w:spacing w:val="-3"/>
          <w:w w:val="100"/>
        </w:rPr>
        <w:t>珠</w:t>
      </w:r>
      <w:r>
        <w:rPr>
          <w:w w:val="100"/>
        </w:rPr>
        <w:t>江</w:t>
      </w:r>
      <w:r>
        <w:rPr>
          <w:spacing w:val="-3"/>
          <w:w w:val="100"/>
        </w:rPr>
        <w:t>支</w:t>
      </w:r>
      <w:r>
        <w:rPr>
          <w:w w:val="100"/>
        </w:rPr>
        <w:t>行</w:t>
      </w:r>
      <w:r>
        <w:rPr>
          <w:spacing w:val="-3"/>
          <w:w w:val="100"/>
        </w:rPr>
        <w:t>签</w:t>
      </w:r>
      <w:r>
        <w:rPr>
          <w:spacing w:val="-60"/>
          <w:w w:val="100"/>
        </w:rPr>
        <w:t>订</w:t>
      </w:r>
      <w:r>
        <w:rPr>
          <w:spacing w:val="-3"/>
          <w:w w:val="100"/>
        </w:rPr>
        <w:t>《</w:t>
      </w:r>
      <w:r>
        <w:rPr>
          <w:w w:val="100"/>
        </w:rPr>
        <w:t>个</w:t>
      </w:r>
      <w:r>
        <w:rPr>
          <w:spacing w:val="-3"/>
          <w:w w:val="100"/>
        </w:rPr>
        <w:t>人</w:t>
      </w:r>
      <w:r>
        <w:rPr>
          <w:w w:val="100"/>
        </w:rPr>
        <w:t>最</w:t>
      </w:r>
      <w:r>
        <w:rPr>
          <w:spacing w:val="-3"/>
          <w:w w:val="100"/>
        </w:rPr>
        <w:t>高</w:t>
      </w:r>
      <w:r>
        <w:rPr>
          <w:w w:val="100"/>
        </w:rPr>
        <w:t>额</w:t>
      </w:r>
      <w:r>
        <w:rPr>
          <w:spacing w:val="-3"/>
          <w:w w:val="100"/>
        </w:rPr>
        <w:t>保</w:t>
      </w:r>
      <w:r>
        <w:rPr>
          <w:w w:val="100"/>
        </w:rPr>
        <w:t>证</w:t>
      </w:r>
      <w:r>
        <w:rPr>
          <w:spacing w:val="-3"/>
          <w:w w:val="100"/>
        </w:rPr>
        <w:t>合</w:t>
      </w:r>
      <w:r>
        <w:rPr>
          <w:w w:val="100"/>
        </w:rPr>
        <w:t>同</w:t>
      </w:r>
      <w:r>
        <w:rPr>
          <w:spacing w:val="-168"/>
          <w:w w:val="100"/>
        </w:rPr>
        <w:t>》</w:t>
      </w:r>
      <w:r>
        <w:rPr>
          <w:w w:val="100"/>
        </w:rPr>
        <w:t>（</w:t>
      </w:r>
      <w:r>
        <w:rPr>
          <w:spacing w:val="-3"/>
          <w:w w:val="100"/>
        </w:rPr>
        <w:t>编</w:t>
      </w:r>
      <w:r>
        <w:rPr>
          <w:w w:val="100"/>
        </w:rPr>
        <w:t>号</w:t>
      </w:r>
      <w:r>
        <w:rPr>
          <w:spacing w:val="-3"/>
          <w:w w:val="100"/>
        </w:rPr>
        <w:t>为</w:t>
      </w:r>
      <w:r>
        <w:rPr>
          <w:spacing w:val="-63"/>
          <w:w w:val="100"/>
        </w:rPr>
        <w:t>：</w:t>
      </w:r>
      <w:r>
        <w:rPr>
          <w:rFonts w:ascii="Times New Roman" w:hAnsi="Times New Roman" w:cs="Times New Roman" w:eastAsia="Times New Roman" w:hint="default"/>
          <w:w w:val="100"/>
        </w:rPr>
        <w:t>G</w:t>
      </w:r>
      <w:r>
        <w:rPr>
          <w:rFonts w:ascii="Times New Roman" w:hAnsi="Times New Roman" w:cs="Times New Roman" w:eastAsia="Times New Roman" w:hint="default"/>
          <w:spacing w:val="-2"/>
          <w:w w:val="100"/>
        </w:rPr>
        <w:t>Z</w:t>
      </w:r>
      <w:r>
        <w:rPr>
          <w:rFonts w:ascii="Times New Roman" w:hAnsi="Times New Roman" w:cs="Times New Roman" w:eastAsia="Times New Roman" w:hint="default"/>
          <w:w w:val="100"/>
        </w:rPr>
        <w:t>0</w:t>
      </w:r>
      <w:r>
        <w:rPr>
          <w:rFonts w:ascii="Times New Roman" w:hAnsi="Times New Roman" w:cs="Times New Roman" w:eastAsia="Times New Roman" w:hint="default"/>
          <w:spacing w:val="-60"/>
          <w:w w:val="100"/>
        </w:rPr>
        <w:t>7</w:t>
      </w:r>
      <w:r>
        <w:rPr>
          <w:spacing w:val="-3"/>
          <w:w w:val="100"/>
        </w:rPr>
        <w:t>（</w:t>
      </w:r>
      <w:r>
        <w:rPr>
          <w:w w:val="100"/>
        </w:rPr>
        <w:t>高</w:t>
      </w:r>
      <w:r>
        <w:rPr>
          <w:spacing w:val="-3"/>
          <w:w w:val="100"/>
        </w:rPr>
        <w:t>保</w:t>
      </w:r>
      <w:r>
        <w:rPr>
          <w:w w:val="100"/>
        </w:rPr>
        <w:t>）</w:t>
      </w:r>
    </w:p>
    <w:p>
      <w:pPr>
        <w:pStyle w:val="BodyText"/>
        <w:spacing w:line="240" w:lineRule="auto" w:before="177"/>
        <w:ind w:right="0"/>
        <w:jc w:val="both"/>
      </w:pPr>
      <w:r>
        <w:rPr>
          <w:rFonts w:ascii="Times New Roman" w:hAnsi="Times New Roman" w:cs="Times New Roman" w:eastAsia="Times New Roman" w:hint="default"/>
          <w:w w:val="100"/>
        </w:rPr>
        <w:t>20180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2</w:t>
      </w:r>
      <w:r>
        <w:rPr>
          <w:spacing w:val="-3"/>
          <w:w w:val="100"/>
        </w:rPr>
        <w:t>号</w:t>
      </w:r>
      <w:r>
        <w:rPr>
          <w:spacing w:val="-106"/>
          <w:w w:val="100"/>
        </w:rPr>
        <w:t>）</w:t>
      </w:r>
      <w:r>
        <w:rPr>
          <w:spacing w:val="-63"/>
          <w:w w:val="100"/>
        </w:rPr>
        <w:t>，</w:t>
      </w:r>
      <w:r>
        <w:rPr>
          <w:w w:val="100"/>
        </w:rPr>
        <w:t>为</w:t>
      </w:r>
      <w:r>
        <w:rPr>
          <w:spacing w:val="-3"/>
          <w:w w:val="100"/>
        </w:rPr>
        <w:t>公</w:t>
      </w:r>
      <w:r>
        <w:rPr>
          <w:w w:val="100"/>
        </w:rPr>
        <w:t>司</w:t>
      </w:r>
      <w:r>
        <w:rPr>
          <w:spacing w:val="-3"/>
          <w:w w:val="100"/>
        </w:rPr>
        <w:t>提供</w:t>
      </w:r>
      <w:r>
        <w:rPr>
          <w:w w:val="100"/>
        </w:rPr>
        <w:t>担保</w:t>
      </w:r>
      <w:r>
        <w:rPr>
          <w:spacing w:val="-63"/>
          <w:w w:val="100"/>
        </w:rPr>
        <w:t>，</w:t>
      </w:r>
      <w:r>
        <w:rPr>
          <w:w w:val="100"/>
        </w:rPr>
        <w:t>担</w:t>
      </w:r>
      <w:r>
        <w:rPr>
          <w:spacing w:val="-3"/>
          <w:w w:val="100"/>
        </w:rPr>
        <w:t>保</w:t>
      </w:r>
      <w:r>
        <w:rPr>
          <w:w w:val="100"/>
        </w:rPr>
        <w:t>金</w:t>
      </w:r>
      <w:r>
        <w:rPr>
          <w:spacing w:val="-3"/>
          <w:w w:val="100"/>
        </w:rPr>
        <w:t>额</w:t>
      </w:r>
      <w:r>
        <w:rPr>
          <w:spacing w:val="-1"/>
          <w:w w:val="100"/>
        </w:rPr>
        <w:t>为</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w:t>
      </w:r>
      <w:r>
        <w:rPr>
          <w:spacing w:val="-3"/>
          <w:w w:val="100"/>
        </w:rPr>
        <w:t>万</w:t>
      </w:r>
      <w:r>
        <w:rPr>
          <w:w w:val="100"/>
        </w:rPr>
        <w:t>元</w:t>
      </w:r>
      <w:r>
        <w:rPr>
          <w:spacing w:val="-60"/>
          <w:w w:val="100"/>
        </w:rPr>
        <w:t>，</w:t>
      </w:r>
      <w:r>
        <w:rPr>
          <w:spacing w:val="-3"/>
          <w:w w:val="100"/>
        </w:rPr>
        <w:t>担</w:t>
      </w:r>
      <w:r>
        <w:rPr>
          <w:w w:val="100"/>
        </w:rPr>
        <w:t>保</w:t>
      </w:r>
      <w:r>
        <w:rPr>
          <w:spacing w:val="-3"/>
          <w:w w:val="100"/>
        </w:rPr>
        <w:t>主</w:t>
      </w:r>
      <w:r>
        <w:rPr>
          <w:w w:val="100"/>
        </w:rPr>
        <w:t>债</w:t>
      </w:r>
      <w:r>
        <w:rPr>
          <w:spacing w:val="-3"/>
          <w:w w:val="100"/>
        </w:rPr>
        <w:t>权</w:t>
      </w:r>
      <w:r>
        <w:rPr>
          <w:w w:val="100"/>
        </w:rPr>
        <w:t>期</w:t>
      </w:r>
      <w:r>
        <w:rPr>
          <w:spacing w:val="-3"/>
          <w:w w:val="100"/>
        </w:rPr>
        <w:t>间</w:t>
      </w:r>
      <w:r>
        <w:rPr>
          <w:w w:val="100"/>
        </w:rPr>
        <w:t>为</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spacing w:val="-1"/>
          <w:w w:val="100"/>
        </w:rPr>
        <w:t>8</w:t>
      </w:r>
      <w:r>
        <w:rPr>
          <w:w w:val="100"/>
        </w:rPr>
        <w:t>年</w:t>
      </w:r>
      <w:r>
        <w:rPr>
          <w:rFonts w:ascii="Times New Roman" w:hAnsi="Times New Roman" w:cs="Times New Roman" w:eastAsia="Times New Roman" w:hint="default"/>
          <w:w w:val="100"/>
        </w:rPr>
        <w:t>1</w:t>
      </w:r>
      <w:r>
        <w:rPr>
          <w:spacing w:val="-3"/>
          <w:w w:val="100"/>
        </w:rPr>
        <w:t>月</w:t>
      </w:r>
      <w:r>
        <w:rPr>
          <w:rFonts w:ascii="Times New Roman" w:hAnsi="Times New Roman" w:cs="Times New Roman" w:eastAsia="Times New Roman" w:hint="default"/>
          <w:w w:val="100"/>
        </w:rPr>
        <w:t>8</w:t>
      </w:r>
      <w:r>
        <w:rPr>
          <w:spacing w:val="-3"/>
          <w:w w:val="100"/>
        </w:rPr>
        <w:t>日</w:t>
      </w:r>
      <w:r>
        <w:rPr>
          <w:w w:val="100"/>
        </w:rPr>
        <w:t>至</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9</w:t>
      </w:r>
      <w:r>
        <w:rPr>
          <w:w w:val="100"/>
        </w:rPr>
        <w:t>年</w:t>
      </w:r>
      <w:r>
        <w:rPr>
          <w:rFonts w:ascii="Times New Roman" w:hAnsi="Times New Roman" w:cs="Times New Roman" w:eastAsia="Times New Roman" w:hint="default"/>
          <w:spacing w:val="-2"/>
          <w:w w:val="100"/>
        </w:rPr>
        <w:t>1</w:t>
      </w:r>
      <w:r>
        <w:rPr>
          <w:w w:val="100"/>
        </w:rPr>
        <w:t>月</w:t>
      </w:r>
      <w:r>
        <w:rPr>
          <w:rFonts w:ascii="Times New Roman" w:hAnsi="Times New Roman" w:cs="Times New Roman" w:eastAsia="Times New Roman" w:hint="default"/>
          <w:spacing w:val="-3"/>
          <w:w w:val="100"/>
        </w:rPr>
        <w:t>8</w:t>
      </w:r>
      <w:r>
        <w:rPr>
          <w:spacing w:val="-3"/>
          <w:w w:val="100"/>
        </w:rPr>
        <w:t>日。</w:t>
      </w:r>
      <w:r>
        <w:rPr>
          <w:w w:val="100"/>
        </w:rPr>
      </w:r>
    </w:p>
    <w:p>
      <w:pPr>
        <w:spacing w:line="240" w:lineRule="auto" w:before="9"/>
        <w:rPr>
          <w:rFonts w:ascii="宋体" w:hAnsi="宋体" w:cs="宋体" w:eastAsia="宋体" w:hint="default"/>
          <w:sz w:val="16"/>
          <w:szCs w:val="16"/>
        </w:rPr>
      </w:pPr>
    </w:p>
    <w:p>
      <w:pPr>
        <w:pStyle w:val="BodyText"/>
        <w:spacing w:line="386" w:lineRule="auto"/>
        <w:ind w:right="1128"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w:t>
      </w:r>
      <w:r>
        <w:rPr>
          <w:spacing w:val="-66"/>
        </w:rPr>
        <w:t> </w:t>
      </w:r>
      <w:r>
        <w:rPr/>
        <w:t>，</w:t>
      </w:r>
      <w:r>
        <w:rPr>
          <w:spacing w:val="-66"/>
        </w:rPr>
        <w:t> </w:t>
      </w:r>
      <w:r>
        <w:rPr/>
        <w:t>林</w:t>
      </w:r>
      <w:r>
        <w:rPr>
          <w:spacing w:val="-64"/>
        </w:rPr>
        <w:t> </w:t>
      </w:r>
      <w:r>
        <w:rPr/>
        <w:t>永</w:t>
      </w:r>
      <w:r>
        <w:rPr>
          <w:spacing w:val="-66"/>
        </w:rPr>
        <w:t> </w:t>
      </w:r>
      <w:r>
        <w:rPr/>
        <w:t>飞</w:t>
      </w:r>
      <w:r>
        <w:rPr>
          <w:spacing w:val="-64"/>
        </w:rPr>
        <w:t> </w:t>
      </w:r>
      <w:r>
        <w:rPr/>
        <w:t>与</w:t>
      </w:r>
      <w:r>
        <w:rPr>
          <w:spacing w:val="-66"/>
        </w:rPr>
        <w:t> </w:t>
      </w:r>
      <w:r>
        <w:rPr/>
        <w:t>浦</w:t>
      </w:r>
      <w:r>
        <w:rPr>
          <w:spacing w:val="-66"/>
        </w:rPr>
        <w:t> </w:t>
      </w:r>
      <w:r>
        <w:rPr/>
        <w:t>发</w:t>
      </w:r>
      <w:r>
        <w:rPr>
          <w:spacing w:val="-64"/>
        </w:rPr>
        <w:t> </w:t>
      </w:r>
      <w:r>
        <w:rPr/>
        <w:t>银</w:t>
      </w:r>
      <w:r>
        <w:rPr>
          <w:spacing w:val="-66"/>
        </w:rPr>
        <w:t> </w:t>
      </w:r>
      <w:r>
        <w:rPr/>
        <w:t>行</w:t>
      </w:r>
      <w:r>
        <w:rPr>
          <w:spacing w:val="-64"/>
        </w:rPr>
        <w:t> </w:t>
      </w:r>
      <w:r>
        <w:rPr/>
        <w:t>广</w:t>
      </w:r>
      <w:r>
        <w:rPr>
          <w:spacing w:val="-66"/>
        </w:rPr>
        <w:t> </w:t>
      </w:r>
      <w:r>
        <w:rPr/>
        <w:t>州</w:t>
      </w:r>
      <w:r>
        <w:rPr>
          <w:spacing w:val="-66"/>
        </w:rPr>
        <w:t> </w:t>
      </w:r>
      <w:r>
        <w:rPr/>
        <w:t>分</w:t>
      </w:r>
      <w:r>
        <w:rPr>
          <w:spacing w:val="-66"/>
        </w:rPr>
        <w:t> </w:t>
      </w:r>
      <w:r>
        <w:rPr/>
        <w:t>行</w:t>
      </w:r>
      <w:r>
        <w:rPr>
          <w:spacing w:val="-64"/>
        </w:rPr>
        <w:t> </w:t>
      </w:r>
      <w:r>
        <w:rPr/>
        <w:t>签</w:t>
      </w:r>
      <w:r>
        <w:rPr>
          <w:spacing w:val="-66"/>
        </w:rPr>
        <w:t> </w:t>
      </w:r>
      <w:r>
        <w:rPr/>
        <w:t>订</w:t>
      </w:r>
      <w:r>
        <w:rPr>
          <w:spacing w:val="-66"/>
        </w:rPr>
        <w:t> </w:t>
      </w:r>
      <w:r>
        <w:rPr/>
        <w:t>《</w:t>
      </w:r>
      <w:r>
        <w:rPr>
          <w:spacing w:val="-64"/>
        </w:rPr>
        <w:t> </w:t>
      </w:r>
      <w:r>
        <w:rPr/>
        <w:t>个</w:t>
      </w:r>
      <w:r>
        <w:rPr>
          <w:spacing w:val="-66"/>
        </w:rPr>
        <w:t> </w:t>
      </w:r>
      <w:r>
        <w:rPr/>
        <w:t>人</w:t>
      </w:r>
      <w:r>
        <w:rPr>
          <w:spacing w:val="-64"/>
        </w:rPr>
        <w:t> </w:t>
      </w:r>
      <w:r>
        <w:rPr/>
        <w:t>最</w:t>
      </w:r>
      <w:r>
        <w:rPr>
          <w:spacing w:val="-66"/>
        </w:rPr>
        <w:t> </w:t>
      </w:r>
      <w:r>
        <w:rPr/>
        <w:t>高</w:t>
      </w:r>
      <w:r>
        <w:rPr>
          <w:spacing w:val="-66"/>
        </w:rPr>
        <w:t> </w:t>
      </w:r>
      <w:r>
        <w:rPr/>
        <w:t>额</w:t>
      </w:r>
      <w:r>
        <w:rPr>
          <w:spacing w:val="-66"/>
        </w:rPr>
        <w:t> </w:t>
      </w:r>
      <w:r>
        <w:rPr/>
        <w:t>保</w:t>
      </w:r>
      <w:r>
        <w:rPr>
          <w:spacing w:val="-64"/>
        </w:rPr>
        <w:t> </w:t>
      </w:r>
      <w:r>
        <w:rPr/>
        <w:t>证</w:t>
      </w:r>
      <w:r>
        <w:rPr>
          <w:spacing w:val="-66"/>
        </w:rPr>
        <w:t> </w:t>
      </w:r>
      <w:r>
        <w:rPr/>
        <w:t>合</w:t>
      </w:r>
      <w:r>
        <w:rPr>
          <w:spacing w:val="-66"/>
        </w:rPr>
        <w:t> </w:t>
      </w:r>
      <w:r>
        <w:rPr/>
        <w:t>同</w:t>
      </w:r>
      <w:r>
        <w:rPr>
          <w:spacing w:val="-64"/>
        </w:rPr>
        <w:t> </w:t>
      </w:r>
      <w:r>
        <w:rPr>
          <w:spacing w:val="-34"/>
        </w:rPr>
        <w:t>》（</w:t>
      </w:r>
      <w:r>
        <w:rPr>
          <w:spacing w:val="-64"/>
        </w:rPr>
        <w:t> </w:t>
      </w:r>
      <w:r>
        <w:rPr/>
        <w:t>编</w:t>
      </w:r>
      <w:r>
        <w:rPr>
          <w:spacing w:val="-66"/>
        </w:rPr>
        <w:t> </w:t>
      </w:r>
      <w:r>
        <w:rPr/>
        <w:t>号</w:t>
      </w:r>
      <w:r>
        <w:rPr>
          <w:spacing w:val="-66"/>
        </w:rPr>
        <w:t> </w:t>
      </w:r>
      <w:r>
        <w:rPr/>
        <w:t>为</w:t>
      </w:r>
      <w:r>
        <w:rPr>
          <w:spacing w:val="-64"/>
        </w:rPr>
        <w:t> </w:t>
      </w:r>
      <w:r>
        <w:rPr/>
        <w:t>：</w:t>
      </w:r>
      <w:r>
        <w:rPr>
          <w:w w:val="100"/>
        </w:rPr>
        <w:t> </w:t>
      </w:r>
      <w:r>
        <w:rPr>
          <w:rFonts w:ascii="Times New Roman" w:hAnsi="Times New Roman" w:cs="Times New Roman" w:eastAsia="Times New Roman" w:hint="default"/>
          <w:spacing w:val="-4"/>
          <w:w w:val="100"/>
        </w:rPr>
        <w:t>ZB8201201700000054</w:t>
      </w:r>
      <w:r>
        <w:rPr>
          <w:spacing w:val="-4"/>
          <w:w w:val="100"/>
        </w:rPr>
        <w:t>号），为公司提供担保，担保金额为</w:t>
      </w:r>
      <w:r>
        <w:rPr>
          <w:rFonts w:ascii="Times New Roman" w:hAnsi="Times New Roman" w:cs="Times New Roman" w:eastAsia="Times New Roman" w:hint="default"/>
          <w:spacing w:val="-4"/>
          <w:w w:val="100"/>
        </w:rPr>
        <w:t>16,667</w:t>
      </w:r>
      <w:r>
        <w:rPr>
          <w:spacing w:val="-4"/>
          <w:w w:val="100"/>
        </w:rPr>
        <w:t>万元，担保主债权期间为</w:t>
      </w:r>
      <w:r>
        <w:rPr>
          <w:rFonts w:ascii="Times New Roman" w:hAnsi="Times New Roman" w:cs="Times New Roman" w:eastAsia="Times New Roman" w:hint="default"/>
          <w:spacing w:val="-4"/>
          <w:w w:val="100"/>
        </w:rPr>
        <w:t>2017</w:t>
      </w:r>
      <w:r>
        <w:rPr>
          <w:spacing w:val="-4"/>
          <w:w w:val="100"/>
        </w:rPr>
        <w:t>年</w:t>
      </w:r>
      <w:r>
        <w:rPr>
          <w:rFonts w:ascii="Times New Roman" w:hAnsi="Times New Roman" w:cs="Times New Roman" w:eastAsia="Times New Roman" w:hint="default"/>
          <w:spacing w:val="-4"/>
          <w:w w:val="100"/>
        </w:rPr>
        <w:t>9</w:t>
      </w:r>
      <w:r>
        <w:rPr>
          <w:spacing w:val="-4"/>
          <w:w w:val="100"/>
        </w:rPr>
        <w:t>月</w:t>
      </w:r>
      <w:r>
        <w:rPr>
          <w:rFonts w:ascii="Times New Roman" w:hAnsi="Times New Roman" w:cs="Times New Roman" w:eastAsia="Times New Roman" w:hint="default"/>
          <w:spacing w:val="-4"/>
          <w:w w:val="100"/>
        </w:rPr>
        <w:t>27</w:t>
      </w:r>
      <w:r>
        <w:rPr>
          <w:spacing w:val="-4"/>
          <w:w w:val="100"/>
        </w:rPr>
        <w:t>日至</w:t>
      </w:r>
      <w:r>
        <w:rPr>
          <w:spacing w:val="-59"/>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p>
    <w:p>
      <w:pPr>
        <w:pStyle w:val="BodyText"/>
        <w:spacing w:line="240" w:lineRule="auto" w:before="76"/>
        <w:ind w:left="533"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2019</w:t>
      </w:r>
      <w:r>
        <w:rPr>
          <w:spacing w:val="-3"/>
          <w:w w:val="100"/>
        </w:rPr>
        <w:t>年</w:t>
      </w:r>
      <w:r>
        <w:rPr>
          <w:rFonts w:ascii="Times New Roman" w:hAnsi="Times New Roman" w:cs="Times New Roman" w:eastAsia="Times New Roman" w:hint="default"/>
          <w:w w:val="100"/>
        </w:rPr>
        <w:t>3</w:t>
      </w:r>
      <w:r>
        <w:rPr>
          <w:w w:val="100"/>
        </w:rPr>
        <w:t>月</w:t>
      </w:r>
      <w:r>
        <w:rPr>
          <w:rFonts w:ascii="Times New Roman" w:hAnsi="Times New Roman" w:cs="Times New Roman" w:eastAsia="Times New Roman" w:hint="default"/>
          <w:spacing w:val="-3"/>
          <w:w w:val="100"/>
        </w:rPr>
        <w:t>5</w:t>
      </w:r>
      <w:r>
        <w:rPr>
          <w:spacing w:val="-3"/>
          <w:w w:val="100"/>
        </w:rPr>
        <w:t>日</w:t>
      </w:r>
      <w:r>
        <w:rPr>
          <w:spacing w:val="-99"/>
          <w:w w:val="100"/>
        </w:rPr>
        <w:t>，</w:t>
      </w:r>
      <w:r>
        <w:rPr>
          <w:spacing w:val="-3"/>
          <w:w w:val="100"/>
        </w:rPr>
        <w:t>林</w:t>
      </w:r>
      <w:r>
        <w:rPr>
          <w:w w:val="100"/>
        </w:rPr>
        <w:t>永</w:t>
      </w:r>
      <w:r>
        <w:rPr>
          <w:spacing w:val="-3"/>
          <w:w w:val="100"/>
        </w:rPr>
        <w:t>飞</w:t>
      </w:r>
      <w:r>
        <w:rPr>
          <w:w w:val="100"/>
        </w:rPr>
        <w:t>与</w:t>
      </w:r>
      <w:r>
        <w:rPr>
          <w:spacing w:val="-3"/>
          <w:w w:val="100"/>
        </w:rPr>
        <w:t>浦</w:t>
      </w:r>
      <w:r>
        <w:rPr>
          <w:w w:val="100"/>
        </w:rPr>
        <w:t>发银</w:t>
      </w:r>
      <w:r>
        <w:rPr>
          <w:spacing w:val="-3"/>
          <w:w w:val="100"/>
        </w:rPr>
        <w:t>行</w:t>
      </w:r>
      <w:r>
        <w:rPr>
          <w:w w:val="100"/>
        </w:rPr>
        <w:t>广</w:t>
      </w:r>
      <w:r>
        <w:rPr>
          <w:spacing w:val="-3"/>
          <w:w w:val="100"/>
        </w:rPr>
        <w:t>州</w:t>
      </w:r>
      <w:r>
        <w:rPr>
          <w:w w:val="100"/>
        </w:rPr>
        <w:t>分</w:t>
      </w:r>
      <w:r>
        <w:rPr>
          <w:spacing w:val="-3"/>
          <w:w w:val="100"/>
        </w:rPr>
        <w:t>行</w:t>
      </w:r>
      <w:r>
        <w:rPr>
          <w:w w:val="100"/>
        </w:rPr>
        <w:t>签</w:t>
      </w:r>
      <w:r>
        <w:rPr>
          <w:spacing w:val="-101"/>
          <w:w w:val="100"/>
        </w:rPr>
        <w:t>订</w:t>
      </w:r>
      <w:r>
        <w:rPr>
          <w:spacing w:val="-3"/>
          <w:w w:val="100"/>
        </w:rPr>
        <w:t>《</w:t>
      </w:r>
      <w:r>
        <w:rPr>
          <w:w w:val="100"/>
        </w:rPr>
        <w:t>个</w:t>
      </w:r>
      <w:r>
        <w:rPr>
          <w:spacing w:val="-3"/>
          <w:w w:val="100"/>
        </w:rPr>
        <w:t>人</w:t>
      </w:r>
      <w:r>
        <w:rPr>
          <w:w w:val="100"/>
        </w:rPr>
        <w:t>最高</w:t>
      </w:r>
      <w:r>
        <w:rPr>
          <w:spacing w:val="-3"/>
          <w:w w:val="100"/>
        </w:rPr>
        <w:t>额</w:t>
      </w:r>
      <w:r>
        <w:rPr>
          <w:w w:val="100"/>
        </w:rPr>
        <w:t>保</w:t>
      </w:r>
      <w:r>
        <w:rPr>
          <w:spacing w:val="-3"/>
          <w:w w:val="100"/>
        </w:rPr>
        <w:t>证</w:t>
      </w:r>
      <w:r>
        <w:rPr>
          <w:w w:val="100"/>
        </w:rPr>
        <w:t>合</w:t>
      </w:r>
      <w:r>
        <w:rPr>
          <w:spacing w:val="-3"/>
          <w:w w:val="100"/>
        </w:rPr>
        <w:t>同</w:t>
      </w:r>
      <w:r>
        <w:rPr>
          <w:spacing w:val="-204"/>
          <w:w w:val="100"/>
        </w:rPr>
        <w:t>》</w:t>
      </w:r>
      <w:r>
        <w:rPr>
          <w:spacing w:val="-3"/>
          <w:w w:val="100"/>
        </w:rPr>
        <w:t>（</w:t>
      </w:r>
      <w:r>
        <w:rPr>
          <w:w w:val="100"/>
        </w:rPr>
        <w:t>编</w:t>
      </w:r>
      <w:r>
        <w:rPr>
          <w:spacing w:val="-3"/>
          <w:w w:val="100"/>
        </w:rPr>
        <w:t>号为</w:t>
      </w:r>
      <w:r>
        <w:rPr>
          <w:spacing w:val="-101"/>
          <w:w w:val="100"/>
        </w:rPr>
        <w:t>：</w:t>
      </w:r>
      <w:r>
        <w:rPr>
          <w:rFonts w:ascii="Times New Roman" w:hAnsi="Times New Roman" w:cs="Times New Roman" w:eastAsia="Times New Roman" w:hint="default"/>
          <w:spacing w:val="-2"/>
          <w:w w:val="100"/>
        </w:rPr>
        <w:t>Z</w:t>
      </w:r>
      <w:r>
        <w:rPr>
          <w:rFonts w:ascii="Times New Roman" w:hAnsi="Times New Roman" w:cs="Times New Roman" w:eastAsia="Times New Roman" w:hint="default"/>
          <w:w w:val="100"/>
        </w:rPr>
        <w:t>B8201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008</w:t>
      </w:r>
    </w:p>
    <w:p>
      <w:pPr>
        <w:pStyle w:val="BodyText"/>
        <w:spacing w:line="240" w:lineRule="auto" w:before="177"/>
        <w:ind w:right="0"/>
        <w:jc w:val="both"/>
      </w:pPr>
      <w:r>
        <w:rPr>
          <w:w w:val="100"/>
        </w:rPr>
        <w:t>号</w:t>
      </w:r>
      <w:r>
        <w:rPr>
          <w:spacing w:val="-106"/>
          <w:w w:val="100"/>
        </w:rPr>
        <w:t>）</w:t>
      </w:r>
      <w:r>
        <w:rPr>
          <w:spacing w:val="-3"/>
          <w:w w:val="100"/>
        </w:rPr>
        <w:t>，</w:t>
      </w:r>
      <w:r>
        <w:rPr>
          <w:w w:val="100"/>
        </w:rPr>
        <w:t>为</w:t>
      </w:r>
      <w:r>
        <w:rPr>
          <w:spacing w:val="-3"/>
          <w:w w:val="100"/>
        </w:rPr>
        <w:t>公</w:t>
      </w:r>
      <w:r>
        <w:rPr>
          <w:w w:val="100"/>
        </w:rPr>
        <w:t>司</w:t>
      </w:r>
      <w:r>
        <w:rPr>
          <w:spacing w:val="-3"/>
          <w:w w:val="100"/>
        </w:rPr>
        <w:t>提</w:t>
      </w:r>
      <w:r>
        <w:rPr>
          <w:w w:val="100"/>
        </w:rPr>
        <w:t>供</w:t>
      </w:r>
      <w:r>
        <w:rPr>
          <w:spacing w:val="-3"/>
          <w:w w:val="100"/>
        </w:rPr>
        <w:t>担</w:t>
      </w:r>
      <w:r>
        <w:rPr>
          <w:w w:val="100"/>
        </w:rPr>
        <w:t>保</w:t>
      </w:r>
      <w:r>
        <w:rPr>
          <w:spacing w:val="-3"/>
          <w:w w:val="100"/>
        </w:rPr>
        <w:t>，担</w:t>
      </w:r>
      <w:r>
        <w:rPr>
          <w:w w:val="100"/>
        </w:rPr>
        <w:t>保金</w:t>
      </w:r>
      <w:r>
        <w:rPr>
          <w:spacing w:val="-3"/>
          <w:w w:val="100"/>
        </w:rPr>
        <w:t>额</w:t>
      </w:r>
      <w:r>
        <w:rPr>
          <w:w w:val="100"/>
        </w:rPr>
        <w:t>为</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w w:val="100"/>
        </w:rPr>
        <w:t>万</w:t>
      </w:r>
      <w:r>
        <w:rPr>
          <w:spacing w:val="-3"/>
          <w:w w:val="100"/>
        </w:rPr>
        <w:t>元</w:t>
      </w:r>
      <w:r>
        <w:rPr>
          <w:w w:val="100"/>
        </w:rPr>
        <w:t>，</w:t>
      </w:r>
      <w:r>
        <w:rPr>
          <w:spacing w:val="-3"/>
          <w:w w:val="100"/>
        </w:rPr>
        <w:t>担</w:t>
      </w:r>
      <w:r>
        <w:rPr>
          <w:w w:val="100"/>
        </w:rPr>
        <w:t>保主</w:t>
      </w:r>
      <w:r>
        <w:rPr>
          <w:spacing w:val="-3"/>
          <w:w w:val="100"/>
        </w:rPr>
        <w:t>债</w:t>
      </w:r>
      <w:r>
        <w:rPr>
          <w:w w:val="100"/>
        </w:rPr>
        <w:t>权</w:t>
      </w:r>
      <w:r>
        <w:rPr>
          <w:spacing w:val="-3"/>
          <w:w w:val="100"/>
        </w:rPr>
        <w:t>期</w:t>
      </w:r>
      <w:r>
        <w:rPr>
          <w:w w:val="100"/>
        </w:rPr>
        <w:t>间</w:t>
      </w:r>
      <w:r>
        <w:rPr>
          <w:spacing w:val="-3"/>
          <w:w w:val="100"/>
        </w:rPr>
        <w:t>为</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9</w:t>
      </w:r>
      <w:r>
        <w:rPr>
          <w:w w:val="100"/>
        </w:rPr>
        <w:t>年</w:t>
      </w:r>
      <w:r>
        <w:rPr>
          <w:rFonts w:ascii="Times New Roman" w:hAnsi="Times New Roman" w:cs="Times New Roman" w:eastAsia="Times New Roman" w:hint="default"/>
          <w:spacing w:val="-3"/>
          <w:w w:val="100"/>
        </w:rPr>
        <w:t>3</w:t>
      </w:r>
      <w:r>
        <w:rPr>
          <w:spacing w:val="-3"/>
          <w:w w:val="100"/>
        </w:rPr>
        <w:t>月</w:t>
      </w:r>
      <w:r>
        <w:rPr>
          <w:rFonts w:ascii="Times New Roman" w:hAnsi="Times New Roman" w:cs="Times New Roman" w:eastAsia="Times New Roman" w:hint="default"/>
          <w:w w:val="100"/>
        </w:rPr>
        <w:t>5</w:t>
      </w:r>
      <w:r>
        <w:rPr>
          <w:w w:val="100"/>
        </w:rPr>
        <w:t>日至</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9</w:t>
      </w:r>
      <w:r>
        <w:rPr>
          <w:w w:val="100"/>
        </w:rPr>
        <w:t>年</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3"/>
          <w:w w:val="100"/>
        </w:rPr>
        <w:t>1</w:t>
      </w:r>
      <w:r>
        <w:rPr>
          <w:w w:val="100"/>
        </w:rPr>
        <w:t>月</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9</w:t>
      </w:r>
      <w:r>
        <w:rPr>
          <w:w w:val="100"/>
        </w:rPr>
        <w:t>日。</w:t>
      </w:r>
    </w:p>
    <w:p>
      <w:pPr>
        <w:spacing w:line="240" w:lineRule="auto" w:before="6"/>
        <w:rPr>
          <w:rFonts w:ascii="宋体" w:hAnsi="宋体" w:cs="宋体" w:eastAsia="宋体" w:hint="default"/>
          <w:sz w:val="16"/>
          <w:szCs w:val="16"/>
        </w:rPr>
      </w:pPr>
    </w:p>
    <w:p>
      <w:pPr>
        <w:pStyle w:val="BodyText"/>
        <w:spacing w:line="386" w:lineRule="auto"/>
        <w:ind w:right="1129" w:firstLine="420"/>
        <w:jc w:val="both"/>
      </w:pP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9</w:t>
      </w:r>
      <w:r>
        <w:rPr>
          <w:spacing w:val="-4"/>
          <w:w w:val="100"/>
        </w:rPr>
        <w:t>月</w:t>
      </w:r>
      <w:r>
        <w:rPr>
          <w:rFonts w:ascii="Times New Roman" w:hAnsi="Times New Roman" w:cs="Times New Roman" w:eastAsia="Times New Roman" w:hint="default"/>
          <w:spacing w:val="-4"/>
          <w:w w:val="100"/>
        </w:rPr>
        <w:t>13</w:t>
      </w:r>
      <w:r>
        <w:rPr>
          <w:spacing w:val="-4"/>
          <w:w w:val="100"/>
        </w:rPr>
        <w:t>日，翁武强与兴业银行广州新塘支行签订《最高额保证合同》（编号为：兴银粤保字（新</w:t>
      </w:r>
      <w:r>
        <w:rPr>
          <w:w w:val="100"/>
        </w:rPr>
        <w:t> </w:t>
      </w:r>
      <w:r>
        <w:rPr>
          <w:spacing w:val="-8"/>
          <w:w w:val="100"/>
        </w:rPr>
        <w:t>塘）第</w:t>
      </w:r>
      <w:r>
        <w:rPr>
          <w:rFonts w:ascii="Times New Roman" w:hAnsi="Times New Roman" w:cs="Times New Roman" w:eastAsia="Times New Roman" w:hint="default"/>
          <w:spacing w:val="-8"/>
          <w:w w:val="100"/>
        </w:rPr>
        <w:t>201807310888</w:t>
      </w:r>
      <w:r>
        <w:rPr>
          <w:spacing w:val="-8"/>
          <w:w w:val="100"/>
        </w:rPr>
        <w:t>号），为公司提供担保，担保金额为</w:t>
      </w:r>
      <w:r>
        <w:rPr>
          <w:rFonts w:ascii="Times New Roman" w:hAnsi="Times New Roman" w:cs="Times New Roman" w:eastAsia="Times New Roman" w:hint="default"/>
          <w:spacing w:val="-8"/>
          <w:w w:val="100"/>
        </w:rPr>
        <w:t>3,000</w:t>
      </w:r>
      <w:r>
        <w:rPr>
          <w:spacing w:val="-8"/>
          <w:w w:val="100"/>
        </w:rPr>
        <w:t>万元，担保主债权期间为</w:t>
      </w:r>
      <w:r>
        <w:rPr>
          <w:rFonts w:ascii="Times New Roman" w:hAnsi="Times New Roman" w:cs="Times New Roman" w:eastAsia="Times New Roman" w:hint="default"/>
          <w:spacing w:val="-8"/>
          <w:w w:val="100"/>
        </w:rPr>
        <w:t>2018</w:t>
      </w:r>
      <w:r>
        <w:rPr>
          <w:spacing w:val="-8"/>
          <w:w w:val="100"/>
        </w:rPr>
        <w:t>年</w:t>
      </w:r>
      <w:r>
        <w:rPr>
          <w:rFonts w:ascii="Times New Roman" w:hAnsi="Times New Roman" w:cs="Times New Roman" w:eastAsia="Times New Roman" w:hint="default"/>
          <w:spacing w:val="-8"/>
          <w:w w:val="100"/>
        </w:rPr>
        <w:t>9</w:t>
      </w:r>
      <w:r>
        <w:rPr>
          <w:spacing w:val="-8"/>
          <w:w w:val="100"/>
        </w:rPr>
        <w:t>月</w:t>
      </w:r>
      <w:r>
        <w:rPr>
          <w:rFonts w:ascii="Times New Roman" w:hAnsi="Times New Roman" w:cs="Times New Roman" w:eastAsia="Times New Roman" w:hint="default"/>
          <w:spacing w:val="-8"/>
          <w:w w:val="100"/>
        </w:rPr>
        <w:t>13</w:t>
      </w:r>
      <w:r>
        <w:rPr>
          <w:spacing w:val="-8"/>
          <w:w w:val="100"/>
        </w:rPr>
        <w:t>日至</w:t>
      </w:r>
      <w:r>
        <w:rPr>
          <w:rFonts w:ascii="Times New Roman" w:hAnsi="Times New Roman" w:cs="Times New Roman" w:eastAsia="Times New Roman" w:hint="default"/>
          <w:spacing w:val="-8"/>
          <w:w w:val="100"/>
        </w:rPr>
        <w:t>2019</w:t>
      </w:r>
      <w:r>
        <w:rPr>
          <w:rFonts w:ascii="Times New Roman" w:hAnsi="Times New Roman" w:cs="Times New Roman" w:eastAsia="Times New Roman" w:hint="default"/>
          <w:spacing w:val="-18"/>
          <w:w w:val="100"/>
        </w:rPr>
        <w:t> </w:t>
      </w:r>
      <w:r>
        <w:rPr>
          <w:rFonts w:ascii="Times New Roman" w:hAnsi="Times New Roman" w:cs="Times New Roman" w:eastAsia="Times New Roman" w:hint="default"/>
          <w:spacing w:val="-18"/>
          <w:w w:val="100"/>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w:t>
      </w:r>
    </w:p>
    <w:p>
      <w:pPr>
        <w:pStyle w:val="BodyText"/>
        <w:spacing w:line="386" w:lineRule="auto" w:before="76"/>
        <w:ind w:right="1125" w:firstLine="420"/>
        <w:jc w:val="both"/>
      </w:pPr>
      <w:r>
        <w:rPr>
          <w:spacing w:val="-1"/>
        </w:rPr>
        <w:t>公司报告期末，以上担保，实际发生的借款额为</w:t>
      </w:r>
      <w:r>
        <w:rPr>
          <w:rFonts w:ascii="Times New Roman" w:hAnsi="Times New Roman" w:cs="Times New Roman" w:eastAsia="Times New Roman" w:hint="default"/>
          <w:spacing w:val="-1"/>
        </w:rPr>
        <w:t>51,000</w:t>
      </w:r>
      <w:r>
        <w:rPr>
          <w:spacing w:val="-1"/>
        </w:rPr>
        <w:t>万元，详见附注七、</w:t>
      </w:r>
      <w:r>
        <w:rPr>
          <w:rFonts w:ascii="Times New Roman" w:hAnsi="Times New Roman" w:cs="Times New Roman" w:eastAsia="Times New Roman" w:hint="default"/>
          <w:spacing w:val="-1"/>
        </w:rPr>
        <w:t>21</w:t>
      </w:r>
      <w:r>
        <w:rPr>
          <w:spacing w:val="-1"/>
        </w:rPr>
        <w:t>、短期借款；</w:t>
      </w:r>
      <w:r>
        <w:rPr>
          <w:rFonts w:ascii="Times New Roman" w:hAnsi="Times New Roman" w:cs="Times New Roman" w:eastAsia="Times New Roman" w:hint="default"/>
          <w:spacing w:val="-1"/>
        </w:rPr>
        <w:t>28</w:t>
      </w:r>
      <w:r>
        <w:rPr>
          <w:spacing w:val="-1"/>
        </w:rPr>
        <w:t>、一年</w:t>
      </w:r>
      <w:r>
        <w:rPr>
          <w:w w:val="100"/>
        </w:rPr>
        <w:t> </w:t>
      </w:r>
      <w:r>
        <w:rPr/>
        <w:t>内到期的非流动负债；</w:t>
      </w:r>
      <w:r>
        <w:rPr>
          <w:rFonts w:ascii="Times New Roman" w:hAnsi="Times New Roman" w:cs="Times New Roman" w:eastAsia="Times New Roman" w:hint="default"/>
        </w:rPr>
        <w:t>30</w:t>
      </w:r>
      <w:r>
        <w:rPr/>
        <w:t>、长期借款。</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2,819,096.88</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2,370,989.55</w:t>
            </w:r>
          </w:p>
        </w:tc>
      </w:tr>
      <w:tr>
        <w:trPr>
          <w:trHeight w:val="403" w:hRule="exact"/>
        </w:trPr>
        <w:tc>
          <w:tcPr>
            <w:tcW w:w="318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19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933734"/>
              <w:bottom w:val="single" w:sz="4" w:space="0" w:color="933734"/>
              <w:right w:val="single" w:sz="4" w:space="0" w:color="933734"/>
            </w:tcBorders>
            <w:shd w:val="clear" w:color="auto" w:fill="E4B8B7"/>
          </w:tcPr>
          <w:p>
            <w:pPr/>
          </w:p>
        </w:tc>
        <w:tc>
          <w:tcPr>
            <w:tcW w:w="1594" w:type="dxa"/>
            <w:vMerge/>
            <w:tcBorders>
              <w:left w:val="single" w:sz="4" w:space="0" w:color="933734"/>
              <w:bottom w:val="single" w:sz="4" w:space="0" w:color="933734"/>
              <w:right w:val="single" w:sz="4" w:space="0" w:color="933734"/>
            </w:tcBorders>
            <w:shd w:val="clear" w:color="auto" w:fill="E4B8B7"/>
          </w:tcPr>
          <w:p>
            <w:pP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广州花园里发展</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526,641.98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26,332.10</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785,597.58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760" w:right="0"/>
              <w:jc w:val="left"/>
              <w:rPr>
                <w:rFonts w:ascii="Times New Roman" w:hAnsi="Times New Roman" w:cs="Times New Roman" w:eastAsia="Times New Roman" w:hint="default"/>
                <w:sz w:val="18"/>
                <w:szCs w:val="18"/>
              </w:rPr>
            </w:pPr>
            <w:r>
              <w:rPr>
                <w:rFonts w:ascii="Times New Roman"/>
                <w:sz w:val="18"/>
              </w:rPr>
              <w:t>39,279.88</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6"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92,000.00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4,600.00</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广州多维魔镜高 新科技有限公司</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80,500.00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4,025.00</w:t>
            </w:r>
          </w:p>
        </w:tc>
        <w:tc>
          <w:tcPr>
            <w:tcW w:w="1594" w:type="dxa"/>
            <w:tcBorders>
              <w:top w:val="single" w:sz="4" w:space="0" w:color="933734"/>
              <w:left w:val="single" w:sz="4" w:space="0" w:color="933734"/>
              <w:bottom w:val="single" w:sz="4" w:space="0" w:color="933734"/>
              <w:right w:val="single" w:sz="4" w:space="0" w:color="933734"/>
            </w:tcBorders>
          </w:tcPr>
          <w:p>
            <w:pPr/>
          </w:p>
        </w:tc>
        <w:tc>
          <w:tcPr>
            <w:tcW w:w="1594"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衡阳恒佳名品管理有限公司</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402,108.00</w:t>
            </w:r>
          </w:p>
        </w:tc>
      </w:tr>
      <w:tr>
        <w:trPr>
          <w:trHeight w:val="716" w:hRule="exact"/>
        </w:trPr>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17"/>
              <w:jc w:val="left"/>
              <w:rPr>
                <w:rFonts w:ascii="宋体" w:hAnsi="宋体" w:cs="宋体" w:eastAsia="宋体" w:hint="default"/>
                <w:sz w:val="18"/>
                <w:szCs w:val="18"/>
              </w:rPr>
            </w:pPr>
            <w:r>
              <w:rPr>
                <w:rFonts w:ascii="宋体" w:hAnsi="宋体" w:cs="宋体" w:eastAsia="宋体" w:hint="default"/>
                <w:sz w:val="18"/>
                <w:szCs w:val="18"/>
              </w:rPr>
              <w:t>连卡福（衡阳）商业广场有 限公司</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1,502.00</w:t>
            </w:r>
          </w:p>
        </w:tc>
      </w:tr>
      <w:tr>
        <w:trPr>
          <w:trHeight w:val="713" w:hRule="exact"/>
        </w:trPr>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5" w:right="117"/>
              <w:jc w:val="left"/>
              <w:rPr>
                <w:rFonts w:ascii="宋体" w:hAnsi="宋体" w:cs="宋体" w:eastAsia="宋体" w:hint="default"/>
                <w:sz w:val="18"/>
                <w:szCs w:val="18"/>
              </w:rPr>
            </w:pPr>
            <w:r>
              <w:rPr>
                <w:rFonts w:ascii="宋体" w:hAnsi="宋体" w:cs="宋体" w:eastAsia="宋体" w:hint="default"/>
                <w:sz w:val="18"/>
                <w:szCs w:val="18"/>
              </w:rPr>
              <w:t>连卡福（衡阳）商业广场有 限公司</w:t>
            </w:r>
          </w:p>
        </w:tc>
        <w:tc>
          <w:tcPr>
            <w:tcW w:w="2393" w:type="dxa"/>
            <w:tcBorders>
              <w:top w:val="single" w:sz="4" w:space="0" w:color="933734"/>
              <w:left w:val="single" w:sz="4" w:space="0" w:color="933734"/>
              <w:bottom w:val="single" w:sz="4" w:space="0" w:color="933734"/>
              <w:right w:val="single" w:sz="4" w:space="0" w:color="933734"/>
            </w:tcBorders>
          </w:tcPr>
          <w:p>
            <w:pP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衡阳恒佳名品管理有限公司</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36" w:right="0"/>
              <w:jc w:val="left"/>
              <w:rPr>
                <w:rFonts w:ascii="Times New Roman" w:hAnsi="Times New Roman" w:cs="Times New Roman" w:eastAsia="Times New Roman" w:hint="default"/>
                <w:sz w:val="18"/>
                <w:szCs w:val="18"/>
              </w:rPr>
            </w:pPr>
            <w:r>
              <w:rPr>
                <w:rFonts w:ascii="Times New Roman"/>
                <w:sz w:val="18"/>
              </w:rPr>
              <w:t>1,015,200.00</w:t>
            </w:r>
          </w:p>
        </w:tc>
        <w:tc>
          <w:tcPr>
            <w:tcW w:w="239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1,015,200.00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十二、股份支付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line="506" w:lineRule="auto" w:before="0"/>
        <w:ind w:left="113" w:right="8344" w:firstLine="0"/>
        <w:jc w:val="left"/>
        <w:rPr>
          <w:rFonts w:ascii="宋体" w:hAnsi="宋体" w:cs="宋体" w:eastAsia="宋体" w:hint="default"/>
          <w:sz w:val="18"/>
          <w:szCs w:val="18"/>
        </w:rPr>
      </w:pP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4"/>
        <w:spacing w:line="248" w:lineRule="exact"/>
        <w:ind w:left="430" w:right="0"/>
        <w:jc w:val="left"/>
        <w:rPr>
          <w:b w:val="0"/>
          <w:bCs w:val="0"/>
        </w:rPr>
      </w:pPr>
      <w:r>
        <w:rPr/>
        <w:t>（一）重要承诺事项</w:t>
      </w:r>
      <w:r>
        <w:rPr>
          <w:b w:val="0"/>
          <w:bCs w:val="0"/>
        </w:rPr>
      </w:r>
    </w:p>
    <w:p>
      <w:pPr>
        <w:spacing w:line="240" w:lineRule="auto" w:before="9"/>
        <w:rPr>
          <w:rFonts w:ascii="宋体" w:hAnsi="宋体" w:cs="宋体" w:eastAsia="宋体" w:hint="default"/>
          <w:b/>
          <w:bCs/>
          <w:sz w:val="17"/>
          <w:szCs w:val="17"/>
        </w:rPr>
      </w:pPr>
    </w:p>
    <w:p>
      <w:pPr>
        <w:pStyle w:val="BodyText"/>
        <w:spacing w:line="420" w:lineRule="auto"/>
        <w:ind w:left="533" w:right="0"/>
        <w:jc w:val="left"/>
      </w:pPr>
      <w:r>
        <w:rPr>
          <w:rFonts w:ascii="Times New Roman" w:hAnsi="Times New Roman" w:cs="Times New Roman" w:eastAsia="Times New Roman" w:hint="default"/>
        </w:rPr>
        <w:t>1</w:t>
      </w:r>
      <w:r>
        <w:rPr/>
        <w:t>、现金分红承诺事项：</w:t>
      </w:r>
      <w:r>
        <w:rPr>
          <w:w w:val="100"/>
        </w:rPr>
        <w:t> </w:t>
      </w:r>
      <w:r>
        <w:rPr>
          <w:spacing w:val="-5"/>
        </w:rPr>
        <w:t>公司应保持利润分配政策的连续性和稳定性，在满足现金分红条件时，发行上市后的前三个会计年度，</w:t>
      </w:r>
    </w:p>
    <w:p>
      <w:pPr>
        <w:pStyle w:val="BodyText"/>
        <w:spacing w:line="240" w:lineRule="auto" w:before="35"/>
        <w:ind w:right="0"/>
        <w:jc w:val="left"/>
      </w:pPr>
      <w:r>
        <w:rPr/>
        <w:t>公司每年以现金形式分配的利润不少于当年实现的可供分配利润的百分之三十；发行上市三年后，公司可</w:t>
      </w:r>
    </w:p>
    <w:p>
      <w:pPr>
        <w:spacing w:after="0" w:line="240" w:lineRule="auto"/>
        <w:jc w:val="left"/>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408" w:lineRule="auto" w:before="36"/>
        <w:ind w:right="1126"/>
        <w:jc w:val="both"/>
      </w:pPr>
      <w:r>
        <w:rPr>
          <w:spacing w:val="-2"/>
        </w:rPr>
        <w:t>根据生产经营情况、投资规划和长期发展的需要确定现金分红比例，但各年度以现金形式分配的利润不少</w:t>
      </w:r>
      <w:r>
        <w:rPr>
          <w:spacing w:val="-43"/>
        </w:rPr>
        <w:t> </w:t>
      </w:r>
      <w:r>
        <w:rPr>
          <w:spacing w:val="-43"/>
        </w:rPr>
      </w:r>
      <w:r>
        <w:rPr/>
        <w:t>于当年实现的可供分配利润的百分之十。当年未分配的可分配利润可留待以后年度进行分配。</w:t>
      </w:r>
    </w:p>
    <w:p>
      <w:pPr>
        <w:pStyle w:val="BodyText"/>
        <w:spacing w:line="417" w:lineRule="auto" w:before="87"/>
        <w:ind w:left="533" w:right="1121"/>
        <w:jc w:val="left"/>
      </w:pPr>
      <w:r>
        <w:rPr>
          <w:rFonts w:ascii="Times New Roman" w:hAnsi="Times New Roman" w:cs="Times New Roman" w:eastAsia="Times New Roman" w:hint="default"/>
        </w:rPr>
        <w:t>2</w:t>
      </w:r>
      <w:r>
        <w:rPr/>
        <w:t>、回购股票承诺事项：</w:t>
      </w:r>
      <w:r>
        <w:rPr>
          <w:w w:val="100"/>
        </w:rPr>
        <w:t> </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日分别召开的公司第四届第五次董事会及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年第二次临时股</w:t>
      </w:r>
    </w:p>
    <w:p>
      <w:pPr>
        <w:pStyle w:val="BodyText"/>
        <w:spacing w:line="386" w:lineRule="auto" w:before="5"/>
        <w:ind w:right="1026"/>
        <w:jc w:val="both"/>
      </w:pPr>
      <w:r>
        <w:rPr>
          <w:spacing w:val="-3"/>
        </w:rPr>
        <w:t>东大会审议通过了《关于回购公司股份预案的议案》等相关议案，同意公司以不低于人民币 </w:t>
      </w:r>
      <w:r>
        <w:rPr>
          <w:rFonts w:ascii="Times New Roman" w:hAnsi="Times New Roman" w:cs="Times New Roman" w:eastAsia="Times New Roman" w:hint="default"/>
        </w:rPr>
        <w:t>0.75</w:t>
      </w:r>
      <w:r>
        <w:rPr/>
        <w:t>亿元且不</w:t>
      </w:r>
      <w:r>
        <w:rPr>
          <w:spacing w:val="-65"/>
        </w:rPr>
        <w:t> </w:t>
      </w:r>
      <w:r>
        <w:rPr>
          <w:spacing w:val="-65"/>
        </w:rPr>
      </w:r>
      <w:r>
        <w:rPr>
          <w:spacing w:val="2"/>
        </w:rPr>
        <w:t>超过人民币</w:t>
      </w:r>
      <w:r>
        <w:rPr>
          <w:rFonts w:ascii="Times New Roman" w:hAnsi="Times New Roman" w:cs="Times New Roman" w:eastAsia="Times New Roman" w:hint="default"/>
          <w:spacing w:val="2"/>
        </w:rPr>
        <w:t>1.5</w:t>
      </w:r>
      <w:r>
        <w:rPr>
          <w:spacing w:val="2"/>
        </w:rPr>
        <w:t>亿元的自有资金通过集中竞价交易方式回购公司部分社会公众股份，回购价格不高于</w:t>
      </w:r>
      <w:r>
        <w:rPr>
          <w:rFonts w:ascii="Times New Roman" w:hAnsi="Times New Roman" w:cs="Times New Roman" w:eastAsia="Times New Roman" w:hint="default"/>
          <w:spacing w:val="2"/>
        </w:rPr>
        <w:t>15.5</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4"/>
        </w:rPr>
        <w:t>元</w:t>
      </w:r>
      <w:r>
        <w:rPr>
          <w:rFonts w:ascii="Times New Roman" w:hAnsi="Times New Roman" w:cs="Times New Roman" w:eastAsia="Times New Roman" w:hint="default"/>
          <w:spacing w:val="-4"/>
        </w:rPr>
        <w:t>/</w:t>
      </w:r>
      <w:r>
        <w:rPr>
          <w:spacing w:val="-4"/>
        </w:rPr>
        <w:t>股；本次回购的股份将用于员工持股计划或股权激励计划或减少注册资本，具体用途授权董事会依据有</w:t>
      </w:r>
      <w:r>
        <w:rPr>
          <w:spacing w:val="-6"/>
        </w:rPr>
        <w:t> </w:t>
      </w:r>
      <w:r>
        <w:rPr>
          <w:spacing w:val="-6"/>
        </w:rPr>
      </w:r>
      <w:r>
        <w:rPr/>
        <w:t>关法律法规决定。本次回购股份决议的有效期限自股东大会审议通过回购股份预案之日起</w:t>
      </w:r>
      <w:r>
        <w:rPr>
          <w:rFonts w:ascii="Times New Roman" w:hAnsi="Times New Roman" w:cs="Times New Roman" w:eastAsia="Times New Roman" w:hint="default"/>
        </w:rPr>
        <w:t>12</w:t>
      </w:r>
      <w:r>
        <w:rPr/>
        <w:t>个月内有效。</w:t>
      </w:r>
    </w:p>
    <w:p>
      <w:pPr>
        <w:pStyle w:val="BodyText"/>
        <w:spacing w:line="240" w:lineRule="auto" w:before="77"/>
        <w:ind w:left="533" w:right="0"/>
        <w:jc w:val="left"/>
      </w:pPr>
      <w:r>
        <w:rPr/>
        <w:t>本公司无需要披露的其他重要承诺事项。</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68" w:lineRule="auto" w:before="0"/>
        <w:ind w:left="533" w:right="112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公司本报告期内，公司无影响正常经营活动需作披露的或有事项。</w:t>
      </w:r>
    </w:p>
    <w:p>
      <w:pPr>
        <w:spacing w:line="571" w:lineRule="auto" w:before="128"/>
        <w:ind w:left="533" w:right="4993" w:hanging="42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p>
    <w:p>
      <w:pPr>
        <w:pStyle w:val="Heading2"/>
        <w:spacing w:line="240" w:lineRule="auto" w:before="98"/>
        <w:ind w:right="0"/>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2,850,079.38</w:t>
            </w:r>
          </w:p>
        </w:tc>
      </w:tr>
      <w:tr>
        <w:trPr>
          <w:trHeight w:val="401" w:hRule="exact"/>
        </w:trPr>
        <w:tc>
          <w:tcPr>
            <w:tcW w:w="498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9"/>
        <w:rPr>
          <w:rFonts w:ascii="宋体" w:hAnsi="宋体" w:cs="宋体" w:eastAsia="宋体" w:hint="default"/>
          <w:b/>
          <w:bCs/>
          <w:sz w:val="30"/>
          <w:szCs w:val="30"/>
        </w:rPr>
      </w:pPr>
    </w:p>
    <w:p>
      <w:pPr>
        <w:pStyle w:val="BodyText"/>
        <w:spacing w:line="386" w:lineRule="auto"/>
        <w:ind w:right="1128" w:firstLine="420"/>
        <w:jc w:val="both"/>
      </w:pPr>
      <w:r>
        <w:rPr>
          <w:spacing w:val="-4"/>
        </w:rPr>
        <w:t>一、公司全资子公司香港卡奴迪路在完成对意大利</w:t>
      </w:r>
      <w:r>
        <w:rPr>
          <w:rFonts w:ascii="Times New Roman" w:hAnsi="Times New Roman" w:cs="Times New Roman" w:eastAsia="Times New Roman" w:hint="default"/>
          <w:spacing w:val="-4"/>
        </w:rPr>
        <w:t>LEVITAS</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5"/>
        </w:rPr>
        <w:t>S.P.A51%</w:t>
      </w:r>
      <w:r>
        <w:rPr>
          <w:spacing w:val="-5"/>
        </w:rPr>
        <w:t>股权的收购事项后，分别于</w:t>
      </w:r>
      <w:r>
        <w:rPr>
          <w:rFonts w:ascii="Times New Roman" w:hAnsi="Times New Roman" w:cs="Times New Roman" w:eastAsia="Times New Roman" w:hint="default"/>
          <w:spacing w:val="-5"/>
        </w:rPr>
        <w:t>2019</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日向</w:t>
      </w:r>
      <w:r>
        <w:rPr>
          <w:rFonts w:ascii="Times New Roman" w:hAnsi="Times New Roman" w:cs="Times New Roman" w:eastAsia="Times New Roman" w:hint="default"/>
        </w:rPr>
        <w:t>Sinv</w:t>
      </w:r>
      <w:r>
        <w:rPr/>
        <w:t>及</w:t>
      </w:r>
      <w:r>
        <w:rPr>
          <w:rFonts w:ascii="Times New Roman" w:hAnsi="Times New Roman" w:cs="Times New Roman" w:eastAsia="Times New Roman" w:hint="default"/>
        </w:rPr>
        <w:t>Zeis</w:t>
      </w:r>
      <w:r>
        <w:rPr/>
        <w:t>收购完成其余股份。截至本报告出具日，公司全资子公司香港卡</w:t>
      </w:r>
      <w:r>
        <w:rPr>
          <w:spacing w:val="-44"/>
        </w:rPr>
        <w:t> </w:t>
      </w:r>
      <w:r>
        <w:rPr>
          <w:spacing w:val="-44"/>
        </w:rPr>
      </w:r>
      <w:r>
        <w:rPr>
          <w:spacing w:val="-3"/>
        </w:rPr>
        <w:t>奴迪路已持有意大利</w:t>
      </w:r>
      <w:r>
        <w:rPr>
          <w:rFonts w:ascii="Times New Roman" w:hAnsi="Times New Roman" w:cs="Times New Roman" w:eastAsia="Times New Roman" w:hint="default"/>
          <w:spacing w:val="-3"/>
        </w:rPr>
        <w:t>LEVITAS  </w:t>
      </w:r>
      <w:r>
        <w:rPr>
          <w:rFonts w:ascii="Times New Roman" w:hAnsi="Times New Roman" w:cs="Times New Roman" w:eastAsia="Times New Roman" w:hint="default"/>
          <w:spacing w:val="-4"/>
        </w:rPr>
        <w:t>S.P.A100%</w:t>
      </w:r>
      <w:r>
        <w:rPr>
          <w:spacing w:val="-4"/>
        </w:rPr>
        <w:t>股权。</w:t>
      </w:r>
    </w:p>
    <w:p>
      <w:pPr>
        <w:pStyle w:val="BodyText"/>
        <w:spacing w:line="408" w:lineRule="auto" w:before="76"/>
        <w:ind w:right="1128" w:firstLine="420"/>
        <w:jc w:val="both"/>
      </w:pPr>
      <w:r>
        <w:rPr>
          <w:spacing w:val="-7"/>
          <w:w w:val="100"/>
        </w:rPr>
        <w:t>二、公司控股股东广州瑞丰集团股份有限公司（以下简称“瑞丰集团”）、公司实际控制人林永飞先生</w:t>
      </w:r>
      <w:r>
        <w:rPr>
          <w:w w:val="100"/>
        </w:rPr>
        <w:t> </w:t>
      </w:r>
      <w:r>
        <w:rPr>
          <w:spacing w:val="2"/>
        </w:rPr>
        <w:t>及其一致行动人翁武强先生持有的公司部分股票因其与方正证券股份有限公司的质押式证券回购纠纷一</w:t>
      </w:r>
    </w:p>
    <w:p>
      <w:pPr>
        <w:spacing w:after="0" w:line="408" w:lineRule="auto"/>
        <w:jc w:val="both"/>
        <w:sectPr>
          <w:pgSz w:w="11910" w:h="16840"/>
          <w:pgMar w:header="906" w:footer="1079" w:top="1100" w:bottom="1260" w:left="1020" w:right="0"/>
        </w:sectPr>
      </w:pPr>
    </w:p>
    <w:p>
      <w:pPr>
        <w:spacing w:line="240" w:lineRule="auto" w:before="9"/>
        <w:rPr>
          <w:rFonts w:ascii="宋体" w:hAnsi="宋体" w:cs="宋体" w:eastAsia="宋体" w:hint="default"/>
          <w:sz w:val="27"/>
          <w:szCs w:val="27"/>
        </w:rPr>
      </w:pPr>
    </w:p>
    <w:p>
      <w:pPr>
        <w:pStyle w:val="BodyText"/>
        <w:spacing w:line="386" w:lineRule="auto" w:before="36"/>
        <w:ind w:right="1129"/>
        <w:jc w:val="both"/>
      </w:pPr>
      <w:r>
        <w:rPr/>
        <w:t>案被湖南省高级人民法院司法冻结。司法冻结情况分别为：瑞丰集团被司法冻结</w:t>
      </w:r>
      <w:r>
        <w:rPr>
          <w:rFonts w:ascii="Times New Roman" w:hAnsi="Times New Roman" w:cs="Times New Roman" w:eastAsia="Times New Roman" w:hint="default"/>
        </w:rPr>
        <w:t>70,400,000</w:t>
      </w:r>
      <w:r>
        <w:rPr/>
        <w:t>股，占总股本</w:t>
      </w:r>
      <w:r>
        <w:rPr>
          <w:spacing w:val="-22"/>
        </w:rPr>
        <w:t> </w:t>
      </w:r>
      <w:r>
        <w:rPr>
          <w:spacing w:val="-22"/>
        </w:rPr>
      </w:r>
      <w:r>
        <w:rPr>
          <w:spacing w:val="-6"/>
          <w:w w:val="100"/>
        </w:rPr>
        <w:t>比例为</w:t>
      </w:r>
      <w:r>
        <w:rPr>
          <w:rFonts w:ascii="Times New Roman" w:hAnsi="Times New Roman" w:cs="Times New Roman" w:eastAsia="Times New Roman" w:hint="default"/>
          <w:spacing w:val="-6"/>
          <w:w w:val="100"/>
        </w:rPr>
        <w:t>9.88%</w:t>
      </w:r>
      <w:r>
        <w:rPr>
          <w:spacing w:val="-6"/>
          <w:w w:val="100"/>
        </w:rPr>
        <w:t>；林永飞被司法冻结股份为</w:t>
      </w:r>
      <w:r>
        <w:rPr>
          <w:rFonts w:ascii="Times New Roman" w:hAnsi="Times New Roman" w:cs="Times New Roman" w:eastAsia="Times New Roman" w:hint="default"/>
          <w:spacing w:val="-6"/>
          <w:w w:val="100"/>
        </w:rPr>
        <w:t>47,589,603</w:t>
      </w:r>
      <w:r>
        <w:rPr>
          <w:spacing w:val="-6"/>
          <w:w w:val="100"/>
        </w:rPr>
        <w:t>股，占总股本比例为</w:t>
      </w:r>
      <w:r>
        <w:rPr>
          <w:rFonts w:ascii="Times New Roman" w:hAnsi="Times New Roman" w:cs="Times New Roman" w:eastAsia="Times New Roman" w:hint="default"/>
          <w:spacing w:val="-6"/>
          <w:w w:val="100"/>
        </w:rPr>
        <w:t>6.68%</w:t>
      </w:r>
      <w:r>
        <w:rPr>
          <w:spacing w:val="-6"/>
          <w:w w:val="100"/>
        </w:rPr>
        <w:t>；翁武强被司法冻结</w:t>
      </w:r>
      <w:r>
        <w:rPr>
          <w:rFonts w:ascii="Times New Roman" w:hAnsi="Times New Roman" w:cs="Times New Roman" w:eastAsia="Times New Roman" w:hint="default"/>
          <w:spacing w:val="-6"/>
          <w:w w:val="100"/>
        </w:rPr>
        <w:t>17,600,000</w:t>
      </w:r>
      <w:r>
        <w:rPr>
          <w:rFonts w:ascii="Times New Roman" w:hAnsi="Times New Roman" w:cs="Times New Roman" w:eastAsia="Times New Roman" w:hint="default"/>
          <w:spacing w:val="-14"/>
          <w:w w:val="100"/>
        </w:rPr>
        <w:t> </w:t>
      </w:r>
      <w:r>
        <w:rPr>
          <w:rFonts w:ascii="Times New Roman" w:hAnsi="Times New Roman" w:cs="Times New Roman" w:eastAsia="Times New Roman" w:hint="default"/>
          <w:spacing w:val="-14"/>
          <w:w w:val="100"/>
        </w:rPr>
      </w:r>
      <w:r>
        <w:rPr/>
        <w:t>股，占总股本比例为</w:t>
      </w:r>
      <w:r>
        <w:rPr>
          <w:rFonts w:ascii="Times New Roman" w:hAnsi="Times New Roman" w:cs="Times New Roman" w:eastAsia="Times New Roman" w:hint="default"/>
        </w:rPr>
        <w:t>2.47%</w:t>
      </w:r>
      <w:r>
        <w:rPr/>
        <w:t>。具体公告可见《关于公司控股股东、实际控制人及其一致行动人持有公司股</w:t>
      </w:r>
      <w:r>
        <w:rPr>
          <w:spacing w:val="-41"/>
        </w:rPr>
        <w:t> </w:t>
      </w:r>
      <w:r>
        <w:rPr>
          <w:spacing w:val="-41"/>
        </w:rPr>
      </w:r>
      <w:r>
        <w:rPr>
          <w:spacing w:val="-15"/>
          <w:w w:val="100"/>
        </w:rPr>
        <w:t>份被冻结的公告》（公告编号：</w:t>
      </w:r>
      <w:r>
        <w:rPr>
          <w:rFonts w:ascii="Times New Roman" w:hAnsi="Times New Roman" w:cs="Times New Roman" w:eastAsia="Times New Roman" w:hint="default"/>
          <w:spacing w:val="-15"/>
          <w:w w:val="100"/>
        </w:rPr>
        <w:t>2019-005</w:t>
      </w:r>
      <w:r>
        <w:rPr>
          <w:spacing w:val="-15"/>
          <w:w w:val="100"/>
        </w:rPr>
        <w:t>）。</w:t>
      </w:r>
      <w:r>
        <w:rPr>
          <w:w w:val="100"/>
        </w:rPr>
      </w:r>
    </w:p>
    <w:p>
      <w:pPr>
        <w:pStyle w:val="BodyText"/>
        <w:spacing w:line="398" w:lineRule="auto" w:before="76"/>
        <w:ind w:right="1126" w:firstLine="420"/>
        <w:jc w:val="both"/>
      </w:pPr>
      <w:r>
        <w:rPr>
          <w:spacing w:val="-2"/>
        </w:rPr>
        <w:t>三、公司收到李斐先生、徐响玲女士提交的书面辞职报告。李斐先生因个人原因辞去公司董事、副总</w:t>
      </w:r>
      <w:r>
        <w:rPr>
          <w:w w:val="100"/>
        </w:rPr>
        <w:t> </w:t>
      </w:r>
      <w:r>
        <w:rPr>
          <w:spacing w:val="-2"/>
        </w:rPr>
        <w:t>经理、财务总监及董事会秘书的职务，徐响玲女士因个人原因辞去公司董事及审计委员会委员的职务。公</w:t>
      </w:r>
      <w:r>
        <w:rPr>
          <w:spacing w:val="-43"/>
        </w:rPr>
        <w:t> </w:t>
      </w:r>
      <w:r>
        <w:rPr>
          <w:spacing w:val="-43"/>
        </w:rPr>
      </w:r>
      <w:r>
        <w:rPr/>
        <w:t>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日召开的第四届董事会第九次会议审议通过《关于聘任公司副总经理的议案》及《关</w:t>
      </w:r>
      <w:r>
        <w:rPr>
          <w:spacing w:val="-30"/>
        </w:rPr>
        <w:t> </w:t>
      </w:r>
      <w:r>
        <w:rPr>
          <w:spacing w:val="-30"/>
        </w:rPr>
      </w:r>
      <w:r>
        <w:rPr>
          <w:spacing w:val="-2"/>
          <w:w w:val="100"/>
        </w:rPr>
        <w:t>于聘任公司财务总监的议案》，公司董事会同意聘任胡圣先生担任公司副总经理、刘文焱女士担任公司财</w:t>
      </w:r>
      <w:r>
        <w:rPr>
          <w:spacing w:val="-90"/>
          <w:w w:val="100"/>
        </w:rPr>
        <w:t> </w:t>
      </w:r>
      <w:r>
        <w:rPr>
          <w:spacing w:val="-90"/>
          <w:w w:val="100"/>
        </w:rPr>
      </w:r>
      <w:r>
        <w:rPr/>
        <w:t>务总监，任期自公司董事会审议通过之日至公司第四届董事会届满之日止。此外，公司于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r>
        <w:rPr>
          <w:spacing w:val="-24"/>
        </w:rPr>
        <w:t> </w:t>
      </w:r>
      <w:r>
        <w:rPr>
          <w:spacing w:val="-2"/>
          <w:w w:val="100"/>
        </w:rPr>
        <w:t>召开的</w:t>
      </w:r>
      <w:r>
        <w:rPr>
          <w:rFonts w:ascii="Times New Roman" w:hAnsi="Times New Roman" w:cs="Times New Roman" w:eastAsia="Times New Roman" w:hint="default"/>
          <w:spacing w:val="-2"/>
          <w:w w:val="100"/>
        </w:rPr>
        <w:t>2019</w:t>
      </w:r>
      <w:r>
        <w:rPr>
          <w:spacing w:val="-2"/>
          <w:w w:val="100"/>
        </w:rPr>
        <w:t>年第一次临时股东大会审议通过《关于补选第四届董事会非独立董事的议案》，同意补选胡圣</w:t>
      </w:r>
      <w:r>
        <w:rPr>
          <w:spacing w:val="-94"/>
          <w:w w:val="100"/>
        </w:rPr>
        <w:t> </w:t>
      </w:r>
      <w:r>
        <w:rPr>
          <w:spacing w:val="-94"/>
          <w:w w:val="100"/>
        </w:rPr>
      </w:r>
      <w:r>
        <w:rPr>
          <w:spacing w:val="-2"/>
        </w:rPr>
        <w:t>先生及刘文焱女士为公司第四届董事会非独立董事。具体公告可见《关于非独立董事、高管离职及补选相</w:t>
      </w:r>
      <w:r>
        <w:rPr>
          <w:spacing w:val="-45"/>
        </w:rPr>
        <w:t> </w:t>
      </w:r>
      <w:r>
        <w:rPr>
          <w:spacing w:val="-45"/>
        </w:rPr>
      </w:r>
      <w:r>
        <w:rPr>
          <w:spacing w:val="-17"/>
          <w:w w:val="100"/>
        </w:rPr>
        <w:t>关董事、高管的公告》（公告编号：</w:t>
      </w:r>
      <w:r>
        <w:rPr>
          <w:rFonts w:ascii="Times New Roman" w:hAnsi="Times New Roman" w:cs="Times New Roman" w:eastAsia="Times New Roman" w:hint="default"/>
          <w:spacing w:val="-17"/>
          <w:w w:val="100"/>
        </w:rPr>
        <w:t>2019-007</w:t>
      </w:r>
      <w:r>
        <w:rPr>
          <w:spacing w:val="-17"/>
          <w:w w:val="100"/>
        </w:rPr>
        <w:t>）、</w:t>
      </w:r>
      <w:r>
        <w:rPr>
          <w:rFonts w:ascii="Times New Roman" w:hAnsi="Times New Roman" w:cs="Times New Roman" w:eastAsia="Times New Roman" w:hint="default"/>
          <w:spacing w:val="-17"/>
          <w:w w:val="100"/>
        </w:rPr>
        <w:t>2019</w:t>
      </w:r>
      <w:r>
        <w:rPr>
          <w:spacing w:val="-17"/>
          <w:w w:val="100"/>
        </w:rPr>
        <w:t>年第一次临时股东大会决议公告（公告编号：</w:t>
      </w:r>
      <w:r>
        <w:rPr>
          <w:rFonts w:ascii="Times New Roman" w:hAnsi="Times New Roman" w:cs="Times New Roman" w:eastAsia="Times New Roman" w:hint="default"/>
          <w:spacing w:val="-17"/>
          <w:w w:val="100"/>
        </w:rPr>
        <w:t>2019-012</w:t>
      </w:r>
      <w:r>
        <w:rPr>
          <w:spacing w:val="-17"/>
          <w:w w:val="100"/>
        </w:rPr>
        <w:t>）。</w:t>
      </w:r>
      <w:r>
        <w:rPr>
          <w:w w:val="100"/>
        </w:rPr>
      </w:r>
    </w:p>
    <w:p>
      <w:pPr>
        <w:pStyle w:val="BodyText"/>
        <w:spacing w:line="393" w:lineRule="auto" w:before="62"/>
        <w:ind w:right="1018" w:firstLine="420"/>
        <w:jc w:val="left"/>
      </w:pPr>
      <w:r>
        <w:rPr>
          <w:spacing w:val="-7"/>
          <w:w w:val="100"/>
        </w:rPr>
        <w:t>四、公司控股股东广州瑞丰集团股份有限公司（以下简称“瑞丰集团”）、公司实际控制人林永飞先生</w:t>
      </w:r>
      <w:r>
        <w:rPr>
          <w:w w:val="100"/>
        </w:rPr>
        <w:t> </w:t>
      </w:r>
      <w:r>
        <w:rPr/>
        <w:t>持有的公司部分股票被上海金融法院予以司法冻结。司法冻结情况为：瑞丰集团被司法冻结</w:t>
      </w:r>
      <w:r>
        <w:rPr>
          <w:rFonts w:ascii="Times New Roman" w:hAnsi="Times New Roman" w:cs="Times New Roman" w:eastAsia="Times New Roman" w:hint="default"/>
        </w:rPr>
        <w:t>6,780,351</w:t>
      </w:r>
      <w:r>
        <w:rPr/>
        <w:t>股，</w:t>
      </w:r>
      <w:r>
        <w:rPr>
          <w:spacing w:val="-17"/>
        </w:rPr>
        <w:t> </w:t>
      </w:r>
      <w:r>
        <w:rPr/>
        <w:t>占总股本比例为</w:t>
      </w:r>
      <w:r>
        <w:rPr>
          <w:rFonts w:ascii="Times New Roman" w:hAnsi="Times New Roman" w:cs="Times New Roman" w:eastAsia="Times New Roman" w:hint="default"/>
        </w:rPr>
        <w:t>0.95%</w:t>
      </w:r>
      <w:r>
        <w:rPr/>
        <w:t>；林永飞先生被司法冻结</w:t>
      </w:r>
      <w:r>
        <w:rPr>
          <w:rFonts w:ascii="Times New Roman" w:hAnsi="Times New Roman" w:cs="Times New Roman" w:eastAsia="Times New Roman" w:hint="default"/>
        </w:rPr>
        <w:t>12,000,000</w:t>
      </w:r>
      <w:r>
        <w:rPr/>
        <w:t>股，占总股本比例为</w:t>
      </w:r>
      <w:r>
        <w:rPr>
          <w:rFonts w:ascii="Times New Roman" w:hAnsi="Times New Roman" w:cs="Times New Roman" w:eastAsia="Times New Roman" w:hint="default"/>
        </w:rPr>
        <w:t>1.68%</w:t>
      </w:r>
      <w:r>
        <w:rPr/>
        <w:t>。具体公告可见《关</w:t>
      </w:r>
      <w:r>
        <w:rPr>
          <w:spacing w:val="-58"/>
        </w:rPr>
        <w:t> </w:t>
      </w:r>
      <w:r>
        <w:rPr>
          <w:spacing w:val="-4"/>
          <w:w w:val="100"/>
        </w:rPr>
        <w:t>于公司控股股东、实际控制人及其一致行动人持有公司股份被冻结的公告》（公告编号：</w:t>
      </w:r>
      <w:r>
        <w:rPr>
          <w:rFonts w:ascii="Times New Roman" w:hAnsi="Times New Roman" w:cs="Times New Roman" w:eastAsia="Times New Roman" w:hint="default"/>
          <w:spacing w:val="-4"/>
          <w:w w:val="100"/>
        </w:rPr>
        <w:t>2019-005</w:t>
      </w:r>
      <w:r>
        <w:rPr>
          <w:spacing w:val="-4"/>
          <w:w w:val="100"/>
        </w:rPr>
        <w:t>）</w:t>
      </w:r>
    </w:p>
    <w:p>
      <w:pPr>
        <w:spacing w:line="240" w:lineRule="auto" w:before="4"/>
        <w:rPr>
          <w:rFonts w:ascii="宋体" w:hAnsi="宋体" w:cs="宋体" w:eastAsia="宋体" w:hint="default"/>
          <w:sz w:val="17"/>
          <w:szCs w:val="17"/>
        </w:rPr>
      </w:pPr>
    </w:p>
    <w:p>
      <w:pPr>
        <w:pStyle w:val="Heading2"/>
        <w:spacing w:line="240" w:lineRule="auto"/>
        <w:ind w:right="0"/>
        <w:jc w:val="both"/>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4" w:lineRule="auto" w:before="49"/>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3"/>
        <w:gridCol w:w="3060"/>
        <w:gridCol w:w="3186"/>
      </w:tblGrid>
      <w:tr>
        <w:trPr>
          <w:trHeight w:val="401" w:hRule="exact"/>
        </w:trPr>
        <w:tc>
          <w:tcPr>
            <w:tcW w:w="33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b/>
          <w:bCs/>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6" w:hRule="exact"/>
        </w:trPr>
        <w:tc>
          <w:tcPr>
            <w:tcW w:w="1367"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6" w:lineRule="auto" w:before="49"/>
              <w:ind w:left="141" w:right="135"/>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spacing w:before="5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spacing w:line="506" w:lineRule="auto" w:before="0"/>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z w:val="21"/>
          <w:szCs w:val="21"/>
        </w:rPr>
        <w:t>报告分部按境内服装销售、境外服装销售、互联网服务确定，报告分部均执行公司的统一会计政策。</w:t>
      </w:r>
    </w:p>
    <w:p>
      <w:pPr>
        <w:pStyle w:val="Heading4"/>
        <w:spacing w:line="240" w:lineRule="auto" w:before="104"/>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59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境外销售</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733,372,630.80</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569,431,702.08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374,908,181.89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126,827,084.09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1,550,885,430.68</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357,177,829.71</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396,255,076.67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281,752,957.28</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125,707,818.66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909,478,045.00</w:t>
            </w:r>
          </w:p>
        </w:tc>
      </w:tr>
      <w:tr>
        <w:trPr>
          <w:trHeight w:val="403"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4,056,893,335.48</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763,430,369.41</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218,525,136.09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1,724,807,458.06</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3,314,041,382.92</w:t>
            </w:r>
          </w:p>
        </w:tc>
      </w:tr>
      <w:tr>
        <w:trPr>
          <w:trHeight w:val="401" w:hRule="exact"/>
        </w:trPr>
        <w:tc>
          <w:tcPr>
            <w:tcW w:w="15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1,445,321,711.22</w:t>
            </w:r>
          </w:p>
        </w:tc>
        <w:tc>
          <w:tcPr>
            <w:tcW w:w="159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776,593,781.31</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74,341,419.49</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1,429,733,104.87</w:t>
            </w:r>
          </w:p>
        </w:tc>
        <w:tc>
          <w:tcPr>
            <w:tcW w:w="159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866,523,807.15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 w:right="68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7,734,448.38</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155,995,666.34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136,790,184.26</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163,730,114.72</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136,790,184.26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7,734,448.38</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7,734,448.38</w:t>
            </w:r>
          </w:p>
        </w:tc>
        <w:tc>
          <w:tcPr>
            <w:tcW w:w="3191" w:type="dxa"/>
            <w:tcBorders>
              <w:top w:val="single" w:sz="4" w:space="0" w:color="933734"/>
              <w:left w:val="single" w:sz="4" w:space="0" w:color="933734"/>
              <w:bottom w:val="single" w:sz="4" w:space="0" w:color="933734"/>
              <w:right w:val="single" w:sz="4" w:space="0" w:color="933734"/>
            </w:tcBorders>
          </w:tcPr>
          <w:p>
            <w:pPr/>
          </w:p>
        </w:tc>
      </w:tr>
    </w:tbl>
    <w:p>
      <w:pPr>
        <w:spacing w:before="4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3191"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3191"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933734"/>
              <w:right w:val="single" w:sz="4" w:space="0" w:color="933734"/>
            </w:tcBorders>
            <w:shd w:val="clear" w:color="auto" w:fill="E4B8B7"/>
          </w:tcPr>
          <w:p>
            <w:pPr/>
          </w:p>
        </w:tc>
        <w:tc>
          <w:tcPr>
            <w:tcW w:w="1525"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99" w:right="115"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4" w:type="dxa"/>
            <w:vMerge/>
            <w:tcBorders>
              <w:left w:val="single" w:sz="4" w:space="0" w:color="933734"/>
              <w:bottom w:val="single" w:sz="4" w:space="0" w:color="933734"/>
              <w:right w:val="single" w:sz="4" w:space="0" w:color="933734"/>
            </w:tcBorders>
            <w:shd w:val="clear" w:color="auto" w:fill="E4B8B7"/>
          </w:tcPr>
          <w:p>
            <w:pPr/>
          </w:p>
        </w:tc>
        <w:tc>
          <w:tcPr>
            <w:tcW w:w="7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933734"/>
              <w:bottom w:val="single" w:sz="4" w:space="0" w:color="933734"/>
              <w:right w:val="single" w:sz="4" w:space="0" w:color="933734"/>
            </w:tcBorders>
            <w:shd w:val="clear" w:color="auto" w:fill="E4B8B7"/>
          </w:tcPr>
          <w:p>
            <w:pPr/>
          </w:p>
        </w:tc>
        <w:tc>
          <w:tcPr>
            <w:tcW w:w="6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71"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933734"/>
              <w:bottom w:val="single" w:sz="4" w:space="0" w:color="933734"/>
              <w:right w:val="single" w:sz="4" w:space="0" w:color="933734"/>
            </w:tcBorders>
            <w:shd w:val="clear" w:color="auto" w:fill="E4B8B7"/>
          </w:tcPr>
          <w:p>
            <w:pPr/>
          </w:p>
        </w:tc>
      </w:tr>
      <w:tr>
        <w:trPr>
          <w:trHeight w:val="1027"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177,94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3,563.6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21,947,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897.33</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12.33</w:t>
            </w:r>
          </w:p>
          <w:p>
            <w:pPr>
              <w:pStyle w:val="TableParagraph"/>
              <w:spacing w:line="240" w:lineRule="auto" w:before="102"/>
              <w:ind w:left="5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155,99</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5,666.3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153,8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04,21</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3.48</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17,014,</w:t>
            </w:r>
          </w:p>
          <w:p>
            <w:pPr>
              <w:pStyle w:val="TableParagraph"/>
              <w:spacing w:line="240" w:lineRule="auto" w:before="102"/>
              <w:ind w:left="208" w:right="0"/>
              <w:jc w:val="left"/>
              <w:rPr>
                <w:rFonts w:ascii="Times New Roman" w:hAnsi="Times New Roman" w:cs="Times New Roman" w:eastAsia="Times New Roman" w:hint="default"/>
                <w:sz w:val="18"/>
                <w:szCs w:val="18"/>
              </w:rPr>
            </w:pPr>
            <w:r>
              <w:rPr>
                <w:rFonts w:ascii="Times New Roman"/>
                <w:sz w:val="18"/>
              </w:rPr>
              <w:t>029.22</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11.06%</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136,790,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184.26</w:t>
            </w:r>
          </w:p>
        </w:tc>
      </w:tr>
      <w:tr>
        <w:trPr>
          <w:trHeight w:val="1028"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3,563.6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21,947,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897.33</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12.33</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155,99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5,666.3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153,8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04,21</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3.48</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17,014,</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029.22</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11.06%</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136,790,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184.26</w:t>
            </w:r>
          </w:p>
        </w:tc>
      </w:tr>
    </w:tbl>
    <w:p>
      <w:pPr>
        <w:spacing w:line="240" w:lineRule="auto" w:before="5"/>
        <w:rPr>
          <w:rFonts w:ascii="宋体" w:hAnsi="宋体" w:cs="宋体" w:eastAsia="宋体" w:hint="default"/>
          <w:sz w:val="6"/>
          <w:szCs w:val="6"/>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期末单项金额重大并单项计提坏账准备的应收账款：</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line="439" w:lineRule="auto" w:before="0"/>
        <w:ind w:left="113" w:right="677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组合中，按账龄分析法计提坏账准备的应收账款：</w:t>
      </w:r>
      <w:r>
        <w:rPr>
          <w:rFonts w:ascii="宋体" w:hAnsi="宋体" w:cs="宋体" w:eastAsia="宋体" w:hint="default"/>
          <w:sz w:val="18"/>
          <w:szCs w:val="18"/>
        </w:rPr>
      </w:r>
    </w:p>
    <w:p>
      <w:pPr>
        <w:spacing w:before="42"/>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494" w:type="dxa"/>
            <w:vMerge/>
            <w:tcBorders>
              <w:left w:val="single" w:sz="4" w:space="0" w:color="933734"/>
              <w:bottom w:val="single" w:sz="4" w:space="0" w:color="933734"/>
              <w:right w:val="single" w:sz="4" w:space="0" w:color="933734"/>
            </w:tcBorders>
            <w:shd w:val="clear" w:color="auto" w:fill="E4B8B7"/>
          </w:tcPr>
          <w:p>
            <w:pPr/>
          </w:p>
        </w:tc>
        <w:tc>
          <w:tcPr>
            <w:tcW w:w="2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112,596,967.86</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5,629,848.39</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4,196,862.32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419,686.23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5,180,991.49</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2,590,495.75</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13,307,866.96</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13,307,866.96</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135,282,688.63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21,947,897.33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16.22%</w:t>
            </w:r>
          </w:p>
        </w:tc>
      </w:tr>
    </w:tbl>
    <w:p>
      <w:pPr>
        <w:spacing w:line="436" w:lineRule="auto" w:before="49"/>
        <w:ind w:left="113" w:right="641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b/>
          <w:bCs/>
          <w:sz w:val="18"/>
          <w:szCs w:val="18"/>
        </w:rPr>
        <w:t>组合中，采用余额百分比法计提坏账准备的应收账款：</w:t>
      </w:r>
      <w:r>
        <w:rPr>
          <w:rFonts w:ascii="宋体" w:hAnsi="宋体" w:cs="宋体" w:eastAsia="宋体" w:hint="default"/>
          <w:sz w:val="18"/>
          <w:szCs w:val="18"/>
        </w:rPr>
      </w:r>
    </w:p>
    <w:p>
      <w:pPr>
        <w:spacing w:line="405" w:lineRule="auto" w:before="47"/>
        <w:ind w:left="113" w:right="499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21"/>
          <w:szCs w:val="21"/>
        </w:rPr>
        <w:t>组合中，采用其他方法计提坏账准备的应收账款：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22"/>
        <w:ind w:right="0"/>
        <w:jc w:val="left"/>
      </w:pPr>
      <w:r>
        <w:rPr/>
        <w:t>本期计提坏账准备金额</w:t>
      </w:r>
      <w:r>
        <w:rPr>
          <w:spacing w:val="-57"/>
        </w:rPr>
        <w:t> </w:t>
      </w:r>
      <w:r>
        <w:rPr>
          <w:rFonts w:ascii="Times New Roman" w:hAnsi="Times New Roman" w:cs="Times New Roman" w:eastAsia="Times New Roman" w:hint="default"/>
        </w:rPr>
        <w:t>4,933,868.11</w:t>
      </w:r>
      <w:r>
        <w:rPr>
          <w:rFonts w:ascii="Times New Roman" w:hAnsi="Times New Roman" w:cs="Times New Roman" w:eastAsia="Times New Roman" w:hint="default"/>
          <w:spacing w:val="-5"/>
        </w:rPr>
        <w:t> </w:t>
      </w:r>
      <w:r>
        <w:rPr/>
        <w:t>元；本期收回或转回坏账准备金额</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r>
        <w:rPr/>
      </w:r>
    </w:p>
    <w:p>
      <w:pPr>
        <w:spacing w:line="240" w:lineRule="auto" w:before="10"/>
        <w:rPr>
          <w:rFonts w:ascii="宋体" w:hAnsi="宋体" w:cs="宋体" w:eastAsia="宋体" w:hint="default"/>
          <w:sz w:val="8"/>
          <w:szCs w:val="8"/>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2"/>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5" w:hRule="exact"/>
        </w:trPr>
        <w:tc>
          <w:tcPr>
            <w:tcW w:w="1684"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6"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line="405" w:lineRule="auto" w:before="49"/>
        <w:ind w:left="113" w:right="6823"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宋体" w:hAnsi="宋体" w:cs="宋体" w:eastAsia="宋体" w:hint="default"/>
          <w:sz w:val="21"/>
          <w:szCs w:val="21"/>
        </w:rPr>
        <w:t>公司报告期无实际核销的应收账款情况。</w:t>
      </w:r>
      <w:r>
        <w:rPr>
          <w:rFonts w:ascii="宋体" w:hAnsi="宋体" w:cs="宋体" w:eastAsia="宋体" w:hint="default"/>
          <w:w w:val="100"/>
          <w:sz w:val="21"/>
          <w:szCs w:val="21"/>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40" w:lineRule="auto" w:before="22"/>
        <w:ind w:left="0" w:right="1128"/>
        <w:jc w:val="right"/>
      </w:pPr>
      <w:r>
        <w:rPr>
          <w:spacing w:val="-1"/>
        </w:rPr>
        <w:t>公司报告期末，应收账款余额前五名的客户应收金额合计</w:t>
      </w:r>
      <w:r>
        <w:rPr>
          <w:rFonts w:ascii="Times New Roman" w:hAnsi="Times New Roman" w:cs="Times New Roman" w:eastAsia="Times New Roman" w:hint="default"/>
          <w:spacing w:val="-1"/>
        </w:rPr>
        <w:t>74,651,202.91</w:t>
      </w:r>
      <w:r>
        <w:rPr>
          <w:spacing w:val="-1"/>
        </w:rPr>
        <w:t>元，占应收账款总额的比例为</w:t>
      </w:r>
    </w:p>
    <w:p>
      <w:pPr>
        <w:pStyle w:val="BodyText"/>
        <w:spacing w:line="240" w:lineRule="auto" w:before="177"/>
        <w:ind w:right="0"/>
        <w:jc w:val="left"/>
      </w:pPr>
      <w:r>
        <w:rPr>
          <w:rFonts w:ascii="Times New Roman" w:hAnsi="Times New Roman" w:cs="Times New Roman" w:eastAsia="Times New Roman" w:hint="default"/>
        </w:rPr>
        <w:t>41.95%</w:t>
      </w:r>
      <w:r>
        <w:rPr/>
        <w:t>，相应计提的坏账准备年末余额汇总金额为</w:t>
      </w:r>
      <w:r>
        <w:rPr>
          <w:rFonts w:ascii="Times New Roman" w:hAnsi="Times New Roman" w:cs="Times New Roman" w:eastAsia="Times New Roman" w:hint="default"/>
        </w:rPr>
        <w:t>1,821,613.37</w:t>
      </w:r>
      <w:r>
        <w:rPr/>
        <w:t>元。</w:t>
      </w:r>
    </w:p>
    <w:p>
      <w:pPr>
        <w:spacing w:before="15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3"/>
        <w:ind w:left="113" w:right="68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2,280,000.00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40,191.78</w:t>
            </w:r>
          </w:p>
        </w:tc>
      </w:tr>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1,069,146,086.44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1,031,683,750.22</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1,071,426,086.44</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1,031,723,942.00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2,280,000.00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40,191.78</w:t>
            </w:r>
          </w:p>
        </w:tc>
      </w:tr>
      <w:tr>
        <w:trPr>
          <w:trHeight w:val="403" w:hRule="exact"/>
        </w:trPr>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2,280,000.00</w:t>
            </w:r>
          </w:p>
        </w:tc>
        <w:tc>
          <w:tcPr>
            <w:tcW w:w="31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40,191.78</w:t>
            </w:r>
          </w:p>
        </w:tc>
      </w:tr>
    </w:tbl>
    <w:p>
      <w:pPr>
        <w:spacing w:before="4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49"/>
              <w:ind w:left="681" w:right="142"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8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314" w:lineRule="auto" w:before="49"/>
              <w:ind w:left="681" w:right="142"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933734"/>
              <w:right w:val="single" w:sz="4" w:space="0" w:color="933734"/>
            </w:tcBorders>
            <w:shd w:val="clear" w:color="auto" w:fill="E4B8B7"/>
          </w:tcPr>
          <w:p>
            <w:pPr/>
          </w:p>
        </w:tc>
        <w:tc>
          <w:tcPr>
            <w:tcW w:w="1525"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99" w:right="115"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4" w:type="dxa"/>
            <w:vMerge/>
            <w:tcBorders>
              <w:left w:val="single" w:sz="4" w:space="0" w:color="933734"/>
              <w:bottom w:val="single" w:sz="4" w:space="0" w:color="933734"/>
              <w:right w:val="single" w:sz="4" w:space="0" w:color="933734"/>
            </w:tcBorders>
            <w:shd w:val="clear" w:color="auto" w:fill="E4B8B7"/>
          </w:tcPr>
          <w:p>
            <w:pPr/>
          </w:p>
        </w:tc>
        <w:tc>
          <w:tcPr>
            <w:tcW w:w="7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933734"/>
              <w:bottom w:val="single" w:sz="4" w:space="0" w:color="933734"/>
              <w:right w:val="single" w:sz="4" w:space="0" w:color="933734"/>
            </w:tcBorders>
            <w:shd w:val="clear" w:color="auto" w:fill="E4B8B7"/>
          </w:tcPr>
          <w:p>
            <w:pPr/>
          </w:p>
        </w:tc>
        <w:tc>
          <w:tcPr>
            <w:tcW w:w="65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371"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933734"/>
              <w:bottom w:val="single" w:sz="4" w:space="0" w:color="933734"/>
              <w:right w:val="single" w:sz="4" w:space="0" w:color="933734"/>
            </w:tcBorders>
            <w:shd w:val="clear" w:color="auto" w:fill="E4B8B7"/>
          </w:tcPr>
          <w:p>
            <w:pPr/>
          </w:p>
        </w:tc>
      </w:tr>
      <w:tr>
        <w:trPr>
          <w:trHeight w:val="1340"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3"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1,072,1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91</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2,969,0</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14.47</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0.28%</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1,069,1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46,086.</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44</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1,034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99.89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2,728,1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19.46</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0.26%</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1,031,68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3,750.22</w:t>
            </w:r>
          </w:p>
        </w:tc>
      </w:tr>
      <w:tr>
        <w:trPr>
          <w:trHeight w:val="1337"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25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4" w:type="dxa"/>
            <w:tcBorders>
              <w:top w:val="single" w:sz="4" w:space="0" w:color="933734"/>
              <w:left w:val="single" w:sz="4" w:space="0" w:color="933734"/>
              <w:bottom w:val="single" w:sz="4" w:space="0" w:color="933734"/>
              <w:right w:val="single" w:sz="4" w:space="0" w:color="933734"/>
            </w:tcBorders>
          </w:tcPr>
          <w:p>
            <w:pPr/>
          </w:p>
        </w:tc>
        <w:tc>
          <w:tcPr>
            <w:tcW w:w="761" w:type="dxa"/>
            <w:tcBorders>
              <w:top w:val="single" w:sz="4" w:space="0" w:color="933734"/>
              <w:left w:val="single" w:sz="4" w:space="0" w:color="933734"/>
              <w:bottom w:val="single" w:sz="4" w:space="0" w:color="933734"/>
              <w:right w:val="single" w:sz="4" w:space="0" w:color="933734"/>
            </w:tcBorders>
          </w:tcPr>
          <w:p>
            <w:pPr/>
          </w:p>
        </w:tc>
        <w:tc>
          <w:tcPr>
            <w:tcW w:w="763" w:type="dxa"/>
            <w:tcBorders>
              <w:top w:val="single" w:sz="4" w:space="0" w:color="933734"/>
              <w:left w:val="single" w:sz="4" w:space="0" w:color="933734"/>
              <w:bottom w:val="single" w:sz="4" w:space="0" w:color="933734"/>
              <w:right w:val="single" w:sz="4" w:space="0" w:color="933734"/>
            </w:tcBorders>
          </w:tcPr>
          <w:p>
            <w:pPr/>
          </w:p>
        </w:tc>
        <w:tc>
          <w:tcPr>
            <w:tcW w:w="764" w:type="dxa"/>
            <w:tcBorders>
              <w:top w:val="single" w:sz="4" w:space="0" w:color="933734"/>
              <w:left w:val="single" w:sz="4" w:space="0" w:color="933734"/>
              <w:bottom w:val="single" w:sz="4" w:space="0" w:color="933734"/>
              <w:right w:val="single" w:sz="4" w:space="0" w:color="933734"/>
            </w:tcBorders>
          </w:tcPr>
          <w:p>
            <w:pPr/>
          </w:p>
        </w:tc>
        <w:tc>
          <w:tcPr>
            <w:tcW w:w="787" w:type="dxa"/>
            <w:tcBorders>
              <w:top w:val="single" w:sz="4" w:space="0" w:color="933734"/>
              <w:left w:val="single" w:sz="4" w:space="0" w:color="933734"/>
              <w:bottom w:val="single" w:sz="4" w:space="0" w:color="933734"/>
              <w:right w:val="single" w:sz="4" w:space="0" w:color="933734"/>
            </w:tcBorders>
          </w:tcPr>
          <w:p>
            <w:pP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1,108</w:t>
            </w:r>
          </w:p>
          <w:p>
            <w:pPr>
              <w:pStyle w:val="TableParagraph"/>
              <w:spacing w:line="240" w:lineRule="auto" w:before="105"/>
              <w:ind w:left="80" w:right="0"/>
              <w:jc w:val="center"/>
              <w:rPr>
                <w:rFonts w:ascii="Times New Roman" w:hAnsi="Times New Roman" w:cs="Times New Roman" w:eastAsia="Times New Roman" w:hint="default"/>
                <w:sz w:val="18"/>
                <w:szCs w:val="18"/>
              </w:rPr>
            </w:pPr>
            <w:r>
              <w:rPr>
                <w:rFonts w:ascii="Times New Roman"/>
                <w:sz w:val="18"/>
              </w:rPr>
              <w:t>,423.</w:t>
            </w:r>
          </w:p>
          <w:p>
            <w:pPr>
              <w:pStyle w:val="TableParagraph"/>
              <w:spacing w:line="240" w:lineRule="auto" w:before="105"/>
              <w:ind w:left="261" w:right="0"/>
              <w:jc w:val="center"/>
              <w:rPr>
                <w:rFonts w:ascii="Times New Roman" w:hAnsi="Times New Roman" w:cs="Times New Roman" w:eastAsia="Times New Roman" w:hint="default"/>
                <w:sz w:val="18"/>
                <w:szCs w:val="18"/>
              </w:rPr>
            </w:pPr>
            <w:r>
              <w:rPr>
                <w:rFonts w:ascii="Times New Roman"/>
                <w:sz w:val="18"/>
              </w:rPr>
              <w:t>68</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0.11%</w:t>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1,108,4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23.68</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933734"/>
              <w:left w:val="single" w:sz="4" w:space="0" w:color="933734"/>
              <w:bottom w:val="single" w:sz="4" w:space="0" w:color="933734"/>
              <w:right w:val="single" w:sz="4" w:space="0" w:color="933734"/>
            </w:tcBorders>
          </w:tcPr>
          <w:p>
            <w:pPr/>
          </w:p>
        </w:tc>
      </w:tr>
      <w:tr>
        <w:trPr>
          <w:trHeight w:val="1339" w:hRule="exact"/>
        </w:trPr>
        <w:tc>
          <w:tcPr>
            <w:tcW w:w="16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1,072,1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91</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2,969,0</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14.47</w:t>
            </w:r>
          </w:p>
        </w:tc>
        <w:tc>
          <w:tcPr>
            <w:tcW w:w="76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0.28%</w:t>
            </w:r>
          </w:p>
        </w:tc>
        <w:tc>
          <w:tcPr>
            <w:tcW w:w="7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1,069,1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46,086.</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44</w:t>
            </w:r>
          </w:p>
        </w:tc>
        <w:tc>
          <w:tcPr>
            <w:tcW w:w="65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,520,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293.3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6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3,836,5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43.14</w:t>
            </w:r>
          </w:p>
        </w:tc>
        <w:tc>
          <w:tcPr>
            <w:tcW w:w="934"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0.37%</w:t>
            </w:r>
          </w:p>
        </w:tc>
        <w:tc>
          <w:tcPr>
            <w:tcW w:w="93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1,031,68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3,750.22</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79" w:top="1100" w:bottom="1260" w:left="1020" w:right="0"/>
        </w:sectPr>
      </w:pPr>
    </w:p>
    <w:p>
      <w:pPr>
        <w:spacing w:before="49"/>
        <w:ind w:left="11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5"/>
        <w:ind w:left="113"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组合中，按账龄分析法计提坏账准备的其他应收款：</w:t>
      </w:r>
    </w:p>
    <w:p>
      <w:pPr>
        <w:spacing w:before="27"/>
        <w:ind w:left="113"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80" w:bottom="280" w:left="1020" w:right="0"/>
          <w:cols w:num="2" w:equalWidth="0">
            <w:col w:w="4434" w:space="4487"/>
            <w:col w:w="1969"/>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933734"/>
              <w:bottom w:val="single" w:sz="4" w:space="0" w:color="933734"/>
              <w:right w:val="single" w:sz="4" w:space="0" w:color="933734"/>
            </w:tcBorders>
            <w:shd w:val="clear" w:color="auto" w:fill="E4B8B7"/>
          </w:tcPr>
          <w:p>
            <w:pPr/>
          </w:p>
        </w:tc>
        <w:tc>
          <w:tcPr>
            <w:tcW w:w="229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380" w:bottom="28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10,927,039.43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546,351.97</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76,850.06</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7,685.01</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126,251.32</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63,125.66</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2,351,851.83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2,351,851.83</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13,481,992.64</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2,969,014.47</w:t>
            </w:r>
          </w:p>
        </w:tc>
        <w:tc>
          <w:tcPr>
            <w:tcW w:w="239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22.02%</w:t>
            </w:r>
          </w:p>
        </w:tc>
      </w:tr>
    </w:tbl>
    <w:p>
      <w:pPr>
        <w:spacing w:line="436" w:lineRule="auto" w:before="49"/>
        <w:ind w:left="113" w:right="6235"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b/>
          <w:bCs/>
          <w:sz w:val="18"/>
          <w:szCs w:val="18"/>
        </w:rPr>
        <w:t>组合中，采用余额百分比法计提坏账准备的其他应收款：</w:t>
      </w:r>
      <w:r>
        <w:rPr>
          <w:rFonts w:ascii="宋体" w:hAnsi="宋体" w:cs="宋体" w:eastAsia="宋体" w:hint="default"/>
          <w:sz w:val="18"/>
          <w:szCs w:val="18"/>
        </w:rPr>
      </w:r>
    </w:p>
    <w:p>
      <w:pPr>
        <w:spacing w:line="436" w:lineRule="auto" w:before="46"/>
        <w:ind w:left="113" w:right="65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组合中，采用其他方法计提坏账准备的其他应收款：</w:t>
      </w:r>
      <w:r>
        <w:rPr>
          <w:rFonts w:ascii="宋体" w:hAnsi="宋体" w:cs="宋体" w:eastAsia="宋体" w:hint="default"/>
          <w:sz w:val="18"/>
          <w:szCs w:val="18"/>
        </w:rPr>
      </w:r>
    </w:p>
    <w:p>
      <w:pPr>
        <w:spacing w:before="47"/>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157"/>
        <w:ind w:right="0"/>
        <w:jc w:val="left"/>
      </w:pPr>
      <w:r>
        <w:rPr/>
        <w:t>本期计提坏账准备金额</w:t>
      </w:r>
      <w:r>
        <w:rPr>
          <w:spacing w:val="-55"/>
        </w:rPr>
        <w:t> </w:t>
      </w:r>
      <w:r>
        <w:rPr>
          <w:rFonts w:ascii="Times New Roman" w:hAnsi="Times New Roman" w:cs="Times New Roman" w:eastAsia="Times New Roman" w:hint="default"/>
        </w:rPr>
        <w:t>562,205.01</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13"/>
        <w:rPr>
          <w:rFonts w:ascii="宋体" w:hAnsi="宋体" w:cs="宋体" w:eastAsia="宋体" w:hint="default"/>
          <w:sz w:val="8"/>
          <w:szCs w:val="8"/>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2"/>
      </w:tblGrid>
      <w:tr>
        <w:trPr>
          <w:trHeight w:val="403" w:hRule="exact"/>
        </w:trPr>
        <w:tc>
          <w:tcPr>
            <w:tcW w:w="33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9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45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1,108,423.68</w:t>
            </w:r>
          </w:p>
        </w:tc>
      </w:tr>
      <w:tr>
        <w:trPr>
          <w:trHeight w:val="401" w:hRule="exact"/>
        </w:trPr>
        <w:tc>
          <w:tcPr>
            <w:tcW w:w="49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45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321,310.00</w:t>
            </w:r>
          </w:p>
        </w:tc>
      </w:tr>
      <w:tr>
        <w:trPr>
          <w:trHeight w:val="403" w:hRule="exact"/>
        </w:trPr>
        <w:tc>
          <w:tcPr>
            <w:tcW w:w="498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1,429,733.68</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5" w:hRule="exact"/>
        </w:trPr>
        <w:tc>
          <w:tcPr>
            <w:tcW w:w="16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3"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惠城区联顺制衣厂</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455,025.61</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该公司已注销， 无法收回</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319" w:lineRule="auto" w:before="49"/>
              <w:ind w:left="103" w:right="129"/>
              <w:jc w:val="left"/>
              <w:rPr>
                <w:rFonts w:ascii="宋体" w:hAnsi="宋体" w:cs="宋体" w:eastAsia="宋体" w:hint="default"/>
                <w:sz w:val="18"/>
                <w:szCs w:val="18"/>
              </w:rPr>
            </w:pPr>
            <w:r>
              <w:rPr>
                <w:rFonts w:ascii="宋体" w:hAnsi="宋体" w:cs="宋体" w:eastAsia="宋体" w:hint="default"/>
                <w:sz w:val="18"/>
                <w:szCs w:val="18"/>
              </w:rPr>
              <w:t>中山市小榄镇迪雅 制衣厂</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345,185.00</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合同未到期撤离</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沈阳冠芝衣服饰店</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321,310.00</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该公司已注销， 无法收回</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29"/>
              <w:jc w:val="left"/>
              <w:rPr>
                <w:rFonts w:ascii="宋体" w:hAnsi="宋体" w:cs="宋体" w:eastAsia="宋体" w:hint="default"/>
                <w:sz w:val="18"/>
                <w:szCs w:val="18"/>
              </w:rPr>
            </w:pPr>
            <w:r>
              <w:rPr>
                <w:rFonts w:ascii="宋体" w:hAnsi="宋体" w:cs="宋体" w:eastAsia="宋体" w:hint="default"/>
                <w:sz w:val="18"/>
                <w:szCs w:val="18"/>
              </w:rPr>
              <w:t>广州高盾皮具有限 公司</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161,224.07</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该公司已注销， 无法收回</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29"/>
              <w:jc w:val="left"/>
              <w:rPr>
                <w:rFonts w:ascii="宋体" w:hAnsi="宋体" w:cs="宋体" w:eastAsia="宋体" w:hint="default"/>
                <w:sz w:val="18"/>
                <w:szCs w:val="18"/>
              </w:rPr>
            </w:pPr>
            <w:r>
              <w:rPr>
                <w:rFonts w:ascii="宋体" w:hAnsi="宋体" w:cs="宋体" w:eastAsia="宋体" w:hint="default"/>
                <w:sz w:val="18"/>
                <w:szCs w:val="18"/>
              </w:rPr>
              <w:t>广州市银盛皮具有 限公司</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146,989.00</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该公司已注销， 无法收回</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1,429,733.68</w:t>
            </w:r>
          </w:p>
        </w:tc>
        <w:tc>
          <w:tcPr>
            <w:tcW w:w="155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79" w:top="1100" w:bottom="1260" w:left="1020" w:right="0"/>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6" w:footer="1079" w:top="1100" w:bottom="1260" w:left="1020" w:right="0"/>
        </w:sectPr>
      </w:pPr>
    </w:p>
    <w:p>
      <w:pPr>
        <w:spacing w:before="44"/>
        <w:ind w:left="113" w:right="-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1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80" w:bottom="280" w:left="1020" w:right="0"/>
          <w:cols w:num="2" w:equalWidth="0">
            <w:col w:w="2785" w:space="6135"/>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68"/>
        <w:gridCol w:w="3101"/>
        <w:gridCol w:w="3102"/>
      </w:tblGrid>
      <w:tr>
        <w:trPr>
          <w:trHeight w:val="401" w:hRule="exact"/>
        </w:trPr>
        <w:tc>
          <w:tcPr>
            <w:tcW w:w="3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0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1,065,560,874.47</w:t>
            </w:r>
          </w:p>
        </w:tc>
        <w:tc>
          <w:tcPr>
            <w:tcW w:w="310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1,028,283,904.96</w:t>
            </w:r>
          </w:p>
        </w:tc>
      </w:tr>
      <w:tr>
        <w:trPr>
          <w:trHeight w:val="401" w:hRule="exact"/>
        </w:trPr>
        <w:tc>
          <w:tcPr>
            <w:tcW w:w="3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6,121,771.05</w:t>
            </w:r>
          </w:p>
        </w:tc>
        <w:tc>
          <w:tcPr>
            <w:tcW w:w="310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7,065,354.64</w:t>
            </w:r>
          </w:p>
        </w:tc>
      </w:tr>
      <w:tr>
        <w:trPr>
          <w:trHeight w:val="403" w:hRule="exact"/>
        </w:trPr>
        <w:tc>
          <w:tcPr>
            <w:tcW w:w="3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97,270.00</w:t>
            </w:r>
          </w:p>
        </w:tc>
        <w:tc>
          <w:tcPr>
            <w:tcW w:w="3102"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335,185.39</w:t>
            </w:r>
          </w:p>
        </w:tc>
        <w:tc>
          <w:tcPr>
            <w:tcW w:w="310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171,033.76</w:t>
            </w:r>
          </w:p>
        </w:tc>
      </w:tr>
      <w:tr>
        <w:trPr>
          <w:trHeight w:val="403" w:hRule="exact"/>
        </w:trPr>
        <w:tc>
          <w:tcPr>
            <w:tcW w:w="3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1,072,115,100.91</w:t>
            </w:r>
          </w:p>
        </w:tc>
        <w:tc>
          <w:tcPr>
            <w:tcW w:w="310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1,035,520,293.36</w:t>
            </w:r>
          </w:p>
        </w:tc>
      </w:tr>
    </w:tbl>
    <w:p>
      <w:pPr>
        <w:spacing w:before="4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1027" w:hRule="exact"/>
        </w:trPr>
        <w:tc>
          <w:tcPr>
            <w:tcW w:w="16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75" w:right="17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5" w:right="16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3"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卡奴迪路服饰股份</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（香港）有限公司</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671,715,796.00</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62.65%</w:t>
            </w:r>
          </w:p>
        </w:tc>
        <w:tc>
          <w:tcPr>
            <w:tcW w:w="1616"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29"/>
              <w:jc w:val="left"/>
              <w:rPr>
                <w:rFonts w:ascii="宋体" w:hAnsi="宋体" w:cs="宋体" w:eastAsia="宋体" w:hint="default"/>
                <w:sz w:val="18"/>
                <w:szCs w:val="18"/>
              </w:rPr>
            </w:pPr>
            <w:r>
              <w:rPr>
                <w:rFonts w:ascii="宋体" w:hAnsi="宋体" w:cs="宋体" w:eastAsia="宋体" w:hint="default"/>
                <w:sz w:val="18"/>
                <w:szCs w:val="18"/>
              </w:rPr>
              <w:t>广州连卡福名品管 理有限公司</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130,476,243.15</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12.17%</w:t>
            </w:r>
          </w:p>
        </w:tc>
        <w:tc>
          <w:tcPr>
            <w:tcW w:w="1616"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29"/>
              <w:jc w:val="left"/>
              <w:rPr>
                <w:rFonts w:ascii="宋体" w:hAnsi="宋体" w:cs="宋体" w:eastAsia="宋体" w:hint="default"/>
                <w:sz w:val="18"/>
                <w:szCs w:val="18"/>
              </w:rPr>
            </w:pPr>
            <w:r>
              <w:rPr>
                <w:rFonts w:ascii="宋体" w:hAnsi="宋体" w:cs="宋体" w:eastAsia="宋体" w:hint="default"/>
                <w:sz w:val="18"/>
                <w:szCs w:val="18"/>
              </w:rPr>
              <w:t>广州连卡悦圆发展 有限公司</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93,510,000.00</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8.72%</w:t>
            </w:r>
          </w:p>
        </w:tc>
        <w:tc>
          <w:tcPr>
            <w:tcW w:w="1616" w:type="dxa"/>
            <w:tcBorders>
              <w:top w:val="single" w:sz="4" w:space="0" w:color="933734"/>
              <w:left w:val="single" w:sz="4" w:space="0" w:color="933734"/>
              <w:bottom w:val="single" w:sz="4" w:space="0" w:color="933734"/>
              <w:right w:val="single" w:sz="4" w:space="0" w:color="933734"/>
            </w:tcBorders>
          </w:tcPr>
          <w:p>
            <w:pPr/>
          </w:p>
        </w:tc>
      </w:tr>
      <w:tr>
        <w:trPr>
          <w:trHeight w:val="716"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29"/>
              <w:jc w:val="left"/>
              <w:rPr>
                <w:rFonts w:ascii="宋体" w:hAnsi="宋体" w:cs="宋体" w:eastAsia="宋体" w:hint="default"/>
                <w:sz w:val="18"/>
                <w:szCs w:val="18"/>
              </w:rPr>
            </w:pPr>
            <w:r>
              <w:rPr>
                <w:rFonts w:ascii="宋体" w:hAnsi="宋体" w:cs="宋体" w:eastAsia="宋体" w:hint="default"/>
                <w:sz w:val="18"/>
                <w:szCs w:val="18"/>
              </w:rPr>
              <w:t>杭州连卡恒福品牌 管理有限公司</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75,070,424.17</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w:t>
            </w:r>
          </w:p>
        </w:tc>
        <w:tc>
          <w:tcPr>
            <w:tcW w:w="1616"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685"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49"/>
              <w:ind w:left="103" w:right="129"/>
              <w:jc w:val="left"/>
              <w:rPr>
                <w:rFonts w:ascii="宋体" w:hAnsi="宋体" w:cs="宋体" w:eastAsia="宋体" w:hint="default"/>
                <w:sz w:val="18"/>
                <w:szCs w:val="18"/>
              </w:rPr>
            </w:pPr>
            <w:r>
              <w:rPr>
                <w:rFonts w:ascii="宋体" w:hAnsi="宋体" w:cs="宋体" w:eastAsia="宋体" w:hint="default"/>
                <w:sz w:val="18"/>
                <w:szCs w:val="18"/>
              </w:rPr>
              <w:t>广州狮丹贸易有限 公司</w:t>
            </w:r>
          </w:p>
        </w:tc>
        <w:tc>
          <w:tcPr>
            <w:tcW w:w="1551"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47,987,960.66</w:t>
            </w:r>
          </w:p>
        </w:tc>
        <w:tc>
          <w:tcPr>
            <w:tcW w:w="155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4.48%</w:t>
            </w:r>
          </w:p>
        </w:tc>
        <w:tc>
          <w:tcPr>
            <w:tcW w:w="161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168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1,018,760,423.98</w:t>
            </w:r>
          </w:p>
        </w:tc>
        <w:tc>
          <w:tcPr>
            <w:tcW w:w="155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95.02%</w:t>
            </w:r>
          </w:p>
        </w:tc>
        <w:tc>
          <w:tcPr>
            <w:tcW w:w="1616" w:type="dxa"/>
            <w:tcBorders>
              <w:top w:val="single" w:sz="4" w:space="0" w:color="933734"/>
              <w:left w:val="single" w:sz="4" w:space="0" w:color="933734"/>
              <w:bottom w:val="single" w:sz="4" w:space="0" w:color="933734"/>
              <w:right w:val="single" w:sz="4" w:space="0" w:color="933734"/>
            </w:tcBorders>
          </w:tcPr>
          <w:p>
            <w:pPr/>
          </w:p>
        </w:tc>
      </w:tr>
    </w:tbl>
    <w:p>
      <w:pPr>
        <w:spacing w:before="4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4"/>
        <w:gridCol w:w="1865"/>
        <w:gridCol w:w="1868"/>
        <w:gridCol w:w="1868"/>
        <w:gridCol w:w="1944"/>
      </w:tblGrid>
      <w:tr>
        <w:trPr>
          <w:trHeight w:val="713" w:hRule="exact"/>
        </w:trPr>
        <w:tc>
          <w:tcPr>
            <w:tcW w:w="202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698" w:right="99"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before="49"/>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4"/>
        <w:ind w:left="113" w:right="6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933734"/>
              <w:bottom w:val="single" w:sz="4" w:space="0" w:color="933734"/>
              <w:right w:val="single" w:sz="4" w:space="0" w:color="933734"/>
            </w:tcBorders>
            <w:shd w:val="clear" w:color="auto" w:fill="E4B8B7"/>
          </w:tcPr>
          <w:p>
            <w:pP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380" w:bottom="28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701,857,325.93</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701,857,325.93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701,857,325.93</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701,857,325.93</w:t>
            </w:r>
          </w:p>
        </w:tc>
      </w:tr>
      <w:tr>
        <w:trPr>
          <w:trHeight w:val="403" w:hRule="exact"/>
        </w:trPr>
        <w:tc>
          <w:tcPr>
            <w:tcW w:w="136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701,857,325.93</w:t>
            </w:r>
          </w:p>
        </w:tc>
        <w:tc>
          <w:tcPr>
            <w:tcW w:w="1368" w:type="dxa"/>
            <w:tcBorders>
              <w:top w:val="single" w:sz="4" w:space="0" w:color="933734"/>
              <w:left w:val="single" w:sz="4" w:space="0" w:color="933734"/>
              <w:bottom w:val="single" w:sz="4" w:space="0" w:color="933734"/>
              <w:right w:val="single" w:sz="4" w:space="0" w:color="933734"/>
            </w:tcBorders>
          </w:tcPr>
          <w:p>
            <w:pPr/>
          </w:p>
        </w:tc>
        <w:tc>
          <w:tcPr>
            <w:tcW w:w="136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701,857,325.93</w:t>
            </w:r>
          </w:p>
        </w:tc>
        <w:tc>
          <w:tcPr>
            <w:tcW w:w="1369"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701,857,325.93</w:t>
            </w:r>
          </w:p>
        </w:tc>
        <w:tc>
          <w:tcPr>
            <w:tcW w:w="1366" w:type="dxa"/>
            <w:tcBorders>
              <w:top w:val="single" w:sz="4" w:space="0" w:color="933734"/>
              <w:left w:val="single" w:sz="4" w:space="0" w:color="933734"/>
              <w:bottom w:val="single" w:sz="4" w:space="0" w:color="933734"/>
              <w:right w:val="single" w:sz="4" w:space="0" w:color="933734"/>
            </w:tcBorders>
          </w:tcPr>
          <w:p>
            <w:pPr/>
          </w:p>
        </w:tc>
        <w:tc>
          <w:tcPr>
            <w:tcW w:w="1368"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left="30" w:right="0"/>
              <w:jc w:val="center"/>
              <w:rPr>
                <w:rFonts w:ascii="Times New Roman" w:hAnsi="Times New Roman" w:cs="Times New Roman" w:eastAsia="Times New Roman" w:hint="default"/>
                <w:sz w:val="18"/>
                <w:szCs w:val="18"/>
              </w:rPr>
            </w:pPr>
            <w:r>
              <w:rPr>
                <w:rFonts w:ascii="Times New Roman"/>
                <w:sz w:val="18"/>
              </w:rPr>
              <w:t>701,857,325.93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4" w:hRule="exact"/>
        </w:trPr>
        <w:tc>
          <w:tcPr>
            <w:tcW w:w="144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511" w:right="146"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0"/>
              <w:ind w:left="511" w:right="14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3" w:hRule="exact"/>
        </w:trPr>
        <w:tc>
          <w:tcPr>
            <w:tcW w:w="144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广州狮丹贸易 有限公司</w:t>
            </w:r>
          </w:p>
        </w:tc>
        <w:tc>
          <w:tcPr>
            <w:tcW w:w="13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12,148,152.14</w:t>
            </w:r>
          </w:p>
        </w:tc>
        <w:tc>
          <w:tcPr>
            <w:tcW w:w="1334"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12,148,152.14</w:t>
            </w:r>
          </w:p>
        </w:tc>
        <w:tc>
          <w:tcPr>
            <w:tcW w:w="1390" w:type="dxa"/>
            <w:tcBorders>
              <w:top w:val="single" w:sz="4" w:space="0" w:color="933734"/>
              <w:left w:val="single" w:sz="4" w:space="0" w:color="933734"/>
              <w:bottom w:val="single" w:sz="4" w:space="0" w:color="933734"/>
              <w:right w:val="single" w:sz="4" w:space="0" w:color="933734"/>
            </w:tcBorders>
          </w:tcPr>
          <w:p>
            <w:pPr/>
          </w:p>
        </w:tc>
        <w:tc>
          <w:tcPr>
            <w:tcW w:w="1390" w:type="dxa"/>
            <w:tcBorders>
              <w:top w:val="single" w:sz="4" w:space="0" w:color="933734"/>
              <w:left w:val="single" w:sz="4" w:space="0" w:color="933734"/>
              <w:bottom w:val="single" w:sz="4" w:space="0" w:color="933734"/>
              <w:right w:val="single" w:sz="4" w:space="0" w:color="933734"/>
            </w:tcBorders>
          </w:tcPr>
          <w:p>
            <w:pPr/>
          </w:p>
        </w:tc>
      </w:tr>
      <w:tr>
        <w:trPr>
          <w:trHeight w:val="1028" w:hRule="exact"/>
        </w:trPr>
        <w:tc>
          <w:tcPr>
            <w:tcW w:w="144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广州卡奴迪路 国际品牌管理 有限公司</w:t>
            </w:r>
          </w:p>
        </w:tc>
        <w:tc>
          <w:tcPr>
            <w:tcW w:w="13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933734"/>
              <w:left w:val="single" w:sz="4" w:space="0" w:color="933734"/>
              <w:bottom w:val="single" w:sz="4" w:space="0" w:color="933734"/>
              <w:right w:val="single" w:sz="4" w:space="0" w:color="933734"/>
            </w:tcBorders>
          </w:tcPr>
          <w:p>
            <w:pPr/>
          </w:p>
        </w:tc>
        <w:tc>
          <w:tcPr>
            <w:tcW w:w="1390"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4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卡奴迪路服饰 </w:t>
            </w:r>
            <w:r>
              <w:rPr>
                <w:rFonts w:ascii="宋体" w:hAnsi="宋体" w:cs="宋体" w:eastAsia="宋体" w:hint="default"/>
                <w:spacing w:val="-5"/>
                <w:sz w:val="18"/>
                <w:szCs w:val="18"/>
              </w:rPr>
              <w:t>股份（香港）有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3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116,145,500.00</w:t>
            </w:r>
          </w:p>
        </w:tc>
        <w:tc>
          <w:tcPr>
            <w:tcW w:w="1334"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116,145,500.00</w:t>
            </w:r>
          </w:p>
        </w:tc>
        <w:tc>
          <w:tcPr>
            <w:tcW w:w="1390" w:type="dxa"/>
            <w:tcBorders>
              <w:top w:val="single" w:sz="4" w:space="0" w:color="933734"/>
              <w:left w:val="single" w:sz="4" w:space="0" w:color="933734"/>
              <w:bottom w:val="single" w:sz="4" w:space="0" w:color="933734"/>
              <w:right w:val="single" w:sz="4" w:space="0" w:color="933734"/>
            </w:tcBorders>
          </w:tcPr>
          <w:p>
            <w:pPr/>
          </w:p>
        </w:tc>
        <w:tc>
          <w:tcPr>
            <w:tcW w:w="1390"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447" w:type="dxa"/>
            <w:tcBorders>
              <w:top w:val="single" w:sz="4" w:space="0" w:color="933734"/>
              <w:left w:val="single" w:sz="4" w:space="0" w:color="933734"/>
              <w:bottom w:val="single" w:sz="4" w:space="0" w:color="933734"/>
              <w:right w:val="single" w:sz="4" w:space="0" w:color="933734"/>
            </w:tcBorders>
          </w:tcPr>
          <w:p>
            <w:pPr>
              <w:pStyle w:val="TableParagraph"/>
              <w:spacing w:line="314"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广州连卡悦圆 发展有限公司</w:t>
            </w:r>
          </w:p>
        </w:tc>
        <w:tc>
          <w:tcPr>
            <w:tcW w:w="13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57,000,000.00</w:t>
            </w:r>
          </w:p>
        </w:tc>
        <w:tc>
          <w:tcPr>
            <w:tcW w:w="1334"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57,000,000.00</w:t>
            </w:r>
          </w:p>
        </w:tc>
        <w:tc>
          <w:tcPr>
            <w:tcW w:w="1390" w:type="dxa"/>
            <w:tcBorders>
              <w:top w:val="single" w:sz="4" w:space="0" w:color="933734"/>
              <w:left w:val="single" w:sz="4" w:space="0" w:color="933734"/>
              <w:bottom w:val="single" w:sz="4" w:space="0" w:color="933734"/>
              <w:right w:val="single" w:sz="4" w:space="0" w:color="933734"/>
            </w:tcBorders>
          </w:tcPr>
          <w:p>
            <w:pPr/>
          </w:p>
        </w:tc>
        <w:tc>
          <w:tcPr>
            <w:tcW w:w="1390" w:type="dxa"/>
            <w:tcBorders>
              <w:top w:val="single" w:sz="4" w:space="0" w:color="933734"/>
              <w:left w:val="single" w:sz="4" w:space="0" w:color="933734"/>
              <w:bottom w:val="single" w:sz="4" w:space="0" w:color="933734"/>
              <w:right w:val="single" w:sz="4" w:space="0" w:color="933734"/>
            </w:tcBorders>
          </w:tcPr>
          <w:p>
            <w:pPr/>
          </w:p>
        </w:tc>
      </w:tr>
      <w:tr>
        <w:trPr>
          <w:trHeight w:val="713" w:hRule="exact"/>
        </w:trPr>
        <w:tc>
          <w:tcPr>
            <w:tcW w:w="144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山南卡奴迪路 商贸有限公司</w:t>
            </w:r>
          </w:p>
        </w:tc>
        <w:tc>
          <w:tcPr>
            <w:tcW w:w="13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9,000,000.00</w:t>
            </w:r>
          </w:p>
        </w:tc>
        <w:tc>
          <w:tcPr>
            <w:tcW w:w="1334"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9,000,000.00</w:t>
            </w:r>
          </w:p>
        </w:tc>
        <w:tc>
          <w:tcPr>
            <w:tcW w:w="1390" w:type="dxa"/>
            <w:tcBorders>
              <w:top w:val="single" w:sz="4" w:space="0" w:color="933734"/>
              <w:left w:val="single" w:sz="4" w:space="0" w:color="933734"/>
              <w:bottom w:val="single" w:sz="4" w:space="0" w:color="933734"/>
              <w:right w:val="single" w:sz="4" w:space="0" w:color="933734"/>
            </w:tcBorders>
          </w:tcPr>
          <w:p>
            <w:pPr/>
          </w:p>
        </w:tc>
        <w:tc>
          <w:tcPr>
            <w:tcW w:w="1390" w:type="dxa"/>
            <w:tcBorders>
              <w:top w:val="single" w:sz="4" w:space="0" w:color="933734"/>
              <w:left w:val="single" w:sz="4" w:space="0" w:color="933734"/>
              <w:bottom w:val="single" w:sz="4" w:space="0" w:color="933734"/>
              <w:right w:val="single" w:sz="4" w:space="0" w:color="933734"/>
            </w:tcBorders>
          </w:tcPr>
          <w:p>
            <w:pPr/>
          </w:p>
        </w:tc>
      </w:tr>
      <w:tr>
        <w:trPr>
          <w:trHeight w:val="716" w:hRule="exact"/>
        </w:trPr>
        <w:tc>
          <w:tcPr>
            <w:tcW w:w="144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铂金国际时尚 集合有限公司</w:t>
            </w:r>
          </w:p>
        </w:tc>
        <w:tc>
          <w:tcPr>
            <w:tcW w:w="13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7,563,673.79</w:t>
            </w:r>
          </w:p>
        </w:tc>
        <w:tc>
          <w:tcPr>
            <w:tcW w:w="1334"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7,563,673.79</w:t>
            </w:r>
          </w:p>
        </w:tc>
        <w:tc>
          <w:tcPr>
            <w:tcW w:w="1390" w:type="dxa"/>
            <w:tcBorders>
              <w:top w:val="single" w:sz="4" w:space="0" w:color="933734"/>
              <w:left w:val="single" w:sz="4" w:space="0" w:color="933734"/>
              <w:bottom w:val="single" w:sz="4" w:space="0" w:color="933734"/>
              <w:right w:val="single" w:sz="4" w:space="0" w:color="933734"/>
            </w:tcBorders>
          </w:tcPr>
          <w:p>
            <w:pPr/>
          </w:p>
        </w:tc>
        <w:tc>
          <w:tcPr>
            <w:tcW w:w="1390" w:type="dxa"/>
            <w:tcBorders>
              <w:top w:val="single" w:sz="4" w:space="0" w:color="933734"/>
              <w:left w:val="single" w:sz="4" w:space="0" w:color="933734"/>
              <w:bottom w:val="single" w:sz="4" w:space="0" w:color="933734"/>
              <w:right w:val="single" w:sz="4" w:space="0" w:color="933734"/>
            </w:tcBorders>
          </w:tcPr>
          <w:p>
            <w:pPr/>
          </w:p>
        </w:tc>
      </w:tr>
      <w:tr>
        <w:trPr>
          <w:trHeight w:val="1025" w:hRule="exact"/>
        </w:trPr>
        <w:tc>
          <w:tcPr>
            <w:tcW w:w="1447" w:type="dxa"/>
            <w:tcBorders>
              <w:top w:val="single" w:sz="4" w:space="0" w:color="933734"/>
              <w:left w:val="single" w:sz="4" w:space="0" w:color="933734"/>
              <w:bottom w:val="single" w:sz="4" w:space="0" w:color="933734"/>
              <w:right w:val="single" w:sz="4" w:space="0" w:color="933734"/>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武汉悦然心动 网络科技有限 公司</w:t>
            </w:r>
          </w:p>
        </w:tc>
        <w:tc>
          <w:tcPr>
            <w:tcW w:w="13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90" w:type="dxa"/>
            <w:tcBorders>
              <w:top w:val="single" w:sz="4" w:space="0" w:color="933734"/>
              <w:left w:val="single" w:sz="4" w:space="0" w:color="933734"/>
              <w:bottom w:val="single" w:sz="4" w:space="0" w:color="933734"/>
              <w:right w:val="single" w:sz="4" w:space="0" w:color="933734"/>
            </w:tcBorders>
          </w:tcPr>
          <w:p>
            <w:pPr/>
          </w:p>
        </w:tc>
        <w:tc>
          <w:tcPr>
            <w:tcW w:w="1390" w:type="dxa"/>
            <w:tcBorders>
              <w:top w:val="single" w:sz="4" w:space="0" w:color="933734"/>
              <w:left w:val="single" w:sz="4" w:space="0" w:color="933734"/>
              <w:bottom w:val="single" w:sz="4" w:space="0" w:color="933734"/>
              <w:right w:val="single" w:sz="4" w:space="0" w:color="933734"/>
            </w:tcBorders>
          </w:tcPr>
          <w:p>
            <w:pPr/>
          </w:p>
        </w:tc>
      </w:tr>
      <w:tr>
        <w:trPr>
          <w:trHeight w:val="715" w:hRule="exact"/>
        </w:trPr>
        <w:tc>
          <w:tcPr>
            <w:tcW w:w="144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701,857,325.9</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1334"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
        </w:tc>
        <w:tc>
          <w:tcPr>
            <w:tcW w:w="1335"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701,857,325.9</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3</w:t>
            </w:r>
          </w:p>
        </w:tc>
        <w:tc>
          <w:tcPr>
            <w:tcW w:w="1390" w:type="dxa"/>
            <w:tcBorders>
              <w:top w:val="single" w:sz="4" w:space="0" w:color="933734"/>
              <w:left w:val="single" w:sz="4" w:space="0" w:color="933734"/>
              <w:bottom w:val="single" w:sz="4" w:space="0" w:color="933734"/>
              <w:right w:val="single" w:sz="4" w:space="0" w:color="933734"/>
            </w:tcBorders>
          </w:tcPr>
          <w:p>
            <w:pPr/>
          </w:p>
        </w:tc>
        <w:tc>
          <w:tcPr>
            <w:tcW w:w="1390" w:type="dxa"/>
            <w:tcBorders>
              <w:top w:val="single" w:sz="4" w:space="0" w:color="933734"/>
              <w:left w:val="single" w:sz="4" w:space="0" w:color="933734"/>
              <w:bottom w:val="single" w:sz="4" w:space="0" w:color="933734"/>
              <w:right w:val="single" w:sz="4" w:space="0" w:color="933734"/>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4" w:hRule="exact"/>
        </w:trPr>
        <w:tc>
          <w:tcPr>
            <w:tcW w:w="796"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301" w:right="122"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800000"/>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800000"/>
              <w:left w:val="single" w:sz="4" w:space="0" w:color="8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307"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7" w:type="dxa"/>
            <w:vMerge w:val="restart"/>
            <w:tcBorders>
              <w:top w:val="single" w:sz="4" w:space="0" w:color="000000"/>
              <w:left w:val="single" w:sz="4" w:space="0" w:color="8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5"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796" w:type="dxa"/>
            <w:vMerge/>
            <w:tcBorders>
              <w:left w:val="single" w:sz="4" w:space="0" w:color="000000"/>
              <w:bottom w:val="single" w:sz="4" w:space="0" w:color="000000"/>
              <w:right w:val="single" w:sz="4" w:space="0" w:color="000000"/>
            </w:tcBorders>
            <w:shd w:val="clear" w:color="auto" w:fill="E4B8B7"/>
          </w:tcPr>
          <w:p>
            <w:pPr/>
          </w:p>
        </w:tc>
        <w:tc>
          <w:tcPr>
            <w:tcW w:w="797" w:type="dxa"/>
            <w:vMerge/>
            <w:tcBorders>
              <w:left w:val="single" w:sz="4" w:space="0" w:color="000000"/>
              <w:bottom w:val="single" w:sz="4" w:space="0" w:color="000000"/>
              <w:right w:val="single" w:sz="4" w:space="0" w:color="000000"/>
            </w:tcBorders>
            <w:shd w:val="clear" w:color="auto" w:fill="E4B8B7"/>
          </w:tcPr>
          <w:p>
            <w:pPr/>
          </w:p>
        </w:tc>
        <w:tc>
          <w:tcPr>
            <w:tcW w:w="797"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120"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9"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800" w:type="dxa"/>
            <w:tcBorders>
              <w:top w:val="single" w:sz="4" w:space="0" w:color="000000"/>
              <w:left w:val="single" w:sz="4" w:space="0" w:color="000000"/>
              <w:bottom w:val="single" w:sz="4" w:space="0" w:color="000000"/>
              <w:right w:val="single" w:sz="4" w:space="0" w:color="0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800000"/>
            </w:tcBorders>
            <w:shd w:val="clear" w:color="auto" w:fill="E4B8B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800000"/>
              <w:bottom w:val="single" w:sz="4" w:space="0" w:color="800000"/>
              <w:right w:val="single" w:sz="4" w:space="0" w:color="800000"/>
            </w:tcBorders>
            <w:shd w:val="clear" w:color="auto" w:fill="E4B8B7"/>
          </w:tcPr>
          <w:p>
            <w:pPr/>
          </w:p>
        </w:tc>
        <w:tc>
          <w:tcPr>
            <w:tcW w:w="797" w:type="dxa"/>
            <w:vMerge/>
            <w:tcBorders>
              <w:left w:val="single" w:sz="4" w:space="0" w:color="800000"/>
              <w:bottom w:val="single" w:sz="4" w:space="0" w:color="000000"/>
              <w:right w:val="single" w:sz="4" w:space="0" w:color="000000"/>
            </w:tcBorders>
            <w:shd w:val="clear" w:color="auto" w:fill="E4B8B7"/>
          </w:tcPr>
          <w:p>
            <w:pPr/>
          </w:p>
        </w:tc>
      </w:tr>
      <w:tr>
        <w:trPr>
          <w:trHeight w:val="403" w:hRule="exact"/>
        </w:trPr>
        <w:tc>
          <w:tcPr>
            <w:tcW w:w="9572" w:type="dxa"/>
            <w:gridSpan w:val="12"/>
            <w:tcBorders>
              <w:top w:val="single" w:sz="4" w:space="0" w:color="0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800000"/>
              <w:left w:val="single" w:sz="4" w:space="0" w:color="800000"/>
              <w:bottom w:val="single" w:sz="4" w:space="0" w:color="800000"/>
              <w:right w:val="single" w:sz="4" w:space="0" w:color="800000"/>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906" w:footer="1079" w:top="1100" w:bottom="126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933734"/>
              <w:bottom w:val="single" w:sz="4" w:space="0" w:color="933734"/>
              <w:right w:val="single" w:sz="4" w:space="0" w:color="933734"/>
            </w:tcBorders>
            <w:shd w:val="clear" w:color="auto" w:fill="E4B8B7"/>
          </w:tcPr>
          <w:p>
            <w:pPr/>
          </w:p>
        </w:tc>
        <w:tc>
          <w:tcPr>
            <w:tcW w:w="1837"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443,307,497.17</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200,332,341.15</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356,244,942.79</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179,213,179.40</w:t>
            </w:r>
          </w:p>
        </w:tc>
      </w:tr>
      <w:tr>
        <w:trPr>
          <w:trHeight w:val="403" w:hRule="exact"/>
        </w:trPr>
        <w:tc>
          <w:tcPr>
            <w:tcW w:w="19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4,558,759.37</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4,983,365.12</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1,848,984.37</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1,027,499.55</w:t>
            </w:r>
          </w:p>
        </w:tc>
      </w:tr>
      <w:tr>
        <w:trPr>
          <w:trHeight w:val="401" w:hRule="exact"/>
        </w:trPr>
        <w:tc>
          <w:tcPr>
            <w:tcW w:w="1994"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447,866,256.54</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205,315,706.27</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358,093,927.16</w:t>
            </w:r>
          </w:p>
        </w:tc>
        <w:tc>
          <w:tcPr>
            <w:tcW w:w="191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180,240,678.95</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6"/>
      </w:tblGrid>
      <w:tr>
        <w:trPr>
          <w:trHeight w:val="403"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318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485,487.39</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396,367.96</w:t>
            </w:r>
          </w:p>
        </w:tc>
      </w:tr>
      <w:tr>
        <w:trPr>
          <w:trHeight w:val="401"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50,485,487.39</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396,367.96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6"/>
      </w:tblGrid>
      <w:tr>
        <w:trPr>
          <w:trHeight w:val="402"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-81,112.24</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r>
      <w:tr>
        <w:trPr>
          <w:trHeight w:val="1028"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9,789,055.02</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政府专项补贴、扶持资金等</w:t>
            </w:r>
          </w:p>
        </w:tc>
      </w:tr>
      <w:tr>
        <w:trPr>
          <w:trHeight w:val="1961"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2,398,206.46</w:t>
            </w:r>
          </w:p>
        </w:tc>
        <w:tc>
          <w:tcPr>
            <w:tcW w:w="3186"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购买理财</w:t>
            </w:r>
          </w:p>
        </w:tc>
      </w:tr>
      <w:tr>
        <w:trPr>
          <w:trHeight w:val="403" w:hRule="exact"/>
        </w:trPr>
        <w:tc>
          <w:tcPr>
            <w:tcW w:w="3325"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-70,120.83</w:t>
            </w:r>
          </w:p>
        </w:tc>
        <w:tc>
          <w:tcPr>
            <w:tcW w:w="3186" w:type="dxa"/>
            <w:tcBorders>
              <w:top w:val="single" w:sz="4" w:space="0" w:color="933734"/>
              <w:left w:val="single" w:sz="4" w:space="0" w:color="933734"/>
              <w:bottom w:val="single" w:sz="4" w:space="0" w:color="933734"/>
              <w:right w:val="single" w:sz="4" w:space="0" w:color="933734"/>
            </w:tcBorders>
          </w:tcPr>
          <w:p>
            <w:pPr/>
          </w:p>
        </w:tc>
      </w:tr>
    </w:tbl>
    <w:p>
      <w:pPr>
        <w:spacing w:after="0"/>
        <w:sectPr>
          <w:pgSz w:w="11910" w:h="16840"/>
          <w:pgMar w:header="906" w:footer="1079" w:top="1100" w:bottom="1260" w:left="1020" w:right="0"/>
        </w:sectPr>
      </w:pPr>
    </w:p>
    <w:p>
      <w:pPr>
        <w:spacing w:line="240" w:lineRule="auto" w:before="7"/>
        <w:rPr>
          <w:rFonts w:ascii="宋体" w:hAnsi="宋体" w:cs="宋体" w:eastAsia="宋体" w:hint="default"/>
          <w:sz w:val="25"/>
          <w:szCs w:val="25"/>
        </w:rPr>
      </w:pPr>
    </w:p>
    <w:tbl>
      <w:tblPr>
        <w:tblW w:w="0" w:type="auto"/>
        <w:jc w:val="left"/>
        <w:tblInd w:w="189" w:type="dxa"/>
        <w:tblLayout w:type="fixed"/>
        <w:tblCellMar>
          <w:top w:w="0" w:type="dxa"/>
          <w:left w:w="0" w:type="dxa"/>
          <w:bottom w:w="0" w:type="dxa"/>
          <w:right w:w="0" w:type="dxa"/>
        </w:tblCellMar>
        <w:tblLook w:val="01E0"/>
      </w:tblPr>
      <w:tblGrid>
        <w:gridCol w:w="3323"/>
        <w:gridCol w:w="3060"/>
        <w:gridCol w:w="3186"/>
      </w:tblGrid>
      <w:tr>
        <w:trPr>
          <w:trHeight w:val="363" w:hRule="exact"/>
        </w:trPr>
        <w:tc>
          <w:tcPr>
            <w:tcW w:w="33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3060" w:type="dxa"/>
            <w:tcBorders>
              <w:top w:val="single" w:sz="4" w:space="0" w:color="933734"/>
              <w:left w:val="single" w:sz="4" w:space="0" w:color="933734"/>
              <w:bottom w:val="single" w:sz="4" w:space="0" w:color="933734"/>
              <w:right w:val="single" w:sz="4" w:space="0" w:color="933734"/>
            </w:tcBorders>
          </w:tcPr>
          <w:p>
            <w:pPr/>
          </w:p>
        </w:tc>
        <w:tc>
          <w:tcPr>
            <w:tcW w:w="318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889,269.58</w:t>
            </w:r>
          </w:p>
        </w:tc>
        <w:tc>
          <w:tcPr>
            <w:tcW w:w="3186" w:type="dxa"/>
            <w:tcBorders>
              <w:top w:val="single" w:sz="4" w:space="0" w:color="933734"/>
              <w:left w:val="single" w:sz="4" w:space="0" w:color="933734"/>
              <w:bottom w:val="single" w:sz="4" w:space="0" w:color="933734"/>
              <w:right w:val="single" w:sz="4" w:space="0" w:color="933734"/>
            </w:tcBorders>
          </w:tcPr>
          <w:p>
            <w:pPr/>
          </w:p>
        </w:tc>
      </w:tr>
      <w:tr>
        <w:trPr>
          <w:trHeight w:val="403" w:hRule="exact"/>
        </w:trPr>
        <w:tc>
          <w:tcPr>
            <w:tcW w:w="33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6,671.76</w:t>
            </w:r>
          </w:p>
        </w:tc>
        <w:tc>
          <w:tcPr>
            <w:tcW w:w="3186" w:type="dxa"/>
            <w:tcBorders>
              <w:top w:val="single" w:sz="4" w:space="0" w:color="933734"/>
              <w:left w:val="single" w:sz="4" w:space="0" w:color="933734"/>
              <w:bottom w:val="single" w:sz="4" w:space="0" w:color="933734"/>
              <w:right w:val="single" w:sz="4" w:space="0" w:color="933734"/>
            </w:tcBorders>
          </w:tcPr>
          <w:p>
            <w:pPr/>
          </w:p>
        </w:tc>
      </w:tr>
      <w:tr>
        <w:trPr>
          <w:trHeight w:val="401" w:hRule="exact"/>
        </w:trPr>
        <w:tc>
          <w:tcPr>
            <w:tcW w:w="332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11,140,087.07</w:t>
            </w:r>
          </w:p>
        </w:tc>
        <w:tc>
          <w:tcPr>
            <w:tcW w:w="3186"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spacing w:before="44"/>
        <w:ind w:left="193" w:right="1036"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非经常性损益》定义界定的非经常性损益项目，以及把</w:t>
      </w:r>
      <w:r>
        <w:rPr>
          <w:rFonts w:ascii="宋体" w:hAnsi="宋体" w:cs="宋体" w:eastAsia="宋体" w:hint="default"/>
          <w:sz w:val="18"/>
          <w:szCs w:val="18"/>
        </w:rPr>
      </w:r>
    </w:p>
    <w:p>
      <w:pPr>
        <w:spacing w:line="240" w:lineRule="auto" w:before="9"/>
        <w:rPr>
          <w:rFonts w:ascii="宋体" w:hAnsi="宋体" w:cs="宋体" w:eastAsia="宋体" w:hint="default"/>
          <w:b/>
          <w:bCs/>
          <w:sz w:val="16"/>
          <w:szCs w:val="16"/>
        </w:rPr>
      </w:pPr>
    </w:p>
    <w:p>
      <w:pPr>
        <w:spacing w:line="451" w:lineRule="auto" w:before="0"/>
        <w:ind w:left="193" w:right="1036" w:hanging="92"/>
        <w:jc w:val="left"/>
        <w:rPr>
          <w:rFonts w:ascii="宋体" w:hAnsi="宋体" w:cs="宋体" w:eastAsia="宋体" w:hint="default"/>
          <w:sz w:val="18"/>
          <w:szCs w:val="18"/>
        </w:rPr>
      </w:pPr>
      <w:r>
        <w:rPr>
          <w:rFonts w:ascii="宋体" w:hAnsi="宋体" w:cs="宋体" w:eastAsia="宋体" w:hint="default"/>
          <w:b/>
          <w:bCs/>
          <w:w w:val="99"/>
          <w:sz w:val="18"/>
          <w:szCs w:val="18"/>
        </w:rPr>
        <w:t>《公开发行证券的公司信息披露解释性公告第</w:t>
      </w:r>
      <w:r>
        <w:rPr>
          <w:rFonts w:ascii="宋体" w:hAnsi="宋体" w:cs="宋体" w:eastAsia="宋体" w:hint="default"/>
          <w:b/>
          <w:bCs/>
          <w:spacing w:val="-38"/>
          <w:w w:val="99"/>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
          <w:sz w:val="18"/>
          <w:szCs w:val="18"/>
        </w:rPr>
        <w:t> </w:t>
      </w:r>
      <w:r>
        <w:rPr>
          <w:rFonts w:ascii="宋体" w:hAnsi="宋体" w:cs="宋体" w:eastAsia="宋体" w:hint="default"/>
          <w:b/>
          <w:bCs/>
          <w:spacing w:val="-3"/>
          <w:w w:val="99"/>
          <w:sz w:val="18"/>
          <w:szCs w:val="18"/>
        </w:rPr>
        <w:t>号</w:t>
      </w:r>
      <w:r>
        <w:rPr>
          <w:rFonts w:ascii="Times New Roman" w:hAnsi="Times New Roman" w:cs="Times New Roman" w:eastAsia="Times New Roman" w:hint="default"/>
          <w:b/>
          <w:bCs/>
          <w:spacing w:val="-3"/>
          <w:w w:val="99"/>
          <w:sz w:val="18"/>
          <w:szCs w:val="18"/>
        </w:rPr>
        <w:t>——</w:t>
      </w:r>
      <w:r>
        <w:rPr>
          <w:rFonts w:ascii="宋体" w:hAnsi="宋体" w:cs="宋体" w:eastAsia="宋体" w:hint="default"/>
          <w:b/>
          <w:bCs/>
          <w:spacing w:val="-3"/>
          <w:w w:val="99"/>
          <w:sz w:val="18"/>
          <w:szCs w:val="18"/>
        </w:rPr>
        <w:t>非经常性损益》中列举的非经常性损益项目界定为经常性损益的项目，</w:t>
      </w:r>
      <w:r>
        <w:rPr>
          <w:rFonts w:ascii="宋体" w:hAnsi="宋体" w:cs="宋体" w:eastAsia="宋体" w:hint="default"/>
          <w:b/>
          <w:bCs/>
          <w:spacing w:val="-84"/>
          <w:w w:val="99"/>
          <w:sz w:val="18"/>
          <w:szCs w:val="18"/>
        </w:rPr>
        <w:t> </w:t>
      </w:r>
      <w:r>
        <w:rPr>
          <w:rFonts w:ascii="宋体" w:hAnsi="宋体" w:cs="宋体" w:eastAsia="宋体" w:hint="default"/>
          <w:b/>
          <w:bCs/>
          <w:spacing w:val="-84"/>
          <w:w w:val="99"/>
          <w:sz w:val="18"/>
          <w:szCs w:val="18"/>
        </w:rPr>
      </w:r>
      <w:r>
        <w:rPr>
          <w:rFonts w:ascii="宋体" w:hAnsi="宋体" w:cs="宋体" w:eastAsia="宋体" w:hint="default"/>
          <w:b/>
          <w:bCs/>
          <w:sz w:val="18"/>
          <w:szCs w:val="18"/>
        </w:rPr>
        <w:t>应说明原因。</w:t>
      </w:r>
      <w:r>
        <w:rPr>
          <w:rFonts w:ascii="宋体" w:hAnsi="宋体" w:cs="宋体" w:eastAsia="宋体" w:hint="default"/>
          <w:sz w:val="18"/>
          <w:szCs w:val="18"/>
        </w:rPr>
      </w:r>
    </w:p>
    <w:p>
      <w:pPr>
        <w:spacing w:before="35"/>
        <w:ind w:left="193" w:right="103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left="193" w:right="1036"/>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88" w:type="dxa"/>
        <w:tblLayout w:type="fixed"/>
        <w:tblCellMar>
          <w:top w:w="0" w:type="dxa"/>
          <w:left w:w="0" w:type="dxa"/>
          <w:bottom w:w="0" w:type="dxa"/>
          <w:right w:w="0" w:type="dxa"/>
        </w:tblCellMar>
        <w:tblLook w:val="01E0"/>
      </w:tblPr>
      <w:tblGrid>
        <w:gridCol w:w="2662"/>
        <w:gridCol w:w="3082"/>
        <w:gridCol w:w="1913"/>
        <w:gridCol w:w="1913"/>
      </w:tblGrid>
      <w:tr>
        <w:trPr>
          <w:trHeight w:val="403" w:hRule="exact"/>
        </w:trPr>
        <w:tc>
          <w:tcPr>
            <w:tcW w:w="266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single" w:sz="4" w:space="0" w:color="933734"/>
              <w:left w:val="single" w:sz="4" w:space="0" w:color="933734"/>
              <w:right w:val="single" w:sz="4" w:space="0" w:color="933734"/>
            </w:tcBorders>
            <w:shd w:val="clear" w:color="auto" w:fill="E4B8B7"/>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2" w:type="dxa"/>
            <w:vMerge/>
            <w:tcBorders>
              <w:left w:val="single" w:sz="4" w:space="0" w:color="933734"/>
              <w:bottom w:val="single" w:sz="4" w:space="0" w:color="933734"/>
              <w:right w:val="single" w:sz="4" w:space="0" w:color="933734"/>
            </w:tcBorders>
            <w:shd w:val="clear" w:color="auto" w:fill="E4B8B7"/>
          </w:tcPr>
          <w:p>
            <w:pPr/>
          </w:p>
        </w:tc>
        <w:tc>
          <w:tcPr>
            <w:tcW w:w="3082" w:type="dxa"/>
            <w:vMerge/>
            <w:tcBorders>
              <w:left w:val="single" w:sz="4" w:space="0" w:color="933734"/>
              <w:bottom w:val="single" w:sz="4" w:space="0" w:color="933734"/>
              <w:right w:val="single" w:sz="4" w:space="0" w:color="933734"/>
            </w:tcBorders>
            <w:shd w:val="clear" w:color="auto" w:fill="E4B8B7"/>
          </w:tcPr>
          <w:p>
            <w:pP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5" w:hRule="exact"/>
        </w:trPr>
        <w:tc>
          <w:tcPr>
            <w:tcW w:w="266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4"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1.17%</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0.0391</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0.0391</w:t>
            </w:r>
          </w:p>
        </w:tc>
      </w:tr>
      <w:tr>
        <w:trPr>
          <w:trHeight w:val="715" w:hRule="exact"/>
        </w:trPr>
        <w:tc>
          <w:tcPr>
            <w:tcW w:w="2662" w:type="dxa"/>
            <w:tcBorders>
              <w:top w:val="single" w:sz="4" w:space="0" w:color="933734"/>
              <w:left w:val="single" w:sz="4" w:space="0" w:color="933734"/>
              <w:bottom w:val="single" w:sz="4" w:space="0" w:color="933734"/>
              <w:right w:val="single" w:sz="4" w:space="0" w:color="933734"/>
            </w:tcBorders>
            <w:shd w:val="clear" w:color="auto" w:fill="E4B8B7"/>
          </w:tcPr>
          <w:p>
            <w:pPr>
              <w:pStyle w:val="TableParagraph"/>
              <w:spacing w:line="316"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2"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0.70%</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1913" w:type="dxa"/>
            <w:tcBorders>
              <w:top w:val="single" w:sz="4" w:space="0" w:color="933734"/>
              <w:left w:val="single" w:sz="4" w:space="0" w:color="933734"/>
              <w:bottom w:val="single" w:sz="4" w:space="0" w:color="933734"/>
              <w:right w:val="single" w:sz="4" w:space="0" w:color="93373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w:t>
            </w:r>
          </w:p>
        </w:tc>
      </w:tr>
    </w:tbl>
    <w:p>
      <w:pPr>
        <w:spacing w:line="240" w:lineRule="auto" w:before="3"/>
        <w:rPr>
          <w:rFonts w:ascii="宋体" w:hAnsi="宋体" w:cs="宋体" w:eastAsia="宋体" w:hint="default"/>
          <w:b/>
          <w:bCs/>
          <w:sz w:val="19"/>
          <w:szCs w:val="19"/>
        </w:rPr>
      </w:pPr>
    </w:p>
    <w:p>
      <w:pPr>
        <w:pStyle w:val="Heading4"/>
        <w:spacing w:line="240" w:lineRule="auto" w:before="36"/>
        <w:ind w:left="193" w:right="1036"/>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93" w:right="1036"/>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93" w:right="103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left="193" w:right="1036"/>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93" w:right="103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59" w:lineRule="auto" w:before="120"/>
        <w:ind w:left="193" w:right="1036"/>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93" w:right="1036"/>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79" w:top="1100" w:bottom="1260" w:left="94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5" w:right="0"/>
        <w:jc w:val="left"/>
        <w:rPr>
          <w:b w:val="0"/>
          <w:bCs w:val="0"/>
        </w:rPr>
      </w:pPr>
      <w:bookmarkStart w:name="_bookmark11" w:id="12"/>
      <w:bookmarkEnd w:id="12"/>
      <w:r>
        <w:rPr>
          <w:b w:val="0"/>
          <w:bCs w:val="0"/>
        </w:rPr>
      </w:r>
      <w:r>
        <w:rPr/>
        <w:t>第十二节</w:t>
      </w:r>
      <w:r>
        <w:rPr>
          <w:spacing w:val="-5"/>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544" w:lineRule="auto" w:before="272"/>
        <w:ind w:right="1126"/>
        <w:jc w:val="left"/>
      </w:pPr>
      <w:r>
        <w:rPr>
          <w:spacing w:val="-2"/>
        </w:rPr>
        <w:t>（一）载有公司法定代表人、主管会计工作负责人、会计机构负责人（会计主管人员）签名并盖章的</w:t>
      </w:r>
      <w:r>
        <w:rPr>
          <w:spacing w:val="-21"/>
        </w:rPr>
        <w:t> </w:t>
      </w:r>
      <w:r>
        <w:rPr>
          <w:spacing w:val="-21"/>
        </w:rPr>
      </w:r>
      <w:r>
        <w:rPr/>
        <w:t>财务报表；</w:t>
      </w:r>
    </w:p>
    <w:p>
      <w:pPr>
        <w:pStyle w:val="BodyText"/>
        <w:spacing w:line="240" w:lineRule="auto" w:before="82"/>
        <w:ind w:right="0"/>
        <w:jc w:val="left"/>
      </w:pPr>
      <w:r>
        <w:rPr/>
        <w:t>（二）载有会计师事务所盖章、注册会计师签名并盖章的审计报告原件。</w:t>
      </w:r>
    </w:p>
    <w:p>
      <w:pPr>
        <w:spacing w:line="240" w:lineRule="auto" w:before="9"/>
        <w:rPr>
          <w:rFonts w:ascii="宋体" w:hAnsi="宋体" w:cs="宋体" w:eastAsia="宋体" w:hint="default"/>
          <w:sz w:val="26"/>
          <w:szCs w:val="26"/>
        </w:rPr>
      </w:pPr>
    </w:p>
    <w:p>
      <w:pPr>
        <w:pStyle w:val="BodyText"/>
        <w:spacing w:line="544" w:lineRule="auto"/>
        <w:ind w:right="0"/>
        <w:jc w:val="left"/>
      </w:pPr>
      <w:r>
        <w:rPr>
          <w:spacing w:val="-16"/>
          <w:w w:val="100"/>
        </w:rPr>
        <w:t>（三）报告期内在《证券时报》、《上海证券报》、《中国证券报》、《证券日报》及巨潮资讯网公</w:t>
      </w:r>
      <w:r>
        <w:rPr>
          <w:spacing w:val="-91"/>
          <w:w w:val="100"/>
        </w:rPr>
        <w:t> </w:t>
      </w:r>
      <w:r>
        <w:rPr>
          <w:spacing w:val="-91"/>
          <w:w w:val="100"/>
        </w:rPr>
      </w:r>
      <w:r>
        <w:rPr/>
        <w:t>开披露过的所有公司文件的正本及公告的原稿；</w:t>
      </w:r>
    </w:p>
    <w:p>
      <w:pPr>
        <w:pStyle w:val="BodyText"/>
        <w:spacing w:line="240" w:lineRule="auto" w:before="82"/>
        <w:ind w:right="0"/>
        <w:jc w:val="left"/>
      </w:pPr>
      <w:r>
        <w:rPr/>
        <w:t>（四）载有董事长签名的</w:t>
      </w:r>
      <w:r>
        <w:rPr>
          <w:rFonts w:ascii="Times New Roman" w:hAnsi="Times New Roman" w:cs="Times New Roman" w:eastAsia="Times New Roman" w:hint="default"/>
        </w:rPr>
        <w:t>2018</w:t>
      </w:r>
      <w:r>
        <w:rPr/>
        <w:t>年度报告文本原件；</w:t>
      </w:r>
    </w:p>
    <w:p>
      <w:pPr>
        <w:spacing w:line="240" w:lineRule="auto" w:before="6"/>
        <w:rPr>
          <w:rFonts w:ascii="宋体" w:hAnsi="宋体" w:cs="宋体" w:eastAsia="宋体" w:hint="default"/>
          <w:sz w:val="25"/>
          <w:szCs w:val="25"/>
        </w:rPr>
      </w:pPr>
    </w:p>
    <w:p>
      <w:pPr>
        <w:pStyle w:val="BodyText"/>
        <w:spacing w:line="240" w:lineRule="auto"/>
        <w:ind w:right="0"/>
        <w:jc w:val="left"/>
      </w:pPr>
      <w:r>
        <w:rPr/>
        <w:t>（五）其他有关资料。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564" w:lineRule="auto"/>
        <w:ind w:left="7336" w:right="1126" w:hanging="841"/>
        <w:jc w:val="left"/>
      </w:pPr>
      <w:r>
        <w:rPr>
          <w:spacing w:val="-2"/>
        </w:rPr>
        <w:t>摩登大道时尚集团股份有限公司</w:t>
      </w:r>
      <w:r>
        <w:rPr>
          <w:spacing w:val="-76"/>
        </w:rPr>
        <w:t> </w:t>
      </w:r>
      <w:r>
        <w:rPr>
          <w:spacing w:val="-76"/>
        </w:rPr>
      </w:r>
      <w:r>
        <w:rPr/>
        <w:t>董事长：林永飞</w:t>
      </w:r>
      <w:r>
        <w:rPr>
          <w:w w:val="100"/>
        </w:rPr>
        <w:t> </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w:t>
      </w:r>
    </w:p>
    <w:sectPr>
      <w:pgSz w:w="11910" w:h="16840"/>
      <w:pgMar w:header="906" w:footer="1079" w:top="1100" w:bottom="12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7624" type="#_x0000_t75" stroked="false">
          <v:imagedata r:id="rId1" o:title=""/>
        </v:shape>
      </w:pict>
    </w:r>
    <w:r>
      <w:rPr/>
      <w:pict>
        <v:shape style="position:absolute;margin-left:295.440002pt;margin-top:777.959961pt;width:4.560pt;height:14.4pt;mso-position-horizontal-relative:page;mso-position-vertical-relative:page;z-index:-997600" type="#_x0000_t75" stroked="false">
          <v:imagedata r:id="rId2" o:title=""/>
        </v:shape>
      </w:pict>
    </w:r>
    <w:r>
      <w:rPr/>
      <w:pict>
        <v:shape style="position:absolute;margin-left:291.230011pt;margin-top:780.133911pt;width:13.15pt;height:11pt;mso-position-horizontal-relative:page;mso-position-vertical-relative:page;z-index:-997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w:t>
                </w:r>
                <w:r>
                  <w:rPr/>
                  <w:fldChar w:fldCharType="end"/>
                </w:r>
                <w:r>
                  <w:rPr>
                    <w:rFonts w:ascii="Times New Roman"/>
                    <w:b/>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7432" type="#_x0000_t75" stroked="false">
          <v:imagedata r:id="rId1" o:title=""/>
        </v:shape>
      </w:pict>
    </w:r>
    <w:r>
      <w:rPr/>
      <w:pict>
        <v:shape style="position:absolute;margin-left:290.880005pt;margin-top:777.959961pt;width:13.56pt;height:14.4pt;mso-position-horizontal-relative:page;mso-position-vertical-relative:page;z-index:-997408" type="#_x0000_t75" stroked="false">
          <v:imagedata r:id="rId2" o:title=""/>
        </v:shape>
      </w:pict>
    </w:r>
    <w:r>
      <w:rPr/>
      <w:pict>
        <v:shape style="position:absolute;margin-left:289.950012pt;margin-top:780.133911pt;width:15.7pt;height:11pt;mso-position-horizontal-relative:page;mso-position-vertical-relative:page;z-index:-997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7360" type="#_x0000_t75" stroked="false">
          <v:imagedata r:id="rId1" o:title=""/>
        </v:shape>
      </w:pict>
    </w:r>
    <w:r>
      <w:rPr/>
      <w:pict>
        <v:shape style="position:absolute;margin-left:290.880005pt;margin-top:777.959961pt;width:13.56pt;height:14.4pt;mso-position-horizontal-relative:page;mso-position-vertical-relative:page;z-index:-997336" type="#_x0000_t75" stroked="false">
          <v:imagedata r:id="rId2" o:title=""/>
        </v:shape>
      </w:pict>
    </w:r>
    <w:r>
      <w:rPr/>
      <w:pict>
        <v:shape style="position:absolute;margin-left:288.950012pt;margin-top:780.133911pt;width:17.7pt;height:11pt;mso-position-horizontal-relative:page;mso-position-vertical-relative:page;z-index:-997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101</w:t>
                </w:r>
                <w:r>
                  <w:rPr/>
                  <w:fldChar w:fldCharType="end"/>
                </w:r>
                <w:r>
                  <w:rPr>
                    <w:rFonts w:ascii="Times New Roman"/>
                    <w:b/>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7288" type="#_x0000_t75" stroked="false">
          <v:imagedata r:id="rId1" o:title=""/>
        </v:shape>
      </w:pict>
    </w:r>
    <w:r>
      <w:rPr/>
      <w:pict>
        <v:shape style="position:absolute;margin-left:291.119995pt;margin-top:777.959961pt;width:13.08pt;height:14.4pt;mso-position-horizontal-relative:page;mso-position-vertical-relative:page;z-index:-997264" type="#_x0000_t75" stroked="false">
          <v:imagedata r:id="rId2" o:title=""/>
        </v:shape>
      </w:pict>
    </w:r>
    <w:r>
      <w:rPr/>
      <w:pict>
        <v:shape style="position:absolute;margin-left:289.190002pt;margin-top:780.133911pt;width:17.05pt;height:11pt;mso-position-horizontal-relative:page;mso-position-vertical-relative:page;z-index:-997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110</w:t>
                </w:r>
                <w:r>
                  <w:rPr/>
                  <w:fldChar w:fldCharType="end"/>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7216" type="#_x0000_t75" stroked="false">
          <v:imagedata r:id="rId1" o:title=""/>
        </v:shape>
      </w:pict>
    </w:r>
    <w:r>
      <w:rPr/>
      <w:pict>
        <v:shape style="position:absolute;margin-left:290.880005pt;margin-top:777.959961pt;width:13.56pt;height:14.4pt;mso-position-horizontal-relative:page;mso-position-vertical-relative:page;z-index:-997192" type="#_x0000_t75" stroked="false">
          <v:imagedata r:id="rId2" o:title=""/>
        </v:shape>
      </w:pict>
    </w:r>
    <w:r>
      <w:rPr/>
      <w:pict>
        <v:shape style="position:absolute;margin-left:288.950012pt;margin-top:780.133911pt;width:17.7pt;height:11pt;mso-position-horizontal-relative:page;mso-position-vertical-relative:page;z-index:-997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120</w:t>
                </w:r>
                <w:r>
                  <w:rPr/>
                  <w:fldChar w:fldCharType="end"/>
                </w:r>
                <w:r>
                  <w:rPr>
                    <w:rFonts w:ascii="Times New Roman"/>
                    <w:b/>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7144" type="#_x0000_t75" stroked="false">
          <v:imagedata r:id="rId1" o:title=""/>
        </v:shape>
      </w:pict>
    </w:r>
    <w:r>
      <w:rPr/>
      <w:pict>
        <v:shape style="position:absolute;margin-left:290.880005pt;margin-top:777.959961pt;width:13.56pt;height:14.4pt;mso-position-horizontal-relative:page;mso-position-vertical-relative:page;z-index:-997120" type="#_x0000_t75" stroked="false">
          <v:imagedata r:id="rId2" o:title=""/>
        </v:shape>
      </w:pict>
    </w:r>
    <w:r>
      <w:rPr/>
      <w:pict>
        <v:shape style="position:absolute;margin-left:289.950012pt;margin-top:780.133911pt;width:15.7pt;height:11pt;mso-position-horizontal-relative:page;mso-position-vertical-relative:page;z-index:-997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200</w:t>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7072" type="#_x0000_t75" stroked="false">
          <v:imagedata r:id="rId1" o:title=""/>
        </v:shape>
      </w:pict>
    </w:r>
    <w:r>
      <w:rPr/>
      <w:pict>
        <v:shape style="position:absolute;margin-left:290.880005pt;margin-top:777.959961pt;width:13.56pt;height:14.4pt;mso-position-horizontal-relative:page;mso-position-vertical-relative:page;z-index:-997048" type="#_x0000_t75" stroked="false">
          <v:imagedata r:id="rId2" o:title=""/>
        </v:shape>
      </w:pict>
    </w:r>
    <w:r>
      <w:rPr/>
      <w:pict>
        <v:shape style="position:absolute;margin-left:288.950012pt;margin-top:780.133911pt;width:17.7pt;height:11pt;mso-position-horizontal-relative:page;mso-position-vertical-relative:page;z-index:-997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201</w:t>
                </w:r>
                <w:r>
                  <w:rPr/>
                  <w:fldChar w:fldCharType="end"/>
                </w:r>
                <w:r>
                  <w:rPr>
                    <w:rFonts w:ascii="Times New Roman"/>
                    <w:b/>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903999pt;margin-top:44.785606pt;width:483.9pt;height:11.5pt;mso-position-horizontal-relative:page;mso-position-vertical-relative:page;z-index:-997648" type="#_x0000_t202" filled="false" stroked="false">
          <v:textbox inset="0,0,0,0">
            <w:txbxContent>
              <w:p>
                <w:pPr>
                  <w:tabs>
                    <w:tab w:pos="5425"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摩登大道时尚集团股份有限公司</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2018 </w:t>
                </w:r>
                <w:r>
                  <w:rPr>
                    <w:rFonts w:ascii="宋体" w:hAnsi="宋体" w:cs="宋体" w:eastAsia="宋体" w:hint="default"/>
                    <w:sz w:val="18"/>
                    <w:szCs w:val="18"/>
                    <w:u w:val="single" w:color="000000"/>
                  </w:rPr>
                  <w:t>年年度报告全文</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903999pt;margin-top:44.785606pt;width:483.9pt;height:11.5pt;mso-position-horizontal-relative:page;mso-position-vertical-relative:page;z-index:-997552" type="#_x0000_t202" filled="false" stroked="false">
          <v:textbox inset="0,0,0,0">
            <w:txbxContent>
              <w:p>
                <w:pPr>
                  <w:tabs>
                    <w:tab w:pos="5425"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摩登大道时尚集团股份有限公司</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2018 </w:t>
                </w:r>
                <w:r>
                  <w:rPr>
                    <w:rFonts w:ascii="宋体" w:hAnsi="宋体" w:cs="宋体" w:eastAsia="宋体" w:hint="default"/>
                    <w:sz w:val="18"/>
                    <w:szCs w:val="18"/>
                    <w:u w:val="single" w:color="000000"/>
                  </w:rPr>
                  <w:t>年年度报告全文</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903999pt;margin-top:44.785606pt;width:483.9pt;height:11.5pt;mso-position-horizontal-relative:page;mso-position-vertical-relative:page;z-index:-997528" type="#_x0000_t202" filled="false" stroked="false">
          <v:textbox inset="0,0,0,0">
            <w:txbxContent>
              <w:p>
                <w:pPr>
                  <w:tabs>
                    <w:tab w:pos="5425"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摩登大道时尚集团股份有限公司</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2018 </w:t>
                </w:r>
                <w:r>
                  <w:rPr>
                    <w:rFonts w:ascii="宋体" w:hAnsi="宋体" w:cs="宋体" w:eastAsia="宋体" w:hint="default"/>
                    <w:sz w:val="18"/>
                    <w:szCs w:val="18"/>
                    <w:u w:val="single" w:color="000000"/>
                  </w:rPr>
                  <w:t>年年度报告全文</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903999pt;margin-top:44.785606pt;width:483.9pt;height:11.5pt;mso-position-horizontal-relative:page;mso-position-vertical-relative:page;z-index:-997504" type="#_x0000_t202" filled="false" stroked="false">
          <v:textbox inset="0,0,0,0">
            <w:txbxContent>
              <w:p>
                <w:pPr>
                  <w:tabs>
                    <w:tab w:pos="5425"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摩登大道时尚集团股份有限公司</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2018 </w:t>
                </w:r>
                <w:r>
                  <w:rPr>
                    <w:rFonts w:ascii="宋体" w:hAnsi="宋体" w:cs="宋体" w:eastAsia="宋体" w:hint="default"/>
                    <w:sz w:val="18"/>
                    <w:szCs w:val="18"/>
                    <w:u w:val="single" w:color="000000"/>
                  </w:rPr>
                  <w:t>年年度报告全文</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903999pt;margin-top:44.785606pt;width:483.9pt;height:11.5pt;mso-position-horizontal-relative:page;mso-position-vertical-relative:page;z-index:-997480" type="#_x0000_t202" filled="false" stroked="false">
          <v:textbox inset="0,0,0,0">
            <w:txbxContent>
              <w:p>
                <w:pPr>
                  <w:tabs>
                    <w:tab w:pos="5425"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摩登大道时尚集团股份有限公司</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2018 </w:t>
                </w:r>
                <w:r>
                  <w:rPr>
                    <w:rFonts w:ascii="宋体" w:hAnsi="宋体" w:cs="宋体" w:eastAsia="宋体" w:hint="default"/>
                    <w:sz w:val="18"/>
                    <w:szCs w:val="18"/>
                    <w:u w:val="single" w:color="000000"/>
                  </w:rPr>
                  <w:t>年年度报告全文</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903999pt;margin-top:44.785606pt;width:483.9pt;height:11.5pt;mso-position-horizontal-relative:page;mso-position-vertical-relative:page;z-index:-997456" type="#_x0000_t202" filled="false" stroked="false">
          <v:textbox inset="0,0,0,0">
            <w:txbxContent>
              <w:p>
                <w:pPr>
                  <w:tabs>
                    <w:tab w:pos="5425"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摩登大道时尚集团股份有限公司</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2018 </w:t>
                </w:r>
                <w:r>
                  <w:rPr>
                    <w:rFonts w:ascii="宋体" w:hAnsi="宋体" w:cs="宋体" w:eastAsia="宋体" w:hint="default"/>
                    <w:sz w:val="18"/>
                    <w:szCs w:val="18"/>
                    <w:u w:val="single" w:color="000000"/>
                  </w:rPr>
                  <w:t>年年度报告全文</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0"/>
      <w:ind w:left="113"/>
    </w:pPr>
    <w:rPr>
      <w:rFonts w:ascii="黑体" w:hAnsi="黑体" w:eastAsia="黑体"/>
      <w:sz w:val="24"/>
      <w:szCs w:val="24"/>
    </w:rPr>
  </w:style>
  <w:style w:styleId="BodyText" w:type="paragraph">
    <w:name w:val="Body Text"/>
    <w:basedOn w:val="Normal"/>
    <w:uiPriority w:val="1"/>
    <w:qFormat/>
    <w:pPr>
      <w:ind w:left="113"/>
    </w:pPr>
    <w:rPr>
      <w:rFonts w:ascii="宋体" w:hAnsi="宋体" w:eastAsia="宋体"/>
      <w:sz w:val="21"/>
      <w:szCs w:val="21"/>
    </w:rPr>
  </w:style>
  <w:style w:styleId="Heading1" w:type="paragraph">
    <w:name w:val="Heading 1"/>
    <w:basedOn w:val="Normal"/>
    <w:uiPriority w:val="1"/>
    <w:qFormat/>
    <w:pPr>
      <w:ind w:left="2924"/>
      <w:outlineLvl w:val="1"/>
    </w:pPr>
    <w:rPr>
      <w:rFonts w:ascii="宋体" w:hAnsi="宋体" w:eastAsia="宋体"/>
      <w:b/>
      <w:bCs/>
      <w:sz w:val="32"/>
      <w:szCs w:val="32"/>
    </w:rPr>
  </w:style>
  <w:style w:styleId="Heading2" w:type="paragraph">
    <w:name w:val="Heading 2"/>
    <w:basedOn w:val="Normal"/>
    <w:uiPriority w:val="1"/>
    <w:qFormat/>
    <w:pPr>
      <w:ind w:left="113"/>
      <w:outlineLvl w:val="2"/>
    </w:pPr>
    <w:rPr>
      <w:rFonts w:ascii="宋体" w:hAnsi="宋体" w:eastAsia="宋体"/>
      <w:b/>
      <w:bCs/>
      <w:sz w:val="24"/>
      <w:szCs w:val="24"/>
    </w:rPr>
  </w:style>
  <w:style w:styleId="Heading3" w:type="paragraph">
    <w:name w:val="Heading 3"/>
    <w:basedOn w:val="Normal"/>
    <w:uiPriority w:val="1"/>
    <w:qFormat/>
    <w:pPr>
      <w:ind w:left="113"/>
      <w:outlineLvl w:val="3"/>
    </w:pPr>
    <w:rPr>
      <w:rFonts w:ascii="宋体" w:hAnsi="宋体" w:eastAsia="宋体"/>
      <w:sz w:val="24"/>
      <w:szCs w:val="24"/>
    </w:rPr>
  </w:style>
  <w:style w:styleId="Heading4" w:type="paragraph">
    <w:name w:val="Heading 4"/>
    <w:basedOn w:val="Normal"/>
    <w:uiPriority w:val="1"/>
    <w:qFormat/>
    <w:pPr>
      <w:ind w:left="11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yperlink" Target="http://www.modernavenuegroup.com/" TargetMode="External"/><Relationship Id="rId18" Type="http://schemas.openxmlformats.org/officeDocument/2006/relationships/hyperlink" Target="mailto:investor@modernavenue.com" TargetMode="External"/><Relationship Id="rId19" Type="http://schemas.openxmlformats.org/officeDocument/2006/relationships/hyperlink" Target="http://www.cninfo.com.cn/" TargetMode="External"/><Relationship Id="rId20" Type="http://schemas.openxmlformats.org/officeDocument/2006/relationships/hyperlink" Target="http://www.cninfo.com.cn&#30340;/" TargetMode="External"/><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2.xml"/><Relationship Id="rId28" Type="http://schemas.openxmlformats.org/officeDocument/2006/relationships/header" Target="header3.xml"/><Relationship Id="rId29" Type="http://schemas.openxmlformats.org/officeDocument/2006/relationships/hyperlink" Target="http://www.cninfo.co/" TargetMode="Externa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header" Target="header6.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footer" Target="footer6.xml"/><Relationship Id="rId3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9.png"/></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9.png"/></Relationships>

</file>

<file path=word/_rels/footer4.xml.rels><?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20.png"/></Relationships>

</file>

<file path=word/_rels/footer5.xml.rels><?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9.png"/></Relationships>

</file>

<file path=word/_rels/footer6.xml.rels><?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9.png"/></Relationships>

</file>

<file path=word/_rels/footer7.xml.rels><?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dcterms:created xsi:type="dcterms:W3CDTF">2020-05-05T03:29:41Z</dcterms:created>
  <dcterms:modified xsi:type="dcterms:W3CDTF">2020-05-05T03:29:41Z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2010</vt:lpwstr>
  </property>
  <property fmtid="{D5CDD505-2E9C-101B-9397-08002B2CF9AE}" pid="4" name="LastSaved">
    <vt:filetime>2020-05-04T00:00:00Z</vt:filetime>
  </property>
</Properties>
</file>