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jpeg" ContentType="image/jpe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4"/>
          <w:szCs w:val="24"/>
        </w:rPr>
      </w:pPr>
    </w:p>
    <w:p>
      <w:pPr>
        <w:spacing w:line="1498" w:lineRule="exact"/>
        <w:ind w:left="410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9"/>
          <w:sz w:val="20"/>
          <w:szCs w:val="20"/>
        </w:rPr>
        <w:drawing>
          <wp:inline distT="0" distB="0" distL="0" distR="0">
            <wp:extent cx="1110249" cy="951642"/>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110249" cy="951642"/>
                    </a:xfrm>
                    <a:prstGeom prst="rect">
                      <a:avLst/>
                    </a:prstGeom>
                  </pic:spPr>
                </pic:pic>
              </a:graphicData>
            </a:graphic>
          </wp:inline>
        </w:drawing>
      </w:r>
      <w:r>
        <w:rPr>
          <w:rFonts w:ascii="Times New Roman" w:hAnsi="Times New Roman" w:cs="Times New Roman" w:eastAsia="Times New Roman" w:hint="default"/>
          <w:position w:val="-29"/>
          <w:sz w:val="20"/>
          <w:szCs w:val="20"/>
        </w:rPr>
      </w:r>
    </w:p>
    <w:p>
      <w:pPr>
        <w:spacing w:line="240" w:lineRule="auto" w:before="11"/>
        <w:rPr>
          <w:rFonts w:ascii="Times New Roman" w:hAnsi="Times New Roman" w:cs="Times New Roman" w:eastAsia="Times New Roman" w:hint="default"/>
          <w:sz w:val="23"/>
          <w:szCs w:val="23"/>
        </w:rPr>
      </w:pPr>
    </w:p>
    <w:p>
      <w:pPr>
        <w:spacing w:line="460" w:lineRule="exact" w:before="0"/>
        <w:ind w:left="2422" w:right="2421" w:firstLine="0"/>
        <w:jc w:val="center"/>
        <w:rPr>
          <w:rFonts w:ascii="宋体" w:hAnsi="宋体" w:cs="宋体" w:eastAsia="宋体" w:hint="default"/>
          <w:sz w:val="36"/>
          <w:szCs w:val="36"/>
        </w:rPr>
      </w:pPr>
      <w:r>
        <w:rPr>
          <w:rFonts w:ascii="宋体" w:hAnsi="宋体" w:cs="宋体" w:eastAsia="宋体" w:hint="default"/>
          <w:b/>
          <w:bCs/>
          <w:sz w:val="36"/>
          <w:szCs w:val="36"/>
        </w:rPr>
        <w:t>北京中科金财科技股份有限公司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422" w:right="24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422" w:right="24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0"/>
        <w:jc w:val="left"/>
        <w:rPr>
          <w:b w:val="0"/>
          <w:bCs w:val="0"/>
        </w:rPr>
      </w:pPr>
      <w:bookmarkStart w:name="_TOC_250010"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本公司董事会、监事会及董事、监事、高级管理人员保证本报告所载资料</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386" w:lineRule="auto" w:before="161"/>
        <w:ind w:left="153" w:right="15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公司负责人朱烨东、主管会计工作负责人赵学荣及会计机构负责人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张永声明：保证年度报告中财务报告的真实、准确、完整。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3"/>
          <w:sz w:val="28"/>
          <w:szCs w:val="28"/>
        </w:rPr>
        <w:t> </w:t>
      </w:r>
      <w:r>
        <w:rPr>
          <w:rFonts w:ascii="Times New Roman" w:hAnsi="Times New Roman" w:cs="Times New Roman" w:eastAsia="Times New Roman" w:hint="default"/>
          <w:b/>
          <w:bCs/>
          <w:sz w:val="28"/>
          <w:szCs w:val="28"/>
        </w:rPr>
        <w:t>2012</w:t>
      </w:r>
      <w:r>
        <w:rPr>
          <w:rFonts w:ascii="Times New Roman" w:hAnsi="Times New Roman" w:cs="Times New Roman" w:eastAsia="Times New Roman" w:hint="default"/>
          <w:b/>
          <w:bCs/>
          <w:spacing w:val="-13"/>
          <w:sz w:val="28"/>
          <w:szCs w:val="28"/>
        </w:rPr>
        <w:t> </w:t>
      </w:r>
      <w:r>
        <w:rPr>
          <w:rFonts w:ascii="宋体" w:hAnsi="宋体" w:cs="宋体" w:eastAsia="宋体" w:hint="default"/>
          <w:b/>
          <w:bCs/>
          <w:sz w:val="28"/>
          <w:szCs w:val="28"/>
        </w:rPr>
        <w:t>年</w:t>
      </w:r>
      <w:r>
        <w:rPr>
          <w:rFonts w:ascii="宋体" w:hAnsi="宋体" w:cs="宋体" w:eastAsia="宋体" w:hint="default"/>
          <w:b/>
          <w:bCs/>
          <w:spacing w:val="-83"/>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3"/>
          <w:sz w:val="28"/>
          <w:szCs w:val="28"/>
        </w:rPr>
        <w:t> </w:t>
      </w:r>
      <w:r>
        <w:rPr>
          <w:rFonts w:ascii="宋体" w:hAnsi="宋体" w:cs="宋体" w:eastAsia="宋体" w:hint="default"/>
          <w:b/>
          <w:bCs/>
          <w:sz w:val="28"/>
          <w:szCs w:val="28"/>
        </w:rPr>
        <w:t>月</w:t>
      </w:r>
      <w:r>
        <w:rPr>
          <w:rFonts w:ascii="宋体" w:hAnsi="宋体" w:cs="宋体" w:eastAsia="宋体" w:hint="default"/>
          <w:b/>
          <w:bCs/>
          <w:spacing w:val="-83"/>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2"/>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3" w:lineRule="exact" w:before="0"/>
        <w:ind w:left="154" w:right="0" w:firstLine="0"/>
        <w:jc w:val="left"/>
        <w:rPr>
          <w:rFonts w:ascii="Times New Roman" w:hAnsi="Times New Roman" w:cs="Times New Roman" w:eastAsia="Times New Roman" w:hint="default"/>
          <w:sz w:val="28"/>
          <w:szCs w:val="28"/>
        </w:rPr>
      </w:pPr>
      <w:r>
        <w:rPr>
          <w:rFonts w:ascii="宋体" w:hAnsi="宋体" w:cs="宋体" w:eastAsia="宋体" w:hint="default"/>
          <w:b/>
          <w:bCs/>
          <w:spacing w:val="1"/>
          <w:w w:val="99"/>
          <w:sz w:val="28"/>
          <w:szCs w:val="28"/>
        </w:rPr>
        <w:t>司总股本为基数，向全体股东</w:t>
      </w:r>
      <w:r>
        <w:rPr>
          <w:rFonts w:ascii="宋体" w:hAnsi="宋体" w:cs="宋体" w:eastAsia="宋体" w:hint="default"/>
          <w:b/>
          <w:bCs/>
          <w:w w:val="99"/>
          <w:sz w:val="28"/>
          <w:szCs w:val="28"/>
        </w:rPr>
        <w:t>每</w:t>
      </w:r>
      <w:r>
        <w:rPr>
          <w:rFonts w:ascii="宋体" w:hAnsi="宋体" w:cs="宋体" w:eastAsia="宋体" w:hint="default"/>
          <w:b/>
          <w:bCs/>
          <w:spacing w:val="-25"/>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z w:val="28"/>
          <w:szCs w:val="28"/>
        </w:rPr>
        <w:t> </w:t>
      </w:r>
      <w:r>
        <w:rPr>
          <w:rFonts w:ascii="Times New Roman" w:hAnsi="Times New Roman" w:cs="Times New Roman" w:eastAsia="Times New Roman" w:hint="default"/>
          <w:b/>
          <w:bCs/>
          <w:spacing w:val="-25"/>
          <w:sz w:val="28"/>
          <w:szCs w:val="28"/>
        </w:rPr>
        <w:t> </w:t>
      </w:r>
      <w:r>
        <w:rPr>
          <w:rFonts w:ascii="宋体" w:hAnsi="宋体" w:cs="宋体" w:eastAsia="宋体" w:hint="default"/>
          <w:b/>
          <w:bCs/>
          <w:spacing w:val="1"/>
          <w:w w:val="99"/>
          <w:sz w:val="28"/>
          <w:szCs w:val="28"/>
        </w:rPr>
        <w:t>股派发现金红</w:t>
      </w:r>
      <w:r>
        <w:rPr>
          <w:rFonts w:ascii="宋体" w:hAnsi="宋体" w:cs="宋体" w:eastAsia="宋体" w:hint="default"/>
          <w:b/>
          <w:bCs/>
          <w:w w:val="99"/>
          <w:sz w:val="28"/>
          <w:szCs w:val="28"/>
        </w:rPr>
        <w:t>利</w:t>
      </w:r>
      <w:r>
        <w:rPr>
          <w:rFonts w:ascii="宋体" w:hAnsi="宋体" w:cs="宋体" w:eastAsia="宋体" w:hint="default"/>
          <w:b/>
          <w:bCs/>
          <w:spacing w:val="-25"/>
          <w:sz w:val="28"/>
          <w:szCs w:val="28"/>
        </w:rPr>
        <w:t> </w:t>
      </w:r>
      <w:r>
        <w:rPr>
          <w:rFonts w:ascii="Times New Roman" w:hAnsi="Times New Roman" w:cs="Times New Roman" w:eastAsia="Times New Roman" w:hint="default"/>
          <w:b/>
          <w:bCs/>
          <w:w w:val="99"/>
          <w:sz w:val="28"/>
          <w:szCs w:val="28"/>
        </w:rPr>
        <w:t>1.5</w:t>
      </w:r>
      <w:r>
        <w:rPr>
          <w:rFonts w:ascii="Times New Roman" w:hAnsi="Times New Roman" w:cs="Times New Roman" w:eastAsia="Times New Roman" w:hint="default"/>
          <w:b/>
          <w:bCs/>
          <w:sz w:val="28"/>
          <w:szCs w:val="28"/>
        </w:rPr>
        <w:t> </w:t>
      </w:r>
      <w:r>
        <w:rPr>
          <w:rFonts w:ascii="Times New Roman" w:hAnsi="Times New Roman" w:cs="Times New Roman" w:eastAsia="Times New Roman" w:hint="default"/>
          <w:b/>
          <w:bCs/>
          <w:spacing w:val="-25"/>
          <w:sz w:val="28"/>
          <w:szCs w:val="28"/>
        </w:rPr>
        <w:t> </w:t>
      </w:r>
      <w:r>
        <w:rPr>
          <w:rFonts w:ascii="宋体" w:hAnsi="宋体" w:cs="宋体" w:eastAsia="宋体" w:hint="default"/>
          <w:b/>
          <w:bCs/>
          <w:spacing w:val="1"/>
          <w:w w:val="99"/>
          <w:sz w:val="28"/>
          <w:szCs w:val="28"/>
        </w:rPr>
        <w:t>元（含税</w:t>
      </w:r>
      <w:r>
        <w:rPr>
          <w:rFonts w:ascii="宋体" w:hAnsi="宋体" w:cs="宋体" w:eastAsia="宋体" w:hint="default"/>
          <w:b/>
          <w:bCs/>
          <w:spacing w:val="-140"/>
          <w:w w:val="99"/>
          <w:sz w:val="28"/>
          <w:szCs w:val="28"/>
        </w:rPr>
        <w:t>）</w:t>
      </w:r>
      <w:r>
        <w:rPr>
          <w:rFonts w:ascii="宋体" w:hAnsi="宋体" w:cs="宋体" w:eastAsia="宋体" w:hint="default"/>
          <w:b/>
          <w:bCs/>
          <w:spacing w:val="1"/>
          <w:w w:val="99"/>
          <w:sz w:val="28"/>
          <w:szCs w:val="28"/>
        </w:rPr>
        <w:t>，送红</w:t>
      </w:r>
      <w:r>
        <w:rPr>
          <w:rFonts w:ascii="宋体" w:hAnsi="宋体" w:cs="宋体" w:eastAsia="宋体" w:hint="default"/>
          <w:b/>
          <w:bCs/>
          <w:w w:val="99"/>
          <w:sz w:val="28"/>
          <w:szCs w:val="28"/>
        </w:rPr>
        <w:t>股</w:t>
      </w:r>
      <w:r>
        <w:rPr>
          <w:rFonts w:ascii="宋体" w:hAnsi="宋体" w:cs="宋体" w:eastAsia="宋体" w:hint="default"/>
          <w:b/>
          <w:bCs/>
          <w:spacing w:val="-25"/>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sz w:val="28"/>
          <w:szCs w:val="28"/>
        </w:rPr>
      </w:r>
    </w:p>
    <w:p>
      <w:pPr>
        <w:spacing w:line="448" w:lineRule="auto" w:before="237"/>
        <w:ind w:left="715" w:right="0" w:hanging="562"/>
        <w:jc w:val="left"/>
        <w:rPr>
          <w:rFonts w:ascii="宋体" w:hAnsi="宋体" w:cs="宋体" w:eastAsia="宋体" w:hint="default"/>
          <w:sz w:val="28"/>
          <w:szCs w:val="28"/>
        </w:rPr>
      </w:pPr>
      <w:r>
        <w:rPr>
          <w:rFonts w:ascii="宋体" w:hAnsi="宋体" w:cs="宋体" w:eastAsia="宋体" w:hint="default"/>
          <w:b/>
          <w:bCs/>
          <w:spacing w:val="-7"/>
          <w:w w:val="99"/>
          <w:sz w:val="28"/>
          <w:szCs w:val="28"/>
        </w:rPr>
        <w:t>股（含税），以资本公积金向全体股东每</w:t>
      </w:r>
      <w:r>
        <w:rPr>
          <w:rFonts w:ascii="宋体" w:hAnsi="宋体" w:cs="宋体" w:eastAsia="宋体" w:hint="default"/>
          <w:b/>
          <w:bCs/>
          <w:spacing w:val="-69"/>
          <w:w w:val="99"/>
          <w:sz w:val="28"/>
          <w:szCs w:val="28"/>
        </w:rPr>
        <w:t> </w:t>
      </w:r>
      <w:r>
        <w:rPr>
          <w:rFonts w:ascii="Times New Roman" w:hAnsi="Times New Roman" w:cs="Times New Roman" w:eastAsia="Times New Roman" w:hint="default"/>
          <w:b/>
          <w:bCs/>
          <w:w w:val="99"/>
          <w:sz w:val="28"/>
          <w:szCs w:val="28"/>
        </w:rPr>
        <w:t>10 </w:t>
      </w:r>
      <w:r>
        <w:rPr>
          <w:rFonts w:ascii="宋体" w:hAnsi="宋体" w:cs="宋体" w:eastAsia="宋体" w:hint="default"/>
          <w:b/>
          <w:bCs/>
          <w:w w:val="99"/>
          <w:sz w:val="28"/>
          <w:szCs w:val="28"/>
        </w:rPr>
        <w:t>股转增</w:t>
      </w:r>
      <w:r>
        <w:rPr>
          <w:rFonts w:ascii="宋体" w:hAnsi="宋体" w:cs="宋体" w:eastAsia="宋体" w:hint="default"/>
          <w:b/>
          <w:bCs/>
          <w:spacing w:val="-70"/>
          <w:w w:val="99"/>
          <w:sz w:val="28"/>
          <w:szCs w:val="28"/>
        </w:rPr>
        <w:t> </w:t>
      </w:r>
      <w:r>
        <w:rPr>
          <w:rFonts w:ascii="Times New Roman" w:hAnsi="Times New Roman" w:cs="Times New Roman" w:eastAsia="Times New Roman" w:hint="default"/>
          <w:b/>
          <w:bCs/>
          <w:w w:val="99"/>
          <w:sz w:val="28"/>
          <w:szCs w:val="28"/>
        </w:rPr>
        <w:t>5 </w:t>
      </w:r>
      <w:r>
        <w:rPr>
          <w:rFonts w:ascii="宋体" w:hAnsi="宋体" w:cs="宋体" w:eastAsia="宋体" w:hint="default"/>
          <w:b/>
          <w:bCs/>
          <w:spacing w:val="1"/>
          <w:w w:val="99"/>
          <w:sz w:val="28"/>
          <w:szCs w:val="28"/>
        </w:rPr>
        <w:t>股。</w:t>
      </w:r>
      <w:r>
        <w:rPr>
          <w:rFonts w:ascii="宋体" w:hAnsi="宋体" w:cs="宋体" w:eastAsia="宋体" w:hint="default"/>
          <w:b/>
          <w:bCs/>
          <w:spacing w:val="-137"/>
          <w:w w:val="99"/>
          <w:sz w:val="28"/>
          <w:szCs w:val="28"/>
        </w:rPr>
        <w:t> </w:t>
      </w:r>
      <w:r>
        <w:rPr>
          <w:rFonts w:ascii="宋体" w:hAnsi="宋体" w:cs="宋体" w:eastAsia="宋体" w:hint="default"/>
          <w:b/>
          <w:bCs/>
          <w:spacing w:val="4"/>
          <w:w w:val="95"/>
          <w:sz w:val="28"/>
          <w:szCs w:val="28"/>
        </w:rPr>
        <w:t>本报告中涉及未来发展规划等事项的前瞻性陈述，不构成公司对投资者的</w:t>
      </w:r>
      <w:r>
        <w:rPr>
          <w:rFonts w:ascii="宋体" w:hAnsi="宋体" w:cs="宋体" w:eastAsia="宋体" w:hint="default"/>
          <w:sz w:val="28"/>
          <w:szCs w:val="28"/>
        </w:rPr>
      </w:r>
    </w:p>
    <w:p>
      <w:pPr>
        <w:spacing w:before="15"/>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实质承诺，请投资者注意投资风险。</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82" w:header="747" w:top="1060" w:bottom="118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422" w:right="242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0" w:val="right" w:leader="dot"/>
            </w:tabs>
            <w:spacing w:line="240" w:lineRule="auto" w:before="0"/>
            <w:ind w:left="154"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0">
            <w:r>
              <w:rPr/>
              <w:t>第一节 重要提示、目录和释义</w:t>
            </w:r>
            <w:r>
              <w:rPr>
                <w:rFonts w:ascii="Times New Roman" w:hAnsi="Times New Roman" w:cs="Times New Roman" w:eastAsia="Times New Roman" w:hint="default"/>
              </w:rPr>
              <w:tab/>
              <w:t>2</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9">
            <w:r>
              <w:rPr/>
              <w:t>第二节 公司简介</w:t>
            </w:r>
            <w:r>
              <w:rPr>
                <w:rFonts w:ascii="Times New Roman" w:hAnsi="Times New Roman" w:cs="Times New Roman" w:eastAsia="Times New Roman" w:hint="default"/>
              </w:rPr>
              <w:tab/>
              <w:t>6</w:t>
            </w:r>
          </w:hyperlink>
        </w:p>
        <w:p>
          <w:pPr>
            <w:pStyle w:val="TOC1"/>
            <w:tabs>
              <w:tab w:pos="9780" w:val="right" w:leader="dot"/>
            </w:tabs>
            <w:spacing w:line="240" w:lineRule="auto" w:before="103"/>
            <w:ind w:right="0"/>
            <w:jc w:val="left"/>
            <w:rPr>
              <w:rFonts w:ascii="Times New Roman" w:hAnsi="Times New Roman" w:cs="Times New Roman" w:eastAsia="Times New Roman" w:hint="default"/>
            </w:rPr>
          </w:pPr>
          <w:hyperlink w:history="true" w:anchor="_TOC_250008">
            <w:r>
              <w:rPr/>
              <w:t>第三节 会计数据和财务指标摘要</w:t>
            </w:r>
            <w:r>
              <w:rPr>
                <w:rFonts w:ascii="Times New Roman" w:hAnsi="Times New Roman" w:cs="Times New Roman" w:eastAsia="Times New Roman" w:hint="default"/>
              </w:rPr>
              <w:tab/>
              <w:t>8</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7">
            <w:r>
              <w:rPr/>
              <w:t>第四节 董事会报告</w:t>
            </w:r>
            <w:r>
              <w:rPr>
                <w:rFonts w:ascii="Times New Roman" w:hAnsi="Times New Roman" w:cs="Times New Roman" w:eastAsia="Times New Roman" w:hint="default"/>
              </w:rPr>
              <w:tab/>
              <w:t>10</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6">
            <w:r>
              <w:rPr/>
              <w:t>第五节 重要事项</w:t>
            </w:r>
            <w:r>
              <w:rPr>
                <w:rFonts w:ascii="Times New Roman" w:hAnsi="Times New Roman" w:cs="Times New Roman" w:eastAsia="Times New Roman" w:hint="default"/>
              </w:rPr>
              <w:tab/>
              <w:t>32</w:t>
            </w:r>
          </w:hyperlink>
        </w:p>
        <w:p>
          <w:pPr>
            <w:pStyle w:val="TOC1"/>
            <w:tabs>
              <w:tab w:pos="9780" w:val="right" w:leader="dot"/>
            </w:tabs>
            <w:spacing w:line="240" w:lineRule="auto" w:before="103"/>
            <w:ind w:right="0"/>
            <w:jc w:val="left"/>
            <w:rPr>
              <w:rFonts w:ascii="Times New Roman" w:hAnsi="Times New Roman" w:cs="Times New Roman" w:eastAsia="Times New Roman" w:hint="default"/>
            </w:rPr>
          </w:pPr>
          <w:hyperlink w:history="true" w:anchor="_TOC_250005">
            <w:r>
              <w:rPr/>
              <w:t>第六节 股份变动及股东情况</w:t>
            </w:r>
            <w:r>
              <w:rPr>
                <w:rFonts w:ascii="Times New Roman" w:hAnsi="Times New Roman" w:cs="Times New Roman" w:eastAsia="Times New Roman" w:hint="default"/>
              </w:rPr>
              <w:tab/>
              <w:t>37</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4">
            <w:r>
              <w:rPr/>
              <w:t>第七节 董事、监事、高级管理人员和员工情况</w:t>
            </w:r>
            <w:r>
              <w:rPr>
                <w:rFonts w:ascii="Times New Roman" w:hAnsi="Times New Roman" w:cs="Times New Roman" w:eastAsia="Times New Roman" w:hint="default"/>
              </w:rPr>
              <w:tab/>
              <w:t>41</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3">
            <w:r>
              <w:rPr/>
              <w:t>第八节 公司治理</w:t>
            </w:r>
            <w:r>
              <w:rPr>
                <w:rFonts w:ascii="Times New Roman" w:hAnsi="Times New Roman" w:cs="Times New Roman" w:eastAsia="Times New Roman" w:hint="default"/>
              </w:rPr>
              <w:tab/>
              <w:t>48</w:t>
            </w:r>
          </w:hyperlink>
        </w:p>
        <w:p>
          <w:pPr>
            <w:pStyle w:val="TOC1"/>
            <w:tabs>
              <w:tab w:pos="9780" w:val="right" w:leader="dot"/>
            </w:tabs>
            <w:spacing w:line="240" w:lineRule="auto" w:before="103"/>
            <w:ind w:right="0"/>
            <w:jc w:val="left"/>
            <w:rPr>
              <w:rFonts w:ascii="Times New Roman" w:hAnsi="Times New Roman" w:cs="Times New Roman" w:eastAsia="Times New Roman" w:hint="default"/>
            </w:rPr>
          </w:pPr>
          <w:hyperlink w:history="true" w:anchor="_TOC_250002">
            <w:r>
              <w:rPr/>
              <w:t>第九节 内部控制</w:t>
            </w:r>
            <w:r>
              <w:rPr>
                <w:rFonts w:ascii="Times New Roman" w:hAnsi="Times New Roman" w:cs="Times New Roman" w:eastAsia="Times New Roman" w:hint="default"/>
              </w:rPr>
              <w:tab/>
              <w:t>56</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1">
            <w:r>
              <w:rPr/>
              <w:t>第十节 财务报告</w:t>
            </w:r>
            <w:r>
              <w:rPr>
                <w:rFonts w:ascii="Times New Roman" w:hAnsi="Times New Roman" w:cs="Times New Roman" w:eastAsia="Times New Roman" w:hint="default"/>
              </w:rPr>
              <w:tab/>
              <w:t>59</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0">
            <w:r>
              <w:rPr/>
              <w:t>第十一节 备查文件目录</w:t>
            </w:r>
            <w:r>
              <w:rPr>
                <w:rFonts w:ascii="Times New Roman" w:hAnsi="Times New Roman" w:cs="Times New Roman" w:eastAsia="Times New Roman" w:hint="default"/>
              </w:rPr>
              <w:tab/>
              <w:t>129</w:t>
            </w:r>
          </w:hyperlink>
        </w:p>
        <w:p>
          <w:pPr/>
          <w:r>
            <w:fldChar w:fldCharType="end"/>
          </w:r>
        </w:p>
      </w:sdtContent>
    </w:sdt>
    <w:p>
      <w:pPr>
        <w:spacing w:after="0"/>
        <w:sectPr>
          <w:pgSz w:w="11910" w:h="16840"/>
          <w:pgMar w:header="747" w:footer="982" w:top="1060" w:bottom="1180" w:left="980" w:right="980"/>
        </w:sectPr>
      </w:pPr>
    </w:p>
    <w:p>
      <w:pPr>
        <w:spacing w:before="946"/>
        <w:ind w:left="2422" w:right="242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中科金财、公司</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北京中科金财科技股份有限公司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中科商务</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北京中科金财电子商务有限公司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工信部</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中华人民共和国工业和信息化部</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银监会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中国银行业监督管理委员会</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国家发改委</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中华人民共和国国家发展和改革委员会</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3991" w:right="4085"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398" w:lineRule="auto" w:before="0"/>
        <w:ind w:left="153" w:right="0" w:firstLine="561"/>
        <w:jc w:val="left"/>
        <w:rPr>
          <w:rFonts w:ascii="宋体" w:hAnsi="宋体" w:cs="宋体" w:eastAsia="宋体" w:hint="default"/>
          <w:sz w:val="28"/>
          <w:szCs w:val="28"/>
        </w:rPr>
      </w:pPr>
      <w:r>
        <w:rPr>
          <w:rFonts w:ascii="宋体" w:hAnsi="宋体" w:cs="宋体" w:eastAsia="宋体" w:hint="default"/>
          <w:b/>
          <w:bCs/>
          <w:spacing w:val="-1"/>
          <w:w w:val="95"/>
          <w:sz w:val="28"/>
          <w:szCs w:val="28"/>
        </w:rPr>
        <w:t>公司存在的风险因素主要有市场竞争风险、行业技术风险、人力资源风险、</w:t>
      </w:r>
      <w:r>
        <w:rPr>
          <w:rFonts w:ascii="宋体" w:hAnsi="宋体" w:cs="宋体" w:eastAsia="宋体" w:hint="default"/>
          <w:b/>
          <w:bCs/>
          <w:spacing w:val="1"/>
          <w:w w:val="99"/>
          <w:sz w:val="28"/>
          <w:szCs w:val="28"/>
        </w:rPr>
        <w:t> </w:t>
      </w:r>
      <w:r>
        <w:rPr>
          <w:rFonts w:ascii="宋体" w:hAnsi="宋体" w:cs="宋体" w:eastAsia="宋体" w:hint="default"/>
          <w:b/>
          <w:bCs/>
          <w:sz w:val="28"/>
          <w:szCs w:val="28"/>
        </w:rPr>
        <w:t>运营管理风险等，有关主要风险因素及公司应对措施已在本报告第四节</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董事会</w:t>
      </w:r>
      <w:r>
        <w:rPr>
          <w:rFonts w:ascii="宋体" w:hAnsi="宋体" w:cs="宋体" w:eastAsia="宋体" w:hint="default"/>
          <w:b/>
          <w:bCs/>
          <w:spacing w:val="1"/>
          <w:w w:val="99"/>
          <w:sz w:val="28"/>
          <w:szCs w:val="28"/>
        </w:rPr>
        <w:t> </w:t>
      </w:r>
      <w:r>
        <w:rPr>
          <w:rFonts w:ascii="宋体" w:hAnsi="宋体" w:cs="宋体" w:eastAsia="宋体" w:hint="default"/>
          <w:b/>
          <w:bCs/>
          <w:sz w:val="28"/>
          <w:szCs w:val="28"/>
        </w:rPr>
        <w:t>报告</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中</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公司未来发展的展望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详细阐述。</w:t>
      </w:r>
      <w:r>
        <w:rPr>
          <w:rFonts w:ascii="宋体" w:hAnsi="宋体" w:cs="宋体" w:eastAsia="宋体" w:hint="default"/>
          <w:sz w:val="28"/>
          <w:szCs w:val="28"/>
        </w:rPr>
      </w:r>
    </w:p>
    <w:p>
      <w:pPr>
        <w:spacing w:after="0" w:line="398" w:lineRule="auto"/>
        <w:jc w:val="left"/>
        <w:rPr>
          <w:rFonts w:ascii="宋体" w:hAnsi="宋体" w:cs="宋体" w:eastAsia="宋体" w:hint="default"/>
          <w:sz w:val="28"/>
          <w:szCs w:val="28"/>
        </w:rPr>
        <w:sectPr>
          <w:pgSz w:w="11910" w:h="16840"/>
          <w:pgMar w:header="747" w:footer="982" w:top="1060" w:bottom="1180" w:left="980" w:right="880"/>
        </w:sectPr>
      </w:pPr>
    </w:p>
    <w:p>
      <w:pPr>
        <w:spacing w:line="240" w:lineRule="auto" w:before="0"/>
        <w:rPr>
          <w:rFonts w:ascii="宋体" w:hAnsi="宋体" w:cs="宋体" w:eastAsia="宋体" w:hint="default"/>
          <w:b/>
          <w:bCs/>
          <w:sz w:val="20"/>
          <w:szCs w:val="20"/>
        </w:rPr>
      </w:pPr>
      <w:r>
        <w:rPr/>
        <w:pict>
          <v:group style="position:absolute;margin-left:171.059998pt;margin-top:269.190002pt;width:362.7pt;height:20.7pt;mso-position-horizontal-relative:page;mso-position-vertical-relative:page;z-index:-671200" coordorigin="3421,5384" coordsize="7254,414">
            <v:group style="position:absolute;left:3433;top:5395;width:2;height:392" coordorigin="3433,5395" coordsize="2,392">
              <v:shape style="position:absolute;left:3433;top:5395;width:2;height:392" coordorigin="3433,5395" coordsize="0,392" path="m3433,5395l3433,5786e" filled="false" stroked="true" strokeweight="1.140pt" strokecolor="#ffffff">
                <v:path arrowok="t"/>
              </v:shape>
            </v:group>
            <v:group style="position:absolute;left:3444;top:5395;width:7232;height:392" coordorigin="3444,5395" coordsize="7232,392">
              <v:shape style="position:absolute;left:3444;top:5395;width:7232;height:392" coordorigin="3444,5395" coordsize="7232,392" path="m3444,5786l10675,5786,10675,5395,3444,5395,3444,5786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2421"/>
        <w:jc w:val="center"/>
        <w:rPr>
          <w:b w:val="0"/>
          <w:bCs w:val="0"/>
        </w:rPr>
      </w:pPr>
      <w:bookmarkStart w:name="_TOC_250009" w:id="2"/>
      <w:r>
        <w:rPr/>
        <w:t>第二节</w:t>
      </w:r>
      <w:r>
        <w:rPr>
          <w:spacing w:val="-5"/>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0"/>
        <w:gridCol w:w="2977"/>
        <w:gridCol w:w="2134"/>
        <w:gridCol w:w="2188"/>
      </w:tblGrid>
      <w:tr>
        <w:trPr>
          <w:trHeight w:val="403"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中科金财</w:t>
            </w:r>
          </w:p>
        </w:tc>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002657</w:t>
            </w:r>
          </w:p>
        </w:tc>
      </w:tr>
      <w:tr>
        <w:trPr>
          <w:trHeight w:val="401"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北京中科金财科技股份有限公司</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中科金财</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pacing w:val="-5"/>
                <w:sz w:val="18"/>
              </w:rPr>
              <w:t>SINODATA </w:t>
            </w:r>
            <w:r>
              <w:rPr>
                <w:rFonts w:ascii="Times New Roman"/>
                <w:sz w:val="18"/>
              </w:rPr>
              <w:t>CO.,</w:t>
            </w:r>
            <w:r>
              <w:rPr>
                <w:rFonts w:ascii="Times New Roman"/>
                <w:spacing w:val="-5"/>
                <w:sz w:val="18"/>
              </w:rPr>
              <w:t> LTD.</w:t>
            </w:r>
            <w:r>
              <w:rPr>
                <w:rFonts w:ascii="Times New Roman"/>
                <w:sz w:val="18"/>
              </w:rPr>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90" w:right="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SINODATA</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朱烨东</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号楼首享科技大厦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100191</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号楼首享科技大厦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100191</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9">
              <w:r>
                <w:rPr>
                  <w:rFonts w:ascii="Times New Roman"/>
                  <w:sz w:val="18"/>
                </w:rPr>
                <w:t>www.sinodata.net.cn</w:t>
              </w:r>
            </w:hyperlink>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0">
              <w:r>
                <w:rPr>
                  <w:rFonts w:ascii="Times New Roman"/>
                  <w:sz w:val="18"/>
                </w:rPr>
                <w:t>zkjc@sinodata.net.cn</w:t>
              </w:r>
            </w:hyperlink>
          </w:p>
        </w:tc>
      </w:tr>
    </w:tbl>
    <w:p>
      <w:pPr>
        <w:spacing w:line="240" w:lineRule="auto" w:before="2"/>
        <w:rPr>
          <w:rFonts w:ascii="宋体" w:hAnsi="宋体" w:cs="宋体" w:eastAsia="宋体" w:hint="default"/>
          <w:b/>
          <w:bCs/>
          <w:sz w:val="18"/>
          <w:szCs w:val="18"/>
        </w:rPr>
      </w:pPr>
    </w:p>
    <w:p>
      <w:pPr>
        <w:pStyle w:val="Heading2"/>
        <w:spacing w:line="240" w:lineRule="auto"/>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李明珠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贺岩</w:t>
            </w:r>
          </w:p>
        </w:tc>
      </w:tr>
      <w:tr>
        <w:trPr>
          <w:trHeight w:val="161" w:hRule="exact"/>
        </w:trPr>
        <w:tc>
          <w:tcPr>
            <w:tcW w:w="3178"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9" w:space="0" w:color="D3D3D3"/>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号楼首享科技大</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号楼首享科技大</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2" w:hRule="exact"/>
        </w:trPr>
        <w:tc>
          <w:tcPr>
            <w:tcW w:w="317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3D3D3"/>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8"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9" w:space="0" w:color="D3D3D3"/>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010-62309608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010-62309608</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010-62309595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010-62309595</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hyperlink r:id="rId10">
              <w:r>
                <w:rPr>
                  <w:rFonts w:ascii="Times New Roman"/>
                  <w:sz w:val="18"/>
                </w:rPr>
                <w:t>zkjc@sinodata.net.cn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zkjc@sinodata.net.cn</w:t>
              </w:r>
            </w:hyperlink>
          </w:p>
        </w:tc>
      </w:tr>
    </w:tbl>
    <w:p>
      <w:pPr>
        <w:spacing w:line="240" w:lineRule="auto" w:before="2"/>
        <w:rPr>
          <w:rFonts w:ascii="宋体" w:hAnsi="宋体" w:cs="宋体" w:eastAsia="宋体" w:hint="default"/>
          <w:b/>
          <w:bCs/>
          <w:sz w:val="18"/>
          <w:szCs w:val="18"/>
        </w:rPr>
      </w:pPr>
    </w:p>
    <w:p>
      <w:pPr>
        <w:pStyle w:val="Heading2"/>
        <w:spacing w:line="240" w:lineRule="auto"/>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0"/>
      </w:tblGrid>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董事会办公室</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ind w:right="0"/>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9" w:space="0" w:color="D3D3D3"/>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北京市工商行政管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1101081633302</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110108757740123</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75774012-3</w:t>
            </w: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3D3D3"/>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0"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9"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9" w:space="0" w:color="D3D3D3"/>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北京市工商行政管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110108006333023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110108757740123</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75774012-3</w:t>
            </w: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3D3D3"/>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0"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9"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7"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公司自上市以来主营业务未发生变化。</w:t>
            </w:r>
          </w:p>
        </w:tc>
      </w:tr>
      <w:tr>
        <w:trPr>
          <w:trHeight w:val="402"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公司控股股东未发生变更。</w:t>
            </w:r>
          </w:p>
        </w:tc>
      </w:tr>
    </w:tbl>
    <w:p>
      <w:pPr>
        <w:spacing w:line="240" w:lineRule="auto" w:before="2"/>
        <w:rPr>
          <w:rFonts w:ascii="宋体" w:hAnsi="宋体" w:cs="宋体" w:eastAsia="宋体" w:hint="default"/>
          <w:b/>
          <w:bCs/>
          <w:sz w:val="18"/>
          <w:szCs w:val="18"/>
        </w:rPr>
      </w:pPr>
    </w:p>
    <w:p>
      <w:pPr>
        <w:pStyle w:val="Heading2"/>
        <w:spacing w:line="240" w:lineRule="auto"/>
        <w:ind w:right="0"/>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0"/>
        <w:gridCol w:w="6917"/>
      </w:tblGrid>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朱锦梅、张静</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东北证券股份有限公司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北京市西城区锦什坊街</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田树春、郭兆强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_TOC_250008" w:id="3"/>
      <w:r>
        <w:rPr/>
        <w:t>第三节</w:t>
      </w:r>
      <w:r>
        <w:rPr>
          <w:spacing w:val="-11"/>
        </w:rPr>
        <w:t> </w:t>
      </w:r>
      <w:r>
        <w:rPr/>
        <w:t>会计数据和财务指标摘要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before="0"/>
        <w:ind w:right="0"/>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6"/>
        <w:gridCol w:w="1750"/>
        <w:gridCol w:w="1738"/>
        <w:gridCol w:w="1739"/>
        <w:gridCol w:w="1735"/>
      </w:tblGrid>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521,676,656.99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458,893,487.69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390,793,578.12</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63,372,945.76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56,306,779.89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42,854,564.15</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5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61,090,241.70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51,505,574.02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40,139,653.84</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-9,874,664.84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64,444,872.91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-115.32%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43,018,933.73</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0.86</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0.86</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26.07%</w:t>
            </w:r>
          </w:p>
        </w:tc>
      </w:tr>
      <w:tr>
        <w:trPr>
          <w:trHeight w:val="161" w:hRule="exact"/>
        </w:trPr>
        <w:tc>
          <w:tcPr>
            <w:tcW w:w="2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750"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2596" w:type="dxa"/>
            <w:tcBorders>
              <w:top w:val="nil" w:sz="6" w:space="0" w:color="auto"/>
              <w:left w:val="single" w:sz="4" w:space="0" w:color="000000"/>
              <w:bottom w:val="nil" w:sz="6" w:space="0" w:color="auto"/>
              <w:right w:val="single" w:sz="4" w:space="0" w:color="000000"/>
            </w:tcBorders>
            <w:shd w:val="clear" w:color="auto" w:fill="D3D3D3"/>
          </w:tcPr>
          <w:p>
            <w:pPr/>
          </w:p>
        </w:tc>
        <w:tc>
          <w:tcPr>
            <w:tcW w:w="17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1739" w:type="dxa"/>
            <w:vMerge/>
            <w:tcBorders>
              <w:left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750"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9" w:type="dxa"/>
            <w:vMerge/>
            <w:tcBorders>
              <w:left w:val="single" w:sz="4" w:space="0" w:color="000000"/>
              <w:bottom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1,018,573,636.31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414,347,983.61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354,411,363.04</w:t>
            </w:r>
          </w:p>
        </w:tc>
      </w:tr>
      <w:tr>
        <w:trPr>
          <w:trHeight w:val="1026"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9" w:lineRule="auto" w:before="76"/>
              <w:ind w:left="11" w:right="53"/>
              <w:jc w:val="left"/>
              <w:rPr>
                <w:rFonts w:ascii="宋体" w:hAnsi="宋体" w:cs="宋体" w:eastAsia="宋体" w:hint="default"/>
                <w:sz w:val="18"/>
                <w:szCs w:val="18"/>
              </w:rPr>
            </w:pPr>
            <w:r>
              <w:rPr>
                <w:rFonts w:ascii="宋体" w:hAnsi="宋体" w:cs="宋体" w:eastAsia="宋体" w:hint="default"/>
                <w:sz w:val="18"/>
                <w:szCs w:val="18"/>
              </w:rPr>
              <w:t>（归属于上市公司股东的所有者 </w:t>
            </w:r>
            <w:r>
              <w:rPr>
                <w:rFonts w:ascii="宋体" w:hAnsi="宋体" w:cs="宋体" w:eastAsia="宋体" w:hint="default"/>
                <w:spacing w:val="-15"/>
                <w:sz w:val="18"/>
                <w:szCs w:val="18"/>
              </w:rPr>
              <w:t>权益）（元）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658,621,558.18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261,515,095.18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151.85%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205,208,315.29</w:t>
            </w:r>
          </w:p>
        </w:tc>
      </w:tr>
    </w:tbl>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二、非经常性损益项目及金额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1"/>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1" w:type="dxa"/>
            <w:tcBorders>
              <w:top w:val="single" w:sz="4" w:space="0" w:color="000000"/>
              <w:left w:val="single" w:sz="13" w:space="0" w:color="D3D3D3"/>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-64,386.26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708,212.13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2,685,534.19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5,710,863.75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2,485,800.00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1" w:type="dxa"/>
            <w:tcBorders>
              <w:top w:val="single" w:sz="4" w:space="0" w:color="000000"/>
              <w:left w:val="single" w:sz="13" w:space="0" w:color="D3D3D3"/>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402,830.13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847,271.62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479,101.82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2,282,704.06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4,801,205.87</w:t>
            </w:r>
          </w:p>
        </w:tc>
        <w:tc>
          <w:tcPr>
            <w:tcW w:w="1522"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2,714,910.31</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spacing w:line="302" w:lineRule="auto" w:before="44"/>
        <w:ind w:left="154" w:right="137"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1" w:right="3647"/>
        <w:jc w:val="center"/>
        <w:rPr>
          <w:b w:val="0"/>
          <w:bCs w:val="0"/>
        </w:rPr>
      </w:pPr>
      <w:bookmarkStart w:name="_TOC_250007"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102"/>
        <w:jc w:val="left"/>
        <w:rPr>
          <w:b w:val="0"/>
          <w:bCs w:val="0"/>
        </w:rPr>
      </w:pPr>
      <w:r>
        <w:rPr/>
        <w:t>一、概述</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153" w:right="102" w:firstLine="426"/>
        <w:jc w:val="left"/>
      </w:pPr>
      <w:r>
        <w:rPr/>
        <w:t>2012年，公司进一步贯彻“行业化、服务化、一体化、产品化”的经营战略，不断提升行业应用深度 和广度，继续巩固和提高了公司在数据中心、IT服务管理、银行影像、银行电子商务等领域的市场占有率 和竞争优势，进一步扩大了全国的营销与服务网络，不断健全以企业技术中心为核心的创新机制，加强人 </w:t>
      </w:r>
      <w:r>
        <w:rPr>
          <w:spacing w:val="-3"/>
        </w:rPr>
        <w:t>才队伍培养和引进，提升软件产品的研发和产业化速度，推动商业模式创新，并积极发展新的利润增长点。</w:t>
      </w:r>
      <w:r>
        <w:rPr>
          <w:spacing w:val="-90"/>
        </w:rPr>
        <w:t> </w:t>
      </w:r>
      <w:r>
        <w:rPr>
          <w:spacing w:val="-90"/>
        </w:rPr>
      </w:r>
      <w:r>
        <w:rPr/>
        <w:t>报告期内，公司实现营业收入521,676,656.99元，较上年同期增长13.68％；营业利润52,084,546.63元，</w:t>
      </w:r>
      <w:r>
        <w:rPr/>
        <w:t> 较上年同期增长5.39%；归属于上市公司股东的净利润63,372,945.76元，较上年同期增长12.55%。主要源 于公司夯实优势领域、加快运维服务网点的建设、大力推进募集资金项目建设等，保证公司的持续健康发 展。</w:t>
      </w:r>
    </w:p>
    <w:p>
      <w:pPr>
        <w:spacing w:line="240" w:lineRule="auto" w:before="11"/>
        <w:rPr>
          <w:rFonts w:ascii="宋体" w:hAnsi="宋体" w:cs="宋体" w:eastAsia="宋体" w:hint="default"/>
          <w:sz w:val="18"/>
          <w:szCs w:val="18"/>
        </w:rPr>
      </w:pPr>
    </w:p>
    <w:p>
      <w:pPr>
        <w:pStyle w:val="Heading2"/>
        <w:spacing w:line="240" w:lineRule="auto" w:before="0"/>
        <w:ind w:right="102"/>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02" w:firstLine="498"/>
        <w:jc w:val="left"/>
        <w:rPr>
          <w:rFonts w:ascii="宋体" w:hAnsi="宋体" w:cs="宋体" w:eastAsia="宋体" w:hint="default"/>
        </w:rPr>
      </w:pPr>
      <w:r>
        <w:rPr>
          <w:spacing w:val="-5"/>
        </w:rPr>
        <w:t>报告期内，公司的经营状况良好，各项业务围绕公司年度经营计划有序开展，利用公司在人才、技术、</w:t>
      </w:r>
      <w:r>
        <w:rPr/>
        <w:t> 资金、市场、管理、产品等方面的储备和积累，在继续巩固原有优势领域的基础上，加大对智能银行、银 行电子商务、票据ATM机等新兴领域的投入力度，在产品研发、市场拓展、营销队伍建设等方面取得了较 </w:t>
      </w:r>
      <w:r>
        <w:rPr>
          <w:spacing w:val="-5"/>
        </w:rPr>
        <w:t>好的成绩。其中，主营业务收入518,551,596.94元，比去年同期增长14.50%，主营业务成本285,541,910.29</w:t>
      </w:r>
      <w:r>
        <w:rPr>
          <w:spacing w:val="-52"/>
        </w:rPr>
        <w:t> </w:t>
      </w:r>
      <w:r>
        <w:rPr>
          <w:spacing w:val="-52"/>
        </w:rPr>
      </w:r>
      <w:r>
        <w:rPr/>
        <w:t>元，比去年同期下降0.83%，营业利润52,084,546.63元，比去年同期增长5.39%。</w:t>
      </w:r>
      <w:r>
        <w:rPr/>
        <w:t> </w:t>
      </w:r>
      <w:r>
        <w:rPr>
          <w:rFonts w:ascii="宋体" w:hAnsi="宋体" w:cs="宋体" w:eastAsia="宋体" w:hint="default"/>
          <w:b/>
          <w:bCs/>
        </w:rPr>
        <w:t>公司回顾总结前期披露的发展战略和经营计划在报告期内的进展情况</w:t>
      </w:r>
      <w:r>
        <w:rPr>
          <w:rFonts w:ascii="宋体" w:hAnsi="宋体" w:cs="宋体" w:eastAsia="宋体" w:hint="default"/>
        </w:rPr>
      </w:r>
    </w:p>
    <w:p>
      <w:pPr>
        <w:pStyle w:val="BodyText"/>
        <w:spacing w:line="408" w:lineRule="auto"/>
        <w:ind w:right="209" w:firstLine="420"/>
        <w:jc w:val="both"/>
      </w:pPr>
      <w:r>
        <w:rPr>
          <w:spacing w:val="-1"/>
        </w:rPr>
        <w:t>2012年公司继续深化和巩固在企业、政府、银行等数据中心、IT服务管理、银行影像、银行电子商务</w:t>
      </w:r>
      <w:r>
        <w:rPr/>
        <w:t> </w:t>
      </w:r>
      <w:r>
        <w:rPr>
          <w:spacing w:val="-1"/>
        </w:rPr>
        <w:t>等领域的市场领先地位，坚持“行业化、服务化、一体化、产品化”的经营战略，增强高端咨询能力、设</w:t>
      </w:r>
      <w:r>
        <w:rPr>
          <w:spacing w:val="-83"/>
        </w:rPr>
        <w:t> </w:t>
      </w:r>
      <w:r>
        <w:rPr>
          <w:spacing w:val="-83"/>
        </w:rPr>
      </w:r>
      <w:r>
        <w:rPr>
          <w:spacing w:val="-1"/>
        </w:rPr>
        <w:t>计规划能力、软硬件标准化产品开发能力，积极拓展智能银行、银行票据自动柜员机、银行电子商务新兴</w:t>
      </w:r>
      <w:r>
        <w:rPr>
          <w:spacing w:val="-82"/>
        </w:rPr>
        <w:t> </w:t>
      </w:r>
      <w:r>
        <w:rPr>
          <w:spacing w:val="-82"/>
        </w:rPr>
      </w:r>
      <w:r>
        <w:rPr>
          <w:spacing w:val="-1"/>
        </w:rPr>
        <w:t>业务，努力打造全业务链的IT综合服务提供商。公司在市场开发和营销服务网络建设、产品开发、人才扩</w:t>
      </w:r>
      <w:r>
        <w:rPr>
          <w:spacing w:val="-83"/>
        </w:rPr>
        <w:t> </w:t>
      </w:r>
      <w:r>
        <w:rPr>
          <w:spacing w:val="-83"/>
        </w:rPr>
      </w:r>
      <w:r>
        <w:rPr/>
        <w:t>充、资本运营等方面采取了一系列针对性措施，保持并增强了公司成长性及业务的稳定性。</w:t>
      </w:r>
    </w:p>
    <w:p>
      <w:pPr>
        <w:pStyle w:val="BodyText"/>
        <w:spacing w:line="408" w:lineRule="auto"/>
        <w:ind w:right="209" w:firstLine="420"/>
        <w:jc w:val="both"/>
      </w:pPr>
      <w:r>
        <w:rPr>
          <w:spacing w:val="-1"/>
        </w:rPr>
        <w:t>营销服务网络建设：公司目前已经在上海、武汉、西安、广州、成都、杭州、沈阳、南京等地设立了</w:t>
      </w:r>
      <w:r>
        <w:rPr/>
        <w:t> </w:t>
      </w:r>
      <w:r>
        <w:rPr>
          <w:spacing w:val="-1"/>
        </w:rPr>
        <w:t>营销服务机构，已基本形成了以北京为中心、遍布全国的营销和服务网络体系，初步完成了从一家北京的</w:t>
      </w:r>
      <w:r>
        <w:rPr>
          <w:spacing w:val="-83"/>
        </w:rPr>
        <w:t> </w:t>
      </w:r>
      <w:r>
        <w:rPr>
          <w:spacing w:val="-83"/>
        </w:rPr>
      </w:r>
      <w:r>
        <w:rPr>
          <w:spacing w:val="-1"/>
        </w:rPr>
        <w:t>区域型公司向全国性公司的转变，使公司能够更加贴近客户，把高品质服务更快捷地交付给客户。营销与</w:t>
      </w:r>
    </w:p>
    <w:p>
      <w:pPr>
        <w:spacing w:after="0" w:line="408" w:lineRule="auto"/>
        <w:jc w:val="both"/>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4"/>
        <w:ind w:right="121"/>
        <w:jc w:val="left"/>
      </w:pPr>
      <w:r>
        <w:rPr>
          <w:spacing w:val="-1"/>
        </w:rPr>
        <w:t>服务网络体系的建立扩大了公司的服务与产品线的覆盖范围，进一步提高了公司的行业知名度和品牌影响</w:t>
      </w:r>
      <w:r>
        <w:rPr>
          <w:spacing w:val="-81"/>
        </w:rPr>
        <w:t> </w:t>
      </w:r>
      <w:r>
        <w:rPr>
          <w:spacing w:val="-81"/>
        </w:rPr>
      </w:r>
      <w:r>
        <w:rPr/>
        <w:t>力，为公司快速有效地开拓市场、提高市场份额提供有力的保证。</w:t>
      </w:r>
    </w:p>
    <w:p>
      <w:pPr>
        <w:pStyle w:val="BodyText"/>
        <w:spacing w:line="408" w:lineRule="auto"/>
        <w:ind w:right="231" w:firstLine="420"/>
        <w:jc w:val="left"/>
      </w:pPr>
      <w:r>
        <w:rPr>
          <w:spacing w:val="-1"/>
        </w:rPr>
        <w:t>产品开发：2012年，公司参与多项国家级、北京市级重大科研项目。移动支付安全中间件，进入国家</w:t>
      </w:r>
      <w:r>
        <w:rPr/>
        <w:t> 火炬计划；承担国家核高基基于中间件的政府应急领域框架研发及应用课题；承担发改委下一代互联网 IPV4--IPV6的移动电子商务平台项目；承担工信部新一代宽带移动通信互联网专项中基于C语言的移动应 </w:t>
      </w:r>
      <w:r>
        <w:rPr>
          <w:spacing w:val="-1"/>
        </w:rPr>
        <w:t>用软件研发课题；公司《基于云计算的海量异构数据智能处理关键技术研发及示范应用》，获得北京市科</w:t>
      </w:r>
      <w:r>
        <w:rPr>
          <w:spacing w:val="-82"/>
        </w:rPr>
        <w:t> </w:t>
      </w:r>
      <w:r>
        <w:rPr>
          <w:spacing w:val="-82"/>
        </w:rPr>
      </w:r>
      <w:r>
        <w:rPr/>
        <w:t>委专项资金支持。</w:t>
      </w:r>
    </w:p>
    <w:p>
      <w:pPr>
        <w:pStyle w:val="BodyText"/>
        <w:spacing w:line="408" w:lineRule="auto"/>
        <w:ind w:right="121" w:firstLine="420"/>
        <w:jc w:val="left"/>
      </w:pPr>
      <w:r>
        <w:rPr/>
        <w:t>公司在银行领域推出顺应银行智慧化潮流的“iBank”智能银行整体解决方案，助力中国银行业的变 革和转型，使得银行能够更好地为客户提供服务，更加智慧地应对全新的市场环境和挑战；与此同时，公 司的隐性二维码、隐性墨粉、精密荧光识读仪和图像质量检查工具核心算法等一系列新技术、新产品研发 成功，并投入生产应用。2012年，公司主营业务IT服务管理系统的软件开发取得了新的突破，推出了应用 </w:t>
      </w:r>
      <w:r>
        <w:rPr>
          <w:spacing w:val="-3"/>
        </w:rPr>
        <w:t>监控解决方案，由于设计科学产品复用度提高，生产率大大提升，弥补了市场空白，有着广阔的市场空间。</w:t>
      </w:r>
    </w:p>
    <w:p>
      <w:pPr>
        <w:pStyle w:val="BodyText"/>
        <w:spacing w:line="408" w:lineRule="auto"/>
        <w:ind w:left="153" w:right="231" w:firstLine="420"/>
        <w:jc w:val="both"/>
      </w:pPr>
      <w:r>
        <w:rPr>
          <w:spacing w:val="-1"/>
        </w:rPr>
        <w:t>人才扩充：公司坚持“发展吸引人，文化凝聚人，机制稳定人，事业成就人”的人才战略，以胜任力</w:t>
      </w:r>
      <w:r>
        <w:rPr/>
        <w:t> </w:t>
      </w:r>
      <w:r>
        <w:rPr>
          <w:spacing w:val="-1"/>
        </w:rPr>
        <w:t>模型为核心形成公司的人力资源管理体系，打造人才梯队，持续优化人才结构，着重引进高端人才，截止</w:t>
      </w:r>
      <w:r>
        <w:rPr>
          <w:spacing w:val="-82"/>
        </w:rPr>
        <w:t> </w:t>
      </w:r>
      <w:r>
        <w:rPr>
          <w:spacing w:val="-82"/>
        </w:rPr>
      </w:r>
      <w:r>
        <w:rPr/>
        <w:t>到2012年底，公司总人数达到912人，其中研究开发及技术人员占到员工总数的70.29%。</w:t>
      </w:r>
    </w:p>
    <w:p>
      <w:pPr>
        <w:pStyle w:val="BodyText"/>
        <w:spacing w:line="408" w:lineRule="auto"/>
        <w:ind w:left="153" w:right="121" w:firstLine="420"/>
        <w:jc w:val="left"/>
      </w:pPr>
      <w:r>
        <w:rPr/>
        <w:t>资本运营：2012年9月，为增加北京中科金财电子商务有限公司的资金实力，满足其业务快速发展的 需要，北京中科金财电子商务有限公司增加注册资本9,000万元，由北京中科金财科技股份有限公司出资</w:t>
      </w:r>
      <w:r>
        <w:rPr>
          <w:spacing w:val="-1"/>
        </w:rPr>
        <w:t> 10,080万元认购。本次增资完成后，中科商务的注册资本增加至10,000万元。同时，公司启动了发行公司</w:t>
      </w:r>
      <w:r>
        <w:rPr>
          <w:spacing w:val="-78"/>
        </w:rPr>
        <w:t> </w:t>
      </w:r>
      <w:r>
        <w:rPr>
          <w:spacing w:val="-78"/>
        </w:rPr>
      </w:r>
      <w:r>
        <w:rPr/>
        <w:t>债券的再融资计划，已于2012年12月通过了中国证券监督管理委员会发审委的审核。</w:t>
      </w:r>
    </w:p>
    <w:p>
      <w:pPr>
        <w:spacing w:line="240" w:lineRule="auto" w:before="8"/>
        <w:rPr>
          <w:rFonts w:ascii="宋体" w:hAnsi="宋体" w:cs="宋体" w:eastAsia="宋体" w:hint="default"/>
          <w:sz w:val="20"/>
          <w:szCs w:val="20"/>
        </w:rPr>
      </w:pPr>
    </w:p>
    <w:p>
      <w:pPr>
        <w:pStyle w:val="Heading3"/>
        <w:spacing w:line="240" w:lineRule="auto"/>
        <w:ind w:right="121"/>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222"/>
        <w:gridCol w:w="2482"/>
        <w:gridCol w:w="2302"/>
        <w:gridCol w:w="2742"/>
      </w:tblGrid>
      <w:tr>
        <w:trPr>
          <w:trHeight w:val="427" w:hRule="exact"/>
        </w:trPr>
        <w:tc>
          <w:tcPr>
            <w:tcW w:w="2222" w:type="dxa"/>
            <w:tcBorders>
              <w:top w:val="single" w:sz="6" w:space="0" w:color="000000"/>
              <w:left w:val="single" w:sz="6" w:space="0" w:color="000000"/>
              <w:bottom w:val="single" w:sz="6" w:space="0" w:color="000000"/>
              <w:right w:val="single" w:sz="6" w:space="0" w:color="000000"/>
            </w:tcBorders>
            <w:shd w:val="clear" w:color="auto" w:fill="D4D5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82" w:type="dxa"/>
            <w:tcBorders>
              <w:top w:val="single" w:sz="6" w:space="0" w:color="000000"/>
              <w:left w:val="single" w:sz="6" w:space="0" w:color="000000"/>
              <w:bottom w:val="single" w:sz="6" w:space="0" w:color="000000"/>
              <w:right w:val="single" w:sz="6" w:space="0" w:color="000000"/>
            </w:tcBorders>
            <w:shd w:val="clear" w:color="auto" w:fill="D4D5D9"/>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w:t>
            </w:r>
          </w:p>
        </w:tc>
        <w:tc>
          <w:tcPr>
            <w:tcW w:w="2302" w:type="dxa"/>
            <w:tcBorders>
              <w:top w:val="single" w:sz="6" w:space="0" w:color="000000"/>
              <w:left w:val="single" w:sz="6" w:space="0" w:color="000000"/>
              <w:bottom w:val="single" w:sz="6" w:space="0" w:color="000000"/>
              <w:right w:val="single" w:sz="6" w:space="0" w:color="000000"/>
            </w:tcBorders>
            <w:shd w:val="clear" w:color="auto" w:fill="D4D5D9"/>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w:t>
            </w:r>
          </w:p>
        </w:tc>
        <w:tc>
          <w:tcPr>
            <w:tcW w:w="2742" w:type="dxa"/>
            <w:tcBorders>
              <w:top w:val="single" w:sz="6" w:space="0" w:color="000000"/>
              <w:left w:val="single" w:sz="6" w:space="0" w:color="000000"/>
              <w:bottom w:val="single" w:sz="6" w:space="0" w:color="000000"/>
              <w:right w:val="single" w:sz="6" w:space="0" w:color="000000"/>
            </w:tcBorders>
            <w:shd w:val="clear" w:color="auto" w:fill="D4D5D9"/>
          </w:tcPr>
          <w:p>
            <w:pPr>
              <w:pStyle w:val="TableParagraph"/>
              <w:spacing w:line="240" w:lineRule="auto" w:before="62"/>
              <w:ind w:left="643" w:right="0"/>
              <w:jc w:val="left"/>
              <w:rPr>
                <w:rFonts w:ascii="宋体" w:hAnsi="宋体" w:cs="宋体" w:eastAsia="宋体" w:hint="default"/>
                <w:sz w:val="18"/>
                <w:szCs w:val="18"/>
              </w:rPr>
            </w:pPr>
            <w:r>
              <w:rPr>
                <w:rFonts w:ascii="宋体" w:hAnsi="宋体" w:cs="宋体" w:eastAsia="宋体" w:hint="default"/>
                <w:sz w:val="18"/>
                <w:szCs w:val="18"/>
              </w:rPr>
              <w:t>同比增减变动比例</w:t>
            </w:r>
          </w:p>
        </w:tc>
      </w:tr>
      <w:tr>
        <w:trPr>
          <w:trHeight w:val="427" w:hRule="exact"/>
        </w:trPr>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518,551,596.94</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452,894,490.06</w:t>
            </w:r>
          </w:p>
        </w:tc>
        <w:tc>
          <w:tcPr>
            <w:tcW w:w="2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14.50%</w:t>
            </w:r>
          </w:p>
        </w:tc>
      </w:tr>
      <w:tr>
        <w:trPr>
          <w:trHeight w:val="426" w:hRule="exact"/>
        </w:trPr>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3,125,060.05</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5,998,997.63</w:t>
            </w:r>
          </w:p>
        </w:tc>
        <w:tc>
          <w:tcPr>
            <w:tcW w:w="2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-47.91%</w:t>
            </w:r>
          </w:p>
        </w:tc>
      </w:tr>
      <w:tr>
        <w:trPr>
          <w:trHeight w:val="428" w:hRule="exact"/>
        </w:trPr>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营业收入小计</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521,676,656.99</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458,893,487.69</w:t>
            </w:r>
          </w:p>
        </w:tc>
        <w:tc>
          <w:tcPr>
            <w:tcW w:w="2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13.68%</w:t>
            </w:r>
          </w:p>
        </w:tc>
      </w:tr>
    </w:tbl>
    <w:p>
      <w:pPr>
        <w:spacing w:before="51"/>
        <w:ind w:left="154" w:right="121" w:firstLine="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其中</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主营业务收入分类如下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spacing w:line="240" w:lineRule="auto" w:before="10"/>
        <w:rPr>
          <w:rFonts w:ascii="Times New Roman" w:hAnsi="Times New Roman" w:cs="Times New Roman" w:eastAsia="Times New Roman" w:hint="default"/>
          <w:b/>
          <w:bCs/>
          <w:sz w:val="7"/>
          <w:szCs w:val="7"/>
        </w:rPr>
      </w:pPr>
    </w:p>
    <w:tbl>
      <w:tblPr>
        <w:tblW w:w="0" w:type="auto"/>
        <w:jc w:val="left"/>
        <w:tblInd w:w="146" w:type="dxa"/>
        <w:tblLayout w:type="fixed"/>
        <w:tblCellMar>
          <w:top w:w="0" w:type="dxa"/>
          <w:left w:w="0" w:type="dxa"/>
          <w:bottom w:w="0" w:type="dxa"/>
          <w:right w:w="0" w:type="dxa"/>
        </w:tblCellMar>
        <w:tblLook w:val="01E0"/>
      </w:tblPr>
      <w:tblGrid>
        <w:gridCol w:w="1031"/>
        <w:gridCol w:w="1481"/>
        <w:gridCol w:w="2020"/>
        <w:gridCol w:w="1476"/>
        <w:gridCol w:w="2020"/>
        <w:gridCol w:w="1721"/>
      </w:tblGrid>
      <w:tr>
        <w:trPr>
          <w:trHeight w:val="427" w:hRule="exact"/>
        </w:trPr>
        <w:tc>
          <w:tcPr>
            <w:tcW w:w="1031" w:type="dxa"/>
            <w:vMerge w:val="restart"/>
            <w:tcBorders>
              <w:top w:val="single" w:sz="6" w:space="0" w:color="000000"/>
              <w:left w:val="single" w:sz="6" w:space="0" w:color="000000"/>
              <w:right w:val="single" w:sz="6" w:space="0" w:color="000000"/>
            </w:tcBorders>
            <w:shd w:val="clear" w:color="auto" w:fill="D4D5D9"/>
          </w:tcPr>
          <w:p>
            <w:pPr>
              <w:pStyle w:val="TableParagraph"/>
              <w:spacing w:line="240" w:lineRule="auto" w:before="62"/>
              <w:ind w:left="32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2"/>
            <w:tcBorders>
              <w:top w:val="single" w:sz="6" w:space="0" w:color="000000"/>
              <w:left w:val="single" w:sz="6" w:space="0" w:color="000000"/>
              <w:bottom w:val="single" w:sz="6" w:space="0" w:color="000000"/>
              <w:right w:val="single" w:sz="6" w:space="0" w:color="000000"/>
            </w:tcBorders>
            <w:shd w:val="clear" w:color="auto" w:fill="D4D5D9"/>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w:t>
            </w:r>
          </w:p>
        </w:tc>
        <w:tc>
          <w:tcPr>
            <w:tcW w:w="3496" w:type="dxa"/>
            <w:gridSpan w:val="2"/>
            <w:tcBorders>
              <w:top w:val="single" w:sz="6" w:space="0" w:color="000000"/>
              <w:left w:val="single" w:sz="6" w:space="0" w:color="000000"/>
              <w:bottom w:val="single" w:sz="6" w:space="0" w:color="000000"/>
              <w:right w:val="single" w:sz="6" w:space="0" w:color="000000"/>
            </w:tcBorders>
            <w:shd w:val="clear" w:color="auto" w:fill="D4D5D9"/>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w:t>
            </w:r>
          </w:p>
        </w:tc>
        <w:tc>
          <w:tcPr>
            <w:tcW w:w="1721" w:type="dxa"/>
            <w:vMerge w:val="restart"/>
            <w:tcBorders>
              <w:top w:val="single" w:sz="6" w:space="0" w:color="000000"/>
              <w:left w:val="single" w:sz="6" w:space="0" w:color="000000"/>
              <w:right w:val="single" w:sz="6" w:space="0" w:color="000000"/>
            </w:tcBorders>
            <w:shd w:val="clear" w:color="auto" w:fill="D4D5D9"/>
          </w:tcPr>
          <w:p>
            <w:pPr>
              <w:pStyle w:val="TableParagraph"/>
              <w:spacing w:line="240" w:lineRule="auto" w:before="62"/>
              <w:ind w:left="134" w:right="0"/>
              <w:jc w:val="left"/>
              <w:rPr>
                <w:rFonts w:ascii="宋体" w:hAnsi="宋体" w:cs="宋体" w:eastAsia="宋体" w:hint="default"/>
                <w:sz w:val="18"/>
                <w:szCs w:val="18"/>
              </w:rPr>
            </w:pPr>
            <w:r>
              <w:rPr>
                <w:rFonts w:ascii="宋体" w:hAnsi="宋体" w:cs="宋体" w:eastAsia="宋体" w:hint="default"/>
                <w:sz w:val="18"/>
                <w:szCs w:val="18"/>
              </w:rPr>
              <w:t>同比增减变动比例</w:t>
            </w:r>
          </w:p>
        </w:tc>
      </w:tr>
      <w:tr>
        <w:trPr>
          <w:trHeight w:val="427" w:hRule="exact"/>
        </w:trPr>
        <w:tc>
          <w:tcPr>
            <w:tcW w:w="1031" w:type="dxa"/>
            <w:vMerge/>
            <w:tcBorders>
              <w:left w:val="single" w:sz="6" w:space="0" w:color="000000"/>
              <w:bottom w:val="single" w:sz="6" w:space="0" w:color="000000"/>
              <w:right w:val="single" w:sz="6" w:space="0" w:color="000000"/>
            </w:tcBorders>
            <w:shd w:val="clear" w:color="auto" w:fill="D4D5D9"/>
          </w:tcPr>
          <w:p>
            <w:pPr/>
          </w:p>
        </w:tc>
        <w:tc>
          <w:tcPr>
            <w:tcW w:w="1481" w:type="dxa"/>
            <w:tcBorders>
              <w:top w:val="single" w:sz="6" w:space="0" w:color="000000"/>
              <w:left w:val="single" w:sz="6" w:space="0" w:color="000000"/>
              <w:bottom w:val="single" w:sz="6" w:space="0" w:color="000000"/>
              <w:right w:val="single" w:sz="6" w:space="0" w:color="000000"/>
            </w:tcBorders>
            <w:shd w:val="clear" w:color="auto" w:fill="D4D5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20" w:type="dxa"/>
            <w:tcBorders>
              <w:top w:val="single" w:sz="6" w:space="0" w:color="000000"/>
              <w:left w:val="single" w:sz="6" w:space="0" w:color="000000"/>
              <w:bottom w:val="single" w:sz="6" w:space="0" w:color="000000"/>
              <w:right w:val="single" w:sz="6" w:space="0" w:color="000000"/>
            </w:tcBorders>
            <w:shd w:val="clear" w:color="auto" w:fill="D4D5D9"/>
          </w:tcPr>
          <w:p>
            <w:pPr>
              <w:pStyle w:val="TableParagraph"/>
              <w:spacing w:line="240" w:lineRule="auto" w:before="62"/>
              <w:ind w:left="192" w:right="0"/>
              <w:jc w:val="left"/>
              <w:rPr>
                <w:rFonts w:ascii="宋体" w:hAnsi="宋体" w:cs="宋体" w:eastAsia="宋体" w:hint="default"/>
                <w:sz w:val="18"/>
                <w:szCs w:val="18"/>
              </w:rPr>
            </w:pPr>
            <w:r>
              <w:rPr>
                <w:rFonts w:ascii="宋体" w:hAnsi="宋体" w:cs="宋体" w:eastAsia="宋体" w:hint="default"/>
                <w:sz w:val="18"/>
                <w:szCs w:val="18"/>
              </w:rPr>
              <w:t>占主营业务收入比重</w:t>
            </w:r>
          </w:p>
        </w:tc>
        <w:tc>
          <w:tcPr>
            <w:tcW w:w="1476" w:type="dxa"/>
            <w:tcBorders>
              <w:top w:val="single" w:sz="6" w:space="0" w:color="000000"/>
              <w:left w:val="single" w:sz="6" w:space="0" w:color="000000"/>
              <w:bottom w:val="single" w:sz="6" w:space="0" w:color="000000"/>
              <w:right w:val="single" w:sz="6" w:space="0" w:color="000000"/>
            </w:tcBorders>
            <w:shd w:val="clear" w:color="auto" w:fill="D4D5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20" w:type="dxa"/>
            <w:tcBorders>
              <w:top w:val="single" w:sz="6" w:space="0" w:color="000000"/>
              <w:left w:val="single" w:sz="6" w:space="0" w:color="000000"/>
              <w:bottom w:val="single" w:sz="6" w:space="0" w:color="000000"/>
              <w:right w:val="single" w:sz="6" w:space="0" w:color="000000"/>
            </w:tcBorders>
            <w:shd w:val="clear" w:color="auto" w:fill="D4D5D9"/>
          </w:tcPr>
          <w:p>
            <w:pPr>
              <w:pStyle w:val="TableParagraph"/>
              <w:spacing w:line="240" w:lineRule="auto" w:before="62"/>
              <w:ind w:left="191" w:right="0"/>
              <w:jc w:val="left"/>
              <w:rPr>
                <w:rFonts w:ascii="宋体" w:hAnsi="宋体" w:cs="宋体" w:eastAsia="宋体" w:hint="default"/>
                <w:sz w:val="18"/>
                <w:szCs w:val="18"/>
              </w:rPr>
            </w:pPr>
            <w:r>
              <w:rPr>
                <w:rFonts w:ascii="宋体" w:hAnsi="宋体" w:cs="宋体" w:eastAsia="宋体" w:hint="default"/>
                <w:sz w:val="18"/>
                <w:szCs w:val="18"/>
              </w:rPr>
              <w:t>占主营业务收入比重</w:t>
            </w:r>
          </w:p>
        </w:tc>
        <w:tc>
          <w:tcPr>
            <w:tcW w:w="1721" w:type="dxa"/>
            <w:vMerge/>
            <w:tcBorders>
              <w:left w:val="single" w:sz="6" w:space="0" w:color="000000"/>
              <w:bottom w:val="single" w:sz="6" w:space="0" w:color="000000"/>
              <w:right w:val="single" w:sz="6" w:space="0" w:color="000000"/>
            </w:tcBorders>
            <w:shd w:val="clear" w:color="auto" w:fill="D4D5D9"/>
          </w:tcPr>
          <w:p>
            <w:pPr/>
          </w:p>
        </w:tc>
      </w:tr>
      <w:tr>
        <w:trPr>
          <w:trHeight w:val="427" w:hRule="exact"/>
        </w:trPr>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302,256,682.38</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58.29%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307,799,004.87</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67.96%</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-1.80%</w:t>
            </w:r>
          </w:p>
        </w:tc>
      </w:tr>
      <w:tr>
        <w:trPr>
          <w:trHeight w:val="427" w:hRule="exact"/>
        </w:trPr>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69,003,526.31</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13.31%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67,978,425.43</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15.01%</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1.51%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00"/>
        </w:sectPr>
      </w:pPr>
    </w:p>
    <w:p>
      <w:pPr>
        <w:spacing w:line="240" w:lineRule="auto" w:before="0"/>
        <w:rPr>
          <w:rFonts w:ascii="Times New Roman" w:hAnsi="Times New Roman" w:cs="Times New Roman" w:eastAsia="Times New Roman" w:hint="default"/>
          <w:b/>
          <w:bCs/>
          <w:sz w:val="20"/>
          <w:szCs w:val="20"/>
        </w:rPr>
      </w:pPr>
    </w:p>
    <w:p>
      <w:pPr>
        <w:spacing w:line="240" w:lineRule="auto" w:before="5"/>
        <w:rPr>
          <w:rFonts w:ascii="Times New Roman" w:hAnsi="Times New Roman" w:cs="Times New Roman" w:eastAsia="Times New Roman" w:hint="default"/>
          <w:b/>
          <w:bCs/>
          <w:sz w:val="12"/>
          <w:szCs w:val="12"/>
        </w:rPr>
      </w:pPr>
    </w:p>
    <w:tbl>
      <w:tblPr>
        <w:tblW w:w="0" w:type="auto"/>
        <w:jc w:val="left"/>
        <w:tblInd w:w="146" w:type="dxa"/>
        <w:tblLayout w:type="fixed"/>
        <w:tblCellMar>
          <w:top w:w="0" w:type="dxa"/>
          <w:left w:w="0" w:type="dxa"/>
          <w:bottom w:w="0" w:type="dxa"/>
          <w:right w:w="0" w:type="dxa"/>
        </w:tblCellMar>
        <w:tblLook w:val="01E0"/>
      </w:tblPr>
      <w:tblGrid>
        <w:gridCol w:w="1031"/>
        <w:gridCol w:w="1481"/>
        <w:gridCol w:w="2020"/>
        <w:gridCol w:w="1476"/>
        <w:gridCol w:w="2020"/>
        <w:gridCol w:w="1721"/>
      </w:tblGrid>
      <w:tr>
        <w:trPr>
          <w:trHeight w:val="427" w:hRule="exact"/>
        </w:trPr>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软件产品</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147,291,388.25</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28.40%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77,117,059.76</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17.03%</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91.00%</w:t>
            </w:r>
          </w:p>
        </w:tc>
      </w:tr>
      <w:tr>
        <w:trPr>
          <w:trHeight w:val="427" w:hRule="exact"/>
        </w:trPr>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518,551,596.94</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452,894,490.06</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100.00%</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14.50%</w:t>
            </w:r>
          </w:p>
        </w:tc>
      </w:tr>
    </w:tbl>
    <w:p>
      <w:pPr>
        <w:spacing w:before="51"/>
        <w:ind w:left="154" w:right="121"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line="338" w:lineRule="auto" w:before="117"/>
        <w:ind w:left="154" w:right="78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公司重大的在手订单情况</w:t>
      </w:r>
    </w:p>
    <w:p>
      <w:pPr>
        <w:spacing w:line="340" w:lineRule="auto" w:before="42"/>
        <w:ind w:left="154" w:right="55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公司报告期内产品或服务发生重大变化或调整有关情况</w:t>
      </w:r>
    </w:p>
    <w:p>
      <w:pPr>
        <w:spacing w:line="338" w:lineRule="auto" w:before="40"/>
        <w:ind w:left="154" w:right="80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公司主要销售客户情况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192,962,800.20</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r>
    </w:tbl>
    <w:p>
      <w:pPr>
        <w:spacing w:before="51"/>
        <w:ind w:left="154" w:right="121"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3"/>
        <w:ind w:left="154" w:right="1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2"/>
        <w:gridCol w:w="3143"/>
      </w:tblGrid>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中经网（北京）数据科技发展有限公司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71,237,666.12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13.66%</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北京艾瑞信系统工程技术有限责任公司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39,318,316.30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7.54%</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华夏银行股份有限公司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34,475,461.84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6.61%</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中科软科技股份有限公司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25,667,680.69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陕西航天信息有限公司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22,263,675.25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192,962,800.20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r>
    </w:tbl>
    <w:p>
      <w:pPr>
        <w:spacing w:line="240" w:lineRule="auto" w:before="2"/>
        <w:rPr>
          <w:rFonts w:ascii="宋体" w:hAnsi="宋体" w:cs="宋体" w:eastAsia="宋体" w:hint="default"/>
          <w:sz w:val="19"/>
          <w:szCs w:val="19"/>
        </w:rPr>
      </w:pPr>
    </w:p>
    <w:p>
      <w:pPr>
        <w:pStyle w:val="Heading3"/>
        <w:spacing w:line="240" w:lineRule="auto" w:before="35"/>
        <w:ind w:right="121"/>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2"/>
          <w:szCs w:val="12"/>
        </w:rPr>
      </w:pPr>
    </w:p>
    <w:tbl>
      <w:tblPr>
        <w:tblW w:w="0" w:type="auto"/>
        <w:jc w:val="left"/>
        <w:tblInd w:w="146" w:type="dxa"/>
        <w:tblLayout w:type="fixed"/>
        <w:tblCellMar>
          <w:top w:w="0" w:type="dxa"/>
          <w:left w:w="0" w:type="dxa"/>
          <w:bottom w:w="0" w:type="dxa"/>
          <w:right w:w="0" w:type="dxa"/>
        </w:tblCellMar>
        <w:tblLook w:val="01E0"/>
      </w:tblPr>
      <w:tblGrid>
        <w:gridCol w:w="2268"/>
        <w:gridCol w:w="2346"/>
        <w:gridCol w:w="2346"/>
        <w:gridCol w:w="2788"/>
      </w:tblGrid>
      <w:tr>
        <w:trPr>
          <w:trHeight w:val="427" w:hRule="exact"/>
        </w:trPr>
        <w:tc>
          <w:tcPr>
            <w:tcW w:w="2268" w:type="dxa"/>
            <w:tcBorders>
              <w:top w:val="single" w:sz="6" w:space="0" w:color="000000"/>
              <w:left w:val="single" w:sz="6" w:space="0" w:color="000000"/>
              <w:bottom w:val="single" w:sz="6" w:space="0" w:color="000000"/>
              <w:right w:val="single" w:sz="6" w:space="0" w:color="000000"/>
            </w:tcBorders>
            <w:shd w:val="clear" w:color="auto" w:fill="D4D5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46" w:type="dxa"/>
            <w:tcBorders>
              <w:top w:val="single" w:sz="6" w:space="0" w:color="000000"/>
              <w:left w:val="single" w:sz="6" w:space="0" w:color="000000"/>
              <w:bottom w:val="single" w:sz="6" w:space="0" w:color="000000"/>
              <w:right w:val="single" w:sz="6" w:space="0" w:color="000000"/>
            </w:tcBorders>
            <w:shd w:val="clear" w:color="auto" w:fill="D4D5D9"/>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w:t>
            </w:r>
          </w:p>
        </w:tc>
        <w:tc>
          <w:tcPr>
            <w:tcW w:w="2346" w:type="dxa"/>
            <w:tcBorders>
              <w:top w:val="single" w:sz="6" w:space="0" w:color="000000"/>
              <w:left w:val="single" w:sz="6" w:space="0" w:color="000000"/>
              <w:bottom w:val="single" w:sz="6" w:space="0" w:color="000000"/>
              <w:right w:val="single" w:sz="6" w:space="0" w:color="000000"/>
            </w:tcBorders>
            <w:shd w:val="clear" w:color="auto" w:fill="D4D5D9"/>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w:t>
            </w:r>
          </w:p>
        </w:tc>
        <w:tc>
          <w:tcPr>
            <w:tcW w:w="2788" w:type="dxa"/>
            <w:tcBorders>
              <w:top w:val="single" w:sz="6" w:space="0" w:color="000000"/>
              <w:left w:val="single" w:sz="6" w:space="0" w:color="000000"/>
              <w:bottom w:val="single" w:sz="6" w:space="0" w:color="000000"/>
              <w:right w:val="single" w:sz="6" w:space="0" w:color="000000"/>
            </w:tcBorders>
            <w:shd w:val="clear" w:color="auto" w:fill="D4D5D9"/>
          </w:tcPr>
          <w:p>
            <w:pPr>
              <w:pStyle w:val="TableParagraph"/>
              <w:spacing w:line="240" w:lineRule="auto" w:before="62"/>
              <w:ind w:left="665" w:right="0"/>
              <w:jc w:val="left"/>
              <w:rPr>
                <w:rFonts w:ascii="宋体" w:hAnsi="宋体" w:cs="宋体" w:eastAsia="宋体" w:hint="default"/>
                <w:sz w:val="18"/>
                <w:szCs w:val="18"/>
              </w:rPr>
            </w:pPr>
            <w:r>
              <w:rPr>
                <w:rFonts w:ascii="宋体" w:hAnsi="宋体" w:cs="宋体" w:eastAsia="宋体" w:hint="default"/>
                <w:sz w:val="18"/>
                <w:szCs w:val="18"/>
              </w:rPr>
              <w:t>同比增减变动比例</w:t>
            </w:r>
          </w:p>
        </w:tc>
      </w:tr>
      <w:tr>
        <w:trPr>
          <w:trHeight w:val="428" w:hRule="exact"/>
        </w:trPr>
        <w:tc>
          <w:tcPr>
            <w:tcW w:w="226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285,541,910.29</w:t>
            </w:r>
          </w:p>
        </w:tc>
        <w:tc>
          <w:tcPr>
            <w:tcW w:w="2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287,919,824.75</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-0.83%</w:t>
            </w:r>
          </w:p>
        </w:tc>
      </w:tr>
      <w:tr>
        <w:trPr>
          <w:trHeight w:val="42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2,755,080.30</w:t>
            </w:r>
          </w:p>
        </w:tc>
        <w:tc>
          <w:tcPr>
            <w:tcW w:w="2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5,081,115.20</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-45.78%</w:t>
            </w:r>
          </w:p>
        </w:tc>
      </w:tr>
      <w:tr>
        <w:trPr>
          <w:trHeight w:val="42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营业成本小计</w:t>
            </w:r>
          </w:p>
        </w:tc>
        <w:tc>
          <w:tcPr>
            <w:tcW w:w="2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288,296,990.59</w:t>
            </w:r>
          </w:p>
        </w:tc>
        <w:tc>
          <w:tcPr>
            <w:tcW w:w="2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293,000,939.95</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-1.61%</w:t>
            </w:r>
          </w:p>
        </w:tc>
      </w:tr>
    </w:tbl>
    <w:p>
      <w:pPr>
        <w:spacing w:before="10"/>
        <w:ind w:left="154" w:right="12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主营业务成本分类如下</w:t>
      </w:r>
      <w:r>
        <w:rPr>
          <w:rFonts w:ascii="Times New Roman" w:hAnsi="Times New Roman" w:cs="Times New Roman" w:eastAsia="Times New Roman" w:hint="default"/>
          <w:sz w:val="18"/>
          <w:szCs w:val="18"/>
        </w:rPr>
        <w:t>:</w:t>
      </w:r>
    </w:p>
    <w:p>
      <w:pPr>
        <w:spacing w:line="240" w:lineRule="auto" w:before="6"/>
        <w:rPr>
          <w:rFonts w:ascii="Times New Roman" w:hAnsi="Times New Roman" w:cs="Times New Roman" w:eastAsia="Times New Roman"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1031"/>
        <w:gridCol w:w="1481"/>
        <w:gridCol w:w="2020"/>
        <w:gridCol w:w="1476"/>
        <w:gridCol w:w="2020"/>
        <w:gridCol w:w="1721"/>
      </w:tblGrid>
      <w:tr>
        <w:trPr>
          <w:trHeight w:val="427" w:hRule="exact"/>
        </w:trPr>
        <w:tc>
          <w:tcPr>
            <w:tcW w:w="1031" w:type="dxa"/>
            <w:vMerge w:val="restart"/>
            <w:tcBorders>
              <w:top w:val="single" w:sz="6" w:space="0" w:color="000000"/>
              <w:left w:val="single" w:sz="6" w:space="0" w:color="000000"/>
              <w:right w:val="single" w:sz="6" w:space="0" w:color="000000"/>
            </w:tcBorders>
            <w:shd w:val="clear" w:color="auto" w:fill="D4D5D9"/>
          </w:tcPr>
          <w:p>
            <w:pPr>
              <w:pStyle w:val="TableParagraph"/>
              <w:spacing w:line="240" w:lineRule="auto" w:before="62"/>
              <w:ind w:left="32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2"/>
            <w:tcBorders>
              <w:top w:val="single" w:sz="6" w:space="0" w:color="000000"/>
              <w:left w:val="single" w:sz="6" w:space="0" w:color="000000"/>
              <w:bottom w:val="single" w:sz="6" w:space="0" w:color="000000"/>
              <w:right w:val="single" w:sz="6" w:space="0" w:color="000000"/>
            </w:tcBorders>
            <w:shd w:val="clear" w:color="auto" w:fill="D4D5D9"/>
          </w:tcPr>
          <w:p>
            <w:pPr>
              <w:pStyle w:val="TableParagraph"/>
              <w:spacing w:line="240" w:lineRule="auto" w:before="6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w:t>
            </w:r>
          </w:p>
        </w:tc>
        <w:tc>
          <w:tcPr>
            <w:tcW w:w="3496" w:type="dxa"/>
            <w:gridSpan w:val="2"/>
            <w:tcBorders>
              <w:top w:val="single" w:sz="6" w:space="0" w:color="000000"/>
              <w:left w:val="single" w:sz="6" w:space="0" w:color="000000"/>
              <w:bottom w:val="single" w:sz="6" w:space="0" w:color="000000"/>
              <w:right w:val="single" w:sz="6" w:space="0" w:color="000000"/>
            </w:tcBorders>
            <w:shd w:val="clear" w:color="auto" w:fill="D4D5D9"/>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w:t>
            </w:r>
          </w:p>
        </w:tc>
        <w:tc>
          <w:tcPr>
            <w:tcW w:w="1721" w:type="dxa"/>
            <w:vMerge w:val="restart"/>
            <w:tcBorders>
              <w:top w:val="single" w:sz="6" w:space="0" w:color="000000"/>
              <w:left w:val="single" w:sz="6" w:space="0" w:color="000000"/>
              <w:right w:val="single" w:sz="6" w:space="0" w:color="000000"/>
            </w:tcBorders>
            <w:shd w:val="clear" w:color="auto" w:fill="D4D5D9"/>
          </w:tcPr>
          <w:p>
            <w:pPr>
              <w:pStyle w:val="TableParagraph"/>
              <w:spacing w:line="240" w:lineRule="auto" w:before="62"/>
              <w:ind w:left="134" w:right="0"/>
              <w:jc w:val="left"/>
              <w:rPr>
                <w:rFonts w:ascii="宋体" w:hAnsi="宋体" w:cs="宋体" w:eastAsia="宋体" w:hint="default"/>
                <w:sz w:val="18"/>
                <w:szCs w:val="18"/>
              </w:rPr>
            </w:pPr>
            <w:r>
              <w:rPr>
                <w:rFonts w:ascii="宋体" w:hAnsi="宋体" w:cs="宋体" w:eastAsia="宋体" w:hint="default"/>
                <w:sz w:val="18"/>
                <w:szCs w:val="18"/>
              </w:rPr>
              <w:t>同比增减变动比例</w:t>
            </w:r>
          </w:p>
        </w:tc>
      </w:tr>
      <w:tr>
        <w:trPr>
          <w:trHeight w:val="426" w:hRule="exact"/>
        </w:trPr>
        <w:tc>
          <w:tcPr>
            <w:tcW w:w="1031" w:type="dxa"/>
            <w:vMerge/>
            <w:tcBorders>
              <w:left w:val="single" w:sz="6" w:space="0" w:color="000000"/>
              <w:bottom w:val="single" w:sz="6" w:space="0" w:color="000000"/>
              <w:right w:val="single" w:sz="6" w:space="0" w:color="000000"/>
            </w:tcBorders>
            <w:shd w:val="clear" w:color="auto" w:fill="D4D5D9"/>
          </w:tcPr>
          <w:p>
            <w:pPr/>
          </w:p>
        </w:tc>
        <w:tc>
          <w:tcPr>
            <w:tcW w:w="1481" w:type="dxa"/>
            <w:tcBorders>
              <w:top w:val="single" w:sz="6" w:space="0" w:color="000000"/>
              <w:left w:val="single" w:sz="6" w:space="0" w:color="000000"/>
              <w:bottom w:val="single" w:sz="6" w:space="0" w:color="000000"/>
              <w:right w:val="single" w:sz="6" w:space="0" w:color="000000"/>
            </w:tcBorders>
            <w:shd w:val="clear" w:color="auto" w:fill="D4D5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20" w:type="dxa"/>
            <w:tcBorders>
              <w:top w:val="single" w:sz="6" w:space="0" w:color="000000"/>
              <w:left w:val="single" w:sz="6" w:space="0" w:color="000000"/>
              <w:bottom w:val="single" w:sz="6" w:space="0" w:color="000000"/>
              <w:right w:val="single" w:sz="6" w:space="0" w:color="000000"/>
            </w:tcBorders>
            <w:shd w:val="clear" w:color="auto" w:fill="D4D5D9"/>
          </w:tcPr>
          <w:p>
            <w:pPr>
              <w:pStyle w:val="TableParagraph"/>
              <w:spacing w:line="240" w:lineRule="auto" w:before="61"/>
              <w:ind w:left="192" w:right="0"/>
              <w:jc w:val="left"/>
              <w:rPr>
                <w:rFonts w:ascii="宋体" w:hAnsi="宋体" w:cs="宋体" w:eastAsia="宋体" w:hint="default"/>
                <w:sz w:val="18"/>
                <w:szCs w:val="18"/>
              </w:rPr>
            </w:pPr>
            <w:r>
              <w:rPr>
                <w:rFonts w:ascii="宋体" w:hAnsi="宋体" w:cs="宋体" w:eastAsia="宋体" w:hint="default"/>
                <w:sz w:val="18"/>
                <w:szCs w:val="18"/>
              </w:rPr>
              <w:t>占主营业务成本比重</w:t>
            </w:r>
          </w:p>
        </w:tc>
        <w:tc>
          <w:tcPr>
            <w:tcW w:w="1476" w:type="dxa"/>
            <w:tcBorders>
              <w:top w:val="single" w:sz="6" w:space="0" w:color="000000"/>
              <w:left w:val="single" w:sz="6" w:space="0" w:color="000000"/>
              <w:bottom w:val="single" w:sz="6" w:space="0" w:color="000000"/>
              <w:right w:val="single" w:sz="6" w:space="0" w:color="000000"/>
            </w:tcBorders>
            <w:shd w:val="clear" w:color="auto" w:fill="D4D5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20" w:type="dxa"/>
            <w:tcBorders>
              <w:top w:val="single" w:sz="6" w:space="0" w:color="000000"/>
              <w:left w:val="single" w:sz="6" w:space="0" w:color="000000"/>
              <w:bottom w:val="single" w:sz="6" w:space="0" w:color="000000"/>
              <w:right w:val="single" w:sz="6" w:space="0" w:color="000000"/>
            </w:tcBorders>
            <w:shd w:val="clear" w:color="auto" w:fill="D4D5D9"/>
          </w:tcPr>
          <w:p>
            <w:pPr>
              <w:pStyle w:val="TableParagraph"/>
              <w:spacing w:line="240" w:lineRule="auto" w:before="61"/>
              <w:ind w:left="191" w:right="0"/>
              <w:jc w:val="left"/>
              <w:rPr>
                <w:rFonts w:ascii="宋体" w:hAnsi="宋体" w:cs="宋体" w:eastAsia="宋体" w:hint="default"/>
                <w:sz w:val="18"/>
                <w:szCs w:val="18"/>
              </w:rPr>
            </w:pPr>
            <w:r>
              <w:rPr>
                <w:rFonts w:ascii="宋体" w:hAnsi="宋体" w:cs="宋体" w:eastAsia="宋体" w:hint="default"/>
                <w:sz w:val="18"/>
                <w:szCs w:val="18"/>
              </w:rPr>
              <w:t>占主营业务成本比重</w:t>
            </w:r>
          </w:p>
        </w:tc>
        <w:tc>
          <w:tcPr>
            <w:tcW w:w="1721" w:type="dxa"/>
            <w:vMerge/>
            <w:tcBorders>
              <w:left w:val="single" w:sz="6" w:space="0" w:color="000000"/>
              <w:bottom w:val="single" w:sz="6" w:space="0" w:color="000000"/>
              <w:right w:val="single" w:sz="6" w:space="0" w:color="000000"/>
            </w:tcBorders>
            <w:shd w:val="clear" w:color="auto" w:fill="D4D5D9"/>
          </w:tcPr>
          <w:p>
            <w:pPr/>
          </w:p>
        </w:tc>
      </w:tr>
      <w:tr>
        <w:trPr>
          <w:trHeight w:val="428" w:hRule="exact"/>
        </w:trPr>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278,260,148.20</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97.45%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275,258,725.78</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95.60%</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1.09%</w:t>
            </w:r>
          </w:p>
        </w:tc>
      </w:tr>
      <w:tr>
        <w:trPr>
          <w:trHeight w:val="427" w:hRule="exact"/>
        </w:trPr>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7,218,093.99</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2.53%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12,620,177.36</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4.38%</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-42.81%</w:t>
            </w:r>
          </w:p>
        </w:tc>
      </w:tr>
      <w:tr>
        <w:trPr>
          <w:trHeight w:val="427" w:hRule="exact"/>
        </w:trPr>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软件产品</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63,668.10</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0.02%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40,921.61</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0.02%</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55.59%</w:t>
            </w:r>
          </w:p>
        </w:tc>
      </w:tr>
      <w:tr>
        <w:trPr>
          <w:trHeight w:val="427" w:hRule="exact"/>
        </w:trPr>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285,541,910.29</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287,919,824.75</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100.00%</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-0.83%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00"/>
        </w:sectPr>
      </w:pPr>
    </w:p>
    <w:p>
      <w:pPr>
        <w:spacing w:line="240" w:lineRule="auto" w:before="7"/>
        <w:rPr>
          <w:rFonts w:ascii="Times New Roman" w:hAnsi="Times New Roman" w:cs="Times New Roman" w:eastAsia="Times New Roman" w:hint="default"/>
          <w:sz w:val="29"/>
          <w:szCs w:val="29"/>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142,190,461.58</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tabs>
                <w:tab w:pos="4723" w:val="left" w:leader="none"/>
              </w:tabs>
              <w:spacing w:line="240" w:lineRule="auto" w:before="52"/>
              <w:ind w:left="-125"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32.04%</w:t>
            </w:r>
          </w:p>
        </w:tc>
      </w:tr>
    </w:tbl>
    <w:p>
      <w:pPr>
        <w:spacing w:before="51"/>
        <w:ind w:left="154" w:right="0" w:firstLine="0"/>
        <w:jc w:val="left"/>
        <w:rPr>
          <w:rFonts w:ascii="宋体" w:hAnsi="宋体" w:cs="宋体" w:eastAsia="宋体" w:hint="default"/>
          <w:sz w:val="18"/>
          <w:szCs w:val="18"/>
        </w:rPr>
      </w:pPr>
      <w:r>
        <w:rPr/>
        <w:pict>
          <v:group style="position:absolute;margin-left:269.820007pt;margin-top:-20.688pt;width:263.9pt;height:20.7pt;mso-position-horizontal-relative:page;mso-position-vertical-relative:paragraph;z-index:-671176" coordorigin="5396,-414" coordsize="5278,414">
            <v:group style="position:absolute;left:5408;top:-402;width:2;height:392" coordorigin="5408,-402" coordsize="2,392">
              <v:shape style="position:absolute;left:5408;top:-402;width:2;height:392" coordorigin="5408,-402" coordsize="0,392" path="m5408,-402l5408,-11e" filled="false" stroked="true" strokeweight="1.140pt" strokecolor="#ffffff">
                <v:path arrowok="t"/>
              </v:shape>
            </v:group>
            <v:group style="position:absolute;left:5419;top:-402;width:5255;height:392" coordorigin="5419,-402" coordsize="5255,392">
              <v:shape style="position:absolute;left:5419;top:-402;width:5255;height:392" coordorigin="5419,-402" coordsize="5255,392" path="m5419,-11l10674,-11,10674,-402,5419,-402,5419,-11xe" filled="true" fillcolor="#ffffff" stroked="false">
                <v:path arrowok="t"/>
                <v:fill type="solid"/>
              </v:shape>
            </v:group>
            <w10:wrap type="none"/>
          </v:group>
        </w:pict>
      </w: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79"/>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深圳市怡亚通供应链股份有限公司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34,698,950.05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英迈（中国）投资有限公司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29,051,310.05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28,157,223.07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浪潮</w:t>
            </w:r>
            <w:r>
              <w:rPr>
                <w:rFonts w:ascii="Times New Roman" w:hAnsi="Times New Roman" w:cs="Times New Roman" w:eastAsia="Times New Roman" w:hint="default"/>
                <w:sz w:val="18"/>
                <w:szCs w:val="18"/>
              </w:rPr>
              <w:t>(</w:t>
            </w:r>
            <w:r>
              <w:rPr>
                <w:rFonts w:ascii="宋体" w:hAnsi="宋体" w:cs="宋体" w:eastAsia="宋体" w:hint="default"/>
                <w:sz w:val="18"/>
                <w:szCs w:val="18"/>
              </w:rPr>
              <w:t>山东</w:t>
            </w:r>
            <w:r>
              <w:rPr>
                <w:rFonts w:ascii="Times New Roman" w:hAnsi="Times New Roman" w:cs="Times New Roman" w:eastAsia="Times New Roman" w:hint="default"/>
                <w:sz w:val="18"/>
                <w:szCs w:val="18"/>
              </w:rPr>
              <w:t>)</w:t>
            </w:r>
            <w:r>
              <w:rPr>
                <w:rFonts w:ascii="宋体" w:hAnsi="宋体" w:cs="宋体" w:eastAsia="宋体" w:hint="default"/>
                <w:sz w:val="18"/>
                <w:szCs w:val="18"/>
              </w:rPr>
              <w:t>电子信息有限公司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25,443,572.66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北京泓澳峰科技发展有限公司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24,839,405.75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142,190,461.58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020"/>
        <w:gridCol w:w="2514"/>
        <w:gridCol w:w="2316"/>
        <w:gridCol w:w="2658"/>
      </w:tblGrid>
      <w:tr>
        <w:trPr>
          <w:trHeight w:val="427" w:hRule="exact"/>
        </w:trPr>
        <w:tc>
          <w:tcPr>
            <w:tcW w:w="20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w:t>
            </w:r>
          </w:p>
        </w:tc>
        <w:tc>
          <w:tcPr>
            <w:tcW w:w="23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w:t>
            </w:r>
          </w:p>
        </w:tc>
        <w:tc>
          <w:tcPr>
            <w:tcW w:w="26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69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47" w:hRule="exact"/>
        </w:trPr>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39,538,464.65</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13,668,998.84</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189.26%</w:t>
            </w:r>
          </w:p>
        </w:tc>
      </w:tr>
      <w:tr>
        <w:trPr>
          <w:trHeight w:val="347" w:hRule="exact"/>
        </w:trPr>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137,328,900.26</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91,708,611.56</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49.74%</w:t>
            </w:r>
          </w:p>
        </w:tc>
      </w:tr>
      <w:tr>
        <w:trPr>
          <w:trHeight w:val="347" w:hRule="exact"/>
        </w:trPr>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-609,120.49</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3,258,390.60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-118.69%</w:t>
            </w:r>
          </w:p>
        </w:tc>
      </w:tr>
      <w:tr>
        <w:trPr>
          <w:trHeight w:val="348" w:hRule="exact"/>
        </w:trPr>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8,828,615.25</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7,390,344.20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19.46%</w:t>
            </w:r>
          </w:p>
        </w:tc>
      </w:tr>
    </w:tbl>
    <w:p>
      <w:pPr>
        <w:pStyle w:val="BodyText"/>
        <w:spacing w:line="408" w:lineRule="auto" w:before="63"/>
        <w:ind w:right="0" w:firstLine="420"/>
        <w:jc w:val="left"/>
      </w:pPr>
      <w:r>
        <w:rPr>
          <w:spacing w:val="-1"/>
        </w:rPr>
        <w:t>销售费用较上年同期增长189.26%,主要系报告期内公司增加销售人员，加大市场拓展的力度，举办多</w:t>
      </w:r>
      <w:r>
        <w:rPr/>
        <w:t> 场产品推广活动，多地建立营销网点所致。</w:t>
      </w:r>
    </w:p>
    <w:p>
      <w:pPr>
        <w:pStyle w:val="BodyText"/>
        <w:spacing w:line="408" w:lineRule="auto"/>
        <w:ind w:right="0" w:firstLine="420"/>
        <w:jc w:val="left"/>
      </w:pPr>
      <w:r>
        <w:rPr>
          <w:spacing w:val="-1"/>
        </w:rPr>
        <w:t>管理费用较上年同期增长49.74%，主要系报告期内公司扩大办公场地，增加管理人员、技术人员，相</w:t>
      </w:r>
      <w:r>
        <w:rPr/>
        <w:t> 应管理费用增加，固定资产及无形资产增加引起折旧及摊销费用增加所致。</w:t>
      </w:r>
    </w:p>
    <w:p>
      <w:pPr>
        <w:pStyle w:val="BodyText"/>
        <w:spacing w:line="408" w:lineRule="auto"/>
        <w:ind w:right="215" w:firstLine="420"/>
        <w:jc w:val="left"/>
      </w:pPr>
      <w:r>
        <w:rPr/>
        <w:t>财务费用较上年同期减少118.69%，主要系报告期内公司收到募集资金，增加了银行存款，利息收入 较上年同期出现了大幅增长所致。</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4234"/>
        <w:gridCol w:w="1908"/>
        <w:gridCol w:w="1757"/>
        <w:gridCol w:w="1609"/>
      </w:tblGrid>
      <w:tr>
        <w:trPr>
          <w:trHeight w:val="347" w:hRule="exact"/>
        </w:trPr>
        <w:tc>
          <w:tcPr>
            <w:tcW w:w="42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5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w:t>
            </w:r>
          </w:p>
        </w:tc>
        <w:tc>
          <w:tcPr>
            <w:tcW w:w="17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5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w:t>
            </w:r>
          </w:p>
        </w:tc>
        <w:tc>
          <w:tcPr>
            <w:tcW w:w="16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4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年度</w:t>
            </w:r>
          </w:p>
        </w:tc>
      </w:tr>
      <w:tr>
        <w:trPr>
          <w:trHeight w:val="347" w:hRule="exact"/>
        </w:trPr>
        <w:tc>
          <w:tcPr>
            <w:tcW w:w="4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研发支出总额</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102,532,277.60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58,678,488.02</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31,659,625.71</w:t>
            </w:r>
          </w:p>
        </w:tc>
      </w:tr>
      <w:tr>
        <w:trPr>
          <w:trHeight w:val="348" w:hRule="exact"/>
        </w:trPr>
        <w:tc>
          <w:tcPr>
            <w:tcW w:w="4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资本化的研发支出总额</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38,357,921.28</w:t>
            </w:r>
          </w:p>
        </w:tc>
        <w:tc>
          <w:tcPr>
            <w:tcW w:w="1757"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研发支出占当期营业收入的比重</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19.65%</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12.79%</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8.10%</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年主要研发成果如下：</w:t>
      </w:r>
      <w:r>
        <w:rPr>
          <w:rFonts w:ascii="宋体" w:hAnsi="宋体" w:cs="宋体" w:eastAsia="宋体" w:hint="default"/>
          <w:sz w:val="18"/>
          <w:szCs w:val="18"/>
        </w:rPr>
      </w:r>
    </w:p>
    <w:p>
      <w:pPr>
        <w:spacing w:before="103"/>
        <w:ind w:left="15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）专利</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678"/>
        <w:gridCol w:w="2128"/>
        <w:gridCol w:w="4392"/>
        <w:gridCol w:w="1558"/>
        <w:gridCol w:w="851"/>
      </w:tblGrid>
      <w:tr>
        <w:trPr>
          <w:trHeight w:val="428" w:hRule="exact"/>
        </w:trPr>
        <w:tc>
          <w:tcPr>
            <w:tcW w:w="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15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1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专利号</w:t>
            </w:r>
          </w:p>
        </w:tc>
        <w:tc>
          <w:tcPr>
            <w:tcW w:w="43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5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8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37" w:right="0"/>
              <w:jc w:val="left"/>
              <w:rPr>
                <w:rFonts w:ascii="宋体" w:hAnsi="宋体" w:cs="宋体" w:eastAsia="宋体" w:hint="default"/>
                <w:sz w:val="18"/>
                <w:szCs w:val="18"/>
              </w:rPr>
            </w:pPr>
            <w:r>
              <w:rPr>
                <w:rFonts w:ascii="宋体" w:hAnsi="宋体" w:cs="宋体" w:eastAsia="宋体" w:hint="default"/>
                <w:sz w:val="18"/>
                <w:szCs w:val="18"/>
              </w:rPr>
              <w:t>期限</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678"/>
        <w:gridCol w:w="2128"/>
        <w:gridCol w:w="4392"/>
        <w:gridCol w:w="1558"/>
        <w:gridCol w:w="851"/>
      </w:tblGrid>
      <w:tr>
        <w:trPr>
          <w:trHeight w:val="427" w:hRule="exact"/>
        </w:trPr>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ZL 2011 2</w:t>
            </w:r>
            <w:r>
              <w:rPr>
                <w:rFonts w:ascii="Times New Roman"/>
                <w:spacing w:val="-3"/>
                <w:sz w:val="18"/>
              </w:rPr>
              <w:t> </w:t>
            </w:r>
            <w:r>
              <w:rPr>
                <w:rFonts w:ascii="Times New Roman"/>
                <w:sz w:val="18"/>
              </w:rPr>
              <w:t>0575299.5</w:t>
            </w:r>
          </w:p>
        </w:tc>
        <w:tc>
          <w:tcPr>
            <w:tcW w:w="4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基于机械振动激发材质特征的票据真伪识别设备</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实用新型专利</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427" w:hRule="exact"/>
        </w:trPr>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ZL 2011 2</w:t>
            </w:r>
            <w:r>
              <w:rPr>
                <w:rFonts w:ascii="Times New Roman"/>
                <w:spacing w:val="-3"/>
                <w:sz w:val="18"/>
              </w:rPr>
              <w:t> </w:t>
            </w:r>
            <w:r>
              <w:rPr>
                <w:rFonts w:ascii="Times New Roman"/>
                <w:sz w:val="18"/>
              </w:rPr>
              <w:t>0575438.4</w:t>
            </w:r>
          </w:p>
        </w:tc>
        <w:tc>
          <w:tcPr>
            <w:tcW w:w="4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基于超声波激发材质特征的票据真伪识别设备</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实用新型专利</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426" w:hRule="exact"/>
        </w:trPr>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ZL 2011 2</w:t>
            </w:r>
            <w:r>
              <w:rPr>
                <w:rFonts w:ascii="Times New Roman"/>
                <w:spacing w:val="-3"/>
                <w:sz w:val="18"/>
              </w:rPr>
              <w:t> </w:t>
            </w:r>
            <w:r>
              <w:rPr>
                <w:rFonts w:ascii="Times New Roman"/>
                <w:sz w:val="18"/>
              </w:rPr>
              <w:t>0525251.3</w:t>
            </w:r>
          </w:p>
        </w:tc>
        <w:tc>
          <w:tcPr>
            <w:tcW w:w="4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印鉴卡智能管控系统</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实用新型专利</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427" w:hRule="exact"/>
        </w:trPr>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ZL 2012 2</w:t>
            </w:r>
            <w:r>
              <w:rPr>
                <w:rFonts w:ascii="Times New Roman"/>
                <w:spacing w:val="-3"/>
                <w:sz w:val="18"/>
              </w:rPr>
              <w:t> </w:t>
            </w:r>
            <w:r>
              <w:rPr>
                <w:rFonts w:ascii="Times New Roman"/>
                <w:sz w:val="18"/>
              </w:rPr>
              <w:t>0072238.1</w:t>
            </w:r>
          </w:p>
        </w:tc>
        <w:tc>
          <w:tcPr>
            <w:tcW w:w="4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票据真伪识别设备</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实用新型证书</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427" w:hRule="exact"/>
        </w:trPr>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ZL 2012 2 3</w:t>
            </w:r>
            <w:r>
              <w:rPr>
                <w:rFonts w:ascii="Times New Roman"/>
                <w:spacing w:val="-4"/>
                <w:sz w:val="18"/>
              </w:rPr>
              <w:t> </w:t>
            </w:r>
            <w:r>
              <w:rPr>
                <w:rFonts w:ascii="Times New Roman"/>
                <w:sz w:val="18"/>
              </w:rPr>
              <w:t>0441558.5</w:t>
            </w:r>
          </w:p>
        </w:tc>
        <w:tc>
          <w:tcPr>
            <w:tcW w:w="4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具有盖章功能的票据自助受理装置</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外观设计专利</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427" w:hRule="exact"/>
        </w:trPr>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ZL 2012 2 3</w:t>
            </w:r>
            <w:r>
              <w:rPr>
                <w:rFonts w:ascii="Times New Roman"/>
                <w:spacing w:val="-4"/>
                <w:sz w:val="18"/>
              </w:rPr>
              <w:t> </w:t>
            </w:r>
            <w:r>
              <w:rPr>
                <w:rFonts w:ascii="Times New Roman"/>
                <w:sz w:val="18"/>
              </w:rPr>
              <w:t>0313305.X</w:t>
            </w:r>
          </w:p>
        </w:tc>
        <w:tc>
          <w:tcPr>
            <w:tcW w:w="4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图像采集装置</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外观设计专利</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）计算机软件著作权</w:t>
      </w:r>
    </w:p>
    <w:p>
      <w:pPr>
        <w:spacing w:line="240" w:lineRule="auto" w:before="0"/>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908"/>
        <w:gridCol w:w="2255"/>
        <w:gridCol w:w="4742"/>
        <w:gridCol w:w="1700"/>
      </w:tblGrid>
      <w:tr>
        <w:trPr>
          <w:trHeight w:val="427"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登记号</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软件名称</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著作权人</w:t>
            </w:r>
          </w:p>
        </w:tc>
      </w:tr>
      <w:tr>
        <w:trPr>
          <w:trHeight w:val="427"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2012SR014003</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票据防伪底纹比对识别系统</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中科金财</w:t>
            </w:r>
          </w:p>
        </w:tc>
      </w:tr>
      <w:tr>
        <w:trPr>
          <w:trHeight w:val="427"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2012SR068359</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云计算服务管理平台系统</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中科金财</w:t>
            </w:r>
          </w:p>
        </w:tc>
      </w:tr>
      <w:tr>
        <w:trPr>
          <w:trHeight w:val="426"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Times New Roman" w:hAnsi="Times New Roman" w:cs="Times New Roman" w:eastAsia="Times New Roman" w:hint="default"/>
                <w:sz w:val="20"/>
                <w:szCs w:val="20"/>
              </w:rPr>
            </w:pPr>
            <w:r>
              <w:rPr>
                <w:rFonts w:ascii="Times New Roman"/>
                <w:sz w:val="20"/>
              </w:rPr>
              <w:t>2012SR072222</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全集中电子验印系统</w:t>
            </w:r>
            <w:r>
              <w:rPr>
                <w:rFonts w:ascii="Times New Roman" w:hAnsi="Times New Roman" w:cs="Times New Roman" w:eastAsia="Times New Roman" w:hint="default"/>
                <w:sz w:val="18"/>
                <w:szCs w:val="18"/>
              </w:rPr>
              <w:t>V2.5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中科金财</w:t>
            </w:r>
          </w:p>
        </w:tc>
      </w:tr>
      <w:tr>
        <w:trPr>
          <w:trHeight w:val="427"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2012SR090937</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图像质量检测校正系统</w:t>
            </w:r>
            <w:r>
              <w:rPr>
                <w:rFonts w:ascii="Times New Roman" w:hAnsi="Times New Roman" w:cs="Times New Roman" w:eastAsia="Times New Roman" w:hint="default"/>
                <w:sz w:val="18"/>
                <w:szCs w:val="18"/>
              </w:rPr>
              <w:t>V2.0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中科金财</w:t>
            </w:r>
          </w:p>
        </w:tc>
      </w:tr>
      <w:tr>
        <w:trPr>
          <w:trHeight w:val="427"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2012SR093520</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出入境管理业务支撑平台软件</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中科金财</w:t>
            </w:r>
          </w:p>
        </w:tc>
      </w:tr>
      <w:tr>
        <w:trPr>
          <w:trHeight w:val="427"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2012SR093525</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出入境管理数据服务平台软件</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中科金财</w:t>
            </w:r>
          </w:p>
        </w:tc>
      </w:tr>
      <w:tr>
        <w:trPr>
          <w:trHeight w:val="427"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7</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2012SR093821</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手机银行应用软件</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中科金财</w:t>
            </w:r>
          </w:p>
        </w:tc>
      </w:tr>
      <w:tr>
        <w:trPr>
          <w:trHeight w:val="427"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8</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2012SR093843</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手机银行平台系统</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中科金财</w:t>
            </w:r>
          </w:p>
        </w:tc>
      </w:tr>
      <w:tr>
        <w:trPr>
          <w:trHeight w:val="426"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9</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Times New Roman" w:hAnsi="Times New Roman" w:cs="Times New Roman" w:eastAsia="Times New Roman" w:hint="default"/>
                <w:sz w:val="20"/>
                <w:szCs w:val="20"/>
              </w:rPr>
            </w:pPr>
            <w:r>
              <w:rPr>
                <w:rFonts w:ascii="Times New Roman"/>
                <w:sz w:val="20"/>
              </w:rPr>
              <w:t>2012SR093953</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气象客户端服务系统</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中科金财</w:t>
            </w:r>
          </w:p>
        </w:tc>
      </w:tr>
      <w:tr>
        <w:trPr>
          <w:trHeight w:val="427"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2012SR093994</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图像质量检测系统</w:t>
            </w:r>
            <w:r>
              <w:rPr>
                <w:rFonts w:ascii="Times New Roman" w:hAnsi="Times New Roman" w:cs="Times New Roman" w:eastAsia="Times New Roman" w:hint="default"/>
                <w:sz w:val="18"/>
                <w:szCs w:val="18"/>
              </w:rPr>
              <w:t>V2.0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中科金财</w:t>
            </w:r>
          </w:p>
        </w:tc>
      </w:tr>
      <w:tr>
        <w:trPr>
          <w:trHeight w:val="427"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11</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2012SR093848</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手机支付平台系统</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中科金财</w:t>
            </w:r>
          </w:p>
        </w:tc>
      </w:tr>
      <w:tr>
        <w:trPr>
          <w:trHeight w:val="427"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12</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2012SR101183</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XBRL</w:t>
            </w:r>
            <w:r>
              <w:rPr>
                <w:rFonts w:ascii="宋体" w:hAnsi="宋体" w:cs="宋体" w:eastAsia="宋体" w:hint="default"/>
                <w:sz w:val="18"/>
                <w:szCs w:val="18"/>
              </w:rPr>
              <w:t>分类标准管理软件</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中科金财</w:t>
            </w:r>
          </w:p>
        </w:tc>
      </w:tr>
      <w:tr>
        <w:trPr>
          <w:trHeight w:val="427"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13</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2012SR104776</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应用支撑平台</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中科金财</w:t>
            </w:r>
          </w:p>
        </w:tc>
      </w:tr>
      <w:tr>
        <w:trPr>
          <w:trHeight w:val="427"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14</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2012SR104460</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数据服务平台软件</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中科金财</w:t>
            </w:r>
          </w:p>
        </w:tc>
      </w:tr>
      <w:tr>
        <w:trPr>
          <w:trHeight w:val="426"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15</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Times New Roman" w:hAnsi="Times New Roman" w:cs="Times New Roman" w:eastAsia="Times New Roman" w:hint="default"/>
                <w:sz w:val="20"/>
                <w:szCs w:val="20"/>
              </w:rPr>
            </w:pPr>
            <w:r>
              <w:rPr>
                <w:rFonts w:ascii="Times New Roman"/>
                <w:sz w:val="20"/>
              </w:rPr>
              <w:t>2012SR105134</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票据荧光防伪系统</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中科金财</w:t>
            </w:r>
          </w:p>
        </w:tc>
      </w:tr>
      <w:tr>
        <w:trPr>
          <w:trHeight w:val="427"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16</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2012SR105369</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风险防控系统</w:t>
            </w:r>
            <w:r>
              <w:rPr>
                <w:rFonts w:ascii="Times New Roman" w:hAnsi="Times New Roman" w:cs="Times New Roman" w:eastAsia="Times New Roman" w:hint="default"/>
                <w:sz w:val="18"/>
                <w:szCs w:val="18"/>
              </w:rPr>
              <w:t>V2.0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中科金财</w:t>
            </w:r>
          </w:p>
        </w:tc>
      </w:tr>
      <w:tr>
        <w:trPr>
          <w:trHeight w:val="427"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17</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2012SR105379</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影像平台软件</w:t>
            </w:r>
            <w:r>
              <w:rPr>
                <w:rFonts w:ascii="Times New Roman" w:hAnsi="Times New Roman" w:cs="Times New Roman" w:eastAsia="Times New Roman" w:hint="default"/>
                <w:sz w:val="18"/>
                <w:szCs w:val="18"/>
              </w:rPr>
              <w:t>SinoImage  </w:t>
            </w:r>
            <w:r>
              <w:rPr>
                <w:rFonts w:ascii="Times New Roman" w:hAnsi="Times New Roman" w:cs="Times New Roman" w:eastAsia="Times New Roman" w:hint="default"/>
                <w:spacing w:val="35"/>
                <w:sz w:val="18"/>
                <w:szCs w:val="18"/>
              </w:rPr>
              <w:t> </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中科金财</w:t>
            </w:r>
          </w:p>
        </w:tc>
      </w:tr>
      <w:tr>
        <w:trPr>
          <w:trHeight w:val="427"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18</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2012SR105375</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工作流引擎软件</w:t>
            </w:r>
            <w:r>
              <w:rPr>
                <w:rFonts w:ascii="Times New Roman" w:hAnsi="Times New Roman" w:cs="Times New Roman" w:eastAsia="Times New Roman" w:hint="default"/>
                <w:sz w:val="18"/>
                <w:szCs w:val="18"/>
              </w:rPr>
              <w:t>SinoFlow</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中科金财</w:t>
            </w:r>
          </w:p>
        </w:tc>
      </w:tr>
      <w:tr>
        <w:trPr>
          <w:trHeight w:val="427"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19</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2012SR105366</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电子回单处理系统</w:t>
            </w:r>
            <w:r>
              <w:rPr>
                <w:rFonts w:ascii="Times New Roman" w:hAnsi="Times New Roman" w:cs="Times New Roman" w:eastAsia="Times New Roman" w:hint="default"/>
                <w:sz w:val="18"/>
                <w:szCs w:val="18"/>
              </w:rPr>
              <w:t>SinoAETV1.0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中科金财</w:t>
            </w:r>
          </w:p>
        </w:tc>
      </w:tr>
      <w:tr>
        <w:trPr>
          <w:trHeight w:val="427"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2012SR113979</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案件管理系统</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中科金财</w:t>
            </w:r>
          </w:p>
        </w:tc>
      </w:tr>
      <w:tr>
        <w:trPr>
          <w:trHeight w:val="426"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21</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Times New Roman" w:hAnsi="Times New Roman" w:cs="Times New Roman" w:eastAsia="Times New Roman" w:hint="default"/>
                <w:sz w:val="20"/>
                <w:szCs w:val="20"/>
              </w:rPr>
            </w:pPr>
            <w:r>
              <w:rPr>
                <w:rFonts w:ascii="Times New Roman"/>
                <w:sz w:val="20"/>
              </w:rPr>
              <w:t>2012SR114334</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知识库管理系统</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中科金财</w:t>
            </w:r>
          </w:p>
        </w:tc>
      </w:tr>
      <w:tr>
        <w:trPr>
          <w:trHeight w:val="427"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22</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2012SR113994</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勤务管理系统</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中科金财</w:t>
            </w:r>
          </w:p>
        </w:tc>
      </w:tr>
      <w:tr>
        <w:trPr>
          <w:trHeight w:val="427"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23</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2012SR125687</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监控预警管理系统</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中科金财</w:t>
            </w:r>
          </w:p>
        </w:tc>
      </w:tr>
      <w:tr>
        <w:trPr>
          <w:trHeight w:val="427"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24</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20"/>
                <w:szCs w:val="20"/>
              </w:rPr>
            </w:pPr>
            <w:r>
              <w:rPr>
                <w:rFonts w:ascii="Times New Roman"/>
                <w:sz w:val="20"/>
              </w:rPr>
              <w:t>2012SR126250</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突发事件处理系统</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中科金财</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908"/>
        <w:gridCol w:w="2255"/>
        <w:gridCol w:w="4742"/>
        <w:gridCol w:w="1700"/>
      </w:tblGrid>
      <w:tr>
        <w:trPr>
          <w:trHeight w:val="427"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25</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97" w:right="0"/>
              <w:jc w:val="left"/>
              <w:rPr>
                <w:rFonts w:ascii="Times New Roman" w:hAnsi="Times New Roman" w:cs="Times New Roman" w:eastAsia="Times New Roman" w:hint="default"/>
                <w:sz w:val="20"/>
                <w:szCs w:val="20"/>
              </w:rPr>
            </w:pPr>
            <w:r>
              <w:rPr>
                <w:rFonts w:ascii="Times New Roman"/>
                <w:sz w:val="20"/>
              </w:rPr>
              <w:t>2012SR132896</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XBRL</w:t>
            </w:r>
            <w:r>
              <w:rPr>
                <w:rFonts w:ascii="宋体" w:hAnsi="宋体" w:cs="宋体" w:eastAsia="宋体" w:hint="default"/>
                <w:sz w:val="18"/>
                <w:szCs w:val="18"/>
              </w:rPr>
              <w:t>实例文档编辑软件</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中科金财</w:t>
            </w:r>
          </w:p>
        </w:tc>
      </w:tr>
      <w:tr>
        <w:trPr>
          <w:trHeight w:val="427"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26</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97" w:right="0"/>
              <w:jc w:val="left"/>
              <w:rPr>
                <w:rFonts w:ascii="Times New Roman" w:hAnsi="Times New Roman" w:cs="Times New Roman" w:eastAsia="Times New Roman" w:hint="default"/>
                <w:sz w:val="20"/>
                <w:szCs w:val="20"/>
              </w:rPr>
            </w:pPr>
            <w:r>
              <w:rPr>
                <w:rFonts w:ascii="Times New Roman"/>
                <w:sz w:val="20"/>
              </w:rPr>
              <w:t>2012SR003844</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手机银行</w:t>
            </w:r>
            <w:r>
              <w:rPr>
                <w:rFonts w:ascii="Times New Roman" w:hAnsi="Times New Roman" w:cs="Times New Roman" w:eastAsia="Times New Roman" w:hint="default"/>
                <w:sz w:val="18"/>
                <w:szCs w:val="18"/>
              </w:rPr>
              <w:t>ios</w:t>
            </w:r>
            <w:r>
              <w:rPr>
                <w:rFonts w:ascii="宋体" w:hAnsi="宋体" w:cs="宋体" w:eastAsia="宋体" w:hint="default"/>
                <w:sz w:val="18"/>
                <w:szCs w:val="18"/>
              </w:rPr>
              <w:t>平台系统</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中科商务</w:t>
            </w:r>
          </w:p>
        </w:tc>
      </w:tr>
      <w:tr>
        <w:trPr>
          <w:trHeight w:val="426"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27</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97" w:right="0"/>
              <w:jc w:val="left"/>
              <w:rPr>
                <w:rFonts w:ascii="Times New Roman" w:hAnsi="Times New Roman" w:cs="Times New Roman" w:eastAsia="Times New Roman" w:hint="default"/>
                <w:sz w:val="20"/>
                <w:szCs w:val="20"/>
              </w:rPr>
            </w:pPr>
            <w:r>
              <w:rPr>
                <w:rFonts w:ascii="Times New Roman"/>
                <w:sz w:val="20"/>
              </w:rPr>
              <w:t>2012SR003842</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手机银行共享系统</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宋体" w:hAnsi="宋体" w:cs="宋体" w:eastAsia="宋体" w:hint="default"/>
                <w:sz w:val="20"/>
                <w:szCs w:val="20"/>
              </w:rPr>
            </w:pPr>
            <w:r>
              <w:rPr>
                <w:rFonts w:ascii="宋体" w:hAnsi="宋体" w:cs="宋体" w:eastAsia="宋体" w:hint="default"/>
                <w:sz w:val="20"/>
                <w:szCs w:val="20"/>
              </w:rPr>
              <w:t>中科商务</w:t>
            </w:r>
          </w:p>
        </w:tc>
      </w:tr>
      <w:tr>
        <w:trPr>
          <w:trHeight w:val="427"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28</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97" w:right="0"/>
              <w:jc w:val="left"/>
              <w:rPr>
                <w:rFonts w:ascii="Times New Roman" w:hAnsi="Times New Roman" w:cs="Times New Roman" w:eastAsia="Times New Roman" w:hint="default"/>
                <w:sz w:val="20"/>
                <w:szCs w:val="20"/>
              </w:rPr>
            </w:pPr>
            <w:r>
              <w:rPr>
                <w:rFonts w:ascii="Times New Roman"/>
                <w:sz w:val="20"/>
              </w:rPr>
              <w:t>2010SR057500</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Mobile</w:t>
            </w:r>
            <w:r>
              <w:rPr>
                <w:rFonts w:ascii="宋体" w:hAnsi="宋体" w:cs="宋体" w:eastAsia="宋体" w:hint="default"/>
                <w:sz w:val="18"/>
                <w:szCs w:val="18"/>
              </w:rPr>
              <w:t>掌上巡查业务系统</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宋体" w:hAnsi="宋体" w:cs="宋体" w:eastAsia="宋体" w:hint="default"/>
                <w:sz w:val="20"/>
                <w:szCs w:val="20"/>
              </w:rPr>
            </w:pPr>
            <w:r>
              <w:rPr>
                <w:rFonts w:ascii="宋体" w:hAnsi="宋体" w:cs="宋体" w:eastAsia="宋体" w:hint="default"/>
                <w:sz w:val="20"/>
                <w:szCs w:val="20"/>
              </w:rPr>
              <w:t>中科商务</w:t>
            </w:r>
          </w:p>
        </w:tc>
      </w:tr>
      <w:tr>
        <w:trPr>
          <w:trHeight w:val="427"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29</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97" w:right="0"/>
              <w:jc w:val="left"/>
              <w:rPr>
                <w:rFonts w:ascii="Times New Roman" w:hAnsi="Times New Roman" w:cs="Times New Roman" w:eastAsia="Times New Roman" w:hint="default"/>
                <w:sz w:val="20"/>
                <w:szCs w:val="20"/>
              </w:rPr>
            </w:pPr>
            <w:r>
              <w:rPr>
                <w:rFonts w:ascii="Times New Roman"/>
                <w:sz w:val="20"/>
              </w:rPr>
              <w:t>2010SR059274</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气象手机客户端服务系统</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宋体" w:hAnsi="宋体" w:cs="宋体" w:eastAsia="宋体" w:hint="default"/>
                <w:sz w:val="20"/>
                <w:szCs w:val="20"/>
              </w:rPr>
            </w:pPr>
            <w:r>
              <w:rPr>
                <w:rFonts w:ascii="宋体" w:hAnsi="宋体" w:cs="宋体" w:eastAsia="宋体" w:hint="default"/>
                <w:sz w:val="20"/>
                <w:szCs w:val="20"/>
              </w:rPr>
              <w:t>中科商务</w:t>
            </w:r>
          </w:p>
        </w:tc>
      </w:tr>
      <w:tr>
        <w:trPr>
          <w:trHeight w:val="427"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30</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97" w:right="0"/>
              <w:jc w:val="left"/>
              <w:rPr>
                <w:rFonts w:ascii="Times New Roman" w:hAnsi="Times New Roman" w:cs="Times New Roman" w:eastAsia="Times New Roman" w:hint="default"/>
                <w:sz w:val="20"/>
                <w:szCs w:val="20"/>
              </w:rPr>
            </w:pPr>
            <w:r>
              <w:rPr>
                <w:rFonts w:ascii="Times New Roman"/>
                <w:sz w:val="20"/>
              </w:rPr>
              <w:t>2010SR061239</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掌上气象与减灾系统</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宋体" w:hAnsi="宋体" w:cs="宋体" w:eastAsia="宋体" w:hint="default"/>
                <w:sz w:val="20"/>
                <w:szCs w:val="20"/>
              </w:rPr>
            </w:pPr>
            <w:r>
              <w:rPr>
                <w:rFonts w:ascii="宋体" w:hAnsi="宋体" w:cs="宋体" w:eastAsia="宋体" w:hint="default"/>
                <w:sz w:val="20"/>
                <w:szCs w:val="20"/>
              </w:rPr>
              <w:t>中科商务</w:t>
            </w:r>
          </w:p>
        </w:tc>
      </w:tr>
      <w:tr>
        <w:trPr>
          <w:trHeight w:val="427"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31</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97" w:right="0"/>
              <w:jc w:val="left"/>
              <w:rPr>
                <w:rFonts w:ascii="Times New Roman" w:hAnsi="Times New Roman" w:cs="Times New Roman" w:eastAsia="Times New Roman" w:hint="default"/>
                <w:sz w:val="20"/>
                <w:szCs w:val="20"/>
              </w:rPr>
            </w:pPr>
            <w:r>
              <w:rPr>
                <w:rFonts w:ascii="Times New Roman"/>
                <w:sz w:val="20"/>
              </w:rPr>
              <w:t>2010SR061241</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手机银行客户端应用系统</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宋体" w:hAnsi="宋体" w:cs="宋体" w:eastAsia="宋体" w:hint="default"/>
                <w:sz w:val="20"/>
                <w:szCs w:val="20"/>
              </w:rPr>
            </w:pPr>
            <w:r>
              <w:rPr>
                <w:rFonts w:ascii="宋体" w:hAnsi="宋体" w:cs="宋体" w:eastAsia="宋体" w:hint="default"/>
                <w:sz w:val="20"/>
                <w:szCs w:val="20"/>
              </w:rPr>
              <w:t>中科商务</w:t>
            </w:r>
          </w:p>
        </w:tc>
      </w:tr>
      <w:tr>
        <w:trPr>
          <w:trHeight w:val="427"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32</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97" w:right="0"/>
              <w:jc w:val="left"/>
              <w:rPr>
                <w:rFonts w:ascii="Times New Roman" w:hAnsi="Times New Roman" w:cs="Times New Roman" w:eastAsia="Times New Roman" w:hint="default"/>
                <w:sz w:val="20"/>
                <w:szCs w:val="20"/>
              </w:rPr>
            </w:pPr>
            <w:r>
              <w:rPr>
                <w:rFonts w:ascii="Times New Roman"/>
                <w:sz w:val="20"/>
              </w:rPr>
              <w:t>2010SR061628</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手机气象预报服务系统</w:t>
            </w:r>
            <w:r>
              <w:rPr>
                <w:rFonts w:ascii="Times New Roman" w:hAnsi="Times New Roman" w:cs="Times New Roman" w:eastAsia="Times New Roman" w:hint="default"/>
                <w:sz w:val="18"/>
                <w:szCs w:val="18"/>
              </w:rPr>
              <w:t>V1.0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宋体" w:hAnsi="宋体" w:cs="宋体" w:eastAsia="宋体" w:hint="default"/>
                <w:sz w:val="20"/>
                <w:szCs w:val="20"/>
              </w:rPr>
            </w:pPr>
            <w:r>
              <w:rPr>
                <w:rFonts w:ascii="宋体" w:hAnsi="宋体" w:cs="宋体" w:eastAsia="宋体" w:hint="default"/>
                <w:sz w:val="20"/>
                <w:szCs w:val="20"/>
              </w:rPr>
              <w:t>中科商务</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828,384,854.11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530,427,209.31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56.17%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838,259,518.95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465,982,336.40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79.89%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-9,874,664.84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64,444,872.91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-115.32%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67,870.00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139,695,853.81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72,518,253.98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92.64%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-139,695,853.81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-72,450,383.98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92.82%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467,771,824.84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654.47%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72,834,856.23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60,085,112.76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394,936,968.61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1,914,887.24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20,524.55%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245,366,449.96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-6,090,623.83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4,128.59%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left="577" w:right="0"/>
        <w:jc w:val="left"/>
      </w:pPr>
      <w:r>
        <w:rPr/>
        <w:t>经营活动现金流入较上年增长56.17%，主要原因系公司业务量增加所致。 </w:t>
      </w:r>
      <w:r>
        <w:rPr>
          <w:spacing w:val="-1"/>
        </w:rPr>
        <w:t>经营活动现金流出较上年增长79.89%，主要原因系一方面随着业务量的增加，在建项目的项目采购和</w:t>
      </w:r>
    </w:p>
    <w:p>
      <w:pPr>
        <w:pStyle w:val="BodyText"/>
        <w:spacing w:line="408" w:lineRule="auto"/>
        <w:ind w:right="0"/>
        <w:jc w:val="left"/>
      </w:pPr>
      <w:r>
        <w:rPr>
          <w:spacing w:val="-1"/>
        </w:rPr>
        <w:t>拟建项目的项目备货均出现相应的增长；另一方面，公司自上市后，加大了市场拓展的力度，在多地建立</w:t>
      </w:r>
      <w:r>
        <w:rPr>
          <w:spacing w:val="-82"/>
        </w:rPr>
        <w:t> </w:t>
      </w:r>
      <w:r>
        <w:rPr>
          <w:spacing w:val="-82"/>
        </w:rPr>
      </w:r>
      <w:r>
        <w:rPr/>
        <w:t>营销中心，同时公司还加大了人员和日常管理的投入，导致销售和管理费用均出现较大幅增长。</w:t>
      </w:r>
    </w:p>
    <w:p>
      <w:pPr>
        <w:pStyle w:val="BodyText"/>
        <w:spacing w:line="408" w:lineRule="auto"/>
        <w:ind w:right="0" w:firstLine="423"/>
        <w:jc w:val="left"/>
      </w:pPr>
      <w:r>
        <w:rPr/>
        <w:t>投资活动现金流入较上年减少100.00%，主要原因系2011年该项活动的现金流入是由于处置非流动资 产所产生的。</w:t>
      </w:r>
    </w:p>
    <w:p>
      <w:pPr>
        <w:spacing w:after="0" w:line="408"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4"/>
        <w:ind w:right="211" w:firstLine="423"/>
        <w:jc w:val="both"/>
      </w:pPr>
      <w:r>
        <w:rPr>
          <w:spacing w:val="-1"/>
        </w:rPr>
        <w:t>投资活动现金流出较上年增加92.64%，主要系2012年公司对包括募投项目在内的多个研发项目实施需</w:t>
      </w:r>
      <w:r>
        <w:rPr/>
        <w:t> </w:t>
      </w:r>
      <w:r>
        <w:rPr>
          <w:spacing w:val="-1"/>
        </w:rPr>
        <w:t>要增加固定资产、无形资产，同时按照会计准则和公司《研发项目管理制度》的相关规定，对符合要求的</w:t>
      </w:r>
      <w:r>
        <w:rPr>
          <w:spacing w:val="-83"/>
        </w:rPr>
        <w:t> </w:t>
      </w:r>
      <w:r>
        <w:rPr>
          <w:spacing w:val="-83"/>
        </w:rPr>
      </w:r>
      <w:r>
        <w:rPr/>
        <w:t>开发阶段支出予以资本化。</w:t>
      </w:r>
    </w:p>
    <w:p>
      <w:pPr>
        <w:pStyle w:val="BodyText"/>
        <w:spacing w:line="240" w:lineRule="auto"/>
        <w:ind w:left="577" w:right="0"/>
        <w:jc w:val="left"/>
      </w:pPr>
      <w:r>
        <w:rPr/>
        <w:t>筹资活动现金流入较上年增加654.47%，主要系报告期内公司首次公开发行股票，募集资金到位所致。</w:t>
      </w:r>
    </w:p>
    <w:p>
      <w:pPr>
        <w:spacing w:line="240" w:lineRule="auto" w:before="0"/>
        <w:rPr>
          <w:rFonts w:ascii="宋体" w:hAnsi="宋体" w:cs="宋体" w:eastAsia="宋体" w:hint="default"/>
          <w:sz w:val="20"/>
          <w:szCs w:val="20"/>
        </w:rPr>
      </w:pPr>
    </w:p>
    <w:p>
      <w:pPr>
        <w:pStyle w:val="Heading2"/>
        <w:spacing w:line="240" w:lineRule="auto" w:before="131"/>
        <w:ind w:right="102"/>
        <w:jc w:val="left"/>
        <w:rPr>
          <w:b w:val="0"/>
          <w:bCs w:val="0"/>
        </w:rPr>
      </w:pPr>
      <w:r>
        <w:rPr/>
        <w:t>三、主营业务构成情况</w:t>
      </w:r>
      <w:r>
        <w:rPr>
          <w:b w:val="0"/>
          <w:bCs w:val="0"/>
        </w:rPr>
      </w:r>
    </w:p>
    <w:p>
      <w:pPr>
        <w:spacing w:line="240" w:lineRule="auto" w:before="7"/>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3" w:right="47" w:hanging="16"/>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3" w:right="47" w:hanging="16"/>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56" w:right="48" w:hanging="105"/>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307,939,476.92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124,698,872.89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-20.64%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14.76%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119,370,905.29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84,890,160.61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10.65%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71,249,502.72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57,033,897.87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12.24%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19,991,712.01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18,918,978.92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1,222.81%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2,721.61%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-50.26%</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服务管理解决 方案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141,665,610.38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25,743,687.95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数据中心综合建 设解决方案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300,351,998.72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226,404,571.61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0.89%</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银行影像解决方 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76,533,987.84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33,393,650.73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-20.41%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18.67%</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6,199,927.55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5,955,661.43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-70.19%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436,310,560.55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222,300,955.22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-11.81%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12.76%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32,420,735.13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25,925,877.17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353.51%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-45.59%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6,321,023.59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4,529,122.92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365.05%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659.87%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11,374,762.19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11,215,646.16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5,590.62%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37,081.32%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-83.51%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24,536,216.89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14,857,386.56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85.79%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1,361,956.87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751,768.35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-50.78%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19.55%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26,414.17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5,492.48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4"/>
        <w:ind w:right="102"/>
        <w:jc w:val="left"/>
        <w:rPr>
          <w:b w:val="0"/>
          <w:bCs w:val="0"/>
        </w:rPr>
      </w:pPr>
      <w:r>
        <w:rPr/>
        <w:t>四、资产、负债状况分析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1255"/>
        <w:gridCol w:w="1063"/>
        <w:gridCol w:w="1195"/>
        <w:gridCol w:w="1063"/>
        <w:gridCol w:w="799"/>
        <w:gridCol w:w="2917"/>
      </w:tblGrid>
      <w:tr>
        <w:trPr>
          <w:trHeight w:val="205" w:hRule="exact"/>
        </w:trPr>
        <w:tc>
          <w:tcPr>
            <w:tcW w:w="1276" w:type="dxa"/>
            <w:vMerge w:val="restart"/>
            <w:tcBorders>
              <w:top w:val="single" w:sz="4" w:space="0" w:color="000000"/>
              <w:left w:val="single" w:sz="4" w:space="0" w:color="000000"/>
              <w:right w:val="single" w:sz="4" w:space="0" w:color="000000"/>
            </w:tcBorders>
            <w:shd w:val="clear" w:color="auto" w:fill="D3D3D3"/>
          </w:tcPr>
          <w:p>
            <w:pPr/>
          </w:p>
        </w:tc>
        <w:tc>
          <w:tcPr>
            <w:tcW w:w="231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2917" w:type="dxa"/>
            <w:vMerge w:val="restart"/>
            <w:tcBorders>
              <w:top w:val="single" w:sz="4" w:space="0" w:color="000000"/>
              <w:left w:val="single" w:sz="4" w:space="0" w:color="000000"/>
              <w:right w:val="single" w:sz="4" w:space="0" w:color="000000"/>
            </w:tcBorders>
            <w:shd w:val="clear" w:color="auto" w:fill="D3D3D3"/>
          </w:tcPr>
          <w:p>
            <w:pPr/>
          </w:p>
        </w:tc>
      </w:tr>
      <w:tr>
        <w:trPr>
          <w:trHeight w:val="176" w:hRule="exact"/>
        </w:trPr>
        <w:tc>
          <w:tcPr>
            <w:tcW w:w="1276" w:type="dxa"/>
            <w:vMerge/>
            <w:tcBorders>
              <w:left w:val="single" w:sz="4" w:space="0" w:color="000000"/>
              <w:bottom w:val="nil" w:sz="6" w:space="0" w:color="auto"/>
              <w:right w:val="single" w:sz="4" w:space="0" w:color="000000"/>
            </w:tcBorders>
            <w:shd w:val="clear" w:color="auto" w:fill="D3D3D3"/>
          </w:tcPr>
          <w:p>
            <w:pPr/>
          </w:p>
        </w:tc>
        <w:tc>
          <w:tcPr>
            <w:tcW w:w="2318" w:type="dxa"/>
            <w:gridSpan w:val="2"/>
            <w:vMerge/>
            <w:tcBorders>
              <w:left w:val="single" w:sz="4" w:space="0" w:color="000000"/>
              <w:bottom w:val="single" w:sz="4" w:space="0" w:color="000000"/>
              <w:right w:val="single" w:sz="4" w:space="0" w:color="000000"/>
            </w:tcBorders>
            <w:shd w:val="clear" w:color="auto" w:fill="D3D3D3"/>
          </w:tcPr>
          <w:p>
            <w:pPr/>
          </w:p>
        </w:tc>
        <w:tc>
          <w:tcPr>
            <w:tcW w:w="2258" w:type="dxa"/>
            <w:gridSpan w:val="2"/>
            <w:vMerge/>
            <w:tcBorders>
              <w:left w:val="single" w:sz="4" w:space="0" w:color="000000"/>
              <w:bottom w:val="single" w:sz="4" w:space="0" w:color="000000"/>
              <w:right w:val="single" w:sz="4" w:space="0" w:color="000000"/>
            </w:tcBorders>
            <w:shd w:val="clear" w:color="auto" w:fill="D3D3D3"/>
          </w:tcPr>
          <w:p>
            <w:pPr/>
          </w:p>
        </w:tc>
        <w:tc>
          <w:tcPr>
            <w:tcW w:w="79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7" w:type="dxa"/>
            <w:vMerge/>
            <w:tcBorders>
              <w:left w:val="single" w:sz="4" w:space="0" w:color="000000"/>
              <w:bottom w:val="nil" w:sz="6" w:space="0" w:color="auto"/>
              <w:right w:val="single" w:sz="4" w:space="0" w:color="000000"/>
            </w:tcBorders>
            <w:shd w:val="clear" w:color="auto" w:fill="D3D3D3"/>
          </w:tcPr>
          <w:p>
            <w:pPr/>
          </w:p>
        </w:tc>
      </w:tr>
      <w:tr>
        <w:trPr>
          <w:trHeight w:val="181" w:hRule="exact"/>
        </w:trPr>
        <w:tc>
          <w:tcPr>
            <w:tcW w:w="1276" w:type="dxa"/>
            <w:vMerge w:val="restart"/>
            <w:tcBorders>
              <w:top w:val="nil" w:sz="6" w:space="0" w:color="auto"/>
              <w:left w:val="single" w:sz="4" w:space="0" w:color="000000"/>
              <w:right w:val="single" w:sz="4" w:space="0" w:color="000000"/>
            </w:tcBorders>
            <w:shd w:val="clear" w:color="auto" w:fill="D3D3D3"/>
          </w:tcPr>
          <w:p>
            <w:pPr/>
          </w:p>
        </w:tc>
        <w:tc>
          <w:tcPr>
            <w:tcW w:w="1255"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3D3D3"/>
          </w:tcPr>
          <w:p>
            <w:pPr/>
          </w:p>
        </w:tc>
        <w:tc>
          <w:tcPr>
            <w:tcW w:w="291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276" w:type="dxa"/>
            <w:vMerge/>
            <w:tcBorders>
              <w:left w:val="single" w:sz="4" w:space="0" w:color="000000"/>
              <w:bottom w:val="nil" w:sz="6" w:space="0" w:color="auto"/>
              <w:right w:val="single" w:sz="4" w:space="0" w:color="000000"/>
            </w:tcBorders>
            <w:shd w:val="clear" w:color="auto" w:fill="D3D3D3"/>
          </w:tcPr>
          <w:p>
            <w:pPr/>
          </w:p>
        </w:tc>
        <w:tc>
          <w:tcPr>
            <w:tcW w:w="125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3D3D3"/>
          </w:tcPr>
          <w:p>
            <w:pPr/>
          </w:p>
        </w:tc>
        <w:tc>
          <w:tcPr>
            <w:tcW w:w="119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3D3D3"/>
          </w:tcPr>
          <w:p>
            <w:pPr/>
          </w:p>
        </w:tc>
        <w:tc>
          <w:tcPr>
            <w:tcW w:w="799" w:type="dxa"/>
            <w:vMerge/>
            <w:tcBorders>
              <w:left w:val="single" w:sz="4" w:space="0" w:color="000000"/>
              <w:right w:val="single" w:sz="4" w:space="0" w:color="000000"/>
            </w:tcBorders>
            <w:shd w:val="clear" w:color="auto" w:fill="D3D3D3"/>
          </w:tcPr>
          <w:p>
            <w:pPr/>
          </w:p>
        </w:tc>
        <w:tc>
          <w:tcPr>
            <w:tcW w:w="2917" w:type="dxa"/>
            <w:vMerge/>
            <w:tcBorders>
              <w:left w:val="single" w:sz="4" w:space="0" w:color="000000"/>
              <w:bottom w:val="nil" w:sz="6" w:space="0" w:color="auto"/>
              <w:right w:val="single" w:sz="4" w:space="0" w:color="000000"/>
            </w:tcBorders>
            <w:shd w:val="clear" w:color="auto" w:fill="D3D3D3"/>
          </w:tcPr>
          <w:p>
            <w:pPr/>
          </w:p>
        </w:tc>
      </w:tr>
      <w:tr>
        <w:trPr>
          <w:trHeight w:val="179" w:hRule="exact"/>
        </w:trPr>
        <w:tc>
          <w:tcPr>
            <w:tcW w:w="1276" w:type="dxa"/>
            <w:vMerge w:val="restart"/>
            <w:tcBorders>
              <w:top w:val="nil" w:sz="6" w:space="0" w:color="auto"/>
              <w:left w:val="single" w:sz="4" w:space="0" w:color="000000"/>
              <w:right w:val="single" w:sz="4" w:space="0" w:color="000000"/>
            </w:tcBorders>
            <w:shd w:val="clear" w:color="auto" w:fill="D3D3D3"/>
          </w:tcPr>
          <w:p>
            <w:pPr/>
          </w:p>
        </w:tc>
        <w:tc>
          <w:tcPr>
            <w:tcW w:w="1255"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1195"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799" w:type="dxa"/>
            <w:vMerge/>
            <w:tcBorders>
              <w:left w:val="single" w:sz="4" w:space="0" w:color="000000"/>
              <w:bottom w:val="nil" w:sz="6" w:space="0" w:color="auto"/>
              <w:right w:val="single" w:sz="4" w:space="0" w:color="000000"/>
            </w:tcBorders>
            <w:shd w:val="clear" w:color="auto" w:fill="D3D3D3"/>
          </w:tcPr>
          <w:p>
            <w:pPr/>
          </w:p>
        </w:tc>
        <w:tc>
          <w:tcPr>
            <w:tcW w:w="2917" w:type="dxa"/>
            <w:vMerge w:val="restart"/>
            <w:tcBorders>
              <w:top w:val="nil" w:sz="6" w:space="0" w:color="auto"/>
              <w:left w:val="single" w:sz="4" w:space="0" w:color="000000"/>
              <w:right w:val="single" w:sz="4" w:space="0" w:color="000000"/>
            </w:tcBorders>
            <w:shd w:val="clear" w:color="auto" w:fill="D3D3D3"/>
          </w:tcPr>
          <w:p>
            <w:pPr/>
          </w:p>
        </w:tc>
      </w:tr>
      <w:tr>
        <w:trPr>
          <w:trHeight w:val="172" w:hRule="exact"/>
        </w:trPr>
        <w:tc>
          <w:tcPr>
            <w:tcW w:w="1276" w:type="dxa"/>
            <w:vMerge/>
            <w:tcBorders>
              <w:left w:val="single" w:sz="4" w:space="0" w:color="000000"/>
              <w:bottom w:val="single" w:sz="4" w:space="0" w:color="000000"/>
              <w:right w:val="single" w:sz="4" w:space="0" w:color="000000"/>
            </w:tcBorders>
            <w:shd w:val="clear" w:color="auto" w:fill="D3D3D3"/>
          </w:tcPr>
          <w:p>
            <w:pPr/>
          </w:p>
        </w:tc>
        <w:tc>
          <w:tcPr>
            <w:tcW w:w="1255"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291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409,779,804.29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158,019,851.03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43,543,176.04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57,536,369.86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304,557,960.67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78,238,650.11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11.02%</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98,250,666.97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65,453,738.68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-6.15%</w:t>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2"/>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65"/>
        <w:gridCol w:w="1266"/>
        <w:gridCol w:w="1040"/>
        <w:gridCol w:w="1218"/>
        <w:gridCol w:w="1051"/>
        <w:gridCol w:w="800"/>
        <w:gridCol w:w="2917"/>
      </w:tblGrid>
      <w:tr>
        <w:trPr>
          <w:trHeight w:val="206" w:hRule="exact"/>
        </w:trPr>
        <w:tc>
          <w:tcPr>
            <w:tcW w:w="1265" w:type="dxa"/>
            <w:vMerge w:val="restart"/>
            <w:tcBorders>
              <w:top w:val="single" w:sz="4" w:space="0" w:color="000000"/>
              <w:left w:val="single" w:sz="4" w:space="0" w:color="000000"/>
              <w:right w:val="single" w:sz="4" w:space="0" w:color="000000"/>
            </w:tcBorders>
            <w:shd w:val="clear" w:color="auto" w:fill="D3D3D3"/>
          </w:tcPr>
          <w:p>
            <w:pPr/>
          </w:p>
        </w:tc>
        <w:tc>
          <w:tcPr>
            <w:tcW w:w="230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nil" w:sz="6" w:space="0" w:color="auto"/>
              <w:right w:val="single" w:sz="4" w:space="0" w:color="000000"/>
            </w:tcBorders>
            <w:shd w:val="clear" w:color="auto" w:fill="D3D3D3"/>
          </w:tcPr>
          <w:p>
            <w:pPr/>
          </w:p>
        </w:tc>
        <w:tc>
          <w:tcPr>
            <w:tcW w:w="2917" w:type="dxa"/>
            <w:vMerge w:val="restart"/>
            <w:tcBorders>
              <w:top w:val="single" w:sz="4" w:space="0" w:color="000000"/>
              <w:left w:val="single" w:sz="4" w:space="0" w:color="000000"/>
              <w:right w:val="single" w:sz="4" w:space="0" w:color="000000"/>
            </w:tcBorders>
            <w:shd w:val="clear" w:color="auto" w:fill="D3D3D3"/>
          </w:tcPr>
          <w:p>
            <w:pPr/>
          </w:p>
        </w:tc>
      </w:tr>
      <w:tr>
        <w:trPr>
          <w:trHeight w:val="176" w:hRule="exact"/>
        </w:trPr>
        <w:tc>
          <w:tcPr>
            <w:tcW w:w="1265" w:type="dxa"/>
            <w:vMerge/>
            <w:tcBorders>
              <w:left w:val="single" w:sz="4" w:space="0" w:color="000000"/>
              <w:bottom w:val="nil" w:sz="6" w:space="0" w:color="auto"/>
              <w:right w:val="single" w:sz="4" w:space="0" w:color="000000"/>
            </w:tcBorders>
            <w:shd w:val="clear" w:color="auto" w:fill="D3D3D3"/>
          </w:tcPr>
          <w:p>
            <w:pPr/>
          </w:p>
        </w:tc>
        <w:tc>
          <w:tcPr>
            <w:tcW w:w="2306" w:type="dxa"/>
            <w:gridSpan w:val="2"/>
            <w:vMerge/>
            <w:tcBorders>
              <w:left w:val="single" w:sz="4" w:space="0" w:color="000000"/>
              <w:bottom w:val="single" w:sz="4" w:space="0" w:color="000000"/>
              <w:right w:val="single" w:sz="4" w:space="0" w:color="000000"/>
            </w:tcBorders>
            <w:shd w:val="clear" w:color="auto" w:fill="D3D3D3"/>
          </w:tcPr>
          <w:p>
            <w:pPr/>
          </w:p>
        </w:tc>
        <w:tc>
          <w:tcPr>
            <w:tcW w:w="2269" w:type="dxa"/>
            <w:gridSpan w:val="2"/>
            <w:vMerge/>
            <w:tcBorders>
              <w:left w:val="single" w:sz="4" w:space="0" w:color="000000"/>
              <w:bottom w:val="single" w:sz="4" w:space="0" w:color="000000"/>
              <w:right w:val="single" w:sz="4" w:space="0" w:color="000000"/>
            </w:tcBorders>
            <w:shd w:val="clear" w:color="auto" w:fill="D3D3D3"/>
          </w:tcPr>
          <w:p>
            <w:pPr/>
          </w:p>
        </w:tc>
        <w:tc>
          <w:tcPr>
            <w:tcW w:w="80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7" w:type="dxa"/>
            <w:vMerge/>
            <w:tcBorders>
              <w:left w:val="single" w:sz="4" w:space="0" w:color="000000"/>
              <w:bottom w:val="nil" w:sz="6" w:space="0" w:color="auto"/>
              <w:right w:val="single" w:sz="4" w:space="0" w:color="000000"/>
            </w:tcBorders>
            <w:shd w:val="clear" w:color="auto" w:fill="D3D3D3"/>
          </w:tcPr>
          <w:p>
            <w:pPr/>
          </w:p>
        </w:tc>
      </w:tr>
      <w:tr>
        <w:trPr>
          <w:trHeight w:val="182" w:hRule="exact"/>
        </w:trPr>
        <w:tc>
          <w:tcPr>
            <w:tcW w:w="1265" w:type="dxa"/>
            <w:vMerge w:val="restart"/>
            <w:tcBorders>
              <w:top w:val="nil" w:sz="6" w:space="0" w:color="auto"/>
              <w:left w:val="single" w:sz="4" w:space="0" w:color="000000"/>
              <w:right w:val="single" w:sz="4" w:space="0" w:color="000000"/>
            </w:tcBorders>
            <w:shd w:val="clear" w:color="auto" w:fill="D3D3D3"/>
          </w:tcPr>
          <w:p>
            <w:pPr/>
          </w:p>
        </w:tc>
        <w:tc>
          <w:tcPr>
            <w:tcW w:w="1266" w:type="dxa"/>
            <w:tcBorders>
              <w:top w:val="single" w:sz="4" w:space="0" w:color="000000"/>
              <w:left w:val="single" w:sz="4" w:space="0" w:color="000000"/>
              <w:bottom w:val="nil" w:sz="6" w:space="0" w:color="auto"/>
              <w:right w:val="single" w:sz="4" w:space="0" w:color="000000"/>
            </w:tcBorders>
            <w:shd w:val="clear" w:color="auto" w:fill="D3D3D3"/>
          </w:tcPr>
          <w:p>
            <w:pPr/>
          </w:p>
        </w:tc>
        <w:tc>
          <w:tcPr>
            <w:tcW w:w="104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169" w:right="6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18" w:type="dxa"/>
            <w:tcBorders>
              <w:top w:val="single" w:sz="4" w:space="0" w:color="000000"/>
              <w:left w:val="single" w:sz="4" w:space="0" w:color="000000"/>
              <w:bottom w:val="nil" w:sz="6" w:space="0" w:color="auto"/>
              <w:right w:val="single" w:sz="4" w:space="0" w:color="000000"/>
            </w:tcBorders>
            <w:shd w:val="clear" w:color="auto" w:fill="D3D3D3"/>
          </w:tcPr>
          <w:p>
            <w:pPr/>
          </w:p>
        </w:tc>
        <w:tc>
          <w:tcPr>
            <w:tcW w:w="105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169" w:right="75"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00" w:type="dxa"/>
            <w:vMerge/>
            <w:tcBorders>
              <w:left w:val="single" w:sz="4" w:space="0" w:color="000000"/>
              <w:right w:val="single" w:sz="4" w:space="0" w:color="000000"/>
            </w:tcBorders>
            <w:shd w:val="clear" w:color="auto" w:fill="D3D3D3"/>
          </w:tcPr>
          <w:p>
            <w:pPr/>
          </w:p>
        </w:tc>
        <w:tc>
          <w:tcPr>
            <w:tcW w:w="291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265" w:type="dxa"/>
            <w:vMerge/>
            <w:tcBorders>
              <w:left w:val="single" w:sz="4" w:space="0" w:color="000000"/>
              <w:bottom w:val="nil" w:sz="6" w:space="0" w:color="auto"/>
              <w:right w:val="single" w:sz="4" w:space="0" w:color="000000"/>
            </w:tcBorders>
            <w:shd w:val="clear" w:color="auto" w:fill="D3D3D3"/>
          </w:tcPr>
          <w:p>
            <w:pPr/>
          </w:p>
        </w:tc>
        <w:tc>
          <w:tcPr>
            <w:tcW w:w="126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1040" w:type="dxa"/>
            <w:vMerge/>
            <w:tcBorders>
              <w:left w:val="single" w:sz="4" w:space="0" w:color="000000"/>
              <w:right w:val="single" w:sz="4" w:space="0" w:color="000000"/>
            </w:tcBorders>
            <w:shd w:val="clear" w:color="auto" w:fill="D3D3D3"/>
          </w:tcPr>
          <w:p>
            <w:pPr/>
          </w:p>
        </w:tc>
        <w:tc>
          <w:tcPr>
            <w:tcW w:w="121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1" w:type="dxa"/>
            <w:vMerge/>
            <w:tcBorders>
              <w:left w:val="single" w:sz="4" w:space="0" w:color="000000"/>
              <w:right w:val="single" w:sz="4" w:space="0" w:color="000000"/>
            </w:tcBorders>
            <w:shd w:val="clear" w:color="auto" w:fill="D3D3D3"/>
          </w:tcPr>
          <w:p>
            <w:pPr/>
          </w:p>
        </w:tc>
        <w:tc>
          <w:tcPr>
            <w:tcW w:w="800" w:type="dxa"/>
            <w:vMerge/>
            <w:tcBorders>
              <w:left w:val="single" w:sz="4" w:space="0" w:color="000000"/>
              <w:right w:val="single" w:sz="4" w:space="0" w:color="000000"/>
            </w:tcBorders>
            <w:shd w:val="clear" w:color="auto" w:fill="D3D3D3"/>
          </w:tcPr>
          <w:p>
            <w:pPr/>
          </w:p>
        </w:tc>
        <w:tc>
          <w:tcPr>
            <w:tcW w:w="2917" w:type="dxa"/>
            <w:vMerge/>
            <w:tcBorders>
              <w:left w:val="single" w:sz="4" w:space="0" w:color="000000"/>
              <w:bottom w:val="nil" w:sz="6" w:space="0" w:color="auto"/>
              <w:right w:val="single" w:sz="4" w:space="0" w:color="000000"/>
            </w:tcBorders>
            <w:shd w:val="clear" w:color="auto" w:fill="D3D3D3"/>
          </w:tcPr>
          <w:p>
            <w:pPr/>
          </w:p>
        </w:tc>
      </w:tr>
      <w:tr>
        <w:trPr>
          <w:trHeight w:val="178" w:hRule="exact"/>
        </w:trPr>
        <w:tc>
          <w:tcPr>
            <w:tcW w:w="1265" w:type="dxa"/>
            <w:vMerge w:val="restart"/>
            <w:tcBorders>
              <w:top w:val="nil" w:sz="6" w:space="0" w:color="auto"/>
              <w:left w:val="single" w:sz="4" w:space="0" w:color="000000"/>
              <w:right w:val="single" w:sz="4" w:space="0" w:color="000000"/>
            </w:tcBorders>
            <w:shd w:val="clear" w:color="auto" w:fill="D3D3D3"/>
          </w:tcPr>
          <w:p>
            <w:pPr/>
          </w:p>
        </w:tc>
        <w:tc>
          <w:tcPr>
            <w:tcW w:w="1266" w:type="dxa"/>
            <w:vMerge/>
            <w:tcBorders>
              <w:left w:val="single" w:sz="4" w:space="0" w:color="000000"/>
              <w:bottom w:val="nil" w:sz="6" w:space="0" w:color="auto"/>
              <w:right w:val="single" w:sz="4" w:space="0" w:color="000000"/>
            </w:tcBorders>
            <w:shd w:val="clear" w:color="auto" w:fill="D3D3D3"/>
          </w:tcPr>
          <w:p>
            <w:pPr/>
          </w:p>
        </w:tc>
        <w:tc>
          <w:tcPr>
            <w:tcW w:w="1040" w:type="dxa"/>
            <w:vMerge/>
            <w:tcBorders>
              <w:left w:val="single" w:sz="4" w:space="0" w:color="000000"/>
              <w:right w:val="single" w:sz="4" w:space="0" w:color="000000"/>
            </w:tcBorders>
            <w:shd w:val="clear" w:color="auto" w:fill="D3D3D3"/>
          </w:tcPr>
          <w:p>
            <w:pPr/>
          </w:p>
        </w:tc>
        <w:tc>
          <w:tcPr>
            <w:tcW w:w="1218" w:type="dxa"/>
            <w:vMerge/>
            <w:tcBorders>
              <w:left w:val="single" w:sz="4" w:space="0" w:color="000000"/>
              <w:bottom w:val="nil" w:sz="6" w:space="0" w:color="auto"/>
              <w:right w:val="single" w:sz="4" w:space="0" w:color="000000"/>
            </w:tcBorders>
            <w:shd w:val="clear" w:color="auto" w:fill="D3D3D3"/>
          </w:tcPr>
          <w:p>
            <w:pPr/>
          </w:p>
        </w:tc>
        <w:tc>
          <w:tcPr>
            <w:tcW w:w="1051" w:type="dxa"/>
            <w:vMerge/>
            <w:tcBorders>
              <w:left w:val="single" w:sz="4" w:space="0" w:color="000000"/>
              <w:right w:val="single" w:sz="4" w:space="0" w:color="000000"/>
            </w:tcBorders>
            <w:shd w:val="clear" w:color="auto" w:fill="D3D3D3"/>
          </w:tcPr>
          <w:p>
            <w:pPr/>
          </w:p>
        </w:tc>
        <w:tc>
          <w:tcPr>
            <w:tcW w:w="800" w:type="dxa"/>
            <w:vMerge/>
            <w:tcBorders>
              <w:left w:val="single" w:sz="4" w:space="0" w:color="000000"/>
              <w:bottom w:val="nil" w:sz="6" w:space="0" w:color="auto"/>
              <w:right w:val="single" w:sz="4" w:space="0" w:color="000000"/>
            </w:tcBorders>
            <w:shd w:val="clear" w:color="auto" w:fill="D3D3D3"/>
          </w:tcPr>
          <w:p>
            <w:pPr/>
          </w:p>
        </w:tc>
        <w:tc>
          <w:tcPr>
            <w:tcW w:w="2917" w:type="dxa"/>
            <w:vMerge w:val="restart"/>
            <w:tcBorders>
              <w:top w:val="nil" w:sz="6" w:space="0" w:color="auto"/>
              <w:left w:val="single" w:sz="4" w:space="0" w:color="000000"/>
              <w:right w:val="single" w:sz="4" w:space="0" w:color="000000"/>
            </w:tcBorders>
            <w:shd w:val="clear" w:color="auto" w:fill="D3D3D3"/>
          </w:tcPr>
          <w:p>
            <w:pPr/>
          </w:p>
        </w:tc>
      </w:tr>
      <w:tr>
        <w:trPr>
          <w:trHeight w:val="172" w:hRule="exact"/>
        </w:trPr>
        <w:tc>
          <w:tcPr>
            <w:tcW w:w="1265" w:type="dxa"/>
            <w:vMerge/>
            <w:tcBorders>
              <w:left w:val="single" w:sz="4" w:space="0" w:color="000000"/>
              <w:bottom w:val="single" w:sz="4" w:space="0" w:color="000000"/>
              <w:right w:val="single" w:sz="4" w:space="0" w:color="000000"/>
            </w:tcBorders>
            <w:shd w:val="clear" w:color="auto" w:fill="D3D3D3"/>
          </w:tcPr>
          <w:p>
            <w:pPr/>
          </w:p>
        </w:tc>
        <w:tc>
          <w:tcPr>
            <w:tcW w:w="1266" w:type="dxa"/>
            <w:tcBorders>
              <w:top w:val="nil" w:sz="6" w:space="0" w:color="auto"/>
              <w:left w:val="single" w:sz="4" w:space="0" w:color="000000"/>
              <w:bottom w:val="single" w:sz="4" w:space="0" w:color="000000"/>
              <w:right w:val="single" w:sz="4" w:space="0" w:color="000000"/>
            </w:tcBorders>
            <w:shd w:val="clear" w:color="auto" w:fill="D3D3D3"/>
          </w:tcPr>
          <w:p>
            <w:pPr/>
          </w:p>
        </w:tc>
        <w:tc>
          <w:tcPr>
            <w:tcW w:w="1040" w:type="dxa"/>
            <w:vMerge/>
            <w:tcBorders>
              <w:left w:val="single" w:sz="4" w:space="0" w:color="000000"/>
              <w:bottom w:val="single" w:sz="4" w:space="0" w:color="000000"/>
              <w:right w:val="single" w:sz="4" w:space="0" w:color="000000"/>
            </w:tcBorders>
            <w:shd w:val="clear" w:color="auto" w:fill="D3D3D3"/>
          </w:tcPr>
          <w:p>
            <w:pPr/>
          </w:p>
        </w:tc>
        <w:tc>
          <w:tcPr>
            <w:tcW w:w="1218" w:type="dxa"/>
            <w:tcBorders>
              <w:top w:val="nil" w:sz="6" w:space="0" w:color="auto"/>
              <w:left w:val="single" w:sz="4" w:space="0" w:color="000000"/>
              <w:bottom w:val="single" w:sz="4" w:space="0" w:color="000000"/>
              <w:right w:val="single" w:sz="4" w:space="0" w:color="000000"/>
            </w:tcBorders>
            <w:shd w:val="clear" w:color="auto" w:fill="D3D3D3"/>
          </w:tcPr>
          <w:p>
            <w:pPr/>
          </w:p>
        </w:tc>
        <w:tc>
          <w:tcPr>
            <w:tcW w:w="1051" w:type="dxa"/>
            <w:vMerge/>
            <w:tcBorders>
              <w:left w:val="single" w:sz="4" w:space="0" w:color="000000"/>
              <w:bottom w:val="single" w:sz="4" w:space="0" w:color="000000"/>
              <w:right w:val="single" w:sz="4" w:space="0" w:color="000000"/>
            </w:tcBorders>
            <w:shd w:val="clear" w:color="auto" w:fill="D3D3D3"/>
          </w:tcPr>
          <w:p>
            <w:pPr/>
          </w:p>
        </w:tc>
        <w:tc>
          <w:tcPr>
            <w:tcW w:w="800" w:type="dxa"/>
            <w:tcBorders>
              <w:top w:val="nil" w:sz="6" w:space="0" w:color="auto"/>
              <w:left w:val="single" w:sz="4" w:space="0" w:color="000000"/>
              <w:bottom w:val="single" w:sz="4" w:space="0" w:color="000000"/>
              <w:right w:val="single" w:sz="4" w:space="0" w:color="000000"/>
            </w:tcBorders>
            <w:shd w:val="clear" w:color="auto" w:fill="D3D3D3"/>
          </w:tcPr>
          <w:p>
            <w:pPr/>
          </w:p>
        </w:tc>
        <w:tc>
          <w:tcPr>
            <w:tcW w:w="2917"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2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118,739,665.00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9" w:right="0"/>
              <w:jc w:val="left"/>
              <w:rPr>
                <w:rFonts w:ascii="Times New Roman" w:hAnsi="Times New Roman" w:cs="Times New Roman" w:eastAsia="Times New Roman" w:hint="default"/>
                <w:sz w:val="18"/>
                <w:szCs w:val="18"/>
              </w:rPr>
            </w:pPr>
            <w:r>
              <w:rPr>
                <w:rFonts w:ascii="Times New Roman"/>
                <w:sz w:val="18"/>
              </w:rPr>
              <w:t>11.66%</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8" w:right="0"/>
              <w:jc w:val="left"/>
              <w:rPr>
                <w:rFonts w:ascii="Times New Roman" w:hAnsi="Times New Roman" w:cs="Times New Roman" w:eastAsia="Times New Roman" w:hint="default"/>
                <w:sz w:val="18"/>
                <w:szCs w:val="18"/>
              </w:rPr>
            </w:pPr>
            <w:r>
              <w:rPr>
                <w:rFonts w:ascii="Times New Roman"/>
                <w:sz w:val="18"/>
              </w:rPr>
              <w:t>62,000,000.00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3" w:right="0"/>
              <w:jc w:val="left"/>
              <w:rPr>
                <w:rFonts w:ascii="Times New Roman" w:hAnsi="Times New Roman" w:cs="Times New Roman" w:eastAsia="Times New Roman" w:hint="default"/>
                <w:sz w:val="18"/>
                <w:szCs w:val="18"/>
              </w:rPr>
            </w:pPr>
            <w:r>
              <w:rPr>
                <w:rFonts w:ascii="Times New Roman"/>
                <w:sz w:val="18"/>
              </w:rPr>
              <w:t>14.96%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1" w:right="0"/>
              <w:jc w:val="left"/>
              <w:rPr>
                <w:rFonts w:ascii="Times New Roman" w:hAnsi="Times New Roman" w:cs="Times New Roman" w:eastAsia="Times New Roman" w:hint="default"/>
                <w:sz w:val="18"/>
                <w:szCs w:val="18"/>
              </w:rPr>
            </w:pPr>
            <w:r>
              <w:rPr>
                <w:rFonts w:ascii="Times New Roman"/>
                <w:sz w:val="18"/>
              </w:rPr>
              <w:t>-3.3%</w:t>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ind w:right="102"/>
        <w:jc w:val="left"/>
        <w:rPr>
          <w:b w:val="0"/>
          <w:bCs w:val="0"/>
        </w:rPr>
      </w:pPr>
      <w:r>
        <w:rPr/>
        <w:t>五、核心竞争力分析</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02" w:firstLine="423"/>
        <w:jc w:val="left"/>
      </w:pPr>
      <w:r>
        <w:rPr>
          <w:spacing w:val="-1"/>
        </w:rPr>
        <w:t>公司经过多年的发展，在软件行业所处细分领域在市场地位、策略联盟、核心技术、核心团队、企业</w:t>
      </w:r>
      <w:r>
        <w:rPr/>
        <w:t> 资质、业务协同、政策扶持等方面已取得一定的领先优势：</w:t>
      </w:r>
    </w:p>
    <w:p>
      <w:pPr>
        <w:pStyle w:val="BodyText"/>
        <w:spacing w:line="408" w:lineRule="auto"/>
        <w:ind w:right="102" w:firstLine="423"/>
        <w:jc w:val="left"/>
      </w:pPr>
      <w:r>
        <w:rPr>
          <w:spacing w:val="-1"/>
        </w:rPr>
        <w:t>公司目前在IT服务管理软件、银行影像市场、票据自助处理市场、流程银行市场、银行电子商务均位</w:t>
      </w:r>
      <w:r>
        <w:rPr/>
        <w:t> 居前列，公司与IBM、惠普、甲骨文等国际企业达成战略合作关系，继甲骨文授予公司金牌合作伙伴，惠 </w:t>
      </w:r>
      <w:r>
        <w:rPr>
          <w:spacing w:val="-1"/>
        </w:rPr>
        <w:t>普授予公司铂金行业合作伙伴后，2012年底又与苹果公司达成战略合作，授予公司全线产品的行业总代理</w:t>
      </w:r>
      <w:r>
        <w:rPr>
          <w:spacing w:val="-81"/>
        </w:rPr>
        <w:t> </w:t>
      </w:r>
      <w:r>
        <w:rPr>
          <w:spacing w:val="-81"/>
        </w:rPr>
      </w:r>
      <w:r>
        <w:rPr/>
        <w:t>资格。</w:t>
      </w:r>
    </w:p>
    <w:p>
      <w:pPr>
        <w:pStyle w:val="BodyText"/>
        <w:spacing w:line="240" w:lineRule="auto"/>
        <w:ind w:left="577" w:right="102"/>
        <w:jc w:val="left"/>
      </w:pPr>
      <w:r>
        <w:rPr/>
        <w:t>到目前为止公司已经参与了四项行业标准的制定工作：工信部《信息技术服务》的行业标准、工信部</w:t>
      </w:r>
    </w:p>
    <w:p>
      <w:pPr>
        <w:spacing w:line="240" w:lineRule="auto" w:before="10"/>
        <w:rPr>
          <w:rFonts w:ascii="宋体" w:hAnsi="宋体" w:cs="宋体" w:eastAsia="宋体" w:hint="default"/>
          <w:sz w:val="14"/>
          <w:szCs w:val="14"/>
        </w:rPr>
      </w:pPr>
    </w:p>
    <w:p>
      <w:pPr>
        <w:pStyle w:val="BodyText"/>
        <w:spacing w:line="408" w:lineRule="auto" w:before="0"/>
        <w:ind w:right="102"/>
        <w:jc w:val="left"/>
      </w:pPr>
      <w:r>
        <w:rPr/>
        <w:t>《电子商务核心交易业务流程规范》的行业标准、人民银行《票据自助柜员机（ATM）终端企业标准》的 行业标准、银监会《银行监管报表 XBRL</w:t>
      </w:r>
      <w:r>
        <w:rPr>
          <w:spacing w:val="-16"/>
        </w:rPr>
        <w:t> </w:t>
      </w:r>
      <w:r>
        <w:rPr/>
        <w:t>扩展分类标准》的制定工作。继公司获得国家发改委国家信息安</w:t>
      </w:r>
      <w:r>
        <w:rPr/>
        <w:t> 全专项、国家发改委重点产业振兴和技术改造项目、工信部“新一代宽带无线移动通信网”国家科技重大 </w:t>
      </w:r>
      <w:r>
        <w:rPr>
          <w:spacing w:val="-3"/>
        </w:rPr>
        <w:t>专项后，2012年公司的《基于IPV6的移动电子商务运营支撑平台》获得国家发改委下一代互联网技术研发、</w:t>
      </w:r>
    </w:p>
    <w:p>
      <w:pPr>
        <w:spacing w:after="0" w:line="408"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r>
        <w:rPr/>
        <w:pict>
          <v:group style="position:absolute;margin-left:375.839996pt;margin-top:704.200012pt;width:159.1pt;height:53.6pt;mso-position-horizontal-relative:page;mso-position-vertical-relative:page;z-index:-671152" coordorigin="7517,14084" coordsize="3182,1072">
            <v:shape style="position:absolute;left:7517;top:14084;width:3182;height:1072" coordorigin="7517,14084" coordsize="3182,1072" path="m7517,15156l10698,15156,10698,14084,7517,14084,7517,15156xe" filled="true" fillcolor="#ffffff" stroked="false">
              <v:path arrowok="t"/>
              <v:fill type="solid"/>
            </v:shape>
            <w10:wrap type="none"/>
          </v:group>
        </w:pict>
      </w:r>
    </w:p>
    <w:p>
      <w:pPr>
        <w:pStyle w:val="BodyText"/>
        <w:spacing w:line="408" w:lineRule="auto" w:before="174"/>
        <w:ind w:right="0"/>
        <w:jc w:val="left"/>
      </w:pPr>
      <w:r>
        <w:rPr>
          <w:spacing w:val="-1"/>
        </w:rPr>
        <w:t>产业化和规模商用专项等多个专项支持。截至2012年底，公司共拥有专利30项，公司软件著作权证书累计</w:t>
      </w:r>
      <w:r>
        <w:rPr>
          <w:spacing w:val="-84"/>
        </w:rPr>
        <w:t> </w:t>
      </w:r>
      <w:r>
        <w:rPr>
          <w:spacing w:val="-84"/>
        </w:rPr>
      </w:r>
      <w:r>
        <w:rPr/>
        <w:t>达到87个。公司技术中心通过了北京市企业技术中心认定；2012年公司的“金融行业海量数据处理实验</w:t>
      </w:r>
      <w:r>
        <w:rPr/>
        <w:t> </w:t>
      </w:r>
      <w:r>
        <w:rPr>
          <w:spacing w:val="-1"/>
        </w:rPr>
        <w:t>室”被北京市认定为“工程实验室”。公司目前是工信部信息技术服务标准工作组（简称ITSS）的全权成</w:t>
      </w:r>
      <w:r>
        <w:rPr>
          <w:spacing w:val="-81"/>
        </w:rPr>
        <w:t> </w:t>
      </w:r>
      <w:r>
        <w:rPr>
          <w:spacing w:val="-81"/>
        </w:rPr>
      </w:r>
      <w:r>
        <w:rPr>
          <w:spacing w:val="-1"/>
        </w:rPr>
        <w:t>员单位、咨询组的副组长单位，工信部IT运维行业从业人员培训教材的编委单位和考试题库（运维工程师</w:t>
      </w:r>
      <w:r>
        <w:rPr>
          <w:spacing w:val="-84"/>
        </w:rPr>
        <w:t> </w:t>
      </w:r>
      <w:r>
        <w:rPr>
          <w:spacing w:val="-84"/>
        </w:rPr>
      </w:r>
      <w:r>
        <w:rPr>
          <w:spacing w:val="-1"/>
        </w:rPr>
        <w:t>部分）编写组组长单位、公司还是中国信息协会常务理事单位、中国信息协会信息技术服务专业委员会副</w:t>
      </w:r>
      <w:r>
        <w:rPr>
          <w:spacing w:val="-83"/>
        </w:rPr>
        <w:t> </w:t>
      </w:r>
      <w:r>
        <w:rPr>
          <w:spacing w:val="-83"/>
        </w:rPr>
      </w:r>
      <w:r>
        <w:rPr/>
        <w:t>会长单位。2012年公司受工信部委托成为电子商务核心交易标准的组长单位。公司通过了ISO/IEC</w:t>
      </w:r>
    </w:p>
    <w:p>
      <w:pPr>
        <w:pStyle w:val="BodyText"/>
        <w:spacing w:line="408" w:lineRule="auto"/>
        <w:ind w:right="151" w:hanging="1"/>
        <w:jc w:val="both"/>
      </w:pPr>
      <w:r>
        <w:rPr/>
        <w:t>20000-1:2005 IT服务管理体系认证、ISO/IEC</w:t>
      </w:r>
      <w:r>
        <w:rPr>
          <w:spacing w:val="-27"/>
        </w:rPr>
        <w:t> </w:t>
      </w:r>
      <w:r>
        <w:rPr/>
        <w:t>27001：2005信息安全管理体系认证、ISO9001:2008质量管</w:t>
      </w:r>
      <w:r>
        <w:rPr/>
        <w:t> </w:t>
      </w:r>
      <w:r>
        <w:rPr>
          <w:spacing w:val="-1"/>
        </w:rPr>
        <w:t>理体系认证、ISO14001（环境管理体系）认证；软件能力成熟度模型CMMI三级认证，获得了计算机信息系</w:t>
      </w:r>
      <w:r>
        <w:rPr>
          <w:spacing w:val="-80"/>
        </w:rPr>
        <w:t> </w:t>
      </w:r>
      <w:r>
        <w:rPr>
          <w:spacing w:val="-80"/>
        </w:rPr>
      </w:r>
      <w:r>
        <w:rPr/>
        <w:t>统集成一级资质等系列行业资质，公司软件服务资质完整性目前居中国软件行业前列。</w:t>
      </w:r>
    </w:p>
    <w:p>
      <w:pPr>
        <w:pStyle w:val="BodyText"/>
        <w:spacing w:line="408" w:lineRule="auto"/>
        <w:ind w:right="149" w:firstLine="423"/>
        <w:jc w:val="both"/>
      </w:pPr>
      <w:r>
        <w:rPr>
          <w:spacing w:val="-1"/>
        </w:rPr>
        <w:t>公司是国家火炬计划重点高新技术企业、北京市高新技术企业、双软认定企业、北京市认定企业技术</w:t>
      </w:r>
      <w:r>
        <w:rPr/>
        <w:t> </w:t>
      </w:r>
      <w:r>
        <w:rPr>
          <w:spacing w:val="-1"/>
        </w:rPr>
        <w:t>中心、北京市认定工程实验室、北京市火炬计划企业、北京市经信委“四个一批”工程企业、中关村新锐</w:t>
      </w:r>
      <w:r>
        <w:rPr>
          <w:spacing w:val="-82"/>
        </w:rPr>
        <w:t> </w:t>
      </w:r>
      <w:r>
        <w:rPr>
          <w:spacing w:val="-82"/>
        </w:rPr>
      </w:r>
      <w:r>
        <w:rPr>
          <w:spacing w:val="-1"/>
        </w:rPr>
        <w:t>百强企业等系列资质。2012年公司成功入选中关村“十百千工程企业”；作为北京市贯彻国务院精神打造</w:t>
      </w:r>
      <w:r>
        <w:rPr>
          <w:spacing w:val="-81"/>
        </w:rPr>
        <w:t> </w:t>
      </w:r>
      <w:r>
        <w:rPr>
          <w:spacing w:val="-81"/>
        </w:rPr>
      </w:r>
      <w:r>
        <w:rPr>
          <w:spacing w:val="-1"/>
        </w:rPr>
        <w:t>中国具有全球影响力的创新企业群，中科金财被列入十百千后意味着公司成为北京市各级主管部门的重点</w:t>
      </w:r>
      <w:r>
        <w:rPr>
          <w:spacing w:val="-81"/>
        </w:rPr>
        <w:t> </w:t>
      </w:r>
      <w:r>
        <w:rPr>
          <w:spacing w:val="-81"/>
        </w:rPr>
      </w:r>
      <w:r>
        <w:rPr>
          <w:spacing w:val="-1"/>
        </w:rPr>
        <w:t>支持企业，享受中关村“一企一策”的政策支持，对于公司承担地方和国家政府立项的重大工程优先给予</w:t>
      </w:r>
      <w:r>
        <w:rPr>
          <w:spacing w:val="-81"/>
        </w:rPr>
        <w:t> </w:t>
      </w:r>
      <w:r>
        <w:rPr>
          <w:spacing w:val="-81"/>
        </w:rPr>
      </w:r>
      <w:r>
        <w:rPr/>
        <w:t>贷款和担保。</w:t>
      </w:r>
    </w:p>
    <w:p>
      <w:pPr>
        <w:spacing w:line="240" w:lineRule="auto" w:before="11"/>
        <w:rPr>
          <w:rFonts w:ascii="宋体" w:hAnsi="宋体" w:cs="宋体" w:eastAsia="宋体" w:hint="default"/>
          <w:sz w:val="18"/>
          <w:szCs w:val="18"/>
        </w:rPr>
      </w:pPr>
    </w:p>
    <w:p>
      <w:pPr>
        <w:pStyle w:val="Heading2"/>
        <w:spacing w:line="240" w:lineRule="auto" w:before="0"/>
        <w:ind w:right="0"/>
        <w:jc w:val="left"/>
        <w:rPr>
          <w:b w:val="0"/>
          <w:bCs w:val="0"/>
        </w:rPr>
      </w:pPr>
      <w:r>
        <w:rPr/>
        <w:t>六、投资状况分析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1447"/>
        <w:gridCol w:w="1744"/>
      </w:tblGrid>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年投资额（元）</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100,800,000.00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8" w:hRule="exact"/>
        </w:trPr>
        <w:tc>
          <w:tcPr>
            <w:tcW w:w="3188"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许可经营项目：互联网信息服务业务（除</w:t>
            </w:r>
          </w:p>
        </w:tc>
        <w:tc>
          <w:tcPr>
            <w:tcW w:w="1447" w:type="dxa"/>
            <w:tcBorders>
              <w:top w:val="single" w:sz="4" w:space="0" w:color="000000"/>
              <w:left w:val="single" w:sz="4" w:space="0" w:color="000000"/>
              <w:bottom w:val="nil" w:sz="6" w:space="0" w:color="auto"/>
              <w:right w:val="nil" w:sz="6" w:space="0" w:color="auto"/>
            </w:tcBorders>
          </w:tcPr>
          <w:p>
            <w:pPr/>
          </w:p>
        </w:tc>
        <w:tc>
          <w:tcPr>
            <w:tcW w:w="1744" w:type="dxa"/>
            <w:tcBorders>
              <w:top w:val="single" w:sz="4" w:space="0" w:color="000000"/>
              <w:left w:val="nil" w:sz="6" w:space="0" w:color="auto"/>
              <w:bottom w:val="nil" w:sz="6" w:space="0" w:color="auto"/>
              <w:right w:val="single" w:sz="4" w:space="0" w:color="000000"/>
            </w:tcBorders>
          </w:tcPr>
          <w:p>
            <w:pP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新闻、出版、教育、医疗保健、药品、</w:t>
            </w:r>
          </w:p>
        </w:tc>
        <w:tc>
          <w:tcPr>
            <w:tcW w:w="1447" w:type="dxa"/>
            <w:tcBorders>
              <w:top w:val="nil" w:sz="6" w:space="0" w:color="auto"/>
              <w:left w:val="single" w:sz="4" w:space="0" w:color="000000"/>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single" w:sz="4" w:space="0" w:color="000000"/>
            </w:tcBorders>
          </w:tcPr>
          <w:p>
            <w:pP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医疗器械以外的内容</w:t>
            </w:r>
            <w:r>
              <w:rPr>
                <w:rFonts w:ascii="宋体" w:hAnsi="宋体" w:cs="宋体" w:eastAsia="宋体" w:hint="default"/>
                <w:spacing w:val="-90"/>
                <w:sz w:val="18"/>
                <w:szCs w:val="18"/>
              </w:rPr>
              <w:t>）</w:t>
            </w:r>
            <w:r>
              <w:rPr>
                <w:rFonts w:ascii="宋体" w:hAnsi="宋体" w:cs="宋体" w:eastAsia="宋体" w:hint="default"/>
                <w:spacing w:val="-16"/>
                <w:sz w:val="18"/>
                <w:szCs w:val="18"/>
              </w:rPr>
              <w:t>；</w:t>
            </w:r>
            <w:r>
              <w:rPr>
                <w:rFonts w:ascii="宋体" w:hAnsi="宋体" w:cs="宋体" w:eastAsia="宋体" w:hint="default"/>
                <w:sz w:val="18"/>
                <w:szCs w:val="18"/>
              </w:rPr>
              <w:t>第二类增值电信</w:t>
            </w:r>
          </w:p>
        </w:tc>
        <w:tc>
          <w:tcPr>
            <w:tcW w:w="1447" w:type="dxa"/>
            <w:tcBorders>
              <w:top w:val="nil" w:sz="6" w:space="0" w:color="auto"/>
              <w:left w:val="single" w:sz="4" w:space="0" w:color="000000"/>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single" w:sz="4" w:space="0" w:color="000000"/>
            </w:tcBorders>
          </w:tcPr>
          <w:p>
            <w:pPr/>
          </w:p>
        </w:tc>
      </w:tr>
      <w:tr>
        <w:trPr>
          <w:trHeight w:val="624" w:hRule="exact"/>
        </w:trPr>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2" w:right="0"/>
              <w:jc w:val="left"/>
              <w:rPr>
                <w:rFonts w:ascii="宋体" w:hAnsi="宋体" w:cs="宋体" w:eastAsia="宋体" w:hint="default"/>
                <w:sz w:val="18"/>
                <w:szCs w:val="18"/>
              </w:rPr>
            </w:pPr>
            <w:r>
              <w:rPr>
                <w:rFonts w:ascii="宋体" w:hAnsi="宋体" w:cs="宋体" w:eastAsia="宋体" w:hint="default"/>
                <w:sz w:val="18"/>
                <w:szCs w:val="18"/>
              </w:rPr>
              <w:t>北京中科金财电子商务有限公司</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业务中的呼叫中心业务和信息服务业务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（不含固定网电话信息服务和互联网信</w:t>
            </w:r>
          </w:p>
        </w:tc>
        <w:tc>
          <w:tcPr>
            <w:tcW w:w="1447" w:type="dxa"/>
            <w:tcBorders>
              <w:top w:val="nil" w:sz="6" w:space="0" w:color="auto"/>
              <w:left w:val="single" w:sz="4" w:space="0" w:color="000000"/>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w:t>
            </w: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息服务</w:t>
            </w:r>
            <w:r>
              <w:rPr>
                <w:rFonts w:ascii="宋体" w:hAnsi="宋体" w:cs="宋体" w:eastAsia="宋体" w:hint="default"/>
                <w:spacing w:val="-90"/>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一般经营项目</w:t>
            </w:r>
            <w:r>
              <w:rPr>
                <w:rFonts w:ascii="宋体" w:hAnsi="宋体" w:cs="宋体" w:eastAsia="宋体" w:hint="default"/>
                <w:spacing w:val="-5"/>
                <w:sz w:val="18"/>
                <w:szCs w:val="18"/>
              </w:rPr>
              <w:t>：</w:t>
            </w:r>
            <w:r>
              <w:rPr>
                <w:rFonts w:ascii="宋体" w:hAnsi="宋体" w:cs="宋体" w:eastAsia="宋体" w:hint="default"/>
                <w:sz w:val="18"/>
                <w:szCs w:val="18"/>
              </w:rPr>
              <w:t>技术开发</w:t>
            </w:r>
            <w:r>
              <w:rPr>
                <w:rFonts w:ascii="宋体" w:hAnsi="宋体" w:cs="宋体" w:eastAsia="宋体" w:hint="default"/>
                <w:spacing w:val="-5"/>
                <w:sz w:val="18"/>
                <w:szCs w:val="18"/>
              </w:rPr>
              <w:t>、</w:t>
            </w:r>
            <w:r>
              <w:rPr>
                <w:rFonts w:ascii="宋体" w:hAnsi="宋体" w:cs="宋体" w:eastAsia="宋体" w:hint="default"/>
                <w:sz w:val="18"/>
                <w:szCs w:val="18"/>
              </w:rPr>
              <w:t>技</w:t>
            </w:r>
          </w:p>
        </w:tc>
        <w:tc>
          <w:tcPr>
            <w:tcW w:w="1447" w:type="dxa"/>
            <w:tcBorders>
              <w:top w:val="nil" w:sz="6" w:space="0" w:color="auto"/>
              <w:left w:val="single" w:sz="4" w:space="0" w:color="000000"/>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single" w:sz="4" w:space="0" w:color="000000"/>
            </w:tcBorders>
          </w:tcPr>
          <w:p>
            <w:pP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术咨询；计算机系统服务；销售计算机</w:t>
            </w:r>
          </w:p>
        </w:tc>
        <w:tc>
          <w:tcPr>
            <w:tcW w:w="144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744" w:type="dxa"/>
            <w:tcBorders>
              <w:top w:val="nil" w:sz="6" w:space="0" w:color="auto"/>
              <w:left w:val="nil" w:sz="6" w:space="0" w:color="auto"/>
              <w:bottom w:val="nil" w:sz="6" w:space="0" w:color="auto"/>
              <w:right w:val="single" w:sz="4" w:space="0" w:color="000000"/>
            </w:tcBorders>
          </w:tcPr>
          <w:p>
            <w:pPr/>
          </w:p>
        </w:tc>
      </w:tr>
      <w:tr>
        <w:trPr>
          <w:trHeight w:val="317" w:hRule="exact"/>
        </w:trPr>
        <w:tc>
          <w:tcPr>
            <w:tcW w:w="3188"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软件及辅助设备、电子产品；货物进出</w:t>
            </w:r>
          </w:p>
        </w:tc>
        <w:tc>
          <w:tcPr>
            <w:tcW w:w="1447" w:type="dxa"/>
            <w:tcBorders>
              <w:top w:val="nil" w:sz="6" w:space="0" w:color="auto"/>
              <w:left w:val="single" w:sz="4" w:space="0" w:color="000000"/>
              <w:bottom w:val="single" w:sz="4" w:space="0" w:color="000000"/>
              <w:right w:val="nil" w:sz="6" w:space="0" w:color="auto"/>
            </w:tcBorders>
          </w:tcPr>
          <w:p>
            <w:pPr/>
          </w:p>
        </w:tc>
        <w:tc>
          <w:tcPr>
            <w:tcW w:w="1744" w:type="dxa"/>
            <w:tcBorders>
              <w:top w:val="nil" w:sz="6" w:space="0" w:color="auto"/>
              <w:left w:val="nil" w:sz="6" w:space="0" w:color="auto"/>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674"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5"/>
              <w:jc w:val="left"/>
              <w:rPr>
                <w:rFonts w:ascii="宋体" w:hAnsi="宋体" w:cs="宋体" w:eastAsia="宋体" w:hint="default"/>
                <w:sz w:val="18"/>
                <w:szCs w:val="18"/>
              </w:rPr>
            </w:pPr>
            <w:r>
              <w:rPr>
                <w:rFonts w:ascii="宋体" w:hAnsi="宋体" w:cs="宋体" w:eastAsia="宋体" w:hint="default"/>
                <w:sz w:val="18"/>
                <w:szCs w:val="18"/>
              </w:rPr>
              <w:t>口；技术进出口；代理进出口；专业承 </w:t>
            </w:r>
            <w:r>
              <w:rPr>
                <w:rFonts w:ascii="宋体" w:hAnsi="宋体" w:cs="宋体" w:eastAsia="宋体" w:hint="default"/>
                <w:spacing w:val="-6"/>
                <w:sz w:val="18"/>
                <w:szCs w:val="18"/>
              </w:rPr>
              <w:t>包。（未取得行政许可的项目除外）</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、募集资金使用情况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spacing w:before="44"/>
        <w:ind w:left="0" w:right="159" w:firstLine="0"/>
        <w:jc w:val="right"/>
        <w:rPr>
          <w:rFonts w:ascii="宋体" w:hAnsi="宋体" w:cs="宋体" w:eastAsia="宋体" w:hint="default"/>
          <w:sz w:val="18"/>
          <w:szCs w:val="18"/>
        </w:rPr>
      </w:pPr>
      <w:r>
        <w:rPr/>
        <w:pict>
          <v:shape style="position:absolute;margin-left:56.459999pt;margin-top:-141.608032pt;width:479.1pt;height:254.9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88"/>
                    <w:gridCol w:w="5479"/>
                  </w:tblGrid>
                  <w:tr>
                    <w:trPr>
                      <w:trHeight w:val="402"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33,373.35</w:t>
                        </w:r>
                      </w:p>
                    </w:tc>
                  </w:tr>
                  <w:tr>
                    <w:trPr>
                      <w:trHeight w:val="402"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20,099.16</w:t>
                        </w:r>
                      </w:p>
                    </w:tc>
                  </w:tr>
                  <w:tr>
                    <w:trPr>
                      <w:trHeight w:val="402"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20,099.16</w:t>
                        </w:r>
                      </w:p>
                    </w:tc>
                  </w:tr>
                  <w:tr>
                    <w:trPr>
                      <w:trHeight w:val="402"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275"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经中国证券监督委员会证监许可</w:t>
                        </w:r>
                        <w:r>
                          <w:rPr>
                            <w:rFonts w:ascii="Times New Roman" w:hAnsi="Times New Roman" w:cs="Times New Roman" w:eastAsia="Times New Roman" w:hint="default"/>
                            <w:sz w:val="18"/>
                            <w:szCs w:val="18"/>
                          </w:rPr>
                          <w:t>[2012]152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号文《关于核准北京中科金财科技股份有限公司首次公开发行股票的批复 核准，北京中科金财科技股份有限公司于中国境内首次公开发行人民币普通股股票。公司于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日通过深圳证 券交易所发行人民币普通股（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1745.00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万股，发行价格为每股人民币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383,900,000.00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1"/>
                            <w:sz w:val="18"/>
                            <w:szCs w:val="18"/>
                          </w:rPr>
                          <w:t> </w:t>
                        </w:r>
                        <w:r>
                          <w:rPr>
                            <w:rFonts w:ascii="宋体" w:hAnsi="宋体" w:cs="宋体" w:eastAsia="宋体" w:hint="default"/>
                            <w:sz w:val="18"/>
                            <w:szCs w:val="18"/>
                          </w:rPr>
                          <w:t>募集资金净额为人民币 </w:t>
                        </w:r>
                        <w:r>
                          <w:rPr>
                            <w:rFonts w:ascii="Times New Roman" w:hAnsi="Times New Roman" w:cs="Times New Roman" w:eastAsia="Times New Roman" w:hint="default"/>
                            <w:sz w:val="18"/>
                            <w:szCs w:val="18"/>
                          </w:rPr>
                          <w:t>333,733,517.24 </w:t>
                        </w:r>
                        <w:r>
                          <w:rPr>
                            <w:rFonts w:ascii="宋体" w:hAnsi="宋体" w:cs="宋体" w:eastAsia="宋体" w:hint="default"/>
                            <w:spacing w:val="-7"/>
                            <w:sz w:val="18"/>
                            <w:szCs w:val="18"/>
                          </w:rPr>
                          <w:t>元，上述募集资金到位情况已经立信会计师事务所（特殊普通合伙）审验，并于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2012</w:t>
                        </w:r>
                      </w:p>
                      <w:p>
                        <w:pPr>
                          <w:pStyle w:val="TableParagraph"/>
                          <w:spacing w:line="240" w:lineRule="auto" w:before="1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日出具信会师报字（</w:t>
                        </w:r>
                        <w:r>
                          <w:rPr>
                            <w:rFonts w:ascii="Times New Roman" w:hAnsi="Times New Roman" w:cs="Times New Roman" w:eastAsia="Times New Roman" w:hint="default"/>
                            <w:sz w:val="18"/>
                            <w:szCs w:val="18"/>
                          </w:rPr>
                          <w:t>2012</w:t>
                        </w:r>
                        <w:r>
                          <w:rPr>
                            <w:rFonts w:ascii="宋体" w:hAnsi="宋体" w:cs="宋体" w:eastAsia="宋体" w:hint="default"/>
                            <w:sz w:val="18"/>
                            <w:szCs w:val="18"/>
                          </w:rPr>
                          <w:t>）第（</w:t>
                        </w:r>
                        <w:r>
                          <w:rPr>
                            <w:rFonts w:ascii="Times New Roman" w:hAnsi="Times New Roman" w:cs="Times New Roman" w:eastAsia="Times New Roman" w:hint="default"/>
                            <w:sz w:val="18"/>
                            <w:szCs w:val="18"/>
                          </w:rPr>
                          <w:t>210034</w:t>
                        </w:r>
                        <w:r>
                          <w:rPr>
                            <w:rFonts w:ascii="宋体" w:hAnsi="宋体" w:cs="宋体" w:eastAsia="宋体" w:hint="default"/>
                            <w:sz w:val="18"/>
                            <w:szCs w:val="18"/>
                          </w:rPr>
                          <w:t>）号验资报告。截止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日，募集资金累计使用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20,099.16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8"/>
                            <w:sz w:val="18"/>
                            <w:szCs w:val="18"/>
                          </w:rPr>
                          <w:t>，</w:t>
                        </w:r>
                        <w:r>
                          <w:rPr>
                            <w:rFonts w:ascii="宋体" w:hAnsi="宋体" w:cs="宋体" w:eastAsia="宋体" w:hint="default"/>
                            <w:sz w:val="18"/>
                            <w:szCs w:val="18"/>
                          </w:rPr>
                          <w:t>募集资金可使用余额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13,548.90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8"/>
                            <w:sz w:val="18"/>
                            <w:szCs w:val="18"/>
                          </w:rPr>
                          <w:t>元</w:t>
                        </w:r>
                        <w:r>
                          <w:rPr>
                            <w:rFonts w:ascii="宋体" w:hAnsi="宋体" w:cs="宋体" w:eastAsia="宋体" w:hint="default"/>
                            <w:sz w:val="18"/>
                            <w:szCs w:val="18"/>
                          </w:rPr>
                          <w:t>（含利息收入</w:t>
                        </w:r>
                        <w:r>
                          <w:rPr>
                            <w:rFonts w:ascii="宋体" w:hAnsi="宋体" w:cs="宋体" w:eastAsia="宋体" w:hint="default"/>
                            <w:spacing w:val="-90"/>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承诺募投项目本年度使用募集资金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6,650.</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8"/>
                            <w:sz w:val="18"/>
                            <w:szCs w:val="18"/>
                          </w:rPr>
                          <w:t>，</w:t>
                        </w:r>
                        <w:r>
                          <w:rPr>
                            <w:rFonts w:ascii="宋体" w:hAnsi="宋体" w:cs="宋体" w:eastAsia="宋体" w:hint="default"/>
                            <w:sz w:val="18"/>
                            <w:szCs w:val="18"/>
                          </w:rPr>
                          <w:t>累计</w:t>
                        </w:r>
                        <w:r>
                          <w:rPr>
                            <w:rFonts w:ascii="宋体" w:hAnsi="宋体" w:cs="宋体" w:eastAsia="宋体" w:hint="default"/>
                            <w:spacing w:val="1"/>
                            <w:sz w:val="18"/>
                            <w:szCs w:val="18"/>
                          </w:rPr>
                          <w:t>使</w:t>
                        </w:r>
                        <w:r>
                          <w:rPr>
                            <w:rFonts w:ascii="宋体" w:hAnsi="宋体" w:cs="宋体" w:eastAsia="宋体" w:hint="default"/>
                            <w:sz w:val="18"/>
                            <w:szCs w:val="18"/>
                          </w:rPr>
                          <w:t>用募</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6,650.65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万元，本年度使用超募资金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13,448.51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万元，累计使用超募资金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13,448.51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9"/>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19" w:right="68"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2"/>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0"/>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服务综合业务管理 系统项目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4,522.96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4,522.96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1,916.3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影像集中作业平台</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6,526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2,387.73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2,387.73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基础组件支撑平台</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2,650.6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2,217.37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2,217.37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r>
        <w:rPr/>
        <w:pict>
          <v:shape style="position:absolute;margin-left:56.459999pt;margin-top:71.999962pt;width:479.1pt;height:685.35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
                    <w:gridCol w:w="780"/>
                    <w:gridCol w:w="780"/>
                    <w:gridCol w:w="779"/>
                    <w:gridCol w:w="780"/>
                    <w:gridCol w:w="780"/>
                    <w:gridCol w:w="774"/>
                    <w:gridCol w:w="786"/>
                    <w:gridCol w:w="774"/>
                    <w:gridCol w:w="786"/>
                  </w:tblGrid>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营销与服务网络建设</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3,228.2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3,228.2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6"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16,927.76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16,927.76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6,650.65</w:t>
                        </w:r>
                      </w:p>
                    </w:tc>
                    <w:tc>
                      <w:tcPr>
                        <w:tcW w:w="780"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6,650.65</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3" w:space="0" w:color="D3D3D3"/>
                          <w:bottom w:val="single" w:sz="4" w:space="0" w:color="000000"/>
                          <w:right w:val="single" w:sz="10" w:space="0" w:color="D3D3D3"/>
                        </w:tcBorders>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票据自助受理系统项 目</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4,082.99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4,082.99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1,113.43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1,113.43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27.27%</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6"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323" w:val="left" w:leader="none"/>
                          </w:tabs>
                          <w:spacing w:line="240" w:lineRule="auto" w:before="51"/>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5,235.08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5,235.08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5,235.08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5,235.08</w:t>
                        </w:r>
                      </w:p>
                    </w:tc>
                    <w:tc>
                      <w:tcPr>
                        <w:tcW w:w="780" w:type="dxa"/>
                        <w:tcBorders>
                          <w:top w:val="single" w:sz="4" w:space="0" w:color="000000"/>
                          <w:left w:val="single" w:sz="4" w:space="0" w:color="000000"/>
                          <w:bottom w:val="single" w:sz="4" w:space="0" w:color="000000"/>
                          <w:right w:val="single" w:sz="10" w:space="0" w:color="D3D3D3"/>
                        </w:tcBorders>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323" w:val="left" w:leader="none"/>
                          </w:tabs>
                          <w:spacing w:line="240" w:lineRule="auto" w:before="51"/>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7,100</w:t>
                        </w:r>
                      </w:p>
                    </w:tc>
                    <w:tc>
                      <w:tcPr>
                        <w:tcW w:w="780" w:type="dxa"/>
                        <w:tcBorders>
                          <w:top w:val="single" w:sz="4" w:space="0" w:color="000000"/>
                          <w:left w:val="single" w:sz="4" w:space="0" w:color="000000"/>
                          <w:bottom w:val="single" w:sz="4" w:space="0" w:color="000000"/>
                          <w:right w:val="single" w:sz="10" w:space="0" w:color="D3D3D3"/>
                        </w:tcBorders>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16,418.07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16,418.07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13,448.51</w:t>
                        </w:r>
                      </w:p>
                    </w:tc>
                    <w:tc>
                      <w:tcPr>
                        <w:tcW w:w="780"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13,448.51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3" w:space="0" w:color="D3D3D3"/>
                          <w:bottom w:val="single" w:sz="4" w:space="0" w:color="000000"/>
                          <w:right w:val="single" w:sz="10" w:space="0" w:color="D3D3D3"/>
                        </w:tcBorders>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33,345.83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33,345.83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20,099.16</w:t>
                        </w:r>
                      </w:p>
                    </w:tc>
                    <w:tc>
                      <w:tcPr>
                        <w:tcW w:w="780"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20,099.16</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3" w:space="0" w:color="D3D3D3"/>
                          <w:bottom w:val="single" w:sz="4" w:space="0" w:color="000000"/>
                          <w:right w:val="single" w:sz="10" w:space="0" w:color="D3D3D3"/>
                        </w:tcBorders>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37"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8" w:type="dxa"/>
                        <w:gridSpan w:val="10"/>
                        <w:vMerge w:val="restart"/>
                        <w:tcBorders>
                          <w:top w:val="single" w:sz="4" w:space="0" w:color="000000"/>
                          <w:left w:val="single" w:sz="9" w:space="0" w:color="D3D3D3"/>
                          <w:right w:val="single" w:sz="4" w:space="0" w:color="000000"/>
                        </w:tcBorders>
                      </w:tcPr>
                      <w:p>
                        <w:pPr>
                          <w:pStyle w:val="TableParagraph"/>
                          <w:spacing w:line="309" w:lineRule="auto" w:before="51"/>
                          <w:ind w:left="16"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募投项目中营销与服务网络建设项目资金的使用进度较慢，主要由于原计划各营销网点办公用房 以购买方式取得，但目前房地产市场暂不稳定，公司暂时以租赁的形式开展营销网点的建设，导致 投资进度较预期缓慢。</w:t>
                        </w:r>
                      </w:p>
                      <w:p>
                        <w:pPr>
                          <w:pStyle w:val="TableParagraph"/>
                          <w:spacing w:line="240" w:lineRule="auto" w:before="62"/>
                          <w:ind w:left="16"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募投项目中</w:t>
                        </w:r>
                        <w:r>
                          <w:rPr>
                            <w:rFonts w:ascii="宋体" w:hAnsi="宋体" w:cs="宋体" w:eastAsia="宋体" w:hint="default"/>
                            <w:spacing w:val="-2"/>
                            <w:sz w:val="18"/>
                            <w:szCs w:val="18"/>
                          </w:rPr>
                          <w:t>基</w:t>
                        </w:r>
                        <w:r>
                          <w:rPr>
                            <w:rFonts w:ascii="宋体" w:hAnsi="宋体" w:cs="宋体" w:eastAsia="宋体" w:hint="default"/>
                            <w:sz w:val="18"/>
                            <w:szCs w:val="18"/>
                          </w:rPr>
                          <w:t>础组件支撑平台</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V2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项目</w:t>
                        </w:r>
                        <w:r>
                          <w:rPr>
                            <w:rFonts w:ascii="宋体" w:hAnsi="宋体" w:cs="宋体" w:eastAsia="宋体" w:hint="default"/>
                            <w:spacing w:val="-2"/>
                            <w:sz w:val="18"/>
                            <w:szCs w:val="18"/>
                          </w:rPr>
                          <w:t>达</w:t>
                        </w:r>
                        <w:r>
                          <w:rPr>
                            <w:rFonts w:ascii="宋体" w:hAnsi="宋体" w:cs="宋体" w:eastAsia="宋体" w:hint="default"/>
                            <w:sz w:val="18"/>
                            <w:szCs w:val="18"/>
                          </w:rPr>
                          <w:t>到预定可使用状态日期为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pacing w:val="-2"/>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截止</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2012</w:t>
                        </w:r>
                      </w:p>
                      <w:p>
                        <w:pPr>
                          <w:pStyle w:val="TableParagraph"/>
                          <w:spacing w:line="240" w:lineRule="auto" w:before="64"/>
                          <w:ind w:left="16"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日，公司已向软件著作权登记部门申请注册登记，预计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年可办妥软件著作权证。</w:t>
                        </w:r>
                      </w:p>
                    </w:tc>
                  </w:tr>
                  <w:tr>
                    <w:trPr>
                      <w:trHeight w:val="1016"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3D3D3"/>
                          <w:right w:val="single" w:sz="4" w:space="0" w:color="000000"/>
                        </w:tcBorders>
                      </w:tcPr>
                      <w:p>
                        <w:pPr/>
                      </w:p>
                    </w:tc>
                  </w:tr>
                  <w:tr>
                    <w:trPr>
                      <w:trHeight w:val="336"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
                    </w:tc>
                    <w:tc>
                      <w:tcPr>
                        <w:tcW w:w="7798" w:type="dxa"/>
                        <w:gridSpan w:val="10"/>
                        <w:vMerge/>
                        <w:tcBorders>
                          <w:left w:val="single" w:sz="9" w:space="0" w:color="D3D3D3"/>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40" w:hRule="exact"/>
                    </w:trPr>
                    <w:tc>
                      <w:tcPr>
                        <w:tcW w:w="1770" w:type="dxa"/>
                        <w:vMerge/>
                        <w:tcBorders>
                          <w:left w:val="single" w:sz="4" w:space="0" w:color="000000"/>
                          <w:bottom w:val="nil" w:sz="6" w:space="0" w:color="auto"/>
                          <w:right w:val="single" w:sz="4" w:space="0" w:color="000000"/>
                        </w:tcBorders>
                        <w:shd w:val="clear" w:color="auto" w:fill="D3D3D3"/>
                      </w:tcPr>
                      <w:p>
                        <w:pPr/>
                      </w:p>
                    </w:tc>
                    <w:tc>
                      <w:tcPr>
                        <w:tcW w:w="7798" w:type="dxa"/>
                        <w:gridSpan w:val="10"/>
                        <w:vMerge w:val="restart"/>
                        <w:tcBorders>
                          <w:top w:val="single" w:sz="4" w:space="0" w:color="000000"/>
                          <w:left w:val="single" w:sz="9" w:space="0" w:color="D3D3D3"/>
                          <w:right w:val="single" w:sz="4" w:space="0" w:color="000000"/>
                        </w:tcBorders>
                      </w:tcPr>
                      <w:p>
                        <w:pPr>
                          <w:pStyle w:val="TableParagraph"/>
                          <w:spacing w:line="240" w:lineRule="auto" w:before="52"/>
                          <w:ind w:left="16" w:right="0"/>
                          <w:jc w:val="both"/>
                          <w:rPr>
                            <w:rFonts w:ascii="宋体" w:hAnsi="宋体" w:cs="宋体" w:eastAsia="宋体" w:hint="default"/>
                            <w:sz w:val="18"/>
                            <w:szCs w:val="18"/>
                          </w:rPr>
                        </w:pPr>
                        <w:r>
                          <w:rPr>
                            <w:rFonts w:ascii="宋体" w:hAnsi="宋体" w:cs="宋体" w:eastAsia="宋体" w:hint="default"/>
                            <w:sz w:val="18"/>
                            <w:szCs w:val="18"/>
                          </w:rPr>
                          <w:t>公司超募资金金额为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16,445.59</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2012</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日第二届董事会第八次会议和第二届监事会第</w:t>
                        </w:r>
                      </w:p>
                      <w:p>
                        <w:pPr>
                          <w:pStyle w:val="TableParagraph"/>
                          <w:spacing w:line="240" w:lineRule="auto" w:before="61"/>
                          <w:ind w:left="16"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四次会议审议并通过</w:t>
                        </w:r>
                        <w:r>
                          <w:rPr>
                            <w:rFonts w:ascii="宋体" w:hAnsi="宋体" w:cs="宋体" w:eastAsia="宋体" w:hint="default"/>
                            <w:spacing w:val="-22"/>
                            <w:sz w:val="18"/>
                            <w:szCs w:val="18"/>
                          </w:rPr>
                          <w:t>了</w:t>
                        </w:r>
                        <w:r>
                          <w:rPr>
                            <w:rFonts w:ascii="宋体" w:hAnsi="宋体" w:cs="宋体" w:eastAsia="宋体" w:hint="default"/>
                            <w:sz w:val="18"/>
                            <w:szCs w:val="18"/>
                          </w:rPr>
                          <w:t>《关于部分超募资金用于偿还银行贷款的议案</w:t>
                        </w:r>
                        <w:r>
                          <w:rPr>
                            <w:rFonts w:ascii="宋体" w:hAnsi="宋体" w:cs="宋体" w:eastAsia="宋体" w:hint="default"/>
                            <w:spacing w:val="-90"/>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同意使用超募资金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5,235.08</w:t>
                        </w:r>
                      </w:p>
                      <w:p>
                        <w:pPr>
                          <w:pStyle w:val="TableParagraph"/>
                          <w:spacing w:line="309" w:lineRule="auto" w:before="63"/>
                          <w:ind w:left="16" w:right="23"/>
                          <w:jc w:val="both"/>
                          <w:rPr>
                            <w:rFonts w:ascii="宋体" w:hAnsi="宋体" w:cs="宋体" w:eastAsia="宋体" w:hint="default"/>
                            <w:sz w:val="18"/>
                            <w:szCs w:val="18"/>
                          </w:rPr>
                        </w:pPr>
                        <w:r>
                          <w:rPr>
                            <w:rFonts w:ascii="宋体" w:hAnsi="宋体" w:cs="宋体" w:eastAsia="宋体" w:hint="default"/>
                            <w:sz w:val="18"/>
                            <w:szCs w:val="18"/>
                          </w:rPr>
                          <w:t>万元用于偿还银行贷款；</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日第二届董事会第十次会议和第二届监事会第六次会议， 审议并通过了《关于部分超募资金暂时补充流动的议案》和《关于部分超募资金用于票据自助受理 </w:t>
                        </w:r>
                        <w:r>
                          <w:rPr>
                            <w:rFonts w:ascii="宋体" w:hAnsi="宋体" w:cs="宋体" w:eastAsia="宋体" w:hint="default"/>
                            <w:spacing w:val="-7"/>
                            <w:sz w:val="18"/>
                            <w:szCs w:val="18"/>
                          </w:rPr>
                          <w:t>系统项目的议案》，同意使用超募资金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7,100</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万元暂时补充流动资金（使用期限不超过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个月）和将</w:t>
                        </w:r>
                      </w:p>
                      <w:p>
                        <w:pPr>
                          <w:pStyle w:val="TableParagraph"/>
                          <w:spacing w:line="240" w:lineRule="auto" w:before="5"/>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4,082.99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万元超募资金用于票据自助受理系统项目，截止</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日，票据自助受理系统项</w:t>
                        </w:r>
                      </w:p>
                      <w:p>
                        <w:pPr>
                          <w:pStyle w:val="TableParagraph"/>
                          <w:spacing w:line="302" w:lineRule="auto" w:before="63"/>
                          <w:ind w:left="16" w:right="111"/>
                          <w:jc w:val="both"/>
                          <w:rPr>
                            <w:rFonts w:ascii="宋体" w:hAnsi="宋体" w:cs="宋体" w:eastAsia="宋体" w:hint="default"/>
                            <w:sz w:val="18"/>
                            <w:szCs w:val="18"/>
                          </w:rPr>
                        </w:pPr>
                        <w:r>
                          <w:rPr>
                            <w:rFonts w:ascii="宋体" w:hAnsi="宋体" w:cs="宋体" w:eastAsia="宋体" w:hint="default"/>
                            <w:sz w:val="18"/>
                            <w:szCs w:val="18"/>
                          </w:rPr>
                          <w:t>目已实际使用超募资金</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1,113.43 </w:t>
                        </w:r>
                        <w:r>
                          <w:rPr>
                            <w:rFonts w:ascii="宋体" w:hAnsi="宋体" w:cs="宋体" w:eastAsia="宋体" w:hint="default"/>
                            <w:spacing w:val="-18"/>
                            <w:sz w:val="18"/>
                            <w:szCs w:val="18"/>
                          </w:rPr>
                          <w:t>万元。截止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8"/>
                            <w:sz w:val="18"/>
                            <w:szCs w:val="18"/>
                          </w:rPr>
                          <w:t>日，公司超募资金余额为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3,085.83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存放于公司募集资金专用账户。</w:t>
                        </w:r>
                      </w:p>
                    </w:tc>
                  </w:tr>
                  <w:tr>
                    <w:trPr>
                      <w:trHeight w:val="705"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vMerge/>
                        <w:tcBorders>
                          <w:left w:val="single" w:sz="9" w:space="0" w:color="D3D3D3"/>
                          <w:right w:val="single" w:sz="4" w:space="0" w:color="000000"/>
                        </w:tcBorders>
                      </w:tcPr>
                      <w:p>
                        <w:pPr/>
                      </w:p>
                    </w:tc>
                  </w:tr>
                  <w:tr>
                    <w:trPr>
                      <w:trHeight w:val="1141" w:hRule="exact"/>
                    </w:trPr>
                    <w:tc>
                      <w:tcPr>
                        <w:tcW w:w="1770" w:type="dxa"/>
                        <w:tcBorders>
                          <w:top w:val="nil" w:sz="6" w:space="0" w:color="auto"/>
                          <w:left w:val="single" w:sz="4" w:space="0" w:color="000000"/>
                          <w:bottom w:val="single" w:sz="4" w:space="0" w:color="FFFFFF"/>
                          <w:right w:val="single" w:sz="4" w:space="0" w:color="000000"/>
                        </w:tcBorders>
                        <w:shd w:val="clear" w:color="auto" w:fill="D3D3D3"/>
                      </w:tcPr>
                      <w:p>
                        <w:pPr/>
                      </w:p>
                    </w:tc>
                    <w:tc>
                      <w:tcPr>
                        <w:tcW w:w="7798" w:type="dxa"/>
                        <w:gridSpan w:val="10"/>
                        <w:vMerge/>
                        <w:tcBorders>
                          <w:left w:val="single" w:sz="9" w:space="0" w:color="D3D3D3"/>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3D3D3"/>
                      </w:tcPr>
                      <w:p>
                        <w:pPr>
                          <w:pStyle w:val="TableParagraph"/>
                          <w:spacing w:line="316" w:lineRule="auto" w:before="97"/>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tcBorders>
                          <w:top w:val="single" w:sz="4" w:space="0" w:color="FFFFFF"/>
                          <w:left w:val="single" w:sz="13" w:space="0" w:color="D3D3D3"/>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3D3D3"/>
                      </w:tcPr>
                      <w:p>
                        <w:pPr/>
                      </w:p>
                    </w:tc>
                    <w:tc>
                      <w:tcPr>
                        <w:tcW w:w="7798" w:type="dxa"/>
                        <w:gridSpan w:val="10"/>
                        <w:tcBorders>
                          <w:top w:val="single" w:sz="4" w:space="0" w:color="000000"/>
                          <w:left w:val="single" w:sz="13" w:space="0" w:color="D3D3D3"/>
                          <w:bottom w:val="single" w:sz="4" w:space="0" w:color="FFFFFF"/>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3D3D3"/>
                      </w:tcPr>
                      <w:p>
                        <w:pPr>
                          <w:pStyle w:val="TableParagraph"/>
                          <w:spacing w:line="316" w:lineRule="auto" w:before="97"/>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tcBorders>
                          <w:top w:val="single" w:sz="4" w:space="0" w:color="FFFFFF"/>
                          <w:left w:val="single" w:sz="13" w:space="0" w:color="D3D3D3"/>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5"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vMerge w:val="restart"/>
                        <w:tcBorders>
                          <w:top w:val="single" w:sz="4" w:space="0" w:color="000000"/>
                          <w:left w:val="single" w:sz="9" w:space="0" w:color="D3D3D3"/>
                          <w:right w:val="single" w:sz="4" w:space="0" w:color="000000"/>
                        </w:tcBorders>
                      </w:tcPr>
                      <w:p>
                        <w:pPr>
                          <w:pStyle w:val="TableParagraph"/>
                          <w:spacing w:line="240" w:lineRule="auto" w:before="52"/>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部分募集资金项目在募集资金实际到位之前已由公司利用自筹资金先行投入，截止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1"/>
                          <w:ind w:left="16" w:right="-20"/>
                          <w:jc w:val="left"/>
                          <w:rPr>
                            <w:rFonts w:ascii="宋体" w:hAnsi="宋体" w:cs="宋体" w:eastAsia="宋体" w:hint="default"/>
                            <w:sz w:val="18"/>
                            <w:szCs w:val="18"/>
                          </w:rPr>
                        </w:pPr>
                        <w:r>
                          <w:rPr>
                            <w:rFonts w:ascii="宋体" w:hAnsi="宋体" w:cs="宋体" w:eastAsia="宋体" w:hint="default"/>
                            <w:sz w:val="18"/>
                            <w:szCs w:val="18"/>
                          </w:rPr>
                          <w:t>日公司实际资金支出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153.14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万元，该项支出已经过立信会计师事务所（特殊普通合伙）审计确认，</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审计报告号为信会师报字（</w:t>
                        </w:r>
                        <w:r>
                          <w:rPr>
                            <w:rFonts w:ascii="Times New Roman" w:hAnsi="Times New Roman" w:cs="Times New Roman" w:eastAsia="Times New Roman" w:hint="default"/>
                            <w:sz w:val="18"/>
                            <w:szCs w:val="18"/>
                          </w:rPr>
                          <w:t>2012</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210073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日对该项支出进行置换</w:t>
                        </w:r>
                      </w:p>
                    </w:tc>
                  </w:tr>
                  <w:tr>
                    <w:trPr>
                      <w:trHeight w:val="361" w:hRule="exact"/>
                    </w:trPr>
                    <w:tc>
                      <w:tcPr>
                        <w:tcW w:w="1770" w:type="dxa"/>
                        <w:tcBorders>
                          <w:top w:val="nil" w:sz="6" w:space="0" w:color="auto"/>
                          <w:left w:val="single" w:sz="4" w:space="0" w:color="000000"/>
                          <w:bottom w:val="single" w:sz="4" w:space="0" w:color="FFFFFF"/>
                          <w:right w:val="single" w:sz="4" w:space="0" w:color="000000"/>
                        </w:tcBorders>
                        <w:shd w:val="clear" w:color="auto" w:fill="D3D3D3"/>
                      </w:tcPr>
                      <w:p>
                        <w:pPr/>
                      </w:p>
                    </w:tc>
                    <w:tc>
                      <w:tcPr>
                        <w:tcW w:w="7798" w:type="dxa"/>
                        <w:gridSpan w:val="10"/>
                        <w:vMerge/>
                        <w:tcBorders>
                          <w:left w:val="single" w:sz="9" w:space="0" w:color="D3D3D3"/>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3D3D3"/>
                      </w:tcPr>
                      <w:p>
                        <w:pPr>
                          <w:pStyle w:val="TableParagraph"/>
                          <w:spacing w:line="316" w:lineRule="auto" w:before="97"/>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gridSpan w:val="10"/>
                        <w:tcBorders>
                          <w:top w:val="single" w:sz="4" w:space="0" w:color="FFFFFF"/>
                          <w:left w:val="single" w:sz="13" w:space="0" w:color="D3D3D3"/>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spacing w:before="44"/>
        <w:ind w:left="0" w:right="15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44"/>
        <w:ind w:left="0" w:right="16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尚未使用的募集资金全部以银行存款的形式存放于募投资金专户。</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、主要子公司、参股公司分析</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3"/>
        <w:gridCol w:w="943"/>
        <w:gridCol w:w="944"/>
        <w:gridCol w:w="942"/>
        <w:gridCol w:w="943"/>
        <w:gridCol w:w="809"/>
        <w:gridCol w:w="1078"/>
      </w:tblGrid>
      <w:tr>
        <w:trPr>
          <w:trHeight w:val="714" w:hRule="exact"/>
        </w:trPr>
        <w:tc>
          <w:tcPr>
            <w:tcW w:w="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95" w:right="107" w:hanging="90"/>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76"/>
              <w:ind w:left="19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76"/>
              <w:ind w:left="19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37"/>
              <w:jc w:val="left"/>
              <w:rPr>
                <w:rFonts w:ascii="宋体" w:hAnsi="宋体" w:cs="宋体" w:eastAsia="宋体" w:hint="default"/>
                <w:sz w:val="18"/>
                <w:szCs w:val="18"/>
              </w:rPr>
            </w:pPr>
            <w:r>
              <w:rPr>
                <w:rFonts w:ascii="宋体" w:hAnsi="宋体" w:cs="宋体" w:eastAsia="宋体" w:hint="default"/>
                <w:sz w:val="18"/>
                <w:szCs w:val="18"/>
              </w:rPr>
              <w:t>净利润（元）</w:t>
            </w:r>
          </w:p>
        </w:tc>
      </w:tr>
      <w:tr>
        <w:trPr>
          <w:trHeight w:val="357" w:hRule="exact"/>
        </w:trPr>
        <w:tc>
          <w:tcPr>
            <w:tcW w:w="946"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移动支付</w:t>
            </w:r>
          </w:p>
        </w:tc>
        <w:tc>
          <w:tcPr>
            <w:tcW w:w="943" w:type="dxa"/>
            <w:tcBorders>
              <w:top w:val="single" w:sz="4" w:space="0" w:color="000000"/>
              <w:left w:val="single" w:sz="4" w:space="0" w:color="000000"/>
              <w:bottom w:val="nil" w:sz="6" w:space="0" w:color="auto"/>
              <w:right w:val="single" w:sz="4" w:space="0" w:color="000000"/>
            </w:tcBorders>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解决方案、</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移动营销</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北京中科 金财电子 商务有限 公司</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2" w:right="187"/>
              <w:jc w:val="both"/>
              <w:rPr>
                <w:rFonts w:ascii="宋体" w:hAnsi="宋体" w:cs="宋体" w:eastAsia="宋体" w:hint="default"/>
                <w:sz w:val="18"/>
                <w:szCs w:val="18"/>
              </w:rPr>
            </w:pPr>
            <w:r>
              <w:rPr>
                <w:rFonts w:ascii="宋体" w:hAnsi="宋体" w:cs="宋体" w:eastAsia="宋体" w:hint="default"/>
                <w:sz w:val="18"/>
                <w:szCs w:val="18"/>
              </w:rPr>
              <w:t>软件与信 息技术服 务业</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8"/>
              <w:jc w:val="left"/>
              <w:rPr>
                <w:rFonts w:ascii="宋体" w:hAnsi="宋体" w:cs="宋体" w:eastAsia="宋体" w:hint="default"/>
                <w:sz w:val="18"/>
                <w:szCs w:val="18"/>
              </w:rPr>
            </w:pPr>
            <w:r>
              <w:rPr>
                <w:rFonts w:ascii="宋体" w:hAnsi="宋体" w:cs="宋体" w:eastAsia="宋体" w:hint="default"/>
                <w:sz w:val="18"/>
                <w:szCs w:val="18"/>
              </w:rPr>
              <w:t>解决方案、 移动多媒 体互动电 子杂志产 </w:t>
            </w:r>
            <w:r>
              <w:rPr>
                <w:rFonts w:ascii="宋体" w:hAnsi="宋体" w:cs="宋体" w:eastAsia="宋体" w:hint="default"/>
                <w:spacing w:val="-3"/>
                <w:sz w:val="18"/>
                <w:szCs w:val="18"/>
              </w:rPr>
              <w:t>品、手机银</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100000000</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120,617,46</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3.22</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117,595,37</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1.76</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26,667,841.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-1,476,88</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6.15</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350,532.65</w:t>
            </w: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行等行业</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移动信息</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46"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化产品</w:t>
            </w:r>
          </w:p>
        </w:tc>
        <w:tc>
          <w:tcPr>
            <w:tcW w:w="943" w:type="dxa"/>
            <w:tcBorders>
              <w:top w:val="nil" w:sz="6" w:space="0" w:color="auto"/>
              <w:left w:val="single" w:sz="4" w:space="0" w:color="000000"/>
              <w:bottom w:val="single" w:sz="4" w:space="0" w:color="000000"/>
              <w:right w:val="single" w:sz="4" w:space="0" w:color="000000"/>
            </w:tcBorders>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r>
    </w:tbl>
    <w:p>
      <w:pPr>
        <w:spacing w:line="408" w:lineRule="auto" w:before="63"/>
        <w:ind w:left="574" w:right="320" w:hanging="420"/>
        <w:jc w:val="left"/>
        <w:rPr>
          <w:rFonts w:ascii="宋体" w:hAnsi="宋体" w:cs="宋体" w:eastAsia="宋体" w:hint="default"/>
          <w:sz w:val="21"/>
          <w:szCs w:val="21"/>
        </w:rPr>
      </w:pPr>
      <w:r>
        <w:rPr>
          <w:rFonts w:ascii="宋体" w:hAnsi="宋体" w:cs="宋体" w:eastAsia="宋体" w:hint="default"/>
          <w:b/>
          <w:bCs/>
          <w:sz w:val="21"/>
          <w:szCs w:val="21"/>
        </w:rPr>
        <w:t>主要子公司、参股公司情况说明</w:t>
      </w:r>
      <w:r>
        <w:rPr>
          <w:rFonts w:ascii="宋体" w:hAnsi="宋体" w:cs="宋体" w:eastAsia="宋体" w:hint="default"/>
          <w:b/>
          <w:bCs/>
          <w:spacing w:val="1"/>
          <w:w w:val="99"/>
          <w:sz w:val="21"/>
          <w:szCs w:val="21"/>
        </w:rPr>
        <w:t> </w:t>
      </w:r>
      <w:r>
        <w:rPr>
          <w:rFonts w:ascii="宋体" w:hAnsi="宋体" w:cs="宋体" w:eastAsia="宋体" w:hint="default"/>
          <w:sz w:val="21"/>
          <w:szCs w:val="21"/>
        </w:rPr>
        <w:t>北京中科金财电子商务有限公司致力于移动应用解决方案及移动电子商务服务领域的技术创新和业</w:t>
      </w:r>
    </w:p>
    <w:p>
      <w:pPr>
        <w:pStyle w:val="BodyText"/>
        <w:spacing w:line="408" w:lineRule="auto"/>
        <w:ind w:right="0"/>
        <w:jc w:val="left"/>
      </w:pPr>
      <w:r>
        <w:rPr>
          <w:spacing w:val="-1"/>
        </w:rPr>
        <w:t>务发展，专注于移动支付安全技术、移动支付解决方案、移动营销解决方案、移动多媒体互动电子杂志产</w:t>
      </w:r>
      <w:r>
        <w:rPr>
          <w:spacing w:val="-82"/>
        </w:rPr>
        <w:t> </w:t>
      </w:r>
      <w:r>
        <w:rPr>
          <w:spacing w:val="-82"/>
        </w:rPr>
      </w:r>
      <w:r>
        <w:rPr>
          <w:spacing w:val="-1"/>
        </w:rPr>
        <w:t>品、手机银行等行业移动信息化的应用集成。在移动支付领域研发无卡手机支付技术并获得了专利，与中</w:t>
      </w:r>
      <w:r>
        <w:rPr>
          <w:spacing w:val="-83"/>
        </w:rPr>
        <w:t> </w:t>
      </w:r>
      <w:r>
        <w:rPr>
          <w:spacing w:val="-83"/>
        </w:rPr>
      </w:r>
      <w:r>
        <w:rPr>
          <w:spacing w:val="-1"/>
        </w:rPr>
        <w:t>国银联一起打造银联随行手机支付客户端、银联商务全民付及全民乐享客户端平台、线上线下联合运营平</w:t>
      </w:r>
      <w:r>
        <w:rPr>
          <w:spacing w:val="-81"/>
        </w:rPr>
        <w:t> </w:t>
      </w:r>
      <w:r>
        <w:rPr>
          <w:spacing w:val="-81"/>
        </w:rPr>
      </w:r>
      <w:r>
        <w:rPr/>
        <w:t>台等核心业务平台，形成了公司在行业的独特优势。报告期内，公司实现营业务收入26,667,841.20元， 净利润350,532.65元。</w:t>
      </w:r>
    </w:p>
    <w:p>
      <w:pPr>
        <w:spacing w:line="240" w:lineRule="auto" w:before="11"/>
        <w:rPr>
          <w:rFonts w:ascii="宋体" w:hAnsi="宋体" w:cs="宋体" w:eastAsia="宋体" w:hint="default"/>
          <w:sz w:val="18"/>
          <w:szCs w:val="18"/>
        </w:rPr>
      </w:pPr>
    </w:p>
    <w:p>
      <w:pPr>
        <w:pStyle w:val="Heading2"/>
        <w:spacing w:line="240" w:lineRule="auto" w:before="0"/>
        <w:ind w:right="0"/>
        <w:jc w:val="left"/>
        <w:rPr>
          <w:b w:val="0"/>
          <w:bCs w:val="0"/>
        </w:rPr>
      </w:pPr>
      <w:r>
        <w:rPr/>
        <w:t>七、公司未来发展的展望</w:t>
      </w:r>
      <w:r>
        <w:rPr>
          <w:b w:val="0"/>
          <w:bCs w:val="0"/>
        </w:rPr>
      </w:r>
    </w:p>
    <w:p>
      <w:pPr>
        <w:spacing w:line="240" w:lineRule="auto" w:before="6"/>
        <w:rPr>
          <w:rFonts w:ascii="宋体" w:hAnsi="宋体" w:cs="宋体" w:eastAsia="宋体" w:hint="default"/>
          <w:b/>
          <w:bCs/>
          <w:sz w:val="30"/>
          <w:szCs w:val="30"/>
        </w:rPr>
      </w:pPr>
    </w:p>
    <w:p>
      <w:pPr>
        <w:spacing w:line="408" w:lineRule="auto" w:before="0"/>
        <w:ind w:left="577" w:right="0" w:firstLine="2"/>
        <w:jc w:val="left"/>
        <w:rPr>
          <w:rFonts w:ascii="宋体" w:hAnsi="宋体" w:cs="宋体" w:eastAsia="宋体" w:hint="default"/>
          <w:sz w:val="21"/>
          <w:szCs w:val="21"/>
        </w:rPr>
      </w:pPr>
      <w:r>
        <w:rPr>
          <w:rFonts w:ascii="宋体" w:hAnsi="宋体" w:cs="宋体" w:eastAsia="宋体" w:hint="default"/>
          <w:b/>
          <w:bCs/>
          <w:sz w:val="21"/>
          <w:szCs w:val="21"/>
        </w:rPr>
        <w:t>（一）行业竞争格局和发展趋势</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2013年，整个软件行业在复杂的内外环境中，既受到国内外经济形势不景气的刺激，又面临着信息化</w:t>
      </w:r>
    </w:p>
    <w:p>
      <w:pPr>
        <w:pStyle w:val="BodyText"/>
        <w:spacing w:line="240" w:lineRule="auto"/>
        <w:ind w:right="0"/>
        <w:jc w:val="left"/>
      </w:pPr>
      <w:r>
        <w:rPr/>
        <w:t>投资加速、IT消费需求旺盛、软件服务化转型加快、新兴领域发展势头强劲等重要因素影响，但受益于国</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4"/>
        <w:ind w:left="0" w:right="126"/>
        <w:jc w:val="right"/>
      </w:pPr>
      <w:r>
        <w:rPr>
          <w:spacing w:val="-1"/>
        </w:rPr>
        <w:t>内强劲的信息化投资和旺盛的IT消费需求，我国软件行业将在2013年呈现整体规模稳步扩大的发展趋势。</w:t>
      </w:r>
      <w:r>
        <w:rPr>
          <w:spacing w:val="-74"/>
        </w:rPr>
        <w:t> </w:t>
      </w:r>
      <w:r>
        <w:rPr>
          <w:spacing w:val="-74"/>
        </w:rPr>
      </w:r>
      <w:r>
        <w:rPr/>
        <w:t>软件产业是国家战略性新兴产业，是国民经济和社会信息化的重要基础。2011年1月28日，国务院印</w:t>
      </w:r>
      <w:r>
        <w:rPr>
          <w:spacing w:val="2"/>
        </w:rPr>
        <w:t> </w:t>
      </w:r>
      <w:r>
        <w:rPr/>
        <w:t>发了《进一步鼓励软件产业和集成电路产业发展的若干政策》的通知（国发[2011]4号），进一步优化软</w:t>
      </w:r>
      <w:r>
        <w:rPr>
          <w:spacing w:val="-87"/>
        </w:rPr>
        <w:t> </w:t>
      </w:r>
      <w:r>
        <w:rPr>
          <w:spacing w:val="-87"/>
        </w:rPr>
      </w:r>
      <w:r>
        <w:rPr>
          <w:spacing w:val="-4"/>
        </w:rPr>
        <w:t>件产业发展环境，提高产业发展质量和水平，培育一批有实力和影响力的行业领先企业。随着国发[2011]4</w:t>
      </w:r>
      <w:r>
        <w:rPr>
          <w:spacing w:val="-1"/>
        </w:rPr>
        <w:t> 号文件的执行，公司将继续获得国家对于软件企业的优惠政策扶持。这些政策的出台和执行，为公司创造</w:t>
      </w:r>
    </w:p>
    <w:p>
      <w:pPr>
        <w:pStyle w:val="BodyText"/>
        <w:spacing w:line="408" w:lineRule="auto"/>
        <w:ind w:left="577" w:right="0" w:hanging="424"/>
        <w:jc w:val="left"/>
      </w:pPr>
      <w:r>
        <w:rPr/>
        <w:t>了良好的经营环境。 </w:t>
      </w:r>
      <w:r>
        <w:rPr>
          <w:spacing w:val="-1"/>
        </w:rPr>
        <w:t>“十二五”时期，信息技术的迅速发展和应用的不断深化，软件与网络深度耦合，软件与硬件、应用</w:t>
      </w:r>
    </w:p>
    <w:p>
      <w:pPr>
        <w:pStyle w:val="BodyText"/>
        <w:spacing w:line="408" w:lineRule="auto"/>
        <w:ind w:right="146"/>
        <w:jc w:val="both"/>
      </w:pPr>
      <w:r>
        <w:rPr>
          <w:spacing w:val="-1"/>
        </w:rPr>
        <w:t>和服务紧密融合，软件和信息技术服务业加快向网络化、服务化、体系化和融合化方向演进。软件和信息</w:t>
      </w:r>
      <w:r>
        <w:rPr>
          <w:spacing w:val="-82"/>
        </w:rPr>
        <w:t> </w:t>
      </w:r>
      <w:r>
        <w:rPr>
          <w:spacing w:val="-82"/>
        </w:rPr>
      </w:r>
      <w:r>
        <w:rPr>
          <w:spacing w:val="-1"/>
        </w:rPr>
        <w:t>技术服务业快速发展，产业技术创新加速，商业模式变革方兴未艾，新兴应用层出不穷，将推动产业融合</w:t>
      </w:r>
      <w:r>
        <w:rPr>
          <w:spacing w:val="-82"/>
        </w:rPr>
        <w:t> </w:t>
      </w:r>
      <w:r>
        <w:rPr>
          <w:spacing w:val="-82"/>
        </w:rPr>
      </w:r>
      <w:r>
        <w:rPr/>
        <w:t>发展和转型升级。“十二五”规划发展目标提出：到2015年，业务收入突破4万亿元，占信息产业比重达</w:t>
      </w:r>
      <w:r>
        <w:rPr>
          <w:spacing w:val="-35"/>
        </w:rPr>
        <w:t> </w:t>
      </w:r>
      <w:r>
        <w:rPr>
          <w:spacing w:val="-35"/>
        </w:rPr>
      </w:r>
      <w:r>
        <w:rPr>
          <w:spacing w:val="-1"/>
        </w:rPr>
        <w:t>到25%，年均增长24.5%以上。“十二五”时期规划的发展重点为：基础软件、面向政府、金融等行业解决</w:t>
      </w:r>
      <w:r>
        <w:rPr>
          <w:spacing w:val="-81"/>
        </w:rPr>
        <w:t> </w:t>
      </w:r>
      <w:r>
        <w:rPr>
          <w:spacing w:val="-81"/>
        </w:rPr>
      </w:r>
      <w:r>
        <w:rPr>
          <w:spacing w:val="-1"/>
        </w:rPr>
        <w:t>方案、嵌入式软件、信息安全软件和服务、信息系统集成服务、信息技术咨询服务、服务外包、新兴信息</w:t>
      </w:r>
      <w:r>
        <w:rPr>
          <w:spacing w:val="-83"/>
        </w:rPr>
        <w:t> </w:t>
      </w:r>
      <w:r>
        <w:rPr>
          <w:spacing w:val="-83"/>
        </w:rPr>
      </w:r>
      <w:r>
        <w:rPr/>
        <w:t>技术服务等，这些都为软件产业的不断发展提供了政策方面的支持和保障。</w:t>
      </w:r>
    </w:p>
    <w:p>
      <w:pPr>
        <w:pStyle w:val="BodyText"/>
        <w:spacing w:line="408" w:lineRule="auto"/>
        <w:ind w:left="577" w:right="0" w:firstLine="2"/>
        <w:jc w:val="left"/>
      </w:pPr>
      <w:r>
        <w:rPr>
          <w:rFonts w:ascii="宋体" w:hAnsi="宋体" w:cs="宋体" w:eastAsia="宋体" w:hint="default"/>
          <w:b/>
          <w:bCs/>
        </w:rPr>
        <w:t>（二）公司发展战略</w:t>
      </w:r>
      <w:r>
        <w:rPr>
          <w:rFonts w:ascii="宋体" w:hAnsi="宋体" w:cs="宋体" w:eastAsia="宋体" w:hint="default"/>
          <w:b/>
          <w:bCs/>
          <w:spacing w:val="1"/>
          <w:w w:val="99"/>
        </w:rPr>
        <w:t> </w:t>
      </w:r>
      <w:r>
        <w:rPr>
          <w:spacing w:val="-1"/>
        </w:rPr>
        <w:t>公司的整体发展战略是：专注于企业、银行、政府等行业客户的需求，坚持以应用软件开发、技术服</w:t>
      </w:r>
    </w:p>
    <w:p>
      <w:pPr>
        <w:pStyle w:val="BodyText"/>
        <w:spacing w:line="408" w:lineRule="auto"/>
        <w:ind w:right="128"/>
        <w:jc w:val="both"/>
      </w:pPr>
      <w:r>
        <w:rPr/>
        <w:t>务和系统集成服务及IT产品分销业务为重点，以提高用户业务与管理水平为目标，秉承“关注用户体验， </w:t>
      </w:r>
      <w:r>
        <w:rPr>
          <w:spacing w:val="-1"/>
        </w:rPr>
        <w:t>关注员工发展，开放性成长，为客户提供IT综合服务”的发展战略，不断创新、持续成长，逐步发展成为</w:t>
      </w:r>
      <w:r>
        <w:rPr>
          <w:spacing w:val="-84"/>
        </w:rPr>
        <w:t> </w:t>
      </w:r>
      <w:r>
        <w:rPr>
          <w:spacing w:val="-84"/>
        </w:rPr>
      </w:r>
      <w:r>
        <w:rPr/>
        <w:t>中国领先的IT综合服务提供商。</w:t>
      </w:r>
    </w:p>
    <w:p>
      <w:pPr>
        <w:pStyle w:val="BodyText"/>
        <w:spacing w:line="408" w:lineRule="auto"/>
        <w:ind w:right="128" w:firstLine="423"/>
        <w:jc w:val="both"/>
      </w:pPr>
      <w:r>
        <w:rPr>
          <w:spacing w:val="-1"/>
        </w:rPr>
        <w:t>2013年公司将推行相关多元化战略，以“收敛、聚焦、整合、协同”为整体战略目标，形成以银行解</w:t>
      </w:r>
      <w:r>
        <w:rPr/>
        <w:t> </w:t>
      </w:r>
      <w:r>
        <w:rPr>
          <w:spacing w:val="-1"/>
        </w:rPr>
        <w:t>决方案为核心，以数据中心、IT服务管理、IT产品分销为重要业务，银行电子商务等成长性较好的业务为</w:t>
      </w:r>
      <w:r>
        <w:rPr>
          <w:spacing w:val="-82"/>
        </w:rPr>
        <w:t> </w:t>
      </w:r>
      <w:r>
        <w:rPr>
          <w:spacing w:val="-82"/>
        </w:rPr>
      </w:r>
      <w:r>
        <w:rPr>
          <w:spacing w:val="-1"/>
        </w:rPr>
        <w:t>培育业务的发展模式，强化业务协同机制，完善银行业务解决方案与数据中心、IT服务管理、移动电子商</w:t>
      </w:r>
      <w:r>
        <w:rPr>
          <w:spacing w:val="-82"/>
        </w:rPr>
        <w:t> </w:t>
      </w:r>
      <w:r>
        <w:rPr>
          <w:spacing w:val="-82"/>
        </w:rPr>
      </w:r>
      <w:r>
        <w:rPr/>
        <w:t>务等业务的协同效应，全面打造中科金财品牌，为客户提供涵盖从基础架构到应用系统的全面综合服务， 在销售、研发、交付三大方面不断积累并形成核心竞争力。</w:t>
      </w:r>
    </w:p>
    <w:p>
      <w:pPr>
        <w:spacing w:line="408" w:lineRule="auto" w:before="46"/>
        <w:ind w:left="577" w:right="107" w:firstLine="2"/>
        <w:jc w:val="left"/>
        <w:rPr>
          <w:rFonts w:ascii="宋体" w:hAnsi="宋体" w:cs="宋体" w:eastAsia="宋体" w:hint="default"/>
          <w:sz w:val="21"/>
          <w:szCs w:val="21"/>
        </w:rPr>
      </w:pPr>
      <w:r>
        <w:rPr>
          <w:rFonts w:ascii="宋体" w:hAnsi="宋体" w:cs="宋体" w:eastAsia="宋体" w:hint="default"/>
          <w:b/>
          <w:bCs/>
          <w:sz w:val="21"/>
          <w:szCs w:val="21"/>
        </w:rPr>
        <w:t>（三）2013年业务发展规划</w:t>
      </w:r>
      <w:r>
        <w:rPr>
          <w:rFonts w:ascii="宋体" w:hAnsi="宋体" w:cs="宋体" w:eastAsia="宋体" w:hint="default"/>
          <w:b/>
          <w:bCs/>
          <w:w w:val="99"/>
          <w:sz w:val="21"/>
          <w:szCs w:val="21"/>
        </w:rPr>
        <w:t> </w:t>
      </w:r>
      <w:r>
        <w:rPr>
          <w:rFonts w:ascii="宋体" w:hAnsi="宋体" w:cs="宋体" w:eastAsia="宋体" w:hint="default"/>
          <w:sz w:val="21"/>
          <w:szCs w:val="21"/>
        </w:rPr>
        <w:t>2013年，公司将利用上市发展契机，进一步贯彻“行业化、服务化、一体化、产品化”的经营战略，</w:t>
      </w:r>
    </w:p>
    <w:p>
      <w:pPr>
        <w:pStyle w:val="BodyText"/>
        <w:spacing w:line="408" w:lineRule="auto"/>
        <w:ind w:right="149"/>
        <w:jc w:val="both"/>
      </w:pPr>
      <w:r>
        <w:rPr>
          <w:spacing w:val="-1"/>
        </w:rPr>
        <w:t>提升行业应用深度和广度，进一步扩大全国的营销与服务网络，不断健全以企业技术中心为核心的创新机</w:t>
      </w:r>
      <w:r>
        <w:rPr>
          <w:spacing w:val="-81"/>
        </w:rPr>
        <w:t> </w:t>
      </w:r>
      <w:r>
        <w:rPr>
          <w:spacing w:val="-81"/>
        </w:rPr>
      </w:r>
      <w:r>
        <w:rPr>
          <w:spacing w:val="-1"/>
        </w:rPr>
        <w:t>制，加强人才队伍培养和引进，提升软件产品的研发和产业化速度，推动商业模式创新，积极发展新的利</w:t>
      </w:r>
      <w:r>
        <w:rPr>
          <w:spacing w:val="-82"/>
        </w:rPr>
        <w:t> </w:t>
      </w:r>
      <w:r>
        <w:rPr>
          <w:spacing w:val="-82"/>
        </w:rPr>
      </w:r>
      <w:r>
        <w:rPr/>
        <w:t>润增长点，利用收购兼并手段开展资源整合和产业链整合，推动公司业务持续发展。</w:t>
      </w:r>
    </w:p>
    <w:p>
      <w:pPr>
        <w:pStyle w:val="BodyText"/>
        <w:spacing w:line="408" w:lineRule="auto"/>
        <w:ind w:right="124" w:firstLine="423"/>
        <w:jc w:val="both"/>
      </w:pPr>
      <w:r>
        <w:rPr/>
        <w:t>在技术创新方面，公司将加大在所处领域的核心产品和技术研发及产业化投入，不断增强技术实力， 保持行业技术领先水平，增强企业的核心竞争能力，为公司的成长提供产品和技术优势。</w:t>
      </w:r>
    </w:p>
    <w:p>
      <w:pPr>
        <w:spacing w:after="0" w:line="408"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4"/>
        <w:ind w:right="128" w:firstLine="423"/>
        <w:jc w:val="both"/>
      </w:pPr>
      <w:r>
        <w:rPr>
          <w:spacing w:val="-1"/>
        </w:rPr>
        <w:t>在研发发展方面，公司将利用募集资金完成IT服务综合业务管理系统、基础组件支撑平台V2.0、影像</w:t>
      </w:r>
      <w:r>
        <w:rPr/>
        <w:t> </w:t>
      </w:r>
      <w:r>
        <w:rPr>
          <w:spacing w:val="-1"/>
        </w:rPr>
        <w:t>集中作业平台V2.0、票据自助受理系统等项目建设，加强技术研发与创新中心建设，进行共性基础平台和</w:t>
      </w:r>
      <w:r>
        <w:rPr>
          <w:spacing w:val="-83"/>
        </w:rPr>
        <w:t> </w:t>
      </w:r>
      <w:r>
        <w:rPr>
          <w:spacing w:val="-83"/>
        </w:rPr>
      </w:r>
      <w:r>
        <w:rPr/>
        <w:t>关键核心技术研发和创新。同时，将利用自有资金完成海量数据处理工程实验室、自助设备工程实验室、 </w:t>
      </w:r>
      <w:r>
        <w:rPr>
          <w:spacing w:val="-1"/>
        </w:rPr>
        <w:t>智能银行整体解决方案、多渠道服务整合系统、视频呼叫中心、应用监控系统、移动营销解决方案、积分</w:t>
      </w:r>
      <w:r>
        <w:rPr>
          <w:spacing w:val="-83"/>
        </w:rPr>
        <w:t> </w:t>
      </w:r>
      <w:r>
        <w:rPr>
          <w:spacing w:val="-83"/>
        </w:rPr>
      </w:r>
      <w:r>
        <w:rPr>
          <w:spacing w:val="-1"/>
        </w:rPr>
        <w:t>支付解决方案、银行导购平台等新产品，积极开展海量数据存储、图像处理、影像识别、移动互联网等技</w:t>
      </w:r>
      <w:r>
        <w:rPr>
          <w:spacing w:val="-83"/>
        </w:rPr>
        <w:t> </w:t>
      </w:r>
      <w:r>
        <w:rPr>
          <w:spacing w:val="-83"/>
        </w:rPr>
      </w:r>
      <w:r>
        <w:rPr>
          <w:spacing w:val="-1"/>
        </w:rPr>
        <w:t>术的研究和应用。通过这些项目的实施，公司将进一步提高公司的产品和服务质量，提升新产品研发和生</w:t>
      </w:r>
      <w:r>
        <w:rPr>
          <w:spacing w:val="-83"/>
        </w:rPr>
        <w:t> </w:t>
      </w:r>
      <w:r>
        <w:rPr>
          <w:spacing w:val="-83"/>
        </w:rPr>
      </w:r>
      <w:r>
        <w:rPr/>
        <w:t>产的快速反应能力，增强企业的核心竞争力。</w:t>
      </w:r>
    </w:p>
    <w:p>
      <w:pPr>
        <w:pStyle w:val="BodyText"/>
        <w:spacing w:line="408" w:lineRule="auto"/>
        <w:ind w:right="124" w:firstLine="423"/>
        <w:jc w:val="both"/>
      </w:pPr>
      <w:r>
        <w:rPr/>
        <w:t>在市场营销与服务网络建设方面，公司已初步建立以北京为中心、遍布全国的营销与服务网络体系。 </w:t>
      </w:r>
      <w:r>
        <w:rPr>
          <w:spacing w:val="-1"/>
        </w:rPr>
        <w:t>公司目前已经在上海、武汉、西安、广州、成都、杭州、沈阳、南京等地设立了营销服务机构，2013年公</w:t>
      </w:r>
      <w:r>
        <w:rPr>
          <w:spacing w:val="-86"/>
        </w:rPr>
        <w:t> </w:t>
      </w:r>
      <w:r>
        <w:rPr>
          <w:spacing w:val="-86"/>
        </w:rPr>
      </w:r>
      <w:r>
        <w:rPr/>
        <w:t>司将进一步扩大公司服务与产品线的覆盖范围，加大公司的营销力度，增强运维服务网点营销服务能力， 提高公司的行业知名度和品牌影响力。项目完成后，公司将基本完成覆盖全国的营销与服务网络体系，为</w:t>
      </w:r>
      <w:r>
        <w:rPr/>
        <w:t> 公司快速有效地拓宽公司业务的覆盖范围、提高市场份额提供有力的保证。</w:t>
      </w:r>
    </w:p>
    <w:p>
      <w:pPr>
        <w:pStyle w:val="BodyText"/>
        <w:spacing w:line="408" w:lineRule="auto"/>
        <w:ind w:right="128" w:firstLine="423"/>
        <w:jc w:val="both"/>
      </w:pPr>
      <w:r>
        <w:rPr>
          <w:spacing w:val="-1"/>
        </w:rPr>
        <w:t>公司将以现有的综合优势为基础，结合上市带来的资金、品牌和平台等优势，通过研发投入的不断增</w:t>
      </w:r>
      <w:r>
        <w:rPr/>
        <w:t> 长、强大的技术储备、营销服务支撑平台的拓展和对研发发展规划的实施，进一步增强公司的竞争能力， 继续保持公司在细分行业的技术优势和领先地位，对公司的持续成长提供有力保障。</w:t>
      </w:r>
    </w:p>
    <w:p>
      <w:pPr>
        <w:spacing w:line="408" w:lineRule="auto" w:before="46"/>
        <w:ind w:left="577" w:right="7237" w:firstLine="2"/>
        <w:jc w:val="left"/>
        <w:rPr>
          <w:rFonts w:ascii="宋体" w:hAnsi="宋体" w:cs="宋体" w:eastAsia="宋体" w:hint="default"/>
          <w:sz w:val="21"/>
          <w:szCs w:val="21"/>
        </w:rPr>
      </w:pPr>
      <w:r>
        <w:rPr>
          <w:rFonts w:ascii="宋体" w:hAnsi="宋体" w:cs="宋体" w:eastAsia="宋体" w:hint="default"/>
          <w:b/>
          <w:bCs/>
          <w:sz w:val="21"/>
          <w:szCs w:val="21"/>
        </w:rPr>
        <w:t>（四）可能面对的风险</w:t>
      </w:r>
      <w:r>
        <w:rPr>
          <w:rFonts w:ascii="宋体" w:hAnsi="宋体" w:cs="宋体" w:eastAsia="宋体" w:hint="default"/>
          <w:b/>
          <w:bCs/>
          <w:w w:val="99"/>
          <w:sz w:val="21"/>
          <w:szCs w:val="21"/>
        </w:rPr>
        <w:t> </w:t>
      </w:r>
      <w:r>
        <w:rPr>
          <w:rFonts w:ascii="宋体" w:hAnsi="宋体" w:cs="宋体" w:eastAsia="宋体" w:hint="default"/>
          <w:sz w:val="21"/>
          <w:szCs w:val="21"/>
        </w:rPr>
        <w:t>1.市场竞争风险</w:t>
      </w:r>
    </w:p>
    <w:p>
      <w:pPr>
        <w:pStyle w:val="BodyText"/>
        <w:spacing w:line="408" w:lineRule="auto"/>
        <w:ind w:right="149" w:firstLine="423"/>
        <w:jc w:val="both"/>
      </w:pPr>
      <w:r>
        <w:rPr>
          <w:spacing w:val="-1"/>
        </w:rPr>
        <w:t>公司在数据中心、银行影像和IT服务管理、银行电子商务细分市场有一定的竞争优势。但由于软件行</w:t>
      </w:r>
      <w:r>
        <w:rPr/>
        <w:t> </w:t>
      </w:r>
      <w:r>
        <w:rPr>
          <w:spacing w:val="-1"/>
        </w:rPr>
        <w:t>业市场竞争充分，公司占整个市场的绝对份额较小，存在一定的市场竞争压力。随着我国信息化建设水平</w:t>
      </w:r>
      <w:r>
        <w:rPr>
          <w:spacing w:val="-83"/>
        </w:rPr>
        <w:t> </w:t>
      </w:r>
      <w:r>
        <w:rPr>
          <w:spacing w:val="-83"/>
        </w:rPr>
      </w:r>
      <w:r>
        <w:rPr>
          <w:spacing w:val="-1"/>
        </w:rPr>
        <w:t>以及我国对外开放程度不断提高，公司未来面临的市场竞争更加激烈，可能会限制公司销售规模的增长幅</w:t>
      </w:r>
      <w:r>
        <w:rPr>
          <w:spacing w:val="-81"/>
        </w:rPr>
        <w:t> </w:t>
      </w:r>
      <w:r>
        <w:rPr>
          <w:spacing w:val="-81"/>
        </w:rPr>
      </w:r>
      <w:r>
        <w:rPr/>
        <w:t>度，影响公司的盈利水平。</w:t>
      </w:r>
    </w:p>
    <w:p>
      <w:pPr>
        <w:pStyle w:val="BodyText"/>
        <w:spacing w:line="408" w:lineRule="auto"/>
        <w:ind w:right="148" w:firstLine="423"/>
        <w:jc w:val="both"/>
      </w:pPr>
      <w:r>
        <w:rPr>
          <w:spacing w:val="-1"/>
        </w:rPr>
        <w:t>针对上述问题，公司将继续加大对市场的投入，巩固已有的优势产品和行业领域，扩大市场份额，根</w:t>
      </w:r>
      <w:r>
        <w:rPr/>
        <w:t> 据市场的动态及时调整自身的经营，以规避相关行业景气度变化对本公司造成的市场风险。</w:t>
      </w:r>
    </w:p>
    <w:p>
      <w:pPr>
        <w:pStyle w:val="BodyText"/>
        <w:spacing w:line="408" w:lineRule="auto"/>
        <w:ind w:left="577" w:right="0"/>
        <w:jc w:val="left"/>
      </w:pPr>
      <w:r>
        <w:rPr/>
        <w:t>2.行业技术风险 </w:t>
      </w:r>
      <w:r>
        <w:rPr>
          <w:spacing w:val="-1"/>
        </w:rPr>
        <w:t>软件行业用户对产品的技术要求高，技术更新换代速度快，市场需求变化快的特点以及公司规模化扩</w:t>
      </w:r>
    </w:p>
    <w:p>
      <w:pPr>
        <w:pStyle w:val="BodyText"/>
        <w:spacing w:line="408" w:lineRule="auto"/>
        <w:ind w:right="149"/>
        <w:jc w:val="both"/>
      </w:pPr>
      <w:r>
        <w:rPr>
          <w:spacing w:val="-1"/>
        </w:rPr>
        <w:t>张对公司保持持续的技术领先提出了更高的要求。公司经过多年发展，已适应了软件行业技术进步快、产</w:t>
      </w:r>
      <w:r>
        <w:rPr>
          <w:spacing w:val="-83"/>
        </w:rPr>
        <w:t> </w:t>
      </w:r>
      <w:r>
        <w:rPr>
          <w:spacing w:val="-83"/>
        </w:rPr>
      </w:r>
      <w:r>
        <w:rPr>
          <w:spacing w:val="-1"/>
        </w:rPr>
        <w:t>品更新快、市场需求变化快的特点，逐渐在细分市场中占据了竞争优势，形成了自身的核心竞争力。但如</w:t>
      </w:r>
      <w:r>
        <w:rPr>
          <w:spacing w:val="-82"/>
        </w:rPr>
        <w:t> </w:t>
      </w:r>
      <w:r>
        <w:rPr>
          <w:spacing w:val="-82"/>
        </w:rPr>
      </w:r>
      <w:r>
        <w:rPr>
          <w:spacing w:val="-1"/>
        </w:rPr>
        <w:t>果公司不能准确地跟踪市场变化，及时响应市场需求，优化产品功能，提升服务品质，公司将面临技术更</w:t>
      </w:r>
      <w:r>
        <w:rPr>
          <w:spacing w:val="-82"/>
        </w:rPr>
        <w:t> </w:t>
      </w:r>
      <w:r>
        <w:rPr>
          <w:spacing w:val="-82"/>
        </w:rPr>
      </w:r>
      <w:r>
        <w:rPr/>
        <w:t>新与产品开发的风险。</w:t>
      </w:r>
    </w:p>
    <w:p>
      <w:pPr>
        <w:pStyle w:val="BodyText"/>
        <w:spacing w:line="240" w:lineRule="auto"/>
        <w:ind w:left="577" w:right="0"/>
        <w:jc w:val="left"/>
      </w:pPr>
      <w:r>
        <w:rPr/>
        <w:t>针对上述问题公司将加强自身研发队伍的建设，以市场需求为导向，研究行业技术发展方向，及时掌</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4"/>
        <w:ind w:left="577" w:right="171" w:hanging="424"/>
        <w:jc w:val="left"/>
      </w:pPr>
      <w:r>
        <w:rPr/>
        <w:t>握国内外技术和产品的最新发展动态；强化公司核心技术，积极发展有自主知识产权的计算机软件产品。 3.人力资源风险 </w:t>
      </w:r>
      <w:r>
        <w:rPr>
          <w:spacing w:val="-1"/>
        </w:rPr>
        <w:t>人力资源是软件企业的核心资源，公司市场规模和资产规模逐年扩大，能否稳定和引进足够的管理人</w:t>
      </w:r>
    </w:p>
    <w:p>
      <w:pPr>
        <w:pStyle w:val="BodyText"/>
        <w:spacing w:line="408" w:lineRule="auto"/>
        <w:ind w:right="102"/>
        <w:jc w:val="left"/>
      </w:pPr>
      <w:r>
        <w:rPr>
          <w:spacing w:val="-1"/>
        </w:rPr>
        <w:t>才、技术人才，将直接影响到公司的长期经营和发展。软件企业的人才流动性较高，公司不可避免的面临</w:t>
      </w:r>
      <w:r>
        <w:rPr>
          <w:spacing w:val="-82"/>
        </w:rPr>
        <w:t> </w:t>
      </w:r>
      <w:r>
        <w:rPr>
          <w:spacing w:val="-82"/>
        </w:rPr>
      </w:r>
      <w:r>
        <w:rPr/>
        <w:t>核心技术人员、销售人员和管理人员流失的风险。</w:t>
      </w:r>
    </w:p>
    <w:p>
      <w:pPr>
        <w:pStyle w:val="BodyText"/>
        <w:spacing w:line="408" w:lineRule="auto"/>
        <w:ind w:right="102" w:firstLine="423"/>
        <w:jc w:val="left"/>
      </w:pPr>
      <w:r>
        <w:rPr>
          <w:spacing w:val="-1"/>
        </w:rPr>
        <w:t>针对上述问题公司将加强企业文化建设，增强企业凝聚力，完善激励机制，改善工作环境和工作条件</w:t>
      </w:r>
      <w:r>
        <w:rPr/>
        <w:t> 保证核心人员、销售人员和管理人员的稳定，防止核心人员流失，从而降低人力资源风险。</w:t>
      </w:r>
    </w:p>
    <w:p>
      <w:pPr>
        <w:pStyle w:val="BodyText"/>
        <w:spacing w:line="408" w:lineRule="auto"/>
        <w:ind w:left="577" w:right="102"/>
        <w:jc w:val="left"/>
      </w:pPr>
      <w:r>
        <w:rPr/>
        <w:t>4、运营管理风险 </w:t>
      </w:r>
      <w:r>
        <w:rPr>
          <w:spacing w:val="-1"/>
        </w:rPr>
        <w:t>公司上市后资产规模大幅增加。随着公司经营规模的不断扩大，对公司管理层的管理能力及管理水平</w:t>
      </w:r>
    </w:p>
    <w:p>
      <w:pPr>
        <w:pStyle w:val="BodyText"/>
        <w:spacing w:line="408" w:lineRule="auto"/>
        <w:ind w:left="577" w:right="102" w:hanging="424"/>
        <w:jc w:val="left"/>
      </w:pPr>
      <w:r>
        <w:rPr/>
        <w:t>都提出了更高的要求。 </w:t>
      </w:r>
      <w:r>
        <w:rPr>
          <w:spacing w:val="-1"/>
        </w:rPr>
        <w:t>未来公司将不断完善治理结构，建立相适应的管理体系，规范内部管理的同时提高企业效率；加强管</w:t>
      </w:r>
    </w:p>
    <w:p>
      <w:pPr>
        <w:pStyle w:val="BodyText"/>
        <w:spacing w:line="408" w:lineRule="auto"/>
        <w:ind w:right="101"/>
        <w:jc w:val="left"/>
      </w:pPr>
      <w:r>
        <w:rPr/>
        <w:t>理人员的培训，不断提升自身素质和管理能力；提升管理层的高度和眼界，及时了解和掌握管理的前沿信 息，结合公司的实际情况进行有效的管理，真正发挥管理工作的有效职能；从经济、行政、法律、思想上 </w:t>
      </w:r>
      <w:r>
        <w:rPr>
          <w:spacing w:val="-3"/>
        </w:rPr>
        <w:t>综合运用管理策略，提升工作方法，提高工作效率，在计划、组织、指挥、协调、控制上进行有效的掌控；</w:t>
      </w:r>
      <w:r>
        <w:rPr>
          <w:spacing w:val="-90"/>
        </w:rPr>
        <w:t> </w:t>
      </w:r>
      <w:r>
        <w:rPr>
          <w:spacing w:val="-90"/>
        </w:rPr>
      </w:r>
      <w:r>
        <w:rPr/>
        <w:t>树立创新思维，勇于改变旧的思想理念，“新思维、新作为”要和公司发展的需求匹配。加大高层次人才</w:t>
      </w:r>
      <w:r>
        <w:rPr/>
        <w:t> 的引进工作，形成完善的约束机制，以适应公司快速发展对管理人员的需要。</w:t>
      </w:r>
    </w:p>
    <w:p>
      <w:pPr>
        <w:spacing w:line="240" w:lineRule="auto" w:before="11"/>
        <w:rPr>
          <w:rFonts w:ascii="宋体" w:hAnsi="宋体" w:cs="宋体" w:eastAsia="宋体" w:hint="default"/>
          <w:sz w:val="18"/>
          <w:szCs w:val="18"/>
        </w:rPr>
      </w:pPr>
    </w:p>
    <w:p>
      <w:pPr>
        <w:pStyle w:val="Heading2"/>
        <w:spacing w:line="240" w:lineRule="auto" w:before="0"/>
        <w:ind w:right="102"/>
        <w:jc w:val="left"/>
        <w:rPr>
          <w:b w:val="0"/>
          <w:bCs w:val="0"/>
        </w:rPr>
      </w:pPr>
      <w:r>
        <w:rPr/>
        <w:t>八、公司利润分配及分红派息情况</w:t>
      </w:r>
      <w:r>
        <w:rPr>
          <w:b w:val="0"/>
          <w:bCs w:val="0"/>
        </w:rPr>
      </w:r>
    </w:p>
    <w:p>
      <w:pPr>
        <w:spacing w:line="240" w:lineRule="auto" w:before="7"/>
        <w:rPr>
          <w:rFonts w:ascii="宋体" w:hAnsi="宋体" w:cs="宋体" w:eastAsia="宋体" w:hint="default"/>
          <w:b/>
          <w:bCs/>
          <w:sz w:val="26"/>
          <w:szCs w:val="26"/>
        </w:rPr>
      </w:pPr>
    </w:p>
    <w:p>
      <w:pPr>
        <w:spacing w:before="0"/>
        <w:ind w:left="154" w:right="102"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报告期内利润分配政策特别是现金分红政策的制定、执行或调整情况</w:t>
      </w:r>
    </w:p>
    <w:p>
      <w:pPr>
        <w:spacing w:line="240" w:lineRule="auto" w:before="10"/>
        <w:rPr>
          <w:rFonts w:ascii="宋体" w:hAnsi="宋体" w:cs="宋体" w:eastAsia="宋体" w:hint="default"/>
          <w:sz w:val="12"/>
          <w:szCs w:val="12"/>
        </w:rPr>
      </w:pPr>
    </w:p>
    <w:p>
      <w:pPr>
        <w:pStyle w:val="BodyText"/>
        <w:spacing w:line="408" w:lineRule="auto" w:before="0"/>
        <w:ind w:right="102" w:firstLine="420"/>
        <w:jc w:val="left"/>
      </w:pPr>
      <w:r>
        <w:rPr>
          <w:spacing w:val="-1"/>
        </w:rPr>
        <w:t>根据中国证监会《关于进一步落实上市公司现金分红有关事项的通知》（证监发[2012]37号）、北京</w:t>
      </w:r>
      <w:r>
        <w:rPr/>
        <w:t> 证监局《关于进一步完善上市公司现金分红有关事项的通知》（京证公司发[2012]101号）等规范性文件 </w:t>
      </w:r>
      <w:r>
        <w:rPr>
          <w:spacing w:val="-1"/>
        </w:rPr>
        <w:t>的要求，结合自身实际情况，公司对《北京中科金财科技股份有限公司章程》中有关利润分配的内容进行</w:t>
      </w:r>
      <w:r>
        <w:rPr>
          <w:spacing w:val="-82"/>
        </w:rPr>
        <w:t> </w:t>
      </w:r>
      <w:r>
        <w:rPr>
          <w:spacing w:val="-82"/>
        </w:rPr>
      </w:r>
      <w:r>
        <w:rPr/>
        <w:t>了修订，并于公司第二届董事会第十次会议、2012年第一次临时股东大会审议通过。</w:t>
      </w:r>
    </w:p>
    <w:p>
      <w:pPr>
        <w:pStyle w:val="BodyText"/>
        <w:tabs>
          <w:tab w:pos="4354" w:val="left" w:leader="none"/>
        </w:tabs>
        <w:spacing w:line="240" w:lineRule="auto"/>
        <w:ind w:left="574" w:right="102"/>
        <w:jc w:val="left"/>
      </w:pPr>
      <w:r>
        <w:rPr/>
        <w:t>修订后的《公司章程》第一百七十七条</w:t>
        <w:tab/>
        <w:t>公司的股利分配政策如下：</w:t>
      </w:r>
    </w:p>
    <w:p>
      <w:pPr>
        <w:spacing w:line="240" w:lineRule="auto" w:before="10"/>
        <w:rPr>
          <w:rFonts w:ascii="宋体" w:hAnsi="宋体" w:cs="宋体" w:eastAsia="宋体" w:hint="default"/>
          <w:sz w:val="14"/>
          <w:szCs w:val="14"/>
        </w:rPr>
      </w:pPr>
    </w:p>
    <w:p>
      <w:pPr>
        <w:pStyle w:val="BodyText"/>
        <w:spacing w:line="408" w:lineRule="auto" w:before="0"/>
        <w:ind w:left="574" w:right="275"/>
        <w:jc w:val="left"/>
      </w:pPr>
      <w:r>
        <w:rPr/>
        <w:t>（一）公司利润分配政策的基本原则 1、公司充分考虑对投资者的回报，每年将当年实现的可分配利润按本章程的规定比例和方式向股东</w:t>
      </w:r>
    </w:p>
    <w:p>
      <w:pPr>
        <w:pStyle w:val="BodyText"/>
        <w:spacing w:line="240" w:lineRule="auto"/>
        <w:ind w:right="102"/>
        <w:jc w:val="left"/>
      </w:pPr>
      <w:r>
        <w:rPr/>
        <w:t>分配股利；</w:t>
      </w:r>
    </w:p>
    <w:p>
      <w:pPr>
        <w:spacing w:line="240" w:lineRule="auto" w:before="10"/>
        <w:rPr>
          <w:rFonts w:ascii="宋体" w:hAnsi="宋体" w:cs="宋体" w:eastAsia="宋体" w:hint="default"/>
          <w:sz w:val="14"/>
          <w:szCs w:val="14"/>
        </w:rPr>
      </w:pPr>
    </w:p>
    <w:p>
      <w:pPr>
        <w:pStyle w:val="BodyText"/>
        <w:spacing w:line="408" w:lineRule="auto" w:before="0"/>
        <w:ind w:right="275" w:firstLine="420"/>
        <w:jc w:val="left"/>
      </w:pPr>
      <w:r>
        <w:rPr/>
        <w:t>2、公司的利润分配政策保持连续性和稳定性，同时兼顾公司的长远利益、全体股东的整体利益及公 司的可持续发展；</w:t>
      </w:r>
    </w:p>
    <w:p>
      <w:pPr>
        <w:pStyle w:val="BodyText"/>
        <w:spacing w:line="240" w:lineRule="auto"/>
        <w:ind w:left="574" w:right="102"/>
        <w:jc w:val="left"/>
      </w:pPr>
      <w:r>
        <w:rPr/>
        <w:t>3、公司优先采用现金分红的利润分配方式。</w:t>
      </w:r>
    </w:p>
    <w:p>
      <w:pPr>
        <w:spacing w:after="0" w:line="240" w:lineRule="auto"/>
        <w:jc w:val="left"/>
        <w:sectPr>
          <w:footerReference w:type="default" r:id="rId12"/>
          <w:pgSz w:w="11910" w:h="16840"/>
          <w:pgMar w:footer="982" w:header="747" w:top="1060" w:bottom="1180" w:left="980" w:right="920"/>
          <w:pgNumType w:start="24"/>
        </w:sectPr>
      </w:pPr>
    </w:p>
    <w:p>
      <w:pPr>
        <w:spacing w:line="240" w:lineRule="auto" w:before="0"/>
        <w:rPr>
          <w:rFonts w:ascii="宋体" w:hAnsi="宋体" w:cs="宋体" w:eastAsia="宋体" w:hint="default"/>
          <w:sz w:val="20"/>
          <w:szCs w:val="20"/>
        </w:rPr>
      </w:pPr>
    </w:p>
    <w:p>
      <w:pPr>
        <w:pStyle w:val="BodyText"/>
        <w:spacing w:line="408" w:lineRule="auto" w:before="174"/>
        <w:ind w:left="574" w:right="6470"/>
        <w:jc w:val="left"/>
      </w:pPr>
      <w:r>
        <w:rPr/>
        <w:t>（二）公司具体的利润分配政策 1、利润分配的形式：</w:t>
      </w:r>
    </w:p>
    <w:p>
      <w:pPr>
        <w:pStyle w:val="BodyText"/>
        <w:spacing w:line="408" w:lineRule="auto"/>
        <w:ind w:right="102" w:firstLine="420"/>
        <w:jc w:val="left"/>
      </w:pPr>
      <w:r>
        <w:rPr>
          <w:spacing w:val="-1"/>
        </w:rPr>
        <w:t>公司采用现金、股票或者现金与股票相结合的方式分配股利。在有条件的情况下，公司可以进行中期</w:t>
      </w:r>
      <w:r>
        <w:rPr/>
        <w:t> 利润分配；</w:t>
      </w:r>
    </w:p>
    <w:p>
      <w:pPr>
        <w:pStyle w:val="BodyText"/>
        <w:spacing w:line="408" w:lineRule="auto"/>
        <w:ind w:left="574" w:right="102"/>
        <w:jc w:val="left"/>
      </w:pPr>
      <w:r>
        <w:rPr/>
        <w:t>2、公司现金分红的具体条件和比例： </w:t>
      </w:r>
      <w:r>
        <w:rPr>
          <w:spacing w:val="-1"/>
        </w:rPr>
        <w:t>除特殊情况外，公司在当年盈利且累计未分配利润为正的情况下，采取现金方式分配股利，每年以现</w:t>
      </w:r>
    </w:p>
    <w:p>
      <w:pPr>
        <w:pStyle w:val="BodyText"/>
        <w:spacing w:line="408" w:lineRule="auto"/>
        <w:ind w:left="574" w:right="4685" w:hanging="420"/>
        <w:jc w:val="left"/>
      </w:pPr>
      <w:r>
        <w:rPr/>
        <w:t>金方式分配的利润不少于当年实现的可分配利润的15%。 特殊情况是指：</w:t>
      </w:r>
    </w:p>
    <w:p>
      <w:pPr>
        <w:pStyle w:val="BodyText"/>
        <w:spacing w:line="408" w:lineRule="auto"/>
        <w:ind w:right="275" w:firstLine="420"/>
        <w:jc w:val="left"/>
      </w:pPr>
      <w:r>
        <w:rPr/>
        <w:t>（1）公司有重大投资计划或重大现金支出等事项发生（募集资金项目除外）。即，公司未来十二个 月内拟对外投资、收购资产或者购买设备累计支出达到或超过公司最近一期经审计净资产的30%；</w:t>
      </w:r>
    </w:p>
    <w:p>
      <w:pPr>
        <w:pStyle w:val="BodyText"/>
        <w:spacing w:line="240" w:lineRule="auto"/>
        <w:ind w:left="574" w:right="102"/>
        <w:jc w:val="left"/>
      </w:pPr>
      <w:r>
        <w:rPr/>
        <w:t>（2）公司年末资产负债率超过70%；</w:t>
      </w:r>
    </w:p>
    <w:p>
      <w:pPr>
        <w:spacing w:line="240" w:lineRule="auto" w:before="10"/>
        <w:rPr>
          <w:rFonts w:ascii="宋体" w:hAnsi="宋体" w:cs="宋体" w:eastAsia="宋体" w:hint="default"/>
          <w:sz w:val="14"/>
          <w:szCs w:val="14"/>
        </w:rPr>
      </w:pPr>
    </w:p>
    <w:p>
      <w:pPr>
        <w:pStyle w:val="BodyText"/>
        <w:spacing w:line="408" w:lineRule="auto" w:before="0"/>
        <w:ind w:left="574" w:right="4475"/>
        <w:jc w:val="left"/>
      </w:pPr>
      <w:r>
        <w:rPr/>
        <w:t>（3）公司当年经营活动产生的现金流量净额为负数。 3、公司发放股票股利的具体条件：</w:t>
      </w:r>
    </w:p>
    <w:p>
      <w:pPr>
        <w:pStyle w:val="BodyText"/>
        <w:spacing w:line="408" w:lineRule="auto"/>
        <w:ind w:right="102" w:firstLine="420"/>
        <w:jc w:val="left"/>
      </w:pPr>
      <w:r>
        <w:rPr/>
        <w:t>公司在经营情况良好，同时当年实现的每股收益超过0.5元时，并且董事会认为公司股票价格与公司 </w:t>
      </w:r>
      <w:r>
        <w:rPr>
          <w:spacing w:val="-1"/>
        </w:rPr>
        <w:t>股本规模不匹配、发放股票股利有利于公司全体股东整体利益时，可以在满足上述现金分红的条件下，提</w:t>
      </w:r>
      <w:r>
        <w:rPr>
          <w:spacing w:val="-83"/>
        </w:rPr>
        <w:t> </w:t>
      </w:r>
      <w:r>
        <w:rPr>
          <w:spacing w:val="-83"/>
        </w:rPr>
      </w:r>
      <w:r>
        <w:rPr/>
        <w:t>出股票股利分配预案。</w:t>
      </w:r>
    </w:p>
    <w:p>
      <w:pPr>
        <w:pStyle w:val="BodyText"/>
        <w:spacing w:line="408" w:lineRule="auto"/>
        <w:ind w:left="574" w:right="275"/>
        <w:jc w:val="left"/>
      </w:pPr>
      <w:r>
        <w:rPr/>
        <w:t>（三）公司利润分配方案的审议程序： 1、公司的利润分配方案由董事会战略委员会拟定后提交公司董事会、监事会审议，独立董事应对利</w:t>
      </w:r>
    </w:p>
    <w:p>
      <w:pPr>
        <w:pStyle w:val="BodyText"/>
        <w:spacing w:line="408" w:lineRule="auto"/>
        <w:ind w:right="102"/>
        <w:jc w:val="left"/>
      </w:pPr>
      <w:r>
        <w:rPr>
          <w:spacing w:val="-1"/>
        </w:rPr>
        <w:t>润分配方案发表明确意见。董事会应就利润分配方案的合理性进行充分讨论，形成专项决议后提交股东大</w:t>
      </w:r>
      <w:r>
        <w:rPr>
          <w:spacing w:val="-81"/>
        </w:rPr>
        <w:t> </w:t>
      </w:r>
      <w:r>
        <w:rPr>
          <w:spacing w:val="-81"/>
        </w:rPr>
      </w:r>
      <w:r>
        <w:rPr/>
        <w:t>会审议，并在发布召开股东大会的通知时，公告独立董事和监事会意见。</w:t>
      </w:r>
    </w:p>
    <w:p>
      <w:pPr>
        <w:pStyle w:val="BodyText"/>
        <w:spacing w:line="408" w:lineRule="auto"/>
        <w:ind w:right="102" w:firstLine="420"/>
        <w:jc w:val="left"/>
      </w:pPr>
      <w:r>
        <w:rPr>
          <w:spacing w:val="-1"/>
        </w:rPr>
        <w:t>2、公司因前述（二）的规定的特殊情况而不进行现金分红时，董事会就不进行现金分红的具体原因、</w:t>
      </w:r>
      <w:r>
        <w:rPr/>
        <w:t> 公司留存收益的确切用途及预计投资收益等事项进行专项说明，经独立董事发表意见后提交股东大会审议 批准，同时，公司应当在定期报告中披露原因。股东大会审议不进行现金分红的议案时，公司应为股东提 供网络投票方式。</w:t>
      </w:r>
    </w:p>
    <w:p>
      <w:pPr>
        <w:pStyle w:val="BodyText"/>
        <w:spacing w:line="408" w:lineRule="auto"/>
        <w:ind w:right="102" w:firstLine="420"/>
        <w:jc w:val="left"/>
      </w:pPr>
      <w:r>
        <w:rPr/>
        <w:t>3、股东大会对现金分红具体方案进行审议时，应当通过多种渠道主动与股东特别是中小股东进行沟 </w:t>
      </w:r>
      <w:r>
        <w:rPr>
          <w:spacing w:val="-1"/>
        </w:rPr>
        <w:t>通和交流（包括但不限于电话沟通、筹划投资者接待日或邀请中小股东参会等），充分听取中小股东的意</w:t>
      </w:r>
      <w:r>
        <w:rPr>
          <w:spacing w:val="-82"/>
        </w:rPr>
        <w:t> </w:t>
      </w:r>
      <w:r>
        <w:rPr>
          <w:spacing w:val="-82"/>
        </w:rPr>
      </w:r>
      <w:r>
        <w:rPr/>
        <w:t>见和诉求，并及时答复中小股东关心的问题。</w:t>
      </w:r>
    </w:p>
    <w:p>
      <w:pPr>
        <w:pStyle w:val="BodyText"/>
        <w:spacing w:line="408" w:lineRule="auto"/>
        <w:ind w:left="574" w:right="275"/>
        <w:jc w:val="left"/>
      </w:pPr>
      <w:r>
        <w:rPr/>
        <w:t>（四）公司利润分配方案的实施： 公司股东大会对利润分配方案做出决议后，公司董事会须在股东大会召开后2个月内完成股利（或股</w:t>
      </w:r>
    </w:p>
    <w:p>
      <w:pPr>
        <w:pStyle w:val="BodyText"/>
        <w:spacing w:line="240" w:lineRule="auto"/>
        <w:ind w:right="102"/>
        <w:jc w:val="left"/>
      </w:pPr>
      <w:r>
        <w:rPr/>
        <w:t>份）的派发事项。</w:t>
      </w:r>
    </w:p>
    <w:p>
      <w:pPr>
        <w:spacing w:after="0" w:line="240"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4"/>
        <w:ind w:left="574" w:right="102"/>
        <w:jc w:val="left"/>
      </w:pPr>
      <w:r>
        <w:rPr/>
        <w:t>（五）公司利润分配政策的变更： </w:t>
      </w:r>
      <w:r>
        <w:rPr>
          <w:spacing w:val="-1"/>
        </w:rPr>
        <w:t>1、如遇到战争、自然灾害等不可抗力、或者公司外部经营环境变化并对公司生产经营造成重大影响，</w:t>
      </w:r>
    </w:p>
    <w:p>
      <w:pPr>
        <w:pStyle w:val="BodyText"/>
        <w:spacing w:line="408" w:lineRule="auto"/>
        <w:ind w:right="211"/>
        <w:jc w:val="both"/>
      </w:pPr>
      <w:r>
        <w:rPr>
          <w:spacing w:val="-1"/>
        </w:rPr>
        <w:t>或公司自身经营状况发生较大变化时，公司可对利润分配政策进行调整，调整后的利润分配政策不得违反</w:t>
      </w:r>
      <w:r>
        <w:rPr>
          <w:spacing w:val="-81"/>
        </w:rPr>
        <w:t> </w:t>
      </w:r>
      <w:r>
        <w:rPr>
          <w:spacing w:val="-81"/>
        </w:rPr>
      </w:r>
      <w:r>
        <w:rPr/>
        <w:t>中国证监会和证券交易所的有关规定。</w:t>
      </w:r>
    </w:p>
    <w:p>
      <w:pPr>
        <w:pStyle w:val="BodyText"/>
        <w:spacing w:line="408" w:lineRule="auto"/>
        <w:ind w:right="102" w:firstLine="420"/>
        <w:jc w:val="left"/>
      </w:pPr>
      <w:r>
        <w:rPr/>
        <w:t>2、公司调整利润分配政策应由董事会做出专题论述，详细论证调整理由，形成书面论证报告并经独 </w:t>
      </w:r>
      <w:r>
        <w:rPr>
          <w:spacing w:val="-1"/>
        </w:rPr>
        <w:t>立董事审议后提交股东大会特别决议通过。同时，公司应当提供网络投票方式为公众投资者参加股东大会</w:t>
      </w:r>
      <w:r>
        <w:rPr>
          <w:spacing w:val="-81"/>
        </w:rPr>
        <w:t> </w:t>
      </w:r>
      <w:r>
        <w:rPr>
          <w:spacing w:val="-81"/>
        </w:rPr>
      </w:r>
      <w:r>
        <w:rPr/>
        <w:t>提供便利。</w:t>
      </w:r>
    </w:p>
    <w:p>
      <w:pPr>
        <w:pStyle w:val="BodyText"/>
        <w:spacing w:line="408" w:lineRule="auto"/>
        <w:ind w:right="275" w:firstLine="420"/>
        <w:jc w:val="left"/>
      </w:pPr>
      <w:r>
        <w:rPr/>
        <w:t>3、在充分考虑对投资者的合理投资回报并兼顾公司的可持续发展的基础上，公司董事会可制订股利 分配规划，并报股东大会批准。</w:t>
      </w:r>
    </w:p>
    <w:p>
      <w:pPr>
        <w:pStyle w:val="BodyText"/>
        <w:spacing w:line="408" w:lineRule="auto"/>
        <w:ind w:right="102" w:firstLine="420"/>
        <w:jc w:val="left"/>
      </w:pPr>
      <w:r>
        <w:rPr>
          <w:spacing w:val="-1"/>
        </w:rPr>
        <w:t>（六）存在股东违规占用公司资金情况的，公司应当扣减该股东所分配的现金红利，以偿还其占用的</w:t>
      </w:r>
      <w:r>
        <w:rPr/>
        <w:t> 资金。</w:t>
      </w:r>
    </w:p>
    <w:p>
      <w:pPr>
        <w:spacing w:line="408" w:lineRule="auto" w:before="46"/>
        <w:ind w:left="574" w:right="170" w:firstLine="0"/>
        <w:jc w:val="left"/>
        <w:rPr>
          <w:rFonts w:ascii="宋体" w:hAnsi="宋体" w:cs="宋体" w:eastAsia="宋体" w:hint="default"/>
          <w:sz w:val="21"/>
          <w:szCs w:val="21"/>
        </w:rPr>
      </w:pPr>
      <w:r>
        <w:rPr>
          <w:rFonts w:ascii="宋体" w:hAnsi="宋体" w:cs="宋体" w:eastAsia="宋体" w:hint="default"/>
          <w:b/>
          <w:bCs/>
          <w:sz w:val="21"/>
          <w:szCs w:val="21"/>
        </w:rPr>
        <w:t>公司现金分红政策的执行情况：</w:t>
      </w:r>
      <w:r>
        <w:rPr>
          <w:rFonts w:ascii="宋体" w:hAnsi="宋体" w:cs="宋体" w:eastAsia="宋体" w:hint="default"/>
          <w:b/>
          <w:bCs/>
          <w:spacing w:val="1"/>
          <w:w w:val="99"/>
          <w:sz w:val="21"/>
          <w:szCs w:val="21"/>
        </w:rPr>
        <w:t> </w:t>
      </w:r>
      <w:r>
        <w:rPr>
          <w:rFonts w:ascii="宋体" w:hAnsi="宋体" w:cs="宋体" w:eastAsia="宋体" w:hint="default"/>
          <w:sz w:val="21"/>
          <w:szCs w:val="21"/>
        </w:rPr>
        <w:t>公司严格按照《公司章程》的规定制定现金分红方案。公司2011年度未进行现金分红，主要原因是：</w:t>
      </w:r>
    </w:p>
    <w:p>
      <w:pPr>
        <w:pStyle w:val="BodyText"/>
        <w:spacing w:line="408" w:lineRule="auto"/>
        <w:ind w:right="207"/>
        <w:jc w:val="both"/>
      </w:pPr>
      <w:r>
        <w:rPr>
          <w:spacing w:val="-1"/>
        </w:rPr>
        <w:t>2012年年初，根据中国证监会的要求，公司在上市招股意向书中补充更新了2011年度财务数据及利润分配</w:t>
      </w:r>
      <w:r>
        <w:rPr>
          <w:spacing w:val="-79"/>
        </w:rPr>
        <w:t> </w:t>
      </w:r>
      <w:r>
        <w:rPr>
          <w:spacing w:val="-79"/>
        </w:rPr>
      </w:r>
      <w:r>
        <w:rPr/>
        <w:t>方案。为保护上市后新增投资者利益，经公司2012年1月21日召开的二届七次董事会审议通过了2011年度</w:t>
      </w:r>
      <w:r>
        <w:rPr>
          <w:spacing w:val="-37"/>
        </w:rPr>
        <w:t> </w:t>
      </w:r>
      <w:r>
        <w:rPr>
          <w:spacing w:val="-37"/>
        </w:rPr>
      </w:r>
      <w:r>
        <w:rPr/>
        <w:t>利润不分配，由新老股东共享滚存利润的议案。公司上市后，该议案已于2012年4月10日在公司2011年度</w:t>
      </w:r>
      <w:r>
        <w:rPr>
          <w:spacing w:val="-36"/>
        </w:rPr>
        <w:t> </w:t>
      </w:r>
      <w:r>
        <w:rPr>
          <w:spacing w:val="-36"/>
        </w:rPr>
      </w:r>
      <w:r>
        <w:rPr/>
        <w:t>股东大会上审议通过。</w:t>
      </w:r>
    </w:p>
    <w:p>
      <w:pPr>
        <w:pStyle w:val="BodyText"/>
        <w:spacing w:line="408" w:lineRule="auto"/>
        <w:ind w:right="207" w:firstLine="420"/>
        <w:jc w:val="both"/>
      </w:pPr>
      <w:r>
        <w:rPr/>
        <w:t>公司于2013年4月16日第二届董事会第十六次会议审议通过了《2012年利润分配预案》，公司2012年 </w:t>
      </w:r>
      <w:r>
        <w:rPr>
          <w:spacing w:val="-1"/>
        </w:rPr>
        <w:t>年度利润分配预案如下：以公司截止2012年12月31日总股本69,797,534股为基数，向全体股东每10股派发</w:t>
      </w:r>
      <w:r>
        <w:rPr>
          <w:spacing w:val="-76"/>
        </w:rPr>
        <w:t> </w:t>
      </w:r>
      <w:r>
        <w:rPr>
          <w:spacing w:val="-76"/>
        </w:rPr>
      </w:r>
      <w:r>
        <w:rPr>
          <w:spacing w:val="-1"/>
        </w:rPr>
        <w:t>现金股利人民币1.5元（含税），共计派发现金股利10,469,630.10元；同时进行资本公积金转增股本，以</w:t>
      </w:r>
      <w:r>
        <w:rPr>
          <w:spacing w:val="-76"/>
        </w:rPr>
        <w:t> </w:t>
      </w:r>
      <w:r>
        <w:rPr>
          <w:spacing w:val="-76"/>
        </w:rPr>
      </w:r>
      <w:r>
        <w:rPr/>
        <w:t>公司总股本69,797,534股为基础，向全体股东每10股转增5股。资本公积金转增股本后公司总股本增加至</w:t>
      </w:r>
      <w:r>
        <w:rPr>
          <w:spacing w:val="-42"/>
        </w:rPr>
        <w:t> </w:t>
      </w:r>
      <w:r>
        <w:rPr>
          <w:spacing w:val="-42"/>
        </w:rPr>
      </w:r>
      <w:r>
        <w:rPr/>
        <w:t>104,696,301股。该预案尚需提交公司股东大会审议。</w:t>
      </w:r>
    </w:p>
    <w:p>
      <w:pPr>
        <w:spacing w:before="34"/>
        <w:ind w:left="154" w:right="0" w:firstLine="0"/>
        <w:jc w:val="both"/>
        <w:rPr>
          <w:rFonts w:ascii="宋体" w:hAnsi="宋体" w:cs="宋体" w:eastAsia="宋体" w:hint="default"/>
          <w:sz w:val="18"/>
          <w:szCs w:val="18"/>
        </w:rPr>
      </w:pPr>
      <w:r>
        <w:rPr>
          <w:rFonts w:ascii="宋体" w:hAnsi="宋体" w:cs="宋体" w:eastAsia="宋体" w:hint="default"/>
          <w:sz w:val="18"/>
          <w:szCs w:val="18"/>
        </w:rPr>
        <w:t>本年度利润分配及资本公积金转增股本预案</w:t>
      </w:r>
    </w:p>
    <w:p>
      <w:pPr>
        <w:spacing w:before="11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694"/>
        <w:gridCol w:w="5862"/>
      </w:tblGrid>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69,797,534.00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10,469,630.10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196,586,203.53</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56"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20"/>
        </w:sectPr>
      </w:pPr>
    </w:p>
    <w:p>
      <w:pPr>
        <w:spacing w:line="240" w:lineRule="auto" w:before="11"/>
        <w:rPr>
          <w:rFonts w:ascii="宋体" w:hAnsi="宋体" w:cs="宋体" w:eastAsia="宋体" w:hint="default"/>
          <w:sz w:val="28"/>
          <w:szCs w:val="28"/>
        </w:rPr>
      </w:pPr>
    </w:p>
    <w:p>
      <w:pPr>
        <w:spacing w:line="2626" w:lineRule="exact"/>
        <w:ind w:left="154" w:right="0" w:firstLine="0"/>
        <w:rPr>
          <w:rFonts w:ascii="宋体" w:hAnsi="宋体" w:cs="宋体" w:eastAsia="宋体" w:hint="default"/>
          <w:sz w:val="20"/>
          <w:szCs w:val="20"/>
        </w:rPr>
      </w:pPr>
      <w:r>
        <w:rPr>
          <w:rFonts w:ascii="宋体" w:hAnsi="宋体" w:cs="宋体" w:eastAsia="宋体" w:hint="default"/>
          <w:position w:val="-52"/>
          <w:sz w:val="20"/>
          <w:szCs w:val="20"/>
        </w:rPr>
        <w:pict>
          <v:shape style="width:478.4pt;height:131.35pt;mso-position-horizontal-relative:char;mso-position-vertical-relative:line" type="#_x0000_t202" filled="false" stroked="true" strokeweight=".47998pt" strokecolor="#000000">
            <w10:anchorlock/>
            <v:textbox inset="0,0,0,0">
              <w:txbxContent>
                <w:p>
                  <w:pPr>
                    <w:spacing w:before="51"/>
                    <w:ind w:left="382" w:right="0" w:firstLine="0"/>
                    <w:jc w:val="left"/>
                    <w:rPr>
                      <w:rFonts w:ascii="宋体" w:hAnsi="宋体" w:cs="宋体" w:eastAsia="宋体" w:hint="default"/>
                      <w:sz w:val="18"/>
                      <w:szCs w:val="18"/>
                    </w:rPr>
                  </w:pPr>
                  <w:r>
                    <w:rPr>
                      <w:rFonts w:ascii="宋体" w:hAnsi="宋体" w:cs="宋体" w:eastAsia="宋体" w:hint="default"/>
                      <w:sz w:val="18"/>
                      <w:szCs w:val="18"/>
                    </w:rPr>
                    <w:t>根据立信会计师事务</w:t>
                  </w:r>
                  <w:r>
                    <w:rPr>
                      <w:rFonts w:ascii="宋体" w:hAnsi="宋体" w:cs="宋体" w:eastAsia="宋体" w:hint="default"/>
                      <w:spacing w:val="-8"/>
                      <w:sz w:val="18"/>
                      <w:szCs w:val="18"/>
                    </w:rPr>
                    <w:t>所</w:t>
                  </w:r>
                  <w:r>
                    <w:rPr>
                      <w:rFonts w:ascii="宋体" w:hAnsi="宋体" w:cs="宋体" w:eastAsia="宋体" w:hint="default"/>
                      <w:sz w:val="18"/>
                      <w:szCs w:val="18"/>
                    </w:rPr>
                    <w:t>（特殊普通合伙</w:t>
                  </w:r>
                  <w:r>
                    <w:rPr>
                      <w:rFonts w:ascii="宋体" w:hAnsi="宋体" w:cs="宋体" w:eastAsia="宋体" w:hint="default"/>
                      <w:spacing w:val="-8"/>
                      <w:sz w:val="18"/>
                      <w:szCs w:val="18"/>
                    </w:rPr>
                    <w:t>）</w:t>
                  </w:r>
                  <w:r>
                    <w:rPr>
                      <w:rFonts w:ascii="宋体" w:hAnsi="宋体" w:cs="宋体" w:eastAsia="宋体" w:hint="default"/>
                      <w:sz w:val="18"/>
                      <w:szCs w:val="18"/>
                    </w:rPr>
                    <w:t>出具</w:t>
                  </w:r>
                  <w:r>
                    <w:rPr>
                      <w:rFonts w:ascii="宋体" w:hAnsi="宋体" w:cs="宋体" w:eastAsia="宋体" w:hint="default"/>
                      <w:spacing w:val="-8"/>
                      <w:sz w:val="18"/>
                      <w:szCs w:val="18"/>
                    </w:rPr>
                    <w:t>的</w:t>
                  </w:r>
                  <w:r>
                    <w:rPr>
                      <w:rFonts w:ascii="宋体" w:hAnsi="宋体" w:cs="宋体" w:eastAsia="宋体" w:hint="default"/>
                      <w:sz w:val="18"/>
                      <w:szCs w:val="18"/>
                    </w:rPr>
                    <w:t>《北京中科金财科技股份有限公司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年度审计报告</w:t>
                  </w:r>
                  <w:r>
                    <w:rPr>
                      <w:rFonts w:ascii="宋体" w:hAnsi="宋体" w:cs="宋体" w:eastAsia="宋体" w:hint="default"/>
                      <w:spacing w:val="-98"/>
                      <w:sz w:val="18"/>
                      <w:szCs w:val="18"/>
                    </w:rPr>
                    <w:t>》</w:t>
                  </w:r>
                  <w:r>
                    <w:rPr>
                      <w:rFonts w:ascii="宋体" w:hAnsi="宋体" w:cs="宋体" w:eastAsia="宋体" w:hint="default"/>
                      <w:sz w:val="18"/>
                      <w:szCs w:val="18"/>
                    </w:rPr>
                    <w:t>（信会师</w:t>
                  </w:r>
                  <w:r>
                    <w:rPr>
                      <w:rFonts w:ascii="宋体" w:hAnsi="宋体" w:cs="宋体" w:eastAsia="宋体" w:hint="default"/>
                      <w:spacing w:val="1"/>
                      <w:sz w:val="18"/>
                      <w:szCs w:val="18"/>
                    </w:rPr>
                    <w:t>报</w:t>
                  </w:r>
                  <w:r>
                    <w:rPr>
                      <w:rFonts w:ascii="宋体" w:hAnsi="宋体" w:cs="宋体" w:eastAsia="宋体" w:hint="default"/>
                      <w:sz w:val="18"/>
                      <w:szCs w:val="18"/>
                    </w:rPr>
                    <w:t>字</w:t>
                  </w:r>
                </w:p>
                <w:p>
                  <w:pPr>
                    <w:spacing w:before="63"/>
                    <w:ind w:left="2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2102</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60,300,33</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元，其中母公司实现净利润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59,600,051.</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元，按照《公司</w:t>
                  </w:r>
                </w:p>
                <w:p>
                  <w:pPr>
                    <w:spacing w:before="63"/>
                    <w:ind w:left="22" w:right="0" w:firstLine="0"/>
                    <w:jc w:val="left"/>
                    <w:rPr>
                      <w:rFonts w:ascii="宋体" w:hAnsi="宋体" w:cs="宋体" w:eastAsia="宋体" w:hint="default"/>
                      <w:sz w:val="18"/>
                      <w:szCs w:val="18"/>
                    </w:rPr>
                  </w:pPr>
                  <w:r>
                    <w:rPr>
                      <w:rFonts w:ascii="宋体" w:hAnsi="宋体" w:cs="宋体" w:eastAsia="宋体" w:hint="default"/>
                      <w:sz w:val="18"/>
                      <w:szCs w:val="18"/>
                    </w:rPr>
                    <w:t>法》和《公司章程》的规定，计提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的法定公积金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5,960,005.13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元，加上母公司年初未分配利润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142,946,157.36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当年</w:t>
                  </w:r>
                </w:p>
                <w:p>
                  <w:pPr>
                    <w:spacing w:before="63"/>
                    <w:ind w:left="22" w:right="0" w:firstLine="0"/>
                    <w:jc w:val="left"/>
                    <w:rPr>
                      <w:rFonts w:ascii="宋体" w:hAnsi="宋体" w:cs="宋体" w:eastAsia="宋体" w:hint="default"/>
                      <w:sz w:val="18"/>
                      <w:szCs w:val="18"/>
                    </w:rPr>
                  </w:pPr>
                  <w:r>
                    <w:rPr>
                      <w:rFonts w:ascii="宋体" w:hAnsi="宋体" w:cs="宋体" w:eastAsia="宋体" w:hint="default"/>
                      <w:sz w:val="18"/>
                      <w:szCs w:val="18"/>
                    </w:rPr>
                    <w:t>可供股东分配的利润为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196,586,203.53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pacing w:val="-2"/>
                      <w:sz w:val="18"/>
                      <w:szCs w:val="18"/>
                    </w:rPr>
                    <w:t>其</w:t>
                  </w:r>
                  <w:r>
                    <w:rPr>
                      <w:rFonts w:ascii="宋体" w:hAnsi="宋体" w:cs="宋体" w:eastAsia="宋体" w:hint="default"/>
                      <w:sz w:val="18"/>
                      <w:szCs w:val="18"/>
                    </w:rPr>
                    <w:t>中合并报表后当年实现的归属于母公司股东的净利润为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63,372,94</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74"/>
                      <w:sz w:val="18"/>
                      <w:szCs w:val="18"/>
                    </w:rPr>
                    <w:t>。</w:t>
                  </w:r>
                  <w:r>
                    <w:rPr>
                      <w:rFonts w:ascii="宋体" w:hAnsi="宋体" w:cs="宋体" w:eastAsia="宋体" w:hint="default"/>
                      <w:sz w:val="18"/>
                      <w:szCs w:val="18"/>
                    </w:rPr>
                    <w:t>公司</w:t>
                  </w:r>
                </w:p>
                <w:p>
                  <w:pPr>
                    <w:spacing w:before="64"/>
                    <w:ind w:left="2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日资本公积为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359,755,976.72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38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年度利润分配方案为：以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69,797,534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股为基数，向全体股东按每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w:t>
                  </w:r>
                </w:p>
                <w:p>
                  <w:pPr>
                    <w:spacing w:before="63"/>
                    <w:ind w:left="22" w:right="0" w:firstLine="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，同时进行资本公积金转增股本，以公司总股本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69,797,</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股为基础，向全体股东每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w:t>
                  </w:r>
                  <w:r>
                    <w:rPr>
                      <w:rFonts w:ascii="宋体" w:hAnsi="宋体" w:cs="宋体" w:eastAsia="宋体" w:hint="default"/>
                      <w:sz w:val="18"/>
                      <w:szCs w:val="18"/>
                    </w:rPr>
                    <w:t>本</w:t>
                  </w:r>
                </w:p>
                <w:p>
                  <w:pPr>
                    <w:spacing w:before="64"/>
                    <w:ind w:left="22" w:right="0" w:firstLine="0"/>
                    <w:jc w:val="left"/>
                    <w:rPr>
                      <w:rFonts w:ascii="宋体" w:hAnsi="宋体" w:cs="宋体" w:eastAsia="宋体" w:hint="default"/>
                      <w:sz w:val="18"/>
                      <w:szCs w:val="18"/>
                    </w:rPr>
                  </w:pPr>
                  <w:r>
                    <w:rPr>
                      <w:rFonts w:ascii="宋体" w:hAnsi="宋体" w:cs="宋体" w:eastAsia="宋体" w:hint="default"/>
                      <w:sz w:val="18"/>
                      <w:szCs w:val="18"/>
                    </w:rPr>
                    <w:t>次利润分配合计派发现金股利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10,469,630.10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元，资本公积金转增股本后公司总股本增加至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104,696,301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xbxContent>
            </v:textbox>
          </v:shape>
        </w:pict>
      </w:r>
      <w:r>
        <w:rPr>
          <w:rFonts w:ascii="宋体" w:hAnsi="宋体" w:cs="宋体" w:eastAsia="宋体" w:hint="default"/>
          <w:position w:val="-52"/>
          <w:sz w:val="20"/>
          <w:szCs w:val="20"/>
        </w:rPr>
      </w:r>
    </w:p>
    <w:p>
      <w:pPr>
        <w:spacing w:line="338" w:lineRule="auto" w:before="57"/>
        <w:ind w:left="444" w:right="225" w:hanging="291"/>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公司近</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年（含报告期）的利润分配方案及资本公积金转增股本方案情况</w:t>
      </w:r>
      <w:r>
        <w:rPr>
          <w:rFonts w:ascii="宋体" w:hAnsi="宋体" w:cs="宋体" w:eastAsia="宋体" w:hint="default"/>
          <w:b/>
          <w:bCs/>
          <w:w w:val="99"/>
          <w:sz w:val="18"/>
          <w:szCs w:val="18"/>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年度利润分配方案：以</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日公司总股本</w:t>
      </w:r>
      <w:r>
        <w:rPr>
          <w:rFonts w:ascii="Times New Roman" w:hAnsi="Times New Roman" w:cs="Times New Roman" w:eastAsia="Times New Roman" w:hint="default"/>
          <w:sz w:val="18"/>
          <w:szCs w:val="18"/>
        </w:rPr>
        <w:t>69,797,534</w:t>
      </w:r>
      <w:r>
        <w:rPr>
          <w:rFonts w:ascii="宋体" w:hAnsi="宋体" w:cs="宋体" w:eastAsia="宋体" w:hint="default"/>
          <w:sz w:val="18"/>
          <w:szCs w:val="18"/>
        </w:rPr>
        <w:t>股为基数，向全体股东按每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股派发现金红利</w:t>
      </w:r>
      <w:r>
        <w:rPr>
          <w:rFonts w:ascii="Times New Roman" w:hAnsi="Times New Roman" w:cs="Times New Roman" w:eastAsia="Times New Roman" w:hint="default"/>
          <w:sz w:val="18"/>
          <w:szCs w:val="18"/>
        </w:rPr>
        <w:t>1.5</w:t>
      </w:r>
    </w:p>
    <w:p>
      <w:pPr>
        <w:spacing w:line="230" w:lineRule="exact" w:before="0"/>
        <w:ind w:left="153" w:right="102" w:firstLine="0"/>
        <w:jc w:val="left"/>
        <w:rPr>
          <w:rFonts w:ascii="宋体" w:hAnsi="宋体" w:cs="宋体" w:eastAsia="宋体" w:hint="default"/>
          <w:sz w:val="18"/>
          <w:szCs w:val="18"/>
        </w:rPr>
      </w:pPr>
      <w:r>
        <w:rPr>
          <w:rFonts w:ascii="宋体" w:hAnsi="宋体" w:cs="宋体" w:eastAsia="宋体" w:hint="default"/>
          <w:sz w:val="18"/>
          <w:szCs w:val="18"/>
        </w:rPr>
        <w:t>元（含税），同时进行资本公积金转增股本，以公司总股本</w:t>
      </w:r>
      <w:r>
        <w:rPr>
          <w:rFonts w:ascii="Times New Roman" w:hAnsi="Times New Roman" w:cs="Times New Roman" w:eastAsia="Times New Roman" w:hint="default"/>
          <w:sz w:val="18"/>
          <w:szCs w:val="18"/>
        </w:rPr>
        <w:t>69,797,534</w:t>
      </w:r>
      <w:r>
        <w:rPr>
          <w:rFonts w:ascii="宋体" w:hAnsi="宋体" w:cs="宋体" w:eastAsia="宋体" w:hint="default"/>
          <w:sz w:val="18"/>
          <w:szCs w:val="18"/>
        </w:rPr>
        <w:t>股为基础，向全体股东每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5</w:t>
      </w:r>
      <w:r>
        <w:rPr>
          <w:rFonts w:ascii="宋体" w:hAnsi="宋体" w:cs="宋体" w:eastAsia="宋体" w:hint="default"/>
          <w:sz w:val="18"/>
          <w:szCs w:val="18"/>
        </w:rPr>
        <w:t>股。</w:t>
      </w:r>
    </w:p>
    <w:p>
      <w:pPr>
        <w:spacing w:before="103"/>
        <w:ind w:left="153" w:right="102"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7"/>
        <w:ind w:left="0" w:right="2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162" w:hRule="exact"/>
        </w:trPr>
        <w:tc>
          <w:tcPr>
            <w:tcW w:w="2369"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4"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90" w:right="109"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5" w:right="34"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2" w:hRule="exact"/>
        </w:trPr>
        <w:tc>
          <w:tcPr>
            <w:tcW w:w="23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r>
      <w:tr>
        <w:trPr>
          <w:trHeight w:val="160" w:hRule="exact"/>
        </w:trPr>
        <w:tc>
          <w:tcPr>
            <w:tcW w:w="2369" w:type="dxa"/>
            <w:tcBorders>
              <w:top w:val="nil" w:sz="6" w:space="0" w:color="auto"/>
              <w:left w:val="single" w:sz="4" w:space="0" w:color="000000"/>
              <w:bottom w:val="single" w:sz="4" w:space="0" w:color="000000"/>
              <w:right w:val="single" w:sz="4" w:space="0" w:color="000000"/>
            </w:tcBorders>
            <w:shd w:val="clear" w:color="auto" w:fill="D3D3D3"/>
          </w:tcPr>
          <w:p>
            <w:pPr/>
          </w:p>
        </w:tc>
        <w:tc>
          <w:tcPr>
            <w:tcW w:w="2404"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10,469,630.10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63,372,945.76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16.52%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56,306,779.89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42,854,564.15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ind w:right="0"/>
        <w:jc w:val="both"/>
        <w:rPr>
          <w:b w:val="0"/>
          <w:bCs w:val="0"/>
        </w:rPr>
      </w:pPr>
      <w:r>
        <w:rPr/>
        <w:t>九、社会责任情况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153" w:right="102" w:firstLine="426"/>
        <w:jc w:val="left"/>
      </w:pPr>
      <w:r>
        <w:rPr>
          <w:spacing w:val="-1"/>
        </w:rPr>
        <w:t>2012年公司成功上市后，在努力做好各项业务的同时，对社会责任有了更进一步的追求。公司在保障</w:t>
      </w:r>
      <w:r>
        <w:rPr/>
        <w:t> 股东权益、维护员工权益及提高公司社会形象等方面取得了良好的进展，现总结如下：</w:t>
      </w:r>
    </w:p>
    <w:p>
      <w:pPr>
        <w:pStyle w:val="BodyText"/>
        <w:spacing w:line="408" w:lineRule="auto"/>
        <w:ind w:left="580" w:right="102"/>
        <w:jc w:val="left"/>
      </w:pPr>
      <w:r>
        <w:rPr/>
        <w:t>（一）股东与投资人的权益保护 </w:t>
      </w:r>
      <w:r>
        <w:rPr>
          <w:spacing w:val="-4"/>
        </w:rPr>
        <w:t>公司严格按照《公司法》、《证券法》、《上市公司治理准则》等法律法规要求，不断完善公司治理，</w:t>
      </w:r>
    </w:p>
    <w:p>
      <w:pPr>
        <w:pStyle w:val="BodyText"/>
        <w:spacing w:line="408" w:lineRule="auto"/>
        <w:ind w:left="153" w:right="211"/>
        <w:jc w:val="both"/>
      </w:pPr>
      <w:r>
        <w:rPr>
          <w:spacing w:val="-5"/>
        </w:rPr>
        <w:t>制定了《股东大会议事规则》、《董事会议事规则》、《监事会议事规则》、《对外投资管理制度》、《关</w:t>
      </w:r>
      <w:r>
        <w:rPr>
          <w:spacing w:val="-103"/>
        </w:rPr>
        <w:t> </w:t>
      </w:r>
      <w:r>
        <w:rPr>
          <w:spacing w:val="-103"/>
        </w:rPr>
      </w:r>
      <w:r>
        <w:rPr>
          <w:spacing w:val="-1"/>
        </w:rPr>
        <w:t>联交易决策制度》等制度，建立了以《公司章程》为基础的内控体系，以股东大会、董事会、监事会及管</w:t>
      </w:r>
      <w:r>
        <w:rPr>
          <w:spacing w:val="-85"/>
        </w:rPr>
        <w:t> </w:t>
      </w:r>
      <w:r>
        <w:rPr>
          <w:spacing w:val="-85"/>
        </w:rPr>
      </w:r>
      <w:r>
        <w:rPr/>
        <w:t>理层为主的决策与经营体系，从制度上切实保障全体股东及债权人的权益。</w:t>
      </w:r>
    </w:p>
    <w:p>
      <w:pPr>
        <w:pStyle w:val="BodyText"/>
        <w:spacing w:line="408" w:lineRule="auto"/>
        <w:ind w:left="153" w:right="102" w:firstLine="426"/>
        <w:jc w:val="left"/>
      </w:pPr>
      <w:r>
        <w:rPr/>
        <w:t>公司坚信只有把自身业绩做好才能给投资者提供长期稳定的回报，所以自成立以来，一直努力确保公 司发展的持续性、成长性和竞争力，依法经营，稳步推进公司业务，逐步巩固和深化在企业、银行、政府 </w:t>
      </w:r>
      <w:r>
        <w:rPr>
          <w:spacing w:val="-3"/>
        </w:rPr>
        <w:t>等行业客户中的市场领先地位，坚持“行业化，一体化，服务化、产品化”的经营战略开展公司各项业务，</w:t>
      </w:r>
      <w:r>
        <w:rPr>
          <w:spacing w:val="-96"/>
        </w:rPr>
        <w:t> </w:t>
      </w:r>
      <w:r>
        <w:rPr>
          <w:spacing w:val="-96"/>
        </w:rPr>
      </w:r>
      <w:r>
        <w:rPr/>
        <w:t>本着诚信勤勉、尽职守则的原则，努力经营，规范运作，实现了资产、所有者权益和营业总收入的稳定增</w:t>
      </w:r>
      <w:r>
        <w:rPr/>
        <w:t> 长，为投资者创造稳定的回报。</w:t>
      </w:r>
    </w:p>
    <w:p>
      <w:pPr>
        <w:pStyle w:val="BodyText"/>
        <w:spacing w:line="408" w:lineRule="auto"/>
        <w:ind w:left="153" w:right="165" w:firstLine="426"/>
        <w:jc w:val="left"/>
      </w:pPr>
      <w:r>
        <w:rPr/>
        <w:t>在保护股东权益方面，2012年公司召开了三次股东大会，大会的召集、召开、表决程序均合法有效， 符合《公司章程》及《股东大会议事规则》的规定，确保了股东对公司重大事项的知情权、参与权和表决</w:t>
      </w:r>
    </w:p>
    <w:p>
      <w:pPr>
        <w:spacing w:after="0" w:line="408"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4"/>
        <w:ind w:right="210"/>
        <w:jc w:val="both"/>
      </w:pPr>
      <w:r>
        <w:rPr>
          <w:spacing w:val="-1"/>
        </w:rPr>
        <w:t>权。信息披露方面，公司严格按照深交所上市规则及规范运作指引的要求开展工作，所有达到信息披露标</w:t>
      </w:r>
      <w:r>
        <w:rPr>
          <w:spacing w:val="-83"/>
        </w:rPr>
        <w:t> </w:t>
      </w:r>
      <w:r>
        <w:rPr>
          <w:spacing w:val="-83"/>
        </w:rPr>
      </w:r>
      <w:r>
        <w:rPr>
          <w:spacing w:val="-1"/>
        </w:rPr>
        <w:t>准的事项公司都进行了公告，不存在应披露而未披露的信息。与此同时，公司积极开展与投资者的沟通交</w:t>
      </w:r>
      <w:r>
        <w:rPr>
          <w:spacing w:val="-83"/>
        </w:rPr>
        <w:t> </w:t>
      </w:r>
      <w:r>
        <w:rPr>
          <w:spacing w:val="-83"/>
        </w:rPr>
      </w:r>
      <w:r>
        <w:rPr>
          <w:spacing w:val="-1"/>
        </w:rPr>
        <w:t>流工作，2012年共接待机构投资者调研18次，还通过电话交流、投资者互动平台等方式，搭建了与投资者</w:t>
      </w:r>
      <w:r>
        <w:rPr>
          <w:spacing w:val="-83"/>
        </w:rPr>
        <w:t> </w:t>
      </w:r>
      <w:r>
        <w:rPr>
          <w:spacing w:val="-83"/>
        </w:rPr>
      </w:r>
      <w:r>
        <w:rPr/>
        <w:t>沟通的桥梁，增进了投资者对公司价值的了解。</w:t>
      </w:r>
    </w:p>
    <w:p>
      <w:pPr>
        <w:pStyle w:val="BodyText"/>
        <w:spacing w:line="408" w:lineRule="auto"/>
        <w:ind w:left="580" w:right="102"/>
        <w:jc w:val="left"/>
      </w:pPr>
      <w:r>
        <w:rPr/>
        <w:t>（二）提高公司社会形象 </w:t>
      </w:r>
      <w:r>
        <w:rPr>
          <w:spacing w:val="-1"/>
        </w:rPr>
        <w:t>2012年公司成功入选中关村“十百千工程企业”，作为北京市贯彻国务院精神打造中国具有全球影响</w:t>
      </w:r>
    </w:p>
    <w:p>
      <w:pPr>
        <w:pStyle w:val="BodyText"/>
        <w:spacing w:line="408" w:lineRule="auto"/>
        <w:ind w:right="102"/>
        <w:jc w:val="left"/>
      </w:pPr>
      <w:r>
        <w:rPr>
          <w:spacing w:val="-1"/>
        </w:rPr>
        <w:t>力的创新企业群，意味着公司成为北京市各级主管部门的重点支持企业，享受中关村“一企一策”的政策</w:t>
      </w:r>
      <w:r>
        <w:rPr>
          <w:spacing w:val="-81"/>
        </w:rPr>
        <w:t> </w:t>
      </w:r>
      <w:r>
        <w:rPr>
          <w:spacing w:val="-81"/>
        </w:rPr>
      </w:r>
      <w:r>
        <w:rPr/>
        <w:t>支持。</w:t>
      </w:r>
    </w:p>
    <w:p>
      <w:pPr>
        <w:pStyle w:val="BodyText"/>
        <w:spacing w:line="408" w:lineRule="auto"/>
        <w:ind w:right="102" w:firstLine="426"/>
        <w:jc w:val="left"/>
      </w:pPr>
      <w:r>
        <w:rPr/>
        <w:t>2012年初公司被国家商务部国际贸易经济合作院评为诚信综合等级AAA级企业（诚信综合评级共分为9 </w:t>
      </w:r>
      <w:r>
        <w:rPr>
          <w:spacing w:val="-1"/>
        </w:rPr>
        <w:t>级，AAA为最高等级），标志着公司在企业债权管理状况、企业债务和合同履行情况、企业公共记录状况、</w:t>
      </w:r>
      <w:r>
        <w:rPr>
          <w:spacing w:val="-83"/>
        </w:rPr>
        <w:t> </w:t>
      </w:r>
      <w:r>
        <w:rPr>
          <w:spacing w:val="-83"/>
        </w:rPr>
      </w:r>
      <w:r>
        <w:rPr/>
        <w:t>企业财务状况和总融资能力等标准要素上处于国内领先水平。公司此次被认定为诚信综合等级AAA企业，</w:t>
      </w:r>
      <w:r>
        <w:rPr>
          <w:spacing w:val="-34"/>
        </w:rPr>
        <w:t> </w:t>
      </w:r>
      <w:r>
        <w:rPr>
          <w:spacing w:val="-34"/>
        </w:rPr>
      </w:r>
      <w:r>
        <w:rPr/>
        <w:t>是国家对中科金财一贯高信用、诚信经营的认可，也是公司多年来坚持规范运作的回报。公司将继续严格</w:t>
      </w:r>
      <w:r>
        <w:rPr/>
        <w:t> 遵守国家相关法规制度，秉承合法经营的理念，为提高公司社会形象继续努力。</w:t>
      </w:r>
    </w:p>
    <w:p>
      <w:pPr>
        <w:pStyle w:val="BodyText"/>
        <w:spacing w:line="408" w:lineRule="auto"/>
        <w:ind w:left="580" w:right="208"/>
        <w:jc w:val="left"/>
      </w:pPr>
      <w:r>
        <w:rPr/>
        <w:t>（三）与供应商和客户精诚合作 </w:t>
      </w:r>
      <w:r>
        <w:rPr>
          <w:spacing w:val="-1"/>
        </w:rPr>
        <w:t>公司相关物资的采购，均严格选择在工商部门登记注册、合法纳税并具备与所采购规模相匹配的生产</w:t>
      </w:r>
    </w:p>
    <w:p>
      <w:pPr>
        <w:pStyle w:val="BodyText"/>
        <w:spacing w:line="408" w:lineRule="auto"/>
        <w:ind w:left="580" w:right="208" w:hanging="426"/>
        <w:jc w:val="left"/>
      </w:pPr>
      <w:r>
        <w:rPr/>
        <w:t>制造设备的供应商，合法签订合同，实行互惠共赢，确保企业产品的质量信誉与消费者安全。 </w:t>
      </w:r>
      <w:r>
        <w:rPr>
          <w:spacing w:val="-1"/>
        </w:rPr>
        <w:t>为了提高客户满意度，公司不断提高公司产品质量及研发水平，陆续获得实用新型专利证书以及包括</w:t>
      </w:r>
    </w:p>
    <w:p>
      <w:pPr>
        <w:pStyle w:val="BodyText"/>
        <w:spacing w:line="408" w:lineRule="auto"/>
        <w:ind w:right="102"/>
        <w:jc w:val="left"/>
      </w:pPr>
      <w:r>
        <w:rPr/>
        <w:t>计算机信息系统集成一级资质、ISO27001信息安全管理体系认证、IS9001:2008质量管理体系认证、银行</w:t>
      </w:r>
      <w:r>
        <w:rPr>
          <w:spacing w:val="-45"/>
        </w:rPr>
        <w:t> </w:t>
      </w:r>
      <w:r>
        <w:rPr>
          <w:spacing w:val="-45"/>
        </w:rPr>
      </w:r>
      <w:r>
        <w:rPr/>
        <w:t>AAA级信用证书等各种资质，为客户提供优质的产品及服务，并不断提高公司行业声誉。</w:t>
      </w:r>
    </w:p>
    <w:p>
      <w:pPr>
        <w:pStyle w:val="BodyText"/>
        <w:spacing w:line="408" w:lineRule="auto"/>
        <w:ind w:left="580" w:right="208"/>
        <w:jc w:val="left"/>
      </w:pPr>
      <w:r>
        <w:rPr/>
        <w:t>（四）重视员工权益和个人发展 </w:t>
      </w:r>
      <w:r>
        <w:rPr>
          <w:spacing w:val="-1"/>
        </w:rPr>
        <w:t>公司始终视人才为公司最重要的战略资源，是公司核心的生产要素。公司坚持“先有核心人员，后有</w:t>
      </w:r>
    </w:p>
    <w:p>
      <w:pPr>
        <w:pStyle w:val="BodyText"/>
        <w:spacing w:line="408" w:lineRule="auto"/>
        <w:ind w:right="101"/>
        <w:jc w:val="left"/>
      </w:pPr>
      <w:r>
        <w:rPr/>
        <w:t>核心技术、核心产品”的人才观和“发展吸引人，文化凝聚人，机制稳定人，事业成就人”的人才战略， </w:t>
      </w:r>
      <w:r>
        <w:rPr>
          <w:spacing w:val="-3"/>
        </w:rPr>
        <w:t>使公司的使命与个人发展目标结合，为员工、股东、客户、合作伙伴提供共同成长、充分施展才华的平台。</w:t>
      </w:r>
      <w:r>
        <w:rPr>
          <w:spacing w:val="-94"/>
        </w:rPr>
        <w:t> </w:t>
      </w:r>
      <w:r>
        <w:rPr>
          <w:spacing w:val="-94"/>
        </w:rPr>
      </w:r>
      <w:r>
        <w:rPr/>
        <w:t>以胜任力模型为核心形成中科金财的人力资源管理体系，打造中科金财的人才梯队，培养熟悉信息技术服</w:t>
      </w:r>
      <w:r>
        <w:rPr/>
        <w:t> </w:t>
      </w:r>
      <w:r>
        <w:rPr>
          <w:spacing w:val="-3"/>
        </w:rPr>
        <w:t>务标准、掌握标准贯彻实施方法的专业人员，健全公司导师制度，持续优化人才结构，降低人力资源风险。</w:t>
      </w:r>
    </w:p>
    <w:p>
      <w:pPr>
        <w:pStyle w:val="BodyText"/>
        <w:spacing w:line="408" w:lineRule="auto"/>
        <w:ind w:left="153" w:right="102" w:firstLine="426"/>
        <w:jc w:val="left"/>
      </w:pPr>
      <w:r>
        <w:rPr/>
        <w:t>公司一直非常注重提高员工的个人能力，通过各种培训及讲座提高员工业务能力和管理水平。</w:t>
      </w:r>
      <w:r>
        <w:rPr>
          <w:spacing w:val="31"/>
        </w:rPr>
        <w:t> </w:t>
      </w:r>
      <w:r>
        <w:rPr/>
        <w:t>2012</w:t>
      </w:r>
      <w:r>
        <w:rPr>
          <w:spacing w:val="-1"/>
        </w:rPr>
        <w:t> </w:t>
      </w:r>
      <w:r>
        <w:rPr>
          <w:spacing w:val="-3"/>
        </w:rPr>
        <w:t>年公司组织了包括新员工入职培训、在职员工业务培训、管理能力提升培训及其他单场讲座等多层次培训，</w:t>
      </w:r>
      <w:r>
        <w:rPr>
          <w:spacing w:val="-92"/>
        </w:rPr>
        <w:t> </w:t>
      </w:r>
      <w:r>
        <w:rPr>
          <w:spacing w:val="-92"/>
        </w:rPr>
      </w:r>
      <w:r>
        <w:rPr/>
        <w:t>事前通过调查员工需求，寻求各种培训资源和渠道，来提高培训的有效性和效率，所以这些培训充分调动</w:t>
      </w:r>
      <w:r>
        <w:rPr/>
        <w:t> 了员工学习积极性，既能促进公司整体战略目标的实施，又能满足员工个人能力和职业发展的需求，实现 企业和员工的共同进步，共同发展。</w:t>
      </w:r>
    </w:p>
    <w:p>
      <w:pPr>
        <w:spacing w:after="0" w:line="408"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4"/>
        <w:ind w:left="153" w:right="0" w:firstLine="426"/>
        <w:jc w:val="left"/>
      </w:pPr>
      <w:r>
        <w:rPr>
          <w:spacing w:val="-1"/>
        </w:rPr>
        <w:t>2013年，公司将继续努力提升公司自身业务水平，确保股东利益，促进员工发展与成长，进一步增强</w:t>
      </w:r>
      <w:r>
        <w:rPr/>
        <w:t> 企业的社会责任感，实现商业利益与社会责任的和谐共赢。</w:t>
      </w:r>
    </w:p>
    <w:p>
      <w:pPr>
        <w:spacing w:line="240" w:lineRule="auto" w:before="11"/>
        <w:rPr>
          <w:rFonts w:ascii="宋体" w:hAnsi="宋体" w:cs="宋体" w:eastAsia="宋体" w:hint="default"/>
          <w:sz w:val="18"/>
          <w:szCs w:val="18"/>
        </w:rPr>
      </w:pPr>
    </w:p>
    <w:p>
      <w:pPr>
        <w:pStyle w:val="Heading2"/>
        <w:spacing w:line="240" w:lineRule="auto" w:before="0"/>
        <w:ind w:right="0"/>
        <w:jc w:val="left"/>
        <w:rPr>
          <w:b w:val="0"/>
          <w:bCs w:val="0"/>
        </w:rPr>
      </w:pPr>
      <w:r>
        <w:rPr/>
        <w:t>十、报告期内接待调研、沟通、采访等活动登记表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p>
      <w:pPr>
        <w:spacing w:line="1288" w:lineRule="exact"/>
        <w:ind w:left="7640" w:right="0" w:firstLine="0"/>
        <w:rPr>
          <w:rFonts w:ascii="宋体" w:hAnsi="宋体" w:cs="宋体" w:eastAsia="宋体" w:hint="default"/>
          <w:sz w:val="20"/>
          <w:szCs w:val="20"/>
        </w:rPr>
      </w:pPr>
      <w:r>
        <w:rPr>
          <w:rFonts w:ascii="宋体" w:hAnsi="宋体" w:cs="宋体" w:eastAsia="宋体" w:hint="default"/>
          <w:position w:val="-25"/>
          <w:sz w:val="20"/>
          <w:szCs w:val="20"/>
        </w:rPr>
        <w:pict>
          <v:group style="width:103.9pt;height:64.45pt;mso-position-horizontal-relative:char;mso-position-vertical-relative:line" coordorigin="0,0" coordsize="2078,1289">
            <v:group style="position:absolute;left:0;top:352;width:2078;height:936" coordorigin="0,352" coordsize="2078,936">
              <v:shape style="position:absolute;left:0;top:352;width:2078;height:936" coordorigin="0,352" coordsize="2078,936" path="m0,1288l2077,1288,2077,352,0,352,0,1288xe" filled="true" fillcolor="#ffffff" stroked="false">
                <v:path arrowok="t"/>
                <v:fill type="solid"/>
              </v:shape>
            </v:group>
            <v:group style="position:absolute;left:23;top:0;width:2032;height:352" coordorigin="23,0" coordsize="2032,352">
              <v:shape style="position:absolute;left:23;top:0;width:2032;height:352" coordorigin="23,0" coordsize="2032,352" path="m23,352l2054,352,2054,0,23,0,23,352xe" filled="true" fillcolor="#ffffff" stroked="false">
                <v:path arrowok="t"/>
                <v:fill type="solid"/>
              </v:shape>
            </v:group>
          </v:group>
        </w:pict>
      </w:r>
      <w:r>
        <w:rPr>
          <w:rFonts w:ascii="宋体" w:hAnsi="宋体" w:cs="宋体" w:eastAsia="宋体" w:hint="default"/>
          <w:position w:val="-25"/>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p>
      <w:pPr>
        <w:spacing w:before="44"/>
        <w:ind w:left="0" w:right="158" w:firstLine="0"/>
        <w:jc w:val="right"/>
        <w:rPr>
          <w:rFonts w:ascii="宋体" w:hAnsi="宋体" w:cs="宋体" w:eastAsia="宋体" w:hint="default"/>
          <w:sz w:val="18"/>
          <w:szCs w:val="18"/>
        </w:rPr>
      </w:pPr>
      <w:r>
        <w:rPr/>
        <w:pict>
          <v:shape style="position:absolute;margin-left:56.459999pt;margin-top:-560.647949pt;width:479.2pt;height:596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4"/>
                    <w:gridCol w:w="1498"/>
                    <w:gridCol w:w="1496"/>
                    <w:gridCol w:w="1498"/>
                    <w:gridCol w:w="1496"/>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58"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广发证券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公司发展情况，公司未来 发展规划。未提供资料。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国金证券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公司发展情况，公司目前 产品储备。未提供资料。</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72"/>
                          <w:jc w:val="right"/>
                          <w:rPr>
                            <w:rFonts w:ascii="宋体" w:hAnsi="宋体" w:cs="宋体" w:eastAsia="宋体" w:hint="default"/>
                            <w:sz w:val="18"/>
                            <w:szCs w:val="18"/>
                          </w:rPr>
                        </w:pPr>
                        <w:r>
                          <w:rPr>
                            <w:rFonts w:ascii="宋体" w:hAnsi="宋体" w:cs="宋体" w:eastAsia="宋体" w:hint="default"/>
                            <w:sz w:val="18"/>
                            <w:szCs w:val="18"/>
                          </w:rPr>
                          <w:t>公司发展情况，产品储备</w:t>
                        </w:r>
                      </w:p>
                    </w:tc>
                  </w:tr>
                  <w:tr>
                    <w:trPr>
                      <w:trHeight w:val="318"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中信建投</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2"/>
                          <w:jc w:val="right"/>
                          <w:rPr>
                            <w:rFonts w:ascii="宋体" w:hAnsi="宋体" w:cs="宋体" w:eastAsia="宋体" w:hint="default"/>
                            <w:sz w:val="18"/>
                            <w:szCs w:val="18"/>
                          </w:rPr>
                        </w:pPr>
                        <w:r>
                          <w:rPr>
                            <w:rFonts w:ascii="宋体" w:hAnsi="宋体" w:cs="宋体" w:eastAsia="宋体" w:hint="default"/>
                            <w:sz w:val="18"/>
                            <w:szCs w:val="18"/>
                          </w:rPr>
                          <w:t>情况，市场竞争力。未提</w:t>
                        </w:r>
                      </w:p>
                    </w:tc>
                  </w:tr>
                  <w:tr>
                    <w:trPr>
                      <w:trHeight w:val="351"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供资料。</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72"/>
                          <w:jc w:val="right"/>
                          <w:rPr>
                            <w:rFonts w:ascii="宋体" w:hAnsi="宋体" w:cs="宋体" w:eastAsia="宋体" w:hint="default"/>
                            <w:sz w:val="18"/>
                            <w:szCs w:val="18"/>
                          </w:rPr>
                        </w:pPr>
                        <w:r>
                          <w:rPr>
                            <w:rFonts w:ascii="宋体" w:hAnsi="宋体" w:cs="宋体" w:eastAsia="宋体" w:hint="default"/>
                            <w:sz w:val="18"/>
                            <w:szCs w:val="18"/>
                          </w:rPr>
                          <w:t>公司发展情况，产品储备</w:t>
                        </w:r>
                      </w:p>
                    </w:tc>
                  </w:tr>
                  <w:tr>
                    <w:trPr>
                      <w:trHeight w:val="318"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中信证券</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2"/>
                          <w:jc w:val="right"/>
                          <w:rPr>
                            <w:rFonts w:ascii="宋体" w:hAnsi="宋体" w:cs="宋体" w:eastAsia="宋体" w:hint="default"/>
                            <w:sz w:val="18"/>
                            <w:szCs w:val="18"/>
                          </w:rPr>
                        </w:pPr>
                        <w:r>
                          <w:rPr>
                            <w:rFonts w:ascii="宋体" w:hAnsi="宋体" w:cs="宋体" w:eastAsia="宋体" w:hint="default"/>
                            <w:sz w:val="18"/>
                            <w:szCs w:val="18"/>
                          </w:rPr>
                          <w:t>情况，市场竞争力。未提</w:t>
                        </w:r>
                      </w:p>
                    </w:tc>
                  </w:tr>
                  <w:tr>
                    <w:trPr>
                      <w:trHeight w:val="351"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供资料。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光大证券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公司发展情况，研发技术 优势。未提供资料。</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安信证券、富民资 产</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公司发展情况，市场竞争 力，产品储备情况。未提 供资料。</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新华基金、日信证 券、东兴证券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公司发展情况，市场竞争 力，产品储备情况。未提 供资料。</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广发证券、东方证</w:t>
                        </w:r>
                      </w:p>
                    </w:tc>
                    <w:tc>
                      <w:tcPr>
                        <w:tcW w:w="208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券、华泰证券、浦</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银安盛基金、泰康</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13" w:space="0" w:color="FFFFFF"/>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资产、中信建投、</w:t>
                        </w:r>
                      </w:p>
                    </w:tc>
                    <w:tc>
                      <w:tcPr>
                        <w:tcW w:w="2087"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right="72"/>
                          <w:jc w:val="right"/>
                          <w:rPr>
                            <w:rFonts w:ascii="宋体" w:hAnsi="宋体" w:cs="宋体" w:eastAsia="宋体" w:hint="default"/>
                            <w:sz w:val="18"/>
                            <w:szCs w:val="18"/>
                          </w:rPr>
                        </w:pPr>
                        <w:r>
                          <w:rPr>
                            <w:rFonts w:ascii="宋体" w:hAnsi="宋体" w:cs="宋体" w:eastAsia="宋体" w:hint="default"/>
                            <w:sz w:val="18"/>
                            <w:szCs w:val="18"/>
                          </w:rPr>
                          <w:t>公司发展情况，市场竞争</w:t>
                        </w:r>
                      </w:p>
                    </w:tc>
                  </w:tr>
                  <w:tr>
                    <w:trPr>
                      <w:trHeight w:val="317"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00000"/>
                          <w:bottom w:val="nil" w:sz="6" w:space="0" w:color="auto"/>
                          <w:right w:val="single" w:sz="13" w:space="0" w:color="FFFFFF"/>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国金通用基金、民</w:t>
                        </w:r>
                      </w:p>
                    </w:tc>
                    <w:tc>
                      <w:tcPr>
                        <w:tcW w:w="2087"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right="72"/>
                          <w:jc w:val="right"/>
                          <w:rPr>
                            <w:rFonts w:ascii="宋体" w:hAnsi="宋体" w:cs="宋体" w:eastAsia="宋体" w:hint="default"/>
                            <w:sz w:val="18"/>
                            <w:szCs w:val="18"/>
                          </w:rPr>
                        </w:pPr>
                        <w:r>
                          <w:rPr>
                            <w:rFonts w:ascii="宋体" w:hAnsi="宋体" w:cs="宋体" w:eastAsia="宋体" w:hint="default"/>
                            <w:sz w:val="18"/>
                            <w:szCs w:val="18"/>
                          </w:rPr>
                          <w:t>力，产品储备情况。未提</w:t>
                        </w:r>
                      </w:p>
                    </w:tc>
                  </w:tr>
                  <w:tr>
                    <w:trPr>
                      <w:trHeight w:val="308"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13" w:space="0" w:color="FFFFFF"/>
                        </w:tcBorders>
                      </w:tcPr>
                      <w:p>
                        <w:pPr>
                          <w:pStyle w:val="TableParagraph"/>
                          <w:spacing w:line="240" w:lineRule="auto" w:before="5"/>
                          <w:ind w:left="22" w:right="-44"/>
                          <w:jc w:val="left"/>
                          <w:rPr>
                            <w:rFonts w:ascii="宋体" w:hAnsi="宋体" w:cs="宋体" w:eastAsia="宋体" w:hint="default"/>
                            <w:sz w:val="18"/>
                            <w:szCs w:val="18"/>
                          </w:rPr>
                        </w:pPr>
                        <w:r>
                          <w:rPr>
                            <w:rFonts w:ascii="宋体" w:hAnsi="宋体" w:cs="宋体" w:eastAsia="宋体" w:hint="default"/>
                            <w:sz w:val="18"/>
                            <w:szCs w:val="18"/>
                          </w:rPr>
                          <w:t>生证券</w:t>
                        </w:r>
                        <w:r>
                          <w:rPr>
                            <w:rFonts w:ascii="宋体" w:hAnsi="宋体" w:cs="宋体" w:eastAsia="宋体" w:hint="default"/>
                            <w:spacing w:val="-89"/>
                            <w:sz w:val="18"/>
                            <w:szCs w:val="18"/>
                          </w:rPr>
                          <w:t>、</w:t>
                        </w:r>
                        <w:r>
                          <w:rPr>
                            <w:rFonts w:ascii="宋体" w:hAnsi="宋体" w:cs="宋体" w:eastAsia="宋体" w:hint="default"/>
                            <w:sz w:val="18"/>
                            <w:szCs w:val="18"/>
                          </w:rPr>
                          <w:t>新华资产</w:t>
                        </w:r>
                        <w:r>
                          <w:rPr>
                            <w:rFonts w:ascii="宋体" w:hAnsi="宋体" w:cs="宋体" w:eastAsia="宋体" w:hint="default"/>
                            <w:spacing w:val="-35"/>
                            <w:sz w:val="18"/>
                            <w:szCs w:val="18"/>
                          </w:rPr>
                          <w:t>、</w:t>
                        </w:r>
                        <w:r>
                          <w:rPr>
                            <w:rFonts w:ascii="宋体" w:hAnsi="宋体" w:cs="宋体" w:eastAsia="宋体" w:hint="default"/>
                            <w:sz w:val="18"/>
                            <w:szCs w:val="18"/>
                          </w:rPr>
                        </w:r>
                      </w:p>
                    </w:tc>
                    <w:tc>
                      <w:tcPr>
                        <w:tcW w:w="2087" w:type="dxa"/>
                        <w:tcBorders>
                          <w:top w:val="nil" w:sz="6" w:space="0" w:color="auto"/>
                          <w:left w:val="single" w:sz="13" w:space="0" w:color="FFFFFF"/>
                          <w:bottom w:val="nil" w:sz="6" w:space="0" w:color="auto"/>
                          <w:right w:val="single" w:sz="4" w:space="0" w:color="000000"/>
                        </w:tcBorders>
                      </w:tcPr>
                      <w:p>
                        <w:pPr>
                          <w:pStyle w:val="TableParagraph"/>
                          <w:spacing w:line="240" w:lineRule="auto" w:before="6"/>
                          <w:ind w:left="11" w:right="0"/>
                          <w:jc w:val="left"/>
                          <w:rPr>
                            <w:rFonts w:ascii="宋体" w:hAnsi="宋体" w:cs="宋体" w:eastAsia="宋体" w:hint="default"/>
                            <w:sz w:val="18"/>
                            <w:szCs w:val="18"/>
                          </w:rPr>
                        </w:pPr>
                        <w:r>
                          <w:rPr>
                            <w:rFonts w:ascii="宋体" w:hAnsi="宋体" w:cs="宋体" w:eastAsia="宋体" w:hint="default"/>
                            <w:sz w:val="18"/>
                            <w:szCs w:val="18"/>
                          </w:rPr>
                          <w:t>供资料。</w:t>
                        </w:r>
                      </w:p>
                    </w:tc>
                  </w:tr>
                  <w:tr>
                    <w:trPr>
                      <w:trHeight w:val="311"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银华基金、长盛基</w:t>
                        </w:r>
                      </w:p>
                    </w:tc>
                    <w:tc>
                      <w:tcPr>
                        <w:tcW w:w="208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89"/>
                            <w:sz w:val="18"/>
                            <w:szCs w:val="18"/>
                          </w:rPr>
                          <w:t>、</w:t>
                        </w:r>
                        <w:r>
                          <w:rPr>
                            <w:rFonts w:ascii="宋体" w:hAnsi="宋体" w:cs="宋体" w:eastAsia="宋体" w:hint="default"/>
                            <w:sz w:val="18"/>
                            <w:szCs w:val="18"/>
                          </w:rPr>
                          <w:t>云南国际信托</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56"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中信证券</w:t>
                        </w:r>
                      </w:p>
                    </w:tc>
                    <w:tc>
                      <w:tcPr>
                        <w:tcW w:w="2087"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华夏基金、海通证 券、鹏华基金</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公司发展情况，市场竞争 力，产品储备情况。未提 供资料。</w:t>
                        </w:r>
                      </w:p>
                    </w:tc>
                  </w:tr>
                  <w:tr>
                    <w:trPr>
                      <w:trHeight w:val="36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13" w:space="0" w:color="FFFFFF"/>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国金证券、华章德</w:t>
                        </w:r>
                      </w:p>
                    </w:tc>
                    <w:tc>
                      <w:tcPr>
                        <w:tcW w:w="2087" w:type="dxa"/>
                        <w:tcBorders>
                          <w:top w:val="single" w:sz="4" w:space="0" w:color="000000"/>
                          <w:left w:val="single" w:sz="13" w:space="0" w:color="FFFFFF"/>
                          <w:bottom w:val="nil" w:sz="6" w:space="0" w:color="auto"/>
                          <w:right w:val="single" w:sz="4" w:space="0" w:color="000000"/>
                        </w:tcBorders>
                      </w:tcPr>
                      <w:p>
                        <w:pPr>
                          <w:pStyle w:val="TableParagraph"/>
                          <w:spacing w:line="240" w:lineRule="auto" w:before="51"/>
                          <w:ind w:right="72"/>
                          <w:jc w:val="right"/>
                          <w:rPr>
                            <w:rFonts w:ascii="宋体" w:hAnsi="宋体" w:cs="宋体" w:eastAsia="宋体" w:hint="default"/>
                            <w:sz w:val="18"/>
                            <w:szCs w:val="18"/>
                          </w:rPr>
                        </w:pPr>
                        <w:r>
                          <w:rPr>
                            <w:rFonts w:ascii="宋体" w:hAnsi="宋体" w:cs="宋体" w:eastAsia="宋体" w:hint="default"/>
                            <w:sz w:val="18"/>
                            <w:szCs w:val="18"/>
                          </w:rPr>
                          <w:t>公司发展情况，产品储备</w:t>
                        </w: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00000"/>
                          <w:bottom w:val="nil" w:sz="6" w:space="0" w:color="auto"/>
                          <w:right w:val="single" w:sz="13" w:space="0" w:color="FFFFFF"/>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远、中山证券、中</w:t>
                        </w:r>
                      </w:p>
                    </w:tc>
                    <w:tc>
                      <w:tcPr>
                        <w:tcW w:w="2087"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pacing w:val="-4"/>
                            <w:sz w:val="18"/>
                            <w:szCs w:val="18"/>
                          </w:rPr>
                          <w:t>情况，公司未来发展规划</w:t>
                        </w:r>
                      </w:p>
                    </w:tc>
                  </w:tr>
                  <w:tr>
                    <w:trPr>
                      <w:trHeight w:val="346"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13" w:space="0" w:color="FFFFFF"/>
                        </w:tcBorders>
                      </w:tcPr>
                      <w:p>
                        <w:pPr>
                          <w:pStyle w:val="TableParagraph"/>
                          <w:spacing w:line="240" w:lineRule="auto" w:before="19"/>
                          <w:ind w:left="22" w:right="-44"/>
                          <w:jc w:val="left"/>
                          <w:rPr>
                            <w:rFonts w:ascii="宋体" w:hAnsi="宋体" w:cs="宋体" w:eastAsia="宋体" w:hint="default"/>
                            <w:sz w:val="18"/>
                            <w:szCs w:val="18"/>
                          </w:rPr>
                        </w:pPr>
                        <w:r>
                          <w:rPr>
                            <w:rFonts w:ascii="宋体" w:hAnsi="宋体" w:cs="宋体" w:eastAsia="宋体" w:hint="default"/>
                            <w:sz w:val="18"/>
                            <w:szCs w:val="18"/>
                          </w:rPr>
                          <w:t>金公司</w:t>
                        </w:r>
                        <w:r>
                          <w:rPr>
                            <w:rFonts w:ascii="宋体" w:hAnsi="宋体" w:cs="宋体" w:eastAsia="宋体" w:hint="default"/>
                            <w:spacing w:val="-89"/>
                            <w:sz w:val="18"/>
                            <w:szCs w:val="18"/>
                          </w:rPr>
                          <w:t>、</w:t>
                        </w:r>
                        <w:r>
                          <w:rPr>
                            <w:rFonts w:ascii="宋体" w:hAnsi="宋体" w:cs="宋体" w:eastAsia="宋体" w:hint="default"/>
                            <w:sz w:val="18"/>
                            <w:szCs w:val="18"/>
                          </w:rPr>
                          <w:t>国泰君安</w:t>
                        </w:r>
                        <w:r>
                          <w:rPr>
                            <w:rFonts w:ascii="宋体" w:hAnsi="宋体" w:cs="宋体" w:eastAsia="宋体" w:hint="default"/>
                            <w:spacing w:val="-35"/>
                            <w:sz w:val="18"/>
                            <w:szCs w:val="18"/>
                          </w:rPr>
                          <w:t>、</w:t>
                        </w:r>
                        <w:r>
                          <w:rPr>
                            <w:rFonts w:ascii="宋体" w:hAnsi="宋体" w:cs="宋体" w:eastAsia="宋体" w:hint="default"/>
                            <w:sz w:val="18"/>
                            <w:szCs w:val="18"/>
                          </w:rPr>
                        </w:r>
                      </w:p>
                    </w:tc>
                    <w:tc>
                      <w:tcPr>
                        <w:tcW w:w="2087" w:type="dxa"/>
                        <w:tcBorders>
                          <w:top w:val="nil" w:sz="6" w:space="0" w:color="auto"/>
                          <w:left w:val="single" w:sz="13" w:space="0" w:color="FFFFFF"/>
                          <w:bottom w:val="single" w:sz="4" w:space="0" w:color="000000"/>
                          <w:right w:val="single" w:sz="4" w:space="0" w:color="000000"/>
                        </w:tcBorders>
                      </w:tcPr>
                      <w:p>
                        <w:pPr>
                          <w:pStyle w:val="TableParagraph"/>
                          <w:spacing w:line="240" w:lineRule="auto" w:before="1"/>
                          <w:ind w:left="11" w:right="0"/>
                          <w:jc w:val="left"/>
                          <w:rPr>
                            <w:rFonts w:ascii="宋体" w:hAnsi="宋体" w:cs="宋体" w:eastAsia="宋体" w:hint="default"/>
                            <w:sz w:val="18"/>
                            <w:szCs w:val="18"/>
                          </w:rPr>
                        </w:pPr>
                        <w:r>
                          <w:rPr>
                            <w:rFonts w:ascii="宋体" w:hAnsi="宋体" w:cs="宋体" w:eastAsia="宋体" w:hint="default"/>
                            <w:sz w:val="18"/>
                            <w:szCs w:val="18"/>
                          </w:rPr>
                          <w:t>未提供资料。</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5"/>
          <w:szCs w:val="5"/>
        </w:rPr>
      </w:pPr>
    </w:p>
    <w:p>
      <w:pPr>
        <w:spacing w:line="351" w:lineRule="exact"/>
        <w:ind w:left="7663"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101.6pt;height:17.6pt;mso-position-horizontal-relative:char;mso-position-vertical-relative:line" coordorigin="0,0" coordsize="2032,352">
            <v:group style="position:absolute;left:0;top:0;width:2032;height:352" coordorigin="0,0" coordsize="2032,352">
              <v:shape style="position:absolute;left:0;top:0;width:2032;height:352" coordorigin="0,0" coordsize="2032,352" path="m0,352l2032,352,2032,0,0,0,0,352xe" filled="true" fillcolor="#ffffff" stroked="false">
                <v:path arrowok="t"/>
                <v:fill type="solid"/>
              </v:shape>
            </v:group>
          </v:group>
        </w:pict>
      </w:r>
      <w:r>
        <w:rPr>
          <w:rFonts w:ascii="宋体" w:hAnsi="宋体" w:cs="宋体" w:eastAsia="宋体" w:hint="default"/>
          <w:position w:val="-6"/>
          <w:sz w:val="20"/>
          <w:szCs w:val="20"/>
        </w:rPr>
      </w:r>
    </w:p>
    <w:p>
      <w:pPr>
        <w:spacing w:after="0" w:line="351" w:lineRule="exact"/>
        <w:rPr>
          <w:rFonts w:ascii="宋体" w:hAnsi="宋体" w:cs="宋体" w:eastAsia="宋体" w:hint="default"/>
          <w:sz w:val="20"/>
          <w:szCs w:val="20"/>
        </w:rPr>
        <w:sectPr>
          <w:footerReference w:type="default" r:id="rId13"/>
          <w:pgSz w:w="11910" w:h="16840"/>
          <w:pgMar w:footer="982" w:header="747" w:top="1060" w:bottom="1180" w:left="980" w:right="980"/>
          <w:pgNumType w:start="29"/>
        </w:sectPr>
      </w:pPr>
    </w:p>
    <w:p>
      <w:pPr>
        <w:spacing w:line="240" w:lineRule="auto" w:before="8"/>
        <w:rPr>
          <w:rFonts w:ascii="宋体" w:hAnsi="宋体" w:cs="宋体" w:eastAsia="宋体" w:hint="default"/>
          <w:sz w:val="26"/>
          <w:szCs w:val="26"/>
        </w:rPr>
      </w:pPr>
    </w:p>
    <w:p>
      <w:pPr>
        <w:spacing w:line="319" w:lineRule="auto" w:before="44"/>
        <w:ind w:left="6167" w:right="2317" w:firstLine="0"/>
        <w:jc w:val="left"/>
        <w:rPr>
          <w:rFonts w:ascii="宋体" w:hAnsi="宋体" w:cs="宋体" w:eastAsia="宋体" w:hint="default"/>
          <w:sz w:val="18"/>
          <w:szCs w:val="18"/>
        </w:rPr>
      </w:pPr>
      <w:r>
        <w:rPr/>
        <w:pict>
          <v:shape style="position:absolute;margin-left:388.920288pt;margin-top:1.672004pt;width:146pt;height:173.65pt;mso-position-horizontal-relative:page;mso-position-vertical-relative:paragraph;z-index:-67098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华宝投资、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朴道投资、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泽熙投资、</w:t>
                  </w:r>
                </w:p>
              </w:txbxContent>
            </v:textbox>
            <w10:wrap type="none"/>
          </v:shape>
        </w:pict>
      </w:r>
      <w:r>
        <w:rPr>
          <w:rFonts w:ascii="宋体" w:hAnsi="宋体" w:cs="宋体" w:eastAsia="宋体" w:hint="default"/>
          <w:sz w:val="18"/>
          <w:szCs w:val="18"/>
        </w:rPr>
        <w:t>中邮证券、东方基 金、东兴证券、民 族证券、 珩生鸿鼎、泰康资 产、中邮基金、中 信建投、 京富融源、长城证 券、银华基金、宏 源证券、 国都证券、萨鼎投 资、乾坤上下投资</w:t>
      </w:r>
    </w:p>
    <w:p>
      <w:pPr>
        <w:spacing w:after="0" w:line="319"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tabs>
          <w:tab w:pos="3173" w:val="left" w:leader="none"/>
          <w:tab w:pos="4669" w:val="left" w:leader="none"/>
          <w:tab w:pos="6167" w:val="left" w:leader="none"/>
        </w:tabs>
        <w:spacing w:before="0"/>
        <w:ind w:left="181"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r>
        <w:rPr>
          <w:rFonts w:ascii="宋体" w:hAnsi="宋体" w:cs="宋体" w:eastAsia="宋体" w:hint="default"/>
          <w:spacing w:val="-36"/>
          <w:sz w:val="18"/>
          <w:szCs w:val="18"/>
        </w:rPr>
        <w:t> </w:t>
      </w:r>
      <w:r>
        <w:rPr>
          <w:rFonts w:ascii="宋体" w:hAnsi="宋体" w:cs="宋体" w:eastAsia="宋体" w:hint="default"/>
          <w:sz w:val="18"/>
          <w:szCs w:val="18"/>
        </w:rPr>
        <w:t>公司</w:t>
        <w:tab/>
        <w:t>实地调研</w:t>
        <w:tab/>
        <w:t>机构</w:t>
        <w:tab/>
        <w:t>广发证券</w:t>
      </w:r>
    </w:p>
    <w:p>
      <w:pPr>
        <w:spacing w:line="316" w:lineRule="auto" w:before="107"/>
        <w:ind w:left="181" w:right="298" w:firstLine="0"/>
        <w:jc w:val="both"/>
        <w:rPr>
          <w:rFonts w:ascii="宋体" w:hAnsi="宋体" w:cs="宋体" w:eastAsia="宋体" w:hint="default"/>
          <w:sz w:val="18"/>
          <w:szCs w:val="18"/>
        </w:rPr>
      </w:pPr>
      <w:r>
        <w:rPr/>
        <w:br w:type="column"/>
      </w:r>
      <w:r>
        <w:rPr>
          <w:rFonts w:ascii="宋体" w:hAnsi="宋体" w:cs="宋体" w:eastAsia="宋体" w:hint="default"/>
          <w:sz w:val="18"/>
          <w:szCs w:val="18"/>
        </w:rPr>
        <w:t>公司发展情况，市场竞争 力，产品储备情况。未提 供资料。</w:t>
      </w:r>
    </w:p>
    <w:p>
      <w:pPr>
        <w:spacing w:after="0" w:line="316" w:lineRule="auto"/>
        <w:jc w:val="both"/>
        <w:rPr>
          <w:rFonts w:ascii="宋体" w:hAnsi="宋体" w:cs="宋体" w:eastAsia="宋体" w:hint="default"/>
          <w:sz w:val="18"/>
          <w:szCs w:val="18"/>
        </w:rPr>
        <w:sectPr>
          <w:type w:val="continuous"/>
          <w:pgSz w:w="11910" w:h="16840"/>
          <w:pgMar w:top="1060" w:bottom="1180" w:left="980" w:right="980"/>
          <w:cols w:num="2" w:equalWidth="0">
            <w:col w:w="6888" w:space="594"/>
            <w:col w:w="2468"/>
          </w:cols>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tabs>
          <w:tab w:pos="3173" w:val="left" w:leader="none"/>
          <w:tab w:pos="4669" w:val="left" w:leader="none"/>
        </w:tabs>
        <w:spacing w:before="0"/>
        <w:ind w:left="181"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r>
        <w:rPr>
          <w:rFonts w:ascii="宋体" w:hAnsi="宋体" w:cs="宋体" w:eastAsia="宋体" w:hint="default"/>
          <w:spacing w:val="-36"/>
          <w:sz w:val="18"/>
          <w:szCs w:val="18"/>
        </w:rPr>
        <w:t> </w:t>
      </w:r>
      <w:r>
        <w:rPr>
          <w:rFonts w:ascii="宋体" w:hAnsi="宋体" w:cs="宋体" w:eastAsia="宋体" w:hint="default"/>
          <w:sz w:val="18"/>
          <w:szCs w:val="18"/>
        </w:rPr>
        <w:t>公司</w:t>
        <w:tab/>
        <w:t>实地调研</w:t>
        <w:tab/>
        <w:t>机构</w:t>
      </w:r>
    </w:p>
    <w:p>
      <w:pPr>
        <w:spacing w:line="240" w:lineRule="auto" w:before="3"/>
        <w:rPr>
          <w:rFonts w:ascii="宋体" w:hAnsi="宋体" w:cs="宋体" w:eastAsia="宋体" w:hint="default"/>
          <w:sz w:val="20"/>
          <w:szCs w:val="20"/>
        </w:rPr>
      </w:pPr>
      <w:r>
        <w:rPr/>
        <w:br w:type="column"/>
      </w:r>
      <w:r>
        <w:rPr>
          <w:rFonts w:ascii="宋体"/>
          <w:sz w:val="20"/>
        </w:rPr>
      </w:r>
    </w:p>
    <w:p>
      <w:pPr>
        <w:spacing w:line="316"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宏源证券、泽熙投 资</w:t>
      </w:r>
    </w:p>
    <w:p>
      <w:pPr>
        <w:spacing w:line="316" w:lineRule="auto" w:before="109"/>
        <w:ind w:left="16" w:right="298" w:firstLine="0"/>
        <w:jc w:val="both"/>
        <w:rPr>
          <w:rFonts w:ascii="宋体" w:hAnsi="宋体" w:cs="宋体" w:eastAsia="宋体" w:hint="default"/>
          <w:sz w:val="18"/>
          <w:szCs w:val="18"/>
        </w:rPr>
      </w:pPr>
      <w:r>
        <w:rPr/>
        <w:br w:type="column"/>
      </w:r>
      <w:r>
        <w:rPr>
          <w:rFonts w:ascii="宋体" w:hAnsi="宋体" w:cs="宋体" w:eastAsia="宋体" w:hint="default"/>
          <w:sz w:val="18"/>
          <w:szCs w:val="18"/>
        </w:rPr>
        <w:t>公司发展情况，市场竞争 力，产品储备情况。未提 供资料。</w:t>
      </w:r>
    </w:p>
    <w:p>
      <w:pPr>
        <w:spacing w:after="0" w:line="316" w:lineRule="auto"/>
        <w:jc w:val="both"/>
        <w:rPr>
          <w:rFonts w:ascii="宋体" w:hAnsi="宋体" w:cs="宋体" w:eastAsia="宋体" w:hint="default"/>
          <w:sz w:val="18"/>
          <w:szCs w:val="18"/>
        </w:rPr>
        <w:sectPr>
          <w:type w:val="continuous"/>
          <w:pgSz w:w="11910" w:h="16840"/>
          <w:pgMar w:top="1060" w:bottom="1180" w:left="980" w:right="980"/>
          <w:cols w:num="3" w:equalWidth="0">
            <w:col w:w="5030" w:space="955"/>
            <w:col w:w="1622" w:space="40"/>
            <w:col w:w="2303"/>
          </w:cols>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tabs>
          <w:tab w:pos="3173" w:val="left" w:leader="none"/>
          <w:tab w:pos="4669" w:val="left" w:leader="none"/>
        </w:tabs>
        <w:spacing w:before="0"/>
        <w:ind w:left="181"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r>
        <w:rPr>
          <w:rFonts w:ascii="宋体" w:hAnsi="宋体" w:cs="宋体" w:eastAsia="宋体" w:hint="default"/>
          <w:spacing w:val="-36"/>
          <w:sz w:val="18"/>
          <w:szCs w:val="18"/>
        </w:rPr>
        <w:t> </w:t>
      </w:r>
      <w:r>
        <w:rPr>
          <w:rFonts w:ascii="宋体" w:hAnsi="宋体" w:cs="宋体" w:eastAsia="宋体" w:hint="default"/>
          <w:sz w:val="18"/>
          <w:szCs w:val="18"/>
        </w:rPr>
        <w:t>公司</w:t>
        <w:tab/>
        <w:t>实地调研</w:t>
        <w:tab/>
        <w:t>机构</w:t>
      </w:r>
    </w:p>
    <w:p>
      <w:pPr>
        <w:spacing w:line="240" w:lineRule="auto" w:before="3"/>
        <w:rPr>
          <w:rFonts w:ascii="宋体" w:hAnsi="宋体" w:cs="宋体" w:eastAsia="宋体" w:hint="default"/>
          <w:sz w:val="20"/>
          <w:szCs w:val="20"/>
        </w:rPr>
      </w:pPr>
      <w:r>
        <w:rPr/>
        <w:br w:type="column"/>
      </w:r>
      <w:r>
        <w:rPr>
          <w:rFonts w:ascii="宋体"/>
          <w:sz w:val="20"/>
        </w:rPr>
      </w:r>
    </w:p>
    <w:p>
      <w:pPr>
        <w:spacing w:line="316"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富国基金、国信证 券</w:t>
      </w:r>
    </w:p>
    <w:p>
      <w:pPr>
        <w:spacing w:line="316" w:lineRule="auto" w:before="109"/>
        <w:ind w:left="16" w:right="298" w:firstLine="0"/>
        <w:jc w:val="both"/>
        <w:rPr>
          <w:rFonts w:ascii="宋体" w:hAnsi="宋体" w:cs="宋体" w:eastAsia="宋体" w:hint="default"/>
          <w:sz w:val="18"/>
          <w:szCs w:val="18"/>
        </w:rPr>
      </w:pPr>
      <w:r>
        <w:rPr/>
        <w:br w:type="column"/>
      </w:r>
      <w:r>
        <w:rPr>
          <w:rFonts w:ascii="宋体" w:hAnsi="宋体" w:cs="宋体" w:eastAsia="宋体" w:hint="default"/>
          <w:sz w:val="18"/>
          <w:szCs w:val="18"/>
        </w:rPr>
        <w:t>公司发展情况，市场竞争 力，产品储备情况。未提 供资料。</w:t>
      </w:r>
    </w:p>
    <w:p>
      <w:pPr>
        <w:spacing w:after="0" w:line="316" w:lineRule="auto"/>
        <w:jc w:val="both"/>
        <w:rPr>
          <w:rFonts w:ascii="宋体" w:hAnsi="宋体" w:cs="宋体" w:eastAsia="宋体" w:hint="default"/>
          <w:sz w:val="18"/>
          <w:szCs w:val="18"/>
        </w:rPr>
        <w:sectPr>
          <w:type w:val="continuous"/>
          <w:pgSz w:w="11910" w:h="16840"/>
          <w:pgMar w:top="1060" w:bottom="1180" w:left="980" w:right="980"/>
          <w:cols w:num="3" w:equalWidth="0">
            <w:col w:w="5030" w:space="955"/>
            <w:col w:w="1622" w:space="40"/>
            <w:col w:w="2303"/>
          </w:cols>
        </w:sectPr>
      </w:pPr>
    </w:p>
    <w:p>
      <w:pPr>
        <w:spacing w:before="109"/>
        <w:ind w:left="0" w:right="0" w:firstLine="0"/>
        <w:jc w:val="right"/>
        <w:rPr>
          <w:rFonts w:ascii="宋体" w:hAnsi="宋体" w:cs="宋体" w:eastAsia="宋体" w:hint="default"/>
          <w:sz w:val="18"/>
          <w:szCs w:val="18"/>
        </w:rPr>
      </w:pPr>
      <w:r>
        <w:rPr>
          <w:rFonts w:ascii="宋体" w:hAnsi="宋体" w:cs="宋体" w:eastAsia="宋体" w:hint="default"/>
          <w:sz w:val="18"/>
          <w:szCs w:val="18"/>
        </w:rPr>
        <w:t>华夏基金、富兰克</w:t>
      </w:r>
    </w:p>
    <w:p>
      <w:pPr>
        <w:spacing w:line="240" w:lineRule="auto" w:before="3"/>
        <w:rPr>
          <w:rFonts w:ascii="宋体" w:hAnsi="宋体" w:cs="宋体" w:eastAsia="宋体" w:hint="default"/>
          <w:sz w:val="20"/>
          <w:szCs w:val="20"/>
        </w:rPr>
      </w:pPr>
      <w:r>
        <w:rPr/>
        <w:br w:type="column"/>
      </w:r>
      <w:r>
        <w:rPr>
          <w:rFonts w:ascii="宋体"/>
          <w:sz w:val="20"/>
        </w:rPr>
      </w:r>
    </w:p>
    <w:p>
      <w:pPr>
        <w:spacing w:line="210" w:lineRule="exact" w:before="0"/>
        <w:ind w:left="16" w:right="0" w:firstLine="0"/>
        <w:jc w:val="left"/>
        <w:rPr>
          <w:rFonts w:ascii="宋体" w:hAnsi="宋体" w:cs="宋体" w:eastAsia="宋体" w:hint="default"/>
          <w:sz w:val="18"/>
          <w:szCs w:val="18"/>
        </w:rPr>
      </w:pPr>
      <w:r>
        <w:rPr>
          <w:rFonts w:ascii="宋体" w:hAnsi="宋体" w:cs="宋体" w:eastAsia="宋体" w:hint="default"/>
          <w:sz w:val="18"/>
          <w:szCs w:val="18"/>
        </w:rPr>
        <w:t>公司发展情况，市场竞争</w:t>
      </w:r>
    </w:p>
    <w:p>
      <w:pPr>
        <w:spacing w:after="0" w:line="210" w:lineRule="exact"/>
        <w:jc w:val="left"/>
        <w:rPr>
          <w:rFonts w:ascii="宋体" w:hAnsi="宋体" w:cs="宋体" w:eastAsia="宋体" w:hint="default"/>
          <w:sz w:val="18"/>
          <w:szCs w:val="18"/>
        </w:rPr>
        <w:sectPr>
          <w:type w:val="continuous"/>
          <w:pgSz w:w="11910" w:h="16840"/>
          <w:pgMar w:top="1060" w:bottom="1180" w:left="980" w:right="980"/>
          <w:cols w:num="2" w:equalWidth="0">
            <w:col w:w="7608" w:space="40"/>
            <w:col w:w="2302"/>
          </w:cols>
        </w:sectPr>
      </w:pPr>
    </w:p>
    <w:p>
      <w:pPr>
        <w:tabs>
          <w:tab w:pos="3173" w:val="left" w:leader="none"/>
          <w:tab w:pos="4669" w:val="left" w:leader="none"/>
        </w:tabs>
        <w:spacing w:before="101"/>
        <w:ind w:left="181"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r>
        <w:rPr>
          <w:rFonts w:ascii="宋体" w:hAnsi="宋体" w:cs="宋体" w:eastAsia="宋体" w:hint="default"/>
          <w:spacing w:val="-36"/>
          <w:sz w:val="18"/>
          <w:szCs w:val="18"/>
        </w:rPr>
        <w:t> </w:t>
      </w:r>
      <w:r>
        <w:rPr>
          <w:rFonts w:ascii="宋体" w:hAnsi="宋体" w:cs="宋体" w:eastAsia="宋体" w:hint="default"/>
          <w:sz w:val="18"/>
          <w:szCs w:val="18"/>
        </w:rPr>
        <w:t>公司</w:t>
        <w:tab/>
        <w:t>实地调研</w:t>
        <w:tab/>
        <w:t>机构</w:t>
      </w:r>
    </w:p>
    <w:p>
      <w:pPr>
        <w:spacing w:line="140" w:lineRule="exact" w:before="0"/>
        <w:ind w:left="18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林基金</w:t>
      </w:r>
      <w:r>
        <w:rPr>
          <w:rFonts w:ascii="宋体" w:hAnsi="宋体" w:cs="宋体" w:eastAsia="宋体" w:hint="default"/>
          <w:spacing w:val="-89"/>
          <w:sz w:val="18"/>
          <w:szCs w:val="18"/>
        </w:rPr>
        <w:t>、</w:t>
      </w:r>
      <w:r>
        <w:rPr>
          <w:rFonts w:ascii="宋体" w:hAnsi="宋体" w:cs="宋体" w:eastAsia="宋体" w:hint="default"/>
          <w:sz w:val="18"/>
          <w:szCs w:val="18"/>
        </w:rPr>
        <w:t>安信证券、</w:t>
      </w:r>
    </w:p>
    <w:p>
      <w:pPr>
        <w:spacing w:line="156" w:lineRule="exact" w:before="0"/>
        <w:ind w:left="1677" w:right="0" w:firstLine="0"/>
        <w:jc w:val="left"/>
        <w:rPr>
          <w:rFonts w:ascii="宋体" w:hAnsi="宋体" w:cs="宋体" w:eastAsia="宋体" w:hint="default"/>
          <w:sz w:val="18"/>
          <w:szCs w:val="18"/>
        </w:rPr>
      </w:pPr>
      <w:r>
        <w:rPr>
          <w:rFonts w:ascii="宋体" w:hAnsi="宋体" w:cs="宋体" w:eastAsia="宋体" w:hint="default"/>
          <w:sz w:val="18"/>
          <w:szCs w:val="18"/>
        </w:rPr>
        <w:t>力，产品储备情况。未提</w:t>
      </w:r>
    </w:p>
    <w:p>
      <w:pPr>
        <w:spacing w:line="173" w:lineRule="exact" w:before="0"/>
        <w:ind w:left="181" w:right="0" w:firstLine="0"/>
        <w:jc w:val="left"/>
        <w:rPr>
          <w:rFonts w:ascii="宋体" w:hAnsi="宋体" w:cs="宋体" w:eastAsia="宋体" w:hint="default"/>
          <w:sz w:val="18"/>
          <w:szCs w:val="18"/>
        </w:rPr>
      </w:pPr>
      <w:r>
        <w:rPr>
          <w:rFonts w:ascii="宋体" w:hAnsi="宋体" w:cs="宋体" w:eastAsia="宋体" w:hint="default"/>
          <w:sz w:val="18"/>
          <w:szCs w:val="18"/>
        </w:rPr>
        <w:t>信诚基金、易方达</w:t>
      </w:r>
    </w:p>
    <w:p>
      <w:pPr>
        <w:spacing w:after="0" w:line="173" w:lineRule="exact"/>
        <w:jc w:val="left"/>
        <w:rPr>
          <w:rFonts w:ascii="宋体" w:hAnsi="宋体" w:cs="宋体" w:eastAsia="宋体" w:hint="default"/>
          <w:sz w:val="18"/>
          <w:szCs w:val="18"/>
        </w:rPr>
        <w:sectPr>
          <w:type w:val="continuous"/>
          <w:pgSz w:w="11910" w:h="16840"/>
          <w:pgMar w:top="1060" w:bottom="1180" w:left="980" w:right="980"/>
          <w:cols w:num="2" w:equalWidth="0">
            <w:col w:w="5030" w:space="955"/>
            <w:col w:w="3965"/>
          </w:cols>
        </w:sectPr>
      </w:pPr>
    </w:p>
    <w:p>
      <w:pPr>
        <w:spacing w:line="140" w:lineRule="exact" w:before="0"/>
        <w:ind w:left="0" w:right="1558" w:firstLine="0"/>
        <w:jc w:val="right"/>
        <w:rPr>
          <w:rFonts w:ascii="宋体" w:hAnsi="宋体" w:cs="宋体" w:eastAsia="宋体" w:hint="default"/>
          <w:sz w:val="18"/>
          <w:szCs w:val="18"/>
        </w:rPr>
      </w:pPr>
      <w:r>
        <w:rPr>
          <w:rFonts w:ascii="宋体" w:hAnsi="宋体" w:cs="宋体" w:eastAsia="宋体" w:hint="default"/>
          <w:sz w:val="18"/>
          <w:szCs w:val="18"/>
        </w:rPr>
        <w:t>供资料。</w:t>
      </w:r>
    </w:p>
    <w:p>
      <w:pPr>
        <w:spacing w:line="196" w:lineRule="exact" w:before="0"/>
        <w:ind w:left="5171" w:right="2421" w:firstLine="0"/>
        <w:jc w:val="center"/>
        <w:rPr>
          <w:rFonts w:ascii="宋体" w:hAnsi="宋体" w:cs="宋体" w:eastAsia="宋体" w:hint="default"/>
          <w:sz w:val="18"/>
          <w:szCs w:val="18"/>
        </w:rPr>
      </w:pPr>
      <w:r>
        <w:rPr>
          <w:rFonts w:ascii="宋体" w:hAnsi="宋体" w:cs="宋体" w:eastAsia="宋体" w:hint="default"/>
          <w:sz w:val="18"/>
          <w:szCs w:val="18"/>
        </w:rPr>
        <w:t>基金</w:t>
      </w: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0"/>
        <w:rPr>
          <w:rFonts w:ascii="宋体" w:hAnsi="宋体" w:cs="宋体" w:eastAsia="宋体" w:hint="default"/>
          <w:sz w:val="18"/>
          <w:szCs w:val="18"/>
        </w:rPr>
      </w:pPr>
    </w:p>
    <w:p>
      <w:pPr>
        <w:tabs>
          <w:tab w:pos="3173" w:val="left" w:leader="none"/>
          <w:tab w:pos="4669" w:val="left" w:leader="none"/>
        </w:tabs>
        <w:spacing w:before="121"/>
        <w:ind w:left="181"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r>
        <w:rPr>
          <w:rFonts w:ascii="宋体" w:hAnsi="宋体" w:cs="宋体" w:eastAsia="宋体" w:hint="default"/>
          <w:spacing w:val="-36"/>
          <w:sz w:val="18"/>
          <w:szCs w:val="18"/>
        </w:rPr>
        <w:t> </w:t>
      </w:r>
      <w:r>
        <w:rPr>
          <w:rFonts w:ascii="宋体" w:hAnsi="宋体" w:cs="宋体" w:eastAsia="宋体" w:hint="default"/>
          <w:sz w:val="18"/>
          <w:szCs w:val="18"/>
        </w:rPr>
        <w:t>公司</w:t>
        <w:tab/>
        <w:t>实地调研</w:t>
        <w:tab/>
        <w:t>机构</w:t>
      </w:r>
    </w:p>
    <w:p>
      <w:pPr>
        <w:spacing w:line="240" w:lineRule="auto" w:before="4"/>
        <w:rPr>
          <w:rFonts w:ascii="宋体" w:hAnsi="宋体" w:cs="宋体" w:eastAsia="宋体" w:hint="default"/>
          <w:sz w:val="15"/>
          <w:szCs w:val="15"/>
        </w:rPr>
      </w:pPr>
      <w:r>
        <w:rPr/>
        <w:br w:type="column"/>
      </w:r>
      <w:r>
        <w:rPr>
          <w:rFonts w:ascii="宋体"/>
          <w:sz w:val="15"/>
        </w:rPr>
      </w:r>
    </w:p>
    <w:p>
      <w:pPr>
        <w:spacing w:line="316"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光大证券、国信证 券</w:t>
      </w:r>
    </w:p>
    <w:p>
      <w:pPr>
        <w:spacing w:line="316" w:lineRule="auto" w:before="44"/>
        <w:ind w:left="16" w:right="298" w:firstLine="0"/>
        <w:jc w:val="both"/>
        <w:rPr>
          <w:rFonts w:ascii="宋体" w:hAnsi="宋体" w:cs="宋体" w:eastAsia="宋体" w:hint="default"/>
          <w:sz w:val="18"/>
          <w:szCs w:val="18"/>
        </w:rPr>
      </w:pPr>
      <w:r>
        <w:rPr/>
        <w:br w:type="column"/>
      </w:r>
      <w:r>
        <w:rPr>
          <w:rFonts w:ascii="宋体" w:hAnsi="宋体" w:cs="宋体" w:eastAsia="宋体" w:hint="default"/>
          <w:sz w:val="18"/>
          <w:szCs w:val="18"/>
        </w:rPr>
        <w:t>公司发展情况，市场竞争 力，产品储备情况。未提 供资料。</w:t>
      </w:r>
    </w:p>
    <w:p>
      <w:pPr>
        <w:spacing w:after="0" w:line="316" w:lineRule="auto"/>
        <w:jc w:val="both"/>
        <w:rPr>
          <w:rFonts w:ascii="宋体" w:hAnsi="宋体" w:cs="宋体" w:eastAsia="宋体" w:hint="default"/>
          <w:sz w:val="18"/>
          <w:szCs w:val="18"/>
        </w:rPr>
        <w:sectPr>
          <w:type w:val="continuous"/>
          <w:pgSz w:w="11910" w:h="16840"/>
          <w:pgMar w:top="1060" w:bottom="1180" w:left="980" w:right="980"/>
          <w:cols w:num="3" w:equalWidth="0">
            <w:col w:w="5030" w:space="955"/>
            <w:col w:w="1622" w:space="40"/>
            <w:col w:w="2303"/>
          </w:cols>
        </w:sectPr>
      </w:pPr>
    </w:p>
    <w:p>
      <w:pPr>
        <w:spacing w:line="240" w:lineRule="auto" w:before="0"/>
        <w:rPr>
          <w:rFonts w:ascii="宋体" w:hAnsi="宋体" w:cs="宋体" w:eastAsia="宋体" w:hint="default"/>
          <w:sz w:val="18"/>
          <w:szCs w:val="18"/>
        </w:rPr>
      </w:pPr>
      <w:r>
        <w:rPr/>
        <w:pict>
          <v:group style="position:absolute;margin-left:56.219978pt;margin-top:71.759956pt;width:479.4pt;height:683.7pt;mso-position-horizontal-relative:page;mso-position-vertical-relative:page;z-index:-670960" coordorigin="1124,1435" coordsize="9588,13674">
            <v:group style="position:absolute;left:8621;top:1450;width:2078;height:3473" coordorigin="8621,1450" coordsize="2078,3473">
              <v:shape style="position:absolute;left:8621;top:1450;width:2078;height:3473" coordorigin="8621,1450" coordsize="2078,3473" path="m8621,4922l10698,4922,10698,1450,8621,1450,8621,4922xe" filled="true" fillcolor="#ffffff" stroked="false">
                <v:path arrowok="t"/>
                <v:fill type="solid"/>
              </v:shape>
            </v:group>
            <v:group style="position:absolute;left:1129;top:1445;width:9579;height:2" coordorigin="1129,1445" coordsize="9579,2">
              <v:shape style="position:absolute;left:1129;top:1445;width:9579;height:2" coordorigin="1129,1445" coordsize="9579,0" path="m1129,1445l10708,1445e" filled="false" stroked="true" strokeweight=".48004pt" strokecolor="#000000">
                <v:path arrowok="t"/>
              </v:shape>
            </v:group>
            <v:group style="position:absolute;left:2628;top:1450;width:2;height:3473" coordorigin="2628,1450" coordsize="2,3473">
              <v:shape style="position:absolute;left:2628;top:1450;width:2;height:3473" coordorigin="2628,1450" coordsize="0,3473" path="m2628,1450l2628,4922e" filled="false" stroked="true" strokeweight=".48pt" strokecolor="#000000">
                <v:path arrowok="t"/>
              </v:shape>
            </v:group>
            <v:group style="position:absolute;left:4126;top:1450;width:2;height:3473" coordorigin="4126,1450" coordsize="2,3473">
              <v:shape style="position:absolute;left:4126;top:1450;width:2;height:3473" coordorigin="4126,1450" coordsize="0,3473" path="m4126,1450l4126,4922e" filled="false" stroked="true" strokeweight=".48001pt" strokecolor="#000000">
                <v:path arrowok="t"/>
              </v:shape>
            </v:group>
            <v:group style="position:absolute;left:5622;top:1450;width:2;height:3473" coordorigin="5622,1450" coordsize="2,3473">
              <v:shape style="position:absolute;left:5622;top:1450;width:2;height:3473" coordorigin="5622,1450" coordsize="0,3473" path="m5622,1450l5622,4922e" filled="false" stroked="true" strokeweight=".47998pt" strokecolor="#000000">
                <v:path arrowok="t"/>
              </v:shape>
            </v:group>
            <v:group style="position:absolute;left:7120;top:1450;width:2;height:3473" coordorigin="7120,1450" coordsize="2,3473">
              <v:shape style="position:absolute;left:7120;top:1450;width:2;height:3473" coordorigin="7120,1450" coordsize="0,3473" path="m7120,1450l7120,4922e" filled="false" stroked="true" strokeweight=".47998pt" strokecolor="#000000">
                <v:path arrowok="t"/>
              </v:shape>
            </v:group>
            <v:group style="position:absolute;left:8616;top:1450;width:2;height:3473" coordorigin="8616,1450" coordsize="2,3473">
              <v:shape style="position:absolute;left:8616;top:1450;width:2;height:3473" coordorigin="8616,1450" coordsize="0,3473" path="m8616,1450l8616,4922e" filled="false" stroked="true" strokeweight=".47998pt" strokecolor="#000000">
                <v:path arrowok="t"/>
              </v:shape>
            </v:group>
            <v:group style="position:absolute;left:1129;top:4927;width:9579;height:2" coordorigin="1129,4927" coordsize="9579,2">
              <v:shape style="position:absolute;left:1129;top:4927;width:9579;height:2" coordorigin="1129,4927" coordsize="9579,0" path="m1129,4927l10708,4927e" filled="false" stroked="true" strokeweight=".47998pt" strokecolor="#000000">
                <v:path arrowok="t"/>
              </v:shape>
            </v:group>
            <v:group style="position:absolute;left:2628;top:4932;width:2;height:1017" coordorigin="2628,4932" coordsize="2,1017">
              <v:shape style="position:absolute;left:2628;top:4932;width:2;height:1017" coordorigin="2628,4932" coordsize="0,1017" path="m2628,4932l2628,5948e" filled="false" stroked="true" strokeweight=".48pt" strokecolor="#000000">
                <v:path arrowok="t"/>
              </v:shape>
            </v:group>
            <v:group style="position:absolute;left:4126;top:4932;width:2;height:1017" coordorigin="4126,4932" coordsize="2,1017">
              <v:shape style="position:absolute;left:4126;top:4932;width:2;height:1017" coordorigin="4126,4932" coordsize="0,1017" path="m4126,4932l4126,5948e" filled="false" stroked="true" strokeweight=".48001pt" strokecolor="#000000">
                <v:path arrowok="t"/>
              </v:shape>
            </v:group>
            <v:group style="position:absolute;left:5622;top:4932;width:2;height:1017" coordorigin="5622,4932" coordsize="2,1017">
              <v:shape style="position:absolute;left:5622;top:4932;width:2;height:1017" coordorigin="5622,4932" coordsize="0,1017" path="m5622,4932l5622,5948e" filled="false" stroked="true" strokeweight=".47998pt" strokecolor="#000000">
                <v:path arrowok="t"/>
              </v:shape>
            </v:group>
            <v:group style="position:absolute;left:7120;top:4932;width:2;height:1017" coordorigin="7120,4932" coordsize="2,1017">
              <v:shape style="position:absolute;left:7120;top:4932;width:2;height:1017" coordorigin="7120,4932" coordsize="0,1017" path="m7120,4932l7120,5948e" filled="false" stroked="true" strokeweight=".47998pt" strokecolor="#000000">
                <v:path arrowok="t"/>
              </v:shape>
            </v:group>
            <v:group style="position:absolute;left:8616;top:4932;width:2;height:1017" coordorigin="8616,4932" coordsize="2,1017">
              <v:shape style="position:absolute;left:8616;top:4932;width:2;height:1017" coordorigin="8616,4932" coordsize="0,1017" path="m8616,4932l8616,5948e" filled="false" stroked="true" strokeweight=".47998pt" strokecolor="#000000">
                <v:path arrowok="t"/>
              </v:shape>
            </v:group>
            <v:group style="position:absolute;left:1129;top:5953;width:9579;height:2" coordorigin="1129,5953" coordsize="9579,2">
              <v:shape style="position:absolute;left:1129;top:5953;width:9579;height:2" coordorigin="1129,5953" coordsize="9579,0" path="m1129,5953l10708,5953e" filled="false" stroked="true" strokeweight=".47998pt" strokecolor="#000000">
                <v:path arrowok="t"/>
              </v:shape>
            </v:group>
            <v:group style="position:absolute;left:2628;top:5958;width:2;height:1017" coordorigin="2628,5958" coordsize="2,1017">
              <v:shape style="position:absolute;left:2628;top:5958;width:2;height:1017" coordorigin="2628,5958" coordsize="0,1017" path="m2628,5958l2628,6974e" filled="false" stroked="true" strokeweight=".48pt" strokecolor="#000000">
                <v:path arrowok="t"/>
              </v:shape>
            </v:group>
            <v:group style="position:absolute;left:4126;top:5958;width:2;height:1017" coordorigin="4126,5958" coordsize="2,1017">
              <v:shape style="position:absolute;left:4126;top:5958;width:2;height:1017" coordorigin="4126,5958" coordsize="0,1017" path="m4126,5958l4126,6974e" filled="false" stroked="true" strokeweight=".48001pt" strokecolor="#000000">
                <v:path arrowok="t"/>
              </v:shape>
            </v:group>
            <v:group style="position:absolute;left:5622;top:5958;width:2;height:1017" coordorigin="5622,5958" coordsize="2,1017">
              <v:shape style="position:absolute;left:5622;top:5958;width:2;height:1017" coordorigin="5622,5958" coordsize="0,1017" path="m5622,5958l5622,6974e" filled="false" stroked="true" strokeweight=".47998pt" strokecolor="#000000">
                <v:path arrowok="t"/>
              </v:shape>
            </v:group>
            <v:group style="position:absolute;left:7120;top:5958;width:2;height:1017" coordorigin="7120,5958" coordsize="2,1017">
              <v:shape style="position:absolute;left:7120;top:5958;width:2;height:1017" coordorigin="7120,5958" coordsize="0,1017" path="m7120,5958l7120,6974e" filled="false" stroked="true" strokeweight=".47998pt" strokecolor="#000000">
                <v:path arrowok="t"/>
              </v:shape>
            </v:group>
            <v:group style="position:absolute;left:8616;top:5958;width:2;height:1017" coordorigin="8616,5958" coordsize="2,1017">
              <v:shape style="position:absolute;left:8616;top:5958;width:2;height:1017" coordorigin="8616,5958" coordsize="0,1017" path="m8616,5958l8616,6974e" filled="false" stroked="true" strokeweight=".47998pt" strokecolor="#000000">
                <v:path arrowok="t"/>
              </v:shape>
            </v:group>
            <v:group style="position:absolute;left:1129;top:6979;width:9579;height:2" coordorigin="1129,6979" coordsize="9579,2">
              <v:shape style="position:absolute;left:1129;top:6979;width:9579;height:2" coordorigin="1129,6979" coordsize="9579,0" path="m1129,6979l10708,6979e" filled="false" stroked="true" strokeweight=".48001pt" strokecolor="#000000">
                <v:path arrowok="t"/>
              </v:shape>
            </v:group>
            <v:group style="position:absolute;left:2628;top:6984;width:2;height:1017" coordorigin="2628,6984" coordsize="2,1017">
              <v:shape style="position:absolute;left:2628;top:6984;width:2;height:1017" coordorigin="2628,6984" coordsize="0,1017" path="m2628,6984l2628,8000e" filled="false" stroked="true" strokeweight=".48pt" strokecolor="#000000">
                <v:path arrowok="t"/>
              </v:shape>
            </v:group>
            <v:group style="position:absolute;left:4126;top:6984;width:2;height:1017" coordorigin="4126,6984" coordsize="2,1017">
              <v:shape style="position:absolute;left:4126;top:6984;width:2;height:1017" coordorigin="4126,6984" coordsize="0,1017" path="m4126,6984l4126,8000e" filled="false" stroked="true" strokeweight=".48001pt" strokecolor="#000000">
                <v:path arrowok="t"/>
              </v:shape>
            </v:group>
            <v:group style="position:absolute;left:5622;top:6984;width:2;height:1017" coordorigin="5622,6984" coordsize="2,1017">
              <v:shape style="position:absolute;left:5622;top:6984;width:2;height:1017" coordorigin="5622,6984" coordsize="0,1017" path="m5622,6984l5622,8000e" filled="false" stroked="true" strokeweight=".47998pt" strokecolor="#000000">
                <v:path arrowok="t"/>
              </v:shape>
            </v:group>
            <v:group style="position:absolute;left:7120;top:6984;width:2;height:1017" coordorigin="7120,6984" coordsize="2,1017">
              <v:shape style="position:absolute;left:7120;top:6984;width:2;height:1017" coordorigin="7120,6984" coordsize="0,1017" path="m7120,6984l7120,8000e" filled="false" stroked="true" strokeweight=".47998pt" strokecolor="#000000">
                <v:path arrowok="t"/>
              </v:shape>
            </v:group>
            <v:group style="position:absolute;left:8616;top:6984;width:2;height:1017" coordorigin="8616,6984" coordsize="2,1017">
              <v:shape style="position:absolute;left:8616;top:6984;width:2;height:1017" coordorigin="8616,6984" coordsize="0,1017" path="m8616,6984l8616,8000e" filled="false" stroked="true" strokeweight=".47998pt" strokecolor="#000000">
                <v:path arrowok="t"/>
              </v:shape>
            </v:group>
            <v:group style="position:absolute;left:1129;top:8005;width:9579;height:2" coordorigin="1129,8005" coordsize="9579,2">
              <v:shape style="position:absolute;left:1129;top:8005;width:9579;height:2" coordorigin="1129,8005" coordsize="9579,0" path="m1129,8005l10708,8005e" filled="false" stroked="true" strokeweight=".47998pt" strokecolor="#000000">
                <v:path arrowok="t"/>
              </v:shape>
            </v:group>
            <v:group style="position:absolute;left:2628;top:8010;width:2;height:1329" coordorigin="2628,8010" coordsize="2,1329">
              <v:shape style="position:absolute;left:2628;top:8010;width:2;height:1329" coordorigin="2628,8010" coordsize="0,1329" path="m2628,8010l2628,9338e" filled="false" stroked="true" strokeweight=".48pt" strokecolor="#000000">
                <v:path arrowok="t"/>
              </v:shape>
            </v:group>
            <v:group style="position:absolute;left:4126;top:8010;width:2;height:1329" coordorigin="4126,8010" coordsize="2,1329">
              <v:shape style="position:absolute;left:4126;top:8010;width:2;height:1329" coordorigin="4126,8010" coordsize="0,1329" path="m4126,8010l4126,9338e" filled="false" stroked="true" strokeweight=".48001pt" strokecolor="#000000">
                <v:path arrowok="t"/>
              </v:shape>
            </v:group>
            <v:group style="position:absolute;left:5622;top:8010;width:2;height:1329" coordorigin="5622,8010" coordsize="2,1329">
              <v:shape style="position:absolute;left:5622;top:8010;width:2;height:1329" coordorigin="5622,8010" coordsize="0,1329" path="m5622,8010l5622,9338e" filled="false" stroked="true" strokeweight=".47998pt" strokecolor="#000000">
                <v:path arrowok="t"/>
              </v:shape>
            </v:group>
            <v:group style="position:absolute;left:7120;top:8010;width:2;height:1329" coordorigin="7120,8010" coordsize="2,1329">
              <v:shape style="position:absolute;left:7120;top:8010;width:2;height:1329" coordorigin="7120,8010" coordsize="0,1329" path="m7120,8010l7120,9338e" filled="false" stroked="true" strokeweight=".47998pt" strokecolor="#000000">
                <v:path arrowok="t"/>
              </v:shape>
            </v:group>
            <v:group style="position:absolute;left:8632;top:8166;width:2;height:1016" coordorigin="8632,8166" coordsize="2,1016">
              <v:shape style="position:absolute;left:8632;top:8166;width:2;height:1016" coordorigin="8632,8166" coordsize="0,1016" path="m8632,8166l8632,9182e" filled="false" stroked="true" strokeweight="1.140pt" strokecolor="#ffffff">
                <v:path arrowok="t"/>
              </v:shape>
            </v:group>
            <v:group style="position:absolute;left:8644;top:8166;width:2032;height:352" coordorigin="8644,8166" coordsize="2032,352">
              <v:shape style="position:absolute;left:8644;top:8166;width:2032;height:352" coordorigin="8644,8166" coordsize="2032,352" path="m8644,8518l10675,8518,10675,8166,8644,8166,8644,8518xe" filled="true" fillcolor="#ffffff" stroked="false">
                <v:path arrowok="t"/>
                <v:fill type="solid"/>
              </v:shape>
            </v:group>
            <v:group style="position:absolute;left:8644;top:8518;width:2032;height:312" coordorigin="8644,8518" coordsize="2032,312">
              <v:shape style="position:absolute;left:8644;top:8518;width:2032;height:312" coordorigin="8644,8518" coordsize="2032,312" path="m8644,8830l10675,8830,10675,8518,8644,8518,8644,8830xe" filled="true" fillcolor="#ffffff" stroked="false">
                <v:path arrowok="t"/>
                <v:fill type="solid"/>
              </v:shape>
            </v:group>
            <v:group style="position:absolute;left:8616;top:8010;width:2;height:1329" coordorigin="8616,8010" coordsize="2,1329">
              <v:shape style="position:absolute;left:8616;top:8010;width:2;height:1329" coordorigin="8616,8010" coordsize="0,1329" path="m8616,8010l8616,9338e" filled="false" stroked="true" strokeweight=".47998pt" strokecolor="#000000">
                <v:path arrowok="t"/>
              </v:shape>
            </v:group>
            <v:group style="position:absolute;left:1129;top:9343;width:9579;height:2" coordorigin="1129,9343" coordsize="9579,2">
              <v:shape style="position:absolute;left:1129;top:9343;width:9579;height:2" coordorigin="1129,9343" coordsize="9579,0" path="m1129,9343l10708,9343e" filled="false" stroked="true" strokeweight=".48001pt" strokecolor="#000000">
                <v:path arrowok="t"/>
              </v:shape>
            </v:group>
            <v:group style="position:absolute;left:2628;top:9348;width:2;height:1017" coordorigin="2628,9348" coordsize="2,1017">
              <v:shape style="position:absolute;left:2628;top:9348;width:2;height:1017" coordorigin="2628,9348" coordsize="0,1017" path="m2628,9348l2628,10364e" filled="false" stroked="true" strokeweight=".48pt" strokecolor="#000000">
                <v:path arrowok="t"/>
              </v:shape>
            </v:group>
            <v:group style="position:absolute;left:4126;top:9348;width:2;height:1017" coordorigin="4126,9348" coordsize="2,1017">
              <v:shape style="position:absolute;left:4126;top:9348;width:2;height:1017" coordorigin="4126,9348" coordsize="0,1017" path="m4126,9348l4126,10364e" filled="false" stroked="true" strokeweight=".48001pt" strokecolor="#000000">
                <v:path arrowok="t"/>
              </v:shape>
            </v:group>
            <v:group style="position:absolute;left:5622;top:9348;width:2;height:1017" coordorigin="5622,9348" coordsize="2,1017">
              <v:shape style="position:absolute;left:5622;top:9348;width:2;height:1017" coordorigin="5622,9348" coordsize="0,1017" path="m5622,9348l5622,10364e" filled="false" stroked="true" strokeweight=".47998pt" strokecolor="#000000">
                <v:path arrowok="t"/>
              </v:shape>
            </v:group>
            <v:group style="position:absolute;left:7120;top:9348;width:2;height:1017" coordorigin="7120,9348" coordsize="2,1017">
              <v:shape style="position:absolute;left:7120;top:9348;width:2;height:1017" coordorigin="7120,9348" coordsize="0,1017" path="m7120,9348l7120,10364e" filled="false" stroked="true" strokeweight=".47998pt" strokecolor="#000000">
                <v:path arrowok="t"/>
              </v:shape>
            </v:group>
            <v:group style="position:absolute;left:8616;top:9348;width:2;height:1017" coordorigin="8616,9348" coordsize="2,1017">
              <v:shape style="position:absolute;left:8616;top:9348;width:2;height:1017" coordorigin="8616,9348" coordsize="0,1017" path="m8616,9348l8616,10364e" filled="false" stroked="true" strokeweight=".47998pt" strokecolor="#000000">
                <v:path arrowok="t"/>
              </v:shape>
            </v:group>
            <v:group style="position:absolute;left:8621;top:13242;width:2078;height:1852" coordorigin="8621,13242" coordsize="2078,1852">
              <v:shape style="position:absolute;left:8621;top:13242;width:2078;height:1852" coordorigin="8621,13242" coordsize="2078,1852" path="m8621,15094l10698,15094,10698,13242,8621,13242,8621,15094xe" filled="true" fillcolor="#ffffff" stroked="false">
                <v:path arrowok="t"/>
                <v:fill type="solid"/>
              </v:shape>
            </v:group>
            <v:group style="position:absolute;left:8632;top:12226;width:2;height:1016" coordorigin="8632,12226" coordsize="2,1016">
              <v:shape style="position:absolute;left:8632;top:12226;width:2;height:1016" coordorigin="8632,12226" coordsize="0,1016" path="m8632,12226l8632,13242e" filled="false" stroked="true" strokeweight="1.140pt" strokecolor="#ffffff">
                <v:path arrowok="t"/>
              </v:shape>
            </v:group>
            <v:group style="position:absolute;left:8621;top:10374;width:2078;height:1852" coordorigin="8621,10374" coordsize="2078,1852">
              <v:shape style="position:absolute;left:8621;top:10374;width:2078;height:1852" coordorigin="8621,10374" coordsize="2078,1852" path="m8621,12226l10698,12226,10698,10374,8621,10374,8621,12226xe" filled="true" fillcolor="#ffffff" stroked="false">
                <v:path arrowok="t"/>
                <v:fill type="solid"/>
              </v:shape>
            </v:group>
            <v:group style="position:absolute;left:8644;top:12890;width:2032;height:352" coordorigin="8644,12890" coordsize="2032,352">
              <v:shape style="position:absolute;left:8644;top:12890;width:2032;height:352" coordorigin="8644,12890" coordsize="2032,352" path="m8644,13242l10675,13242,10675,12890,8644,12890,8644,13242xe" filled="true" fillcolor="#ffffff" stroked="false">
                <v:path arrowok="t"/>
                <v:fill type="solid"/>
              </v:shape>
            </v:group>
            <v:group style="position:absolute;left:1129;top:10369;width:9579;height:2" coordorigin="1129,10369" coordsize="9579,2">
              <v:shape style="position:absolute;left:1129;top:10369;width:9579;height:2" coordorigin="1129,10369" coordsize="9579,0" path="m1129,10369l10708,10369e" filled="false" stroked="true" strokeweight=".47998pt" strokecolor="#000000">
                <v:path arrowok="t"/>
              </v:shape>
            </v:group>
            <v:group style="position:absolute;left:1134;top:1440;width:2;height:13665" coordorigin="1134,1440" coordsize="2,13665">
              <v:shape style="position:absolute;left:1134;top:1440;width:2;height:13665" coordorigin="1134,1440" coordsize="0,13665" path="m1134,1440l1134,15104e" filled="false" stroked="true" strokeweight=".48001pt" strokecolor="#000000">
                <v:path arrowok="t"/>
              </v:shape>
            </v:group>
            <v:group style="position:absolute;left:1129;top:15100;width:1494;height:2" coordorigin="1129,15100" coordsize="1494,2">
              <v:shape style="position:absolute;left:1129;top:15100;width:1494;height:2" coordorigin="1129,15100" coordsize="1494,0" path="m1129,15100l2623,15100e" filled="false" stroked="true" strokeweight=".48001pt" strokecolor="#000000">
                <v:path arrowok="t"/>
              </v:shape>
            </v:group>
            <v:group style="position:absolute;left:2628;top:10374;width:2;height:4731" coordorigin="2628,10374" coordsize="2,4731">
              <v:shape style="position:absolute;left:2628;top:10374;width:2;height:4731" coordorigin="2628,10374" coordsize="0,4731" path="m2628,10374l2628,15104e" filled="false" stroked="true" strokeweight=".48pt" strokecolor="#000000">
                <v:path arrowok="t"/>
              </v:shape>
            </v:group>
            <v:group style="position:absolute;left:2633;top:15100;width:1488;height:2" coordorigin="2633,15100" coordsize="1488,2">
              <v:shape style="position:absolute;left:2633;top:15100;width:1488;height:2" coordorigin="2633,15100" coordsize="1488,0" path="m2633,15100l4121,15100e" filled="false" stroked="true" strokeweight=".48001pt" strokecolor="#000000">
                <v:path arrowok="t"/>
              </v:shape>
            </v:group>
            <v:group style="position:absolute;left:4126;top:10374;width:2;height:4731" coordorigin="4126,10374" coordsize="2,4731">
              <v:shape style="position:absolute;left:4126;top:10374;width:2;height:4731" coordorigin="4126,10374" coordsize="0,4731" path="m4126,10374l4126,15104e" filled="false" stroked="true" strokeweight=".48001pt" strokecolor="#000000">
                <v:path arrowok="t"/>
              </v:shape>
            </v:group>
            <v:group style="position:absolute;left:4130;top:15100;width:1487;height:2" coordorigin="4130,15100" coordsize="1487,2">
              <v:shape style="position:absolute;left:4130;top:15100;width:1487;height:2" coordorigin="4130,15100" coordsize="1487,0" path="m4130,15100l5617,15100e" filled="false" stroked="true" strokeweight=".48001pt" strokecolor="#000000">
                <v:path arrowok="t"/>
              </v:shape>
            </v:group>
            <v:group style="position:absolute;left:5622;top:10374;width:2;height:4731" coordorigin="5622,10374" coordsize="2,4731">
              <v:shape style="position:absolute;left:5622;top:10374;width:2;height:4731" coordorigin="5622,10374" coordsize="0,4731" path="m5622,10374l5622,15104e" filled="false" stroked="true" strokeweight=".47998pt" strokecolor="#000000">
                <v:path arrowok="t"/>
              </v:shape>
            </v:group>
            <v:group style="position:absolute;left:5627;top:15100;width:1488;height:2" coordorigin="5627,15100" coordsize="1488,2">
              <v:shape style="position:absolute;left:5627;top:15100;width:1488;height:2" coordorigin="5627,15100" coordsize="1488,0" path="m5627,15100l7115,15100e" filled="false" stroked="true" strokeweight=".48001pt" strokecolor="#000000">
                <v:path arrowok="t"/>
              </v:shape>
            </v:group>
            <v:group style="position:absolute;left:7120;top:10374;width:2;height:4731" coordorigin="7120,10374" coordsize="2,4731">
              <v:shape style="position:absolute;left:7120;top:10374;width:2;height:4731" coordorigin="7120,10374" coordsize="0,4731" path="m7120,10374l7120,15104e" filled="false" stroked="true" strokeweight=".47998pt" strokecolor="#000000">
                <v:path arrowok="t"/>
              </v:shape>
            </v:group>
            <v:group style="position:absolute;left:7124;top:15100;width:1487;height:2" coordorigin="7124,15100" coordsize="1487,2">
              <v:shape style="position:absolute;left:7124;top:15100;width:1487;height:2" coordorigin="7124,15100" coordsize="1487,0" path="m7124,15100l8611,15100e" filled="false" stroked="true" strokeweight=".48001pt" strokecolor="#000000">
                <v:path arrowok="t"/>
              </v:shape>
            </v:group>
            <v:group style="position:absolute;left:8616;top:10374;width:2;height:4731" coordorigin="8616,10374" coordsize="2,4731">
              <v:shape style="position:absolute;left:8616;top:10374;width:2;height:4731" coordorigin="8616,10374" coordsize="0,4731" path="m8616,10374l8616,15104e" filled="false" stroked="true" strokeweight=".47998pt" strokecolor="#000000">
                <v:path arrowok="t"/>
              </v:shape>
            </v:group>
            <v:group style="position:absolute;left:8621;top:15100;width:2078;height:2" coordorigin="8621,15100" coordsize="2078,2">
              <v:shape style="position:absolute;left:8621;top:15100;width:2078;height:2" coordorigin="8621,15100" coordsize="2078,0" path="m8621,15100l10698,15100e" filled="false" stroked="true" strokeweight=".48001pt" strokecolor="#000000">
                <v:path arrowok="t"/>
              </v:shape>
            </v:group>
            <v:group style="position:absolute;left:10703;top:1440;width:2;height:13665" coordorigin="10703,1440" coordsize="2,13665">
              <v:shape style="position:absolute;left:10703;top:1440;width:2;height:13665" coordorigin="10703,1440" coordsize="0,13665" path="m10703,1440l10703,15104e" filled="false" stroked="true" strokeweight=".47998pt" strokecolor="#000000">
                <v:path arrowok="t"/>
              </v:shape>
            </v:group>
            <w10:wrap type="none"/>
          </v:group>
        </w:pic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tabs>
          <w:tab w:pos="3173" w:val="left" w:leader="none"/>
          <w:tab w:pos="4669" w:val="left" w:leader="none"/>
        </w:tabs>
        <w:spacing w:before="152"/>
        <w:ind w:left="181"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r>
        <w:rPr>
          <w:rFonts w:ascii="宋体" w:hAnsi="宋体" w:cs="宋体" w:eastAsia="宋体" w:hint="default"/>
          <w:spacing w:val="-36"/>
          <w:sz w:val="18"/>
          <w:szCs w:val="18"/>
        </w:rPr>
        <w:t> </w:t>
      </w:r>
      <w:r>
        <w:rPr>
          <w:rFonts w:ascii="宋体" w:hAnsi="宋体" w:cs="宋体" w:eastAsia="宋体" w:hint="default"/>
          <w:sz w:val="18"/>
          <w:szCs w:val="18"/>
        </w:rPr>
        <w:t>公司</w:t>
        <w:tab/>
        <w:t>实地调研</w:t>
        <w:tab/>
        <w:t>机构</w:t>
      </w:r>
    </w:p>
    <w:p>
      <w:pPr>
        <w:spacing w:line="316" w:lineRule="auto" w:before="109"/>
        <w:ind w:left="181" w:right="2227" w:firstLine="0"/>
        <w:jc w:val="left"/>
        <w:rPr>
          <w:rFonts w:ascii="宋体" w:hAnsi="宋体" w:cs="宋体" w:eastAsia="宋体" w:hint="default"/>
          <w:sz w:val="18"/>
          <w:szCs w:val="18"/>
        </w:rPr>
      </w:pPr>
      <w:r>
        <w:rPr/>
        <w:br w:type="column"/>
      </w:r>
      <w:r>
        <w:rPr>
          <w:rFonts w:ascii="宋体" w:hAnsi="宋体" w:cs="宋体" w:eastAsia="宋体" w:hint="default"/>
          <w:sz w:val="18"/>
          <w:szCs w:val="18"/>
        </w:rPr>
        <w:t>银河证券、博时基 金、中金公司、申 </w:t>
      </w:r>
      <w:r>
        <w:rPr>
          <w:rFonts w:ascii="宋体" w:hAnsi="宋体" w:cs="宋体" w:eastAsia="宋体" w:hint="default"/>
          <w:spacing w:val="-10"/>
          <w:sz w:val="18"/>
          <w:szCs w:val="18"/>
        </w:rPr>
        <w:t>银万国、国联证券、</w:t>
      </w:r>
      <w:r>
        <w:rPr>
          <w:rFonts w:ascii="宋体" w:hAnsi="宋体" w:cs="宋体" w:eastAsia="宋体" w:hint="default"/>
          <w:sz w:val="18"/>
          <w:szCs w:val="18"/>
        </w:rPr>
        <w:t> 国金证券、招商基 金、国投信托、华 </w:t>
      </w:r>
      <w:r>
        <w:rPr>
          <w:rFonts w:ascii="宋体" w:hAnsi="宋体" w:cs="宋体" w:eastAsia="宋体" w:hint="default"/>
          <w:spacing w:val="-10"/>
          <w:sz w:val="18"/>
          <w:szCs w:val="18"/>
        </w:rPr>
        <w:t>夏基金、新华信托、</w:t>
      </w:r>
    </w:p>
    <w:p>
      <w:pPr>
        <w:spacing w:line="300" w:lineRule="auto" w:before="0"/>
        <w:ind w:left="181" w:right="281" w:firstLine="0"/>
        <w:jc w:val="left"/>
        <w:rPr>
          <w:rFonts w:ascii="宋体" w:hAnsi="宋体" w:cs="宋体" w:eastAsia="宋体" w:hint="default"/>
          <w:sz w:val="18"/>
          <w:szCs w:val="18"/>
        </w:rPr>
      </w:pPr>
      <w:r>
        <w:rPr>
          <w:rFonts w:ascii="宋体" w:hAnsi="宋体" w:cs="宋体" w:eastAsia="宋体" w:hint="default"/>
          <w:sz w:val="18"/>
          <w:szCs w:val="18"/>
        </w:rPr>
        <w:t>宝盈基金、中意人</w:t>
      </w:r>
      <w:r>
        <w:rPr>
          <w:rFonts w:ascii="宋体" w:hAnsi="宋体" w:cs="宋体" w:eastAsia="宋体" w:hint="default"/>
          <w:spacing w:val="-34"/>
          <w:sz w:val="18"/>
          <w:szCs w:val="18"/>
        </w:rPr>
        <w:t> </w:t>
      </w:r>
      <w:r>
        <w:rPr>
          <w:rFonts w:ascii="宋体" w:hAnsi="宋体" w:cs="宋体" w:eastAsia="宋体" w:hint="default"/>
          <w:position w:val="2"/>
          <w:sz w:val="18"/>
          <w:szCs w:val="18"/>
        </w:rPr>
        <w:t>公司发展情况，市场竞争</w:t>
      </w:r>
      <w:r>
        <w:rPr>
          <w:rFonts w:ascii="宋体" w:hAnsi="宋体" w:cs="宋体" w:eastAsia="宋体" w:hint="default"/>
          <w:position w:val="2"/>
          <w:sz w:val="18"/>
          <w:szCs w:val="18"/>
        </w:rPr>
        <w:t> </w:t>
      </w:r>
      <w:r>
        <w:rPr>
          <w:rFonts w:ascii="宋体" w:hAnsi="宋体" w:cs="宋体" w:eastAsia="宋体" w:hint="default"/>
          <w:sz w:val="18"/>
          <w:szCs w:val="18"/>
        </w:rPr>
        <w:t>寿、融通基金、上</w:t>
      </w:r>
      <w:r>
        <w:rPr>
          <w:rFonts w:ascii="宋体" w:hAnsi="宋体" w:cs="宋体" w:eastAsia="宋体" w:hint="default"/>
          <w:spacing w:val="-34"/>
          <w:sz w:val="18"/>
          <w:szCs w:val="18"/>
        </w:rPr>
        <w:t> </w:t>
      </w:r>
      <w:r>
        <w:rPr>
          <w:rFonts w:ascii="宋体" w:hAnsi="宋体" w:cs="宋体" w:eastAsia="宋体" w:hint="default"/>
          <w:position w:val="2"/>
          <w:sz w:val="18"/>
          <w:szCs w:val="18"/>
        </w:rPr>
        <w:t>力，产品储备情况。未提</w:t>
      </w:r>
      <w:r>
        <w:rPr>
          <w:rFonts w:ascii="宋体" w:hAnsi="宋体" w:cs="宋体" w:eastAsia="宋体" w:hint="default"/>
          <w:position w:val="2"/>
          <w:sz w:val="18"/>
          <w:szCs w:val="18"/>
        </w:rPr>
        <w:t> </w:t>
      </w:r>
      <w:r>
        <w:rPr>
          <w:rFonts w:ascii="宋体" w:hAnsi="宋体" w:cs="宋体" w:eastAsia="宋体" w:hint="default"/>
          <w:spacing w:val="-10"/>
          <w:sz w:val="18"/>
          <w:szCs w:val="18"/>
        </w:rPr>
        <w:t>投摩根、中信建投、</w:t>
      </w:r>
      <w:r>
        <w:rPr>
          <w:rFonts w:ascii="宋体" w:hAnsi="宋体" w:cs="宋体" w:eastAsia="宋体" w:hint="default"/>
          <w:spacing w:val="-10"/>
          <w:position w:val="2"/>
          <w:sz w:val="18"/>
          <w:szCs w:val="18"/>
        </w:rPr>
        <w:t>供资料。</w:t>
      </w:r>
      <w:r>
        <w:rPr>
          <w:rFonts w:ascii="宋体" w:hAnsi="宋体" w:cs="宋体" w:eastAsia="宋体" w:hint="default"/>
          <w:spacing w:val="-84"/>
          <w:position w:val="2"/>
          <w:sz w:val="18"/>
          <w:szCs w:val="18"/>
        </w:rPr>
        <w:t> </w:t>
      </w:r>
      <w:r>
        <w:rPr>
          <w:rFonts w:ascii="宋体" w:hAnsi="宋体" w:cs="宋体" w:eastAsia="宋体" w:hint="default"/>
          <w:spacing w:val="-84"/>
          <w:position w:val="2"/>
          <w:sz w:val="18"/>
          <w:szCs w:val="18"/>
        </w:rPr>
      </w:r>
      <w:r>
        <w:rPr>
          <w:rFonts w:ascii="宋体" w:hAnsi="宋体" w:cs="宋体" w:eastAsia="宋体" w:hint="default"/>
          <w:sz w:val="18"/>
          <w:szCs w:val="18"/>
        </w:rPr>
        <w:t>国海证券、华商基</w:t>
      </w:r>
    </w:p>
    <w:p>
      <w:pPr>
        <w:spacing w:line="316" w:lineRule="auto" w:before="31"/>
        <w:ind w:left="181" w:right="2227" w:firstLine="0"/>
        <w:jc w:val="left"/>
        <w:rPr>
          <w:rFonts w:ascii="宋体" w:hAnsi="宋体" w:cs="宋体" w:eastAsia="宋体" w:hint="default"/>
          <w:sz w:val="18"/>
          <w:szCs w:val="18"/>
        </w:rPr>
      </w:pPr>
      <w:r>
        <w:rPr>
          <w:rFonts w:ascii="宋体" w:hAnsi="宋体" w:cs="宋体" w:eastAsia="宋体" w:hint="default"/>
          <w:sz w:val="18"/>
          <w:szCs w:val="18"/>
        </w:rPr>
        <w:t>金、广发证券、东 </w:t>
      </w:r>
      <w:r>
        <w:rPr>
          <w:rFonts w:ascii="宋体" w:hAnsi="宋体" w:cs="宋体" w:eastAsia="宋体" w:hint="default"/>
          <w:spacing w:val="-10"/>
          <w:sz w:val="18"/>
          <w:szCs w:val="18"/>
        </w:rPr>
        <w:t>方证券、珩生鸿鼎、</w:t>
      </w:r>
      <w:r>
        <w:rPr>
          <w:rFonts w:ascii="宋体" w:hAnsi="宋体" w:cs="宋体" w:eastAsia="宋体" w:hint="default"/>
          <w:sz w:val="18"/>
          <w:szCs w:val="18"/>
        </w:rPr>
        <w:t> 京富融源、国网英 </w:t>
      </w:r>
      <w:r>
        <w:rPr>
          <w:rFonts w:ascii="宋体" w:hAnsi="宋体" w:cs="宋体" w:eastAsia="宋体" w:hint="default"/>
          <w:spacing w:val="-10"/>
          <w:sz w:val="18"/>
          <w:szCs w:val="18"/>
        </w:rPr>
        <w:t>大集团、洛克中金、</w:t>
      </w:r>
      <w:r>
        <w:rPr>
          <w:rFonts w:ascii="宋体" w:hAnsi="宋体" w:cs="宋体" w:eastAsia="宋体" w:hint="default"/>
          <w:sz w:val="18"/>
          <w:szCs w:val="18"/>
        </w:rPr>
        <w:t> 宏源证券、远策投</w:t>
      </w:r>
    </w:p>
    <w:p>
      <w:pPr>
        <w:spacing w:after="0" w:line="316" w:lineRule="auto"/>
        <w:jc w:val="left"/>
        <w:rPr>
          <w:rFonts w:ascii="宋体" w:hAnsi="宋体" w:cs="宋体" w:eastAsia="宋体" w:hint="default"/>
          <w:sz w:val="18"/>
          <w:szCs w:val="18"/>
        </w:rPr>
        <w:sectPr>
          <w:type w:val="continuous"/>
          <w:pgSz w:w="11910" w:h="16840"/>
          <w:pgMar w:top="1060" w:bottom="1180" w:left="980" w:right="980"/>
          <w:cols w:num="2" w:equalWidth="0">
            <w:col w:w="5030" w:space="955"/>
            <w:col w:w="3965"/>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6"/>
        <w:gridCol w:w="1498"/>
        <w:gridCol w:w="1496"/>
        <w:gridCol w:w="2087"/>
      </w:tblGrid>
      <w:tr>
        <w:trPr>
          <w:trHeight w:val="362" w:hRule="exact"/>
        </w:trPr>
        <w:tc>
          <w:tcPr>
            <w:tcW w:w="149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资、昆仑保险</w:t>
            </w:r>
          </w:p>
        </w:tc>
        <w:tc>
          <w:tcPr>
            <w:tcW w:w="2087"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公司发展情况，市场竞争</w:t>
            </w:r>
          </w:p>
        </w:tc>
      </w:tr>
      <w:tr>
        <w:trPr>
          <w:trHeight w:val="318"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民生证券</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力，产品储备情况。未提</w:t>
            </w:r>
          </w:p>
        </w:tc>
      </w:tr>
      <w:tr>
        <w:trPr>
          <w:trHeight w:val="351"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供资料。</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长江证券、交银施 罗德、云程泰投资</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公司发展情况，市场竞争 力，产品储备情况。未提 供资料。</w:t>
            </w:r>
          </w:p>
        </w:tc>
      </w:tr>
    </w:tbl>
    <w:p>
      <w:pPr>
        <w:spacing w:after="0" w:line="316" w:lineRule="auto"/>
        <w:jc w:val="both"/>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2421"/>
        <w:jc w:val="center"/>
        <w:rPr>
          <w:b w:val="0"/>
          <w:bCs w:val="0"/>
        </w:rPr>
      </w:pPr>
      <w:bookmarkStart w:name="_TOC_250006" w:id="5"/>
      <w:r>
        <w:rPr/>
        <w:t>第五节</w:t>
      </w:r>
      <w:r>
        <w:rPr>
          <w:spacing w:val="-5"/>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r>
        <w:rPr/>
        <w:t>一、重大诉讼仲裁事项</w:t>
      </w:r>
      <w:r>
        <w:rPr>
          <w:b w:val="0"/>
          <w:bCs w:val="0"/>
        </w:rPr>
      </w:r>
    </w:p>
    <w:p>
      <w:pPr>
        <w:spacing w:line="240" w:lineRule="auto" w:before="7"/>
        <w:rPr>
          <w:rFonts w:ascii="宋体" w:hAnsi="宋体" w:cs="宋体" w:eastAsia="宋体" w:hint="default"/>
          <w:b/>
          <w:bCs/>
          <w:sz w:val="26"/>
          <w:szCs w:val="26"/>
        </w:rPr>
      </w:pPr>
    </w:p>
    <w:p>
      <w:pPr>
        <w:spacing w:line="348" w:lineRule="auto" w:before="0"/>
        <w:ind w:left="154" w:right="68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本年度公司无重大诉讼、仲裁事项。 媒体质疑情况</w:t>
      </w:r>
    </w:p>
    <w:p>
      <w:pPr>
        <w:spacing w:line="340" w:lineRule="auto" w:before="35"/>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本年度公司无媒体质疑事项。</w:t>
      </w:r>
    </w:p>
    <w:p>
      <w:pPr>
        <w:spacing w:line="240" w:lineRule="auto" w:before="3"/>
        <w:rPr>
          <w:rFonts w:ascii="宋体" w:hAnsi="宋体" w:cs="宋体" w:eastAsia="宋体" w:hint="default"/>
          <w:sz w:val="19"/>
          <w:szCs w:val="19"/>
        </w:rPr>
      </w:pPr>
    </w:p>
    <w:p>
      <w:pPr>
        <w:spacing w:line="501" w:lineRule="auto" w:before="0"/>
        <w:ind w:left="154" w:right="5674" w:firstLine="0"/>
        <w:jc w:val="left"/>
        <w:rPr>
          <w:rFonts w:ascii="宋体" w:hAnsi="宋体" w:cs="宋体" w:eastAsia="宋体" w:hint="default"/>
          <w:sz w:val="24"/>
          <w:szCs w:val="24"/>
        </w:rPr>
      </w:pPr>
      <w:r>
        <w:rPr>
          <w:rFonts w:ascii="宋体" w:hAnsi="宋体" w:cs="宋体" w:eastAsia="宋体" w:hint="default"/>
          <w:b/>
          <w:bCs/>
          <w:sz w:val="24"/>
          <w:szCs w:val="24"/>
        </w:rPr>
        <w:t>二、资产交易事项</w:t>
      </w:r>
      <w:r>
        <w:rPr>
          <w:rFonts w:ascii="宋体" w:hAnsi="宋体" w:cs="宋体" w:eastAsia="宋体" w:hint="default"/>
          <w:b/>
          <w:bCs/>
          <w:spacing w:val="1"/>
          <w:w w:val="99"/>
          <w:sz w:val="24"/>
          <w:szCs w:val="24"/>
        </w:rPr>
        <w:t> </w:t>
      </w:r>
      <w:r>
        <w:rPr>
          <w:rFonts w:ascii="宋体" w:hAnsi="宋体" w:cs="宋体" w:eastAsia="宋体" w:hint="default"/>
          <w:sz w:val="21"/>
          <w:szCs w:val="21"/>
        </w:rPr>
        <w:t>报告期内公司未发生资产交易事项。 </w:t>
      </w:r>
      <w:r>
        <w:rPr>
          <w:rFonts w:ascii="宋体" w:hAnsi="宋体" w:cs="宋体" w:eastAsia="宋体" w:hint="default"/>
          <w:b/>
          <w:bCs/>
          <w:sz w:val="24"/>
          <w:szCs w:val="24"/>
        </w:rPr>
        <w:t>三、公司股权激励的实施情况及其影响</w:t>
      </w:r>
      <w:r>
        <w:rPr>
          <w:rFonts w:ascii="宋体" w:hAnsi="宋体" w:cs="宋体" w:eastAsia="宋体" w:hint="default"/>
          <w:b/>
          <w:bCs/>
          <w:spacing w:val="1"/>
          <w:w w:val="99"/>
          <w:sz w:val="24"/>
          <w:szCs w:val="24"/>
        </w:rPr>
        <w:t> </w:t>
      </w:r>
      <w:r>
        <w:rPr>
          <w:rFonts w:ascii="宋体" w:hAnsi="宋体" w:cs="宋体" w:eastAsia="宋体" w:hint="default"/>
          <w:sz w:val="21"/>
          <w:szCs w:val="21"/>
        </w:rPr>
        <w:t>报告期内公司未实行股权激励。 </w:t>
      </w:r>
      <w:r>
        <w:rPr>
          <w:rFonts w:ascii="宋体" w:hAnsi="宋体" w:cs="宋体" w:eastAsia="宋体" w:hint="default"/>
          <w:b/>
          <w:bCs/>
          <w:sz w:val="24"/>
          <w:szCs w:val="24"/>
        </w:rPr>
        <w:t>四、重大关联交易</w:t>
      </w:r>
      <w:r>
        <w:rPr>
          <w:rFonts w:ascii="宋体" w:hAnsi="宋体" w:cs="宋体" w:eastAsia="宋体" w:hint="default"/>
          <w:b/>
          <w:bCs/>
          <w:spacing w:val="1"/>
          <w:w w:val="99"/>
          <w:sz w:val="24"/>
          <w:szCs w:val="24"/>
        </w:rPr>
        <w:t> </w:t>
      </w:r>
      <w:r>
        <w:rPr>
          <w:rFonts w:ascii="宋体" w:hAnsi="宋体" w:cs="宋体" w:eastAsia="宋体" w:hint="default"/>
          <w:sz w:val="21"/>
          <w:szCs w:val="21"/>
        </w:rPr>
        <w:t>报告期内公司未发生关联交易。 </w:t>
      </w:r>
      <w:r>
        <w:rPr>
          <w:rFonts w:ascii="宋体" w:hAnsi="宋体" w:cs="宋体" w:eastAsia="宋体" w:hint="default"/>
          <w:b/>
          <w:bCs/>
          <w:sz w:val="24"/>
          <w:szCs w:val="24"/>
        </w:rPr>
        <w:t>五、重大合同及其履行情况</w:t>
      </w:r>
      <w:r>
        <w:rPr>
          <w:rFonts w:ascii="宋体" w:hAnsi="宋体" w:cs="宋体" w:eastAsia="宋体" w:hint="default"/>
          <w:b/>
          <w:bCs/>
          <w:spacing w:val="1"/>
          <w:w w:val="99"/>
          <w:sz w:val="24"/>
          <w:szCs w:val="24"/>
        </w:rPr>
        <w:t> </w:t>
      </w:r>
      <w:r>
        <w:rPr>
          <w:rFonts w:ascii="宋体" w:hAnsi="宋体" w:cs="宋体" w:eastAsia="宋体" w:hint="default"/>
          <w:sz w:val="21"/>
          <w:szCs w:val="21"/>
        </w:rPr>
        <w:t>报告期内公司未发生重大合同。 </w:t>
      </w:r>
      <w:r>
        <w:rPr>
          <w:rFonts w:ascii="宋体" w:hAnsi="宋体" w:cs="宋体" w:eastAsia="宋体" w:hint="default"/>
          <w:b/>
          <w:bCs/>
          <w:sz w:val="24"/>
          <w:szCs w:val="24"/>
        </w:rPr>
        <w:t>六、承诺事项履行情况</w:t>
      </w:r>
      <w:r>
        <w:rPr>
          <w:rFonts w:ascii="宋体" w:hAnsi="宋体" w:cs="宋体" w:eastAsia="宋体" w:hint="default"/>
          <w:sz w:val="24"/>
          <w:szCs w:val="24"/>
        </w:rPr>
      </w:r>
    </w:p>
    <w:p>
      <w:pPr>
        <w:pStyle w:val="Heading3"/>
        <w:spacing w:line="240" w:lineRule="auto" w:before="60"/>
        <w:ind w:right="0"/>
        <w:jc w:val="left"/>
        <w:rPr>
          <w:b w:val="0"/>
          <w:bCs w:val="0"/>
        </w:rPr>
      </w:pPr>
      <w:r>
        <w:rPr>
          <w:rFonts w:ascii="Times New Roman" w:hAnsi="Times New Roman" w:cs="Times New Roman" w:eastAsia="Times New Roman" w:hint="default"/>
        </w:rPr>
        <w:t>1</w:t>
      </w:r>
      <w:r>
        <w:rPr/>
        <w:t>、公司或持股</w:t>
      </w:r>
      <w:r>
        <w:rPr>
          <w:spacing w:val="-60"/>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52"/>
        <w:gridCol w:w="1417"/>
        <w:gridCol w:w="1776"/>
        <w:gridCol w:w="1277"/>
        <w:gridCol w:w="1277"/>
        <w:gridCol w:w="1268"/>
      </w:tblGrid>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收购报告书或权益变动报告书 中所作承诺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161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316" w:lineRule="auto"/>
              <w:ind w:left="22" w:right="179"/>
              <w:jc w:val="left"/>
              <w:rPr>
                <w:rFonts w:ascii="宋体" w:hAnsi="宋体" w:cs="宋体" w:eastAsia="宋体" w:hint="default"/>
                <w:sz w:val="18"/>
                <w:szCs w:val="18"/>
              </w:rPr>
            </w:pPr>
            <w:r>
              <w:rPr>
                <w:rFonts w:ascii="宋体" w:hAnsi="宋体" w:cs="宋体" w:eastAsia="宋体" w:hint="default"/>
                <w:sz w:val="18"/>
                <w:szCs w:val="18"/>
              </w:rPr>
              <w:t>首次公开发行或再融资时所作 承诺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10"/>
                <w:sz w:val="18"/>
                <w:szCs w:val="18"/>
              </w:rPr>
              <w:t>沈飒、陈绪华、蔡</w:t>
            </w:r>
            <w:r>
              <w:rPr>
                <w:rFonts w:ascii="宋体" w:hAnsi="宋体" w:cs="宋体" w:eastAsia="宋体" w:hint="default"/>
                <w:sz w:val="18"/>
                <w:szCs w:val="18"/>
              </w:rPr>
              <w:t> 迦</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自公司首次公开发行 股票并上市之日起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9"/>
                <w:sz w:val="18"/>
                <w:szCs w:val="18"/>
              </w:rPr>
              <w:t>个月内，不转让或者委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托他人管理其持有的 </w:t>
            </w:r>
            <w:r>
              <w:rPr>
                <w:rFonts w:ascii="宋体" w:hAnsi="宋体" w:cs="宋体" w:eastAsia="宋体" w:hint="default"/>
                <w:spacing w:val="-9"/>
                <w:sz w:val="18"/>
                <w:szCs w:val="18"/>
              </w:rPr>
              <w:t>股份，也不由公司回购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7"/>
                <w:sz w:val="18"/>
                <w:szCs w:val="18"/>
              </w:rPr>
              <w:t>报告期内，承诺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人严格履行了 承诺事项。</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56.559998pt;margin-top:72.480003pt;width:151.050pt;height:353.55pt;mso-position-horizontal-relative:page;mso-position-vertical-relative:page;z-index:-670936" coordorigin="5131,1450" coordsize="3021,7071">
            <v:group style="position:absolute;left:6884;top:1450;width:1268;height:4409" coordorigin="6884,1450" coordsize="1268,4409">
              <v:shape style="position:absolute;left:6884;top:1450;width:1268;height:4409" coordorigin="6884,1450" coordsize="1268,4409" path="m6884,5858l8152,5858,8152,1450,6884,1450,6884,5858xe" filled="true" fillcolor="#ffffff" stroked="false">
                <v:path arrowok="t"/>
                <v:fill type="solid"/>
              </v:shape>
            </v:group>
            <v:group style="position:absolute;left:5131;top:7156;width:1720;height:312" coordorigin="5131,7156" coordsize="1720,312">
              <v:shape style="position:absolute;left:5131;top:7156;width:1720;height:312" coordorigin="5131,7156" coordsize="1720,312" path="m5131,7468l6851,7468,6851,7156,5131,7156,5131,7468xe" filled="true" fillcolor="#ffffff" stroked="false">
                <v:path arrowok="t"/>
                <v:fill type="solid"/>
              </v:shape>
            </v:group>
            <v:group style="position:absolute;left:5131;top:7468;width:1720;height:312" coordorigin="5131,7468" coordsize="1720,312">
              <v:shape style="position:absolute;left:5131;top:7468;width:1720;height:312" coordorigin="5131,7468" coordsize="1720,312" path="m5131,7780l6851,7780,6851,7468,5131,7468,5131,7780xe" filled="true" fillcolor="#ffffff" stroked="false">
                <v:path arrowok="t"/>
                <v:fill type="solid"/>
              </v:shape>
            </v:group>
            <v:group style="position:absolute;left:6884;top:5868;width:1268;height:2652" coordorigin="6884,5868" coordsize="1268,2652">
              <v:shape style="position:absolute;left:6884;top:5868;width:1268;height:2652" coordorigin="6884,5868" coordsize="1268,2652" path="m6884,8520l8152,8520,8152,5868,6884,5868,6884,852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2"/>
        <w:gridCol w:w="1429"/>
        <w:gridCol w:w="1765"/>
        <w:gridCol w:w="1277"/>
        <w:gridCol w:w="1277"/>
        <w:gridCol w:w="1268"/>
      </w:tblGrid>
      <w:tr>
        <w:trPr>
          <w:trHeight w:val="317" w:hRule="exact"/>
        </w:trPr>
        <w:tc>
          <w:tcPr>
            <w:tcW w:w="2552" w:type="dxa"/>
            <w:vMerge w:val="restart"/>
            <w:tcBorders>
              <w:top w:val="single" w:sz="4" w:space="0" w:color="000000"/>
              <w:left w:val="single" w:sz="4" w:space="0" w:color="000000"/>
              <w:right w:val="single" w:sz="4" w:space="0" w:color="000000"/>
            </w:tcBorders>
          </w:tcPr>
          <w:p>
            <w:pPr/>
          </w:p>
        </w:tc>
        <w:tc>
          <w:tcPr>
            <w:tcW w:w="1429" w:type="dxa"/>
            <w:vMerge w:val="restart"/>
            <w:tcBorders>
              <w:top w:val="single" w:sz="4" w:space="0" w:color="000000"/>
              <w:left w:val="single" w:sz="4" w:space="0" w:color="000000"/>
              <w:right w:val="single" w:sz="4" w:space="0" w:color="000000"/>
            </w:tcBorders>
          </w:tcPr>
          <w:p>
            <w:pPr/>
          </w:p>
        </w:tc>
        <w:tc>
          <w:tcPr>
            <w:tcW w:w="17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8"/>
                <w:sz w:val="18"/>
                <w:szCs w:val="18"/>
              </w:rPr>
              <w:t>该部分股份；此外，公</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r>
      <w:tr>
        <w:trPr>
          <w:trHeight w:val="312" w:hRule="exact"/>
        </w:trPr>
        <w:tc>
          <w:tcPr>
            <w:tcW w:w="2552" w:type="dxa"/>
            <w:vMerge/>
            <w:tcBorders>
              <w:left w:val="single" w:sz="4" w:space="0" w:color="000000"/>
              <w:right w:val="single" w:sz="4" w:space="0" w:color="000000"/>
            </w:tcBorders>
          </w:tcPr>
          <w:p>
            <w:pPr/>
          </w:p>
        </w:tc>
        <w:tc>
          <w:tcPr>
            <w:tcW w:w="1429" w:type="dxa"/>
            <w:vMerge/>
            <w:tcBorders>
              <w:left w:val="single" w:sz="4" w:space="0" w:color="000000"/>
              <w:right w:val="single" w:sz="4" w:space="0" w:color="000000"/>
            </w:tcBorders>
          </w:tcPr>
          <w:p>
            <w:pPr/>
          </w:p>
        </w:tc>
        <w:tc>
          <w:tcPr>
            <w:tcW w:w="17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司股东承诺所持公司</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2552" w:type="dxa"/>
            <w:vMerge/>
            <w:tcBorders>
              <w:left w:val="single" w:sz="4" w:space="0" w:color="000000"/>
              <w:right w:val="single" w:sz="4" w:space="0" w:color="000000"/>
            </w:tcBorders>
          </w:tcPr>
          <w:p>
            <w:pPr/>
          </w:p>
        </w:tc>
        <w:tc>
          <w:tcPr>
            <w:tcW w:w="1429" w:type="dxa"/>
            <w:vMerge/>
            <w:tcBorders>
              <w:left w:val="single" w:sz="4" w:space="0" w:color="000000"/>
              <w:right w:val="single" w:sz="4" w:space="0" w:color="000000"/>
            </w:tcBorders>
          </w:tcPr>
          <w:p>
            <w:pPr/>
          </w:p>
        </w:tc>
        <w:tc>
          <w:tcPr>
            <w:tcW w:w="17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股份在担任公司董事</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2552" w:type="dxa"/>
            <w:vMerge/>
            <w:tcBorders>
              <w:left w:val="single" w:sz="4" w:space="0" w:color="000000"/>
              <w:right w:val="single" w:sz="4" w:space="0" w:color="000000"/>
            </w:tcBorders>
          </w:tcPr>
          <w:p>
            <w:pPr/>
          </w:p>
        </w:tc>
        <w:tc>
          <w:tcPr>
            <w:tcW w:w="1429" w:type="dxa"/>
            <w:vMerge/>
            <w:tcBorders>
              <w:left w:val="single" w:sz="4" w:space="0" w:color="000000"/>
              <w:right w:val="single" w:sz="4" w:space="0" w:color="000000"/>
            </w:tcBorders>
          </w:tcPr>
          <w:p>
            <w:pPr/>
          </w:p>
        </w:tc>
        <w:tc>
          <w:tcPr>
            <w:tcW w:w="17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监事或高级管理人员</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2552" w:type="dxa"/>
            <w:vMerge/>
            <w:tcBorders>
              <w:left w:val="single" w:sz="4" w:space="0" w:color="000000"/>
              <w:right w:val="single" w:sz="4" w:space="0" w:color="000000"/>
            </w:tcBorders>
          </w:tcPr>
          <w:p>
            <w:pPr/>
          </w:p>
        </w:tc>
        <w:tc>
          <w:tcPr>
            <w:tcW w:w="1429" w:type="dxa"/>
            <w:vMerge/>
            <w:tcBorders>
              <w:left w:val="single" w:sz="4" w:space="0" w:color="000000"/>
              <w:right w:val="single" w:sz="4" w:space="0" w:color="000000"/>
            </w:tcBorders>
          </w:tcPr>
          <w:p>
            <w:pPr/>
          </w:p>
        </w:tc>
        <w:tc>
          <w:tcPr>
            <w:tcW w:w="17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期间每年转让的比例</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2552" w:type="dxa"/>
            <w:vMerge/>
            <w:tcBorders>
              <w:left w:val="single" w:sz="4" w:space="0" w:color="000000"/>
              <w:right w:val="single" w:sz="4" w:space="0" w:color="000000"/>
            </w:tcBorders>
          </w:tcPr>
          <w:p>
            <w:pPr/>
          </w:p>
        </w:tc>
        <w:tc>
          <w:tcPr>
            <w:tcW w:w="1429" w:type="dxa"/>
            <w:vMerge/>
            <w:tcBorders>
              <w:left w:val="single" w:sz="4" w:space="0" w:color="000000"/>
              <w:right w:val="single" w:sz="4" w:space="0" w:color="000000"/>
            </w:tcBorders>
          </w:tcPr>
          <w:p>
            <w:pPr/>
          </w:p>
        </w:tc>
        <w:tc>
          <w:tcPr>
            <w:tcW w:w="17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不超过其所持股份总</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2552" w:type="dxa"/>
            <w:vMerge/>
            <w:tcBorders>
              <w:left w:val="single" w:sz="4" w:space="0" w:color="000000"/>
              <w:right w:val="single" w:sz="4" w:space="0" w:color="000000"/>
            </w:tcBorders>
          </w:tcPr>
          <w:p>
            <w:pPr/>
          </w:p>
        </w:tc>
        <w:tc>
          <w:tcPr>
            <w:tcW w:w="1429" w:type="dxa"/>
            <w:vMerge/>
            <w:tcBorders>
              <w:left w:val="single" w:sz="4" w:space="0" w:color="000000"/>
              <w:right w:val="single" w:sz="4" w:space="0" w:color="000000"/>
            </w:tcBorders>
          </w:tcPr>
          <w:p>
            <w:pPr/>
          </w:p>
        </w:tc>
        <w:tc>
          <w:tcPr>
            <w:tcW w:w="17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，在离职后</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2552" w:type="dxa"/>
            <w:vMerge/>
            <w:tcBorders>
              <w:left w:val="single" w:sz="4" w:space="0" w:color="000000"/>
              <w:right w:val="single" w:sz="4" w:space="0" w:color="000000"/>
            </w:tcBorders>
          </w:tcPr>
          <w:p>
            <w:pPr/>
          </w:p>
        </w:tc>
        <w:tc>
          <w:tcPr>
            <w:tcW w:w="1429" w:type="dxa"/>
            <w:vMerge/>
            <w:tcBorders>
              <w:left w:val="single" w:sz="4" w:space="0" w:color="000000"/>
              <w:right w:val="single" w:sz="4" w:space="0" w:color="000000"/>
            </w:tcBorders>
          </w:tcPr>
          <w:p>
            <w:pPr/>
          </w:p>
        </w:tc>
        <w:tc>
          <w:tcPr>
            <w:tcW w:w="176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半年内不转让</w:t>
            </w:r>
            <w:r>
              <w:rPr>
                <w:rFonts w:ascii="宋体" w:hAnsi="宋体" w:cs="宋体" w:eastAsia="宋体" w:hint="default"/>
                <w:spacing w:val="-81"/>
                <w:sz w:val="18"/>
                <w:szCs w:val="18"/>
              </w:rPr>
              <w:t>。</w:t>
            </w:r>
            <w:r>
              <w:rPr>
                <w:rFonts w:ascii="宋体" w:hAnsi="宋体" w:cs="宋体" w:eastAsia="宋体" w:hint="default"/>
                <w:sz w:val="18"/>
                <w:szCs w:val="18"/>
              </w:rPr>
              <w:t>在申报</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2552" w:type="dxa"/>
            <w:vMerge/>
            <w:tcBorders>
              <w:left w:val="single" w:sz="4" w:space="0" w:color="000000"/>
              <w:right w:val="single" w:sz="4" w:space="0" w:color="000000"/>
            </w:tcBorders>
          </w:tcPr>
          <w:p>
            <w:pPr/>
          </w:p>
        </w:tc>
        <w:tc>
          <w:tcPr>
            <w:tcW w:w="1429" w:type="dxa"/>
            <w:vMerge/>
            <w:tcBorders>
              <w:left w:val="single" w:sz="4" w:space="0" w:color="000000"/>
              <w:right w:val="single" w:sz="4" w:space="0" w:color="000000"/>
            </w:tcBorders>
          </w:tcPr>
          <w:p>
            <w:pPr/>
          </w:p>
        </w:tc>
        <w:tc>
          <w:tcPr>
            <w:tcW w:w="17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离任六个月后的十二</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2552" w:type="dxa"/>
            <w:vMerge/>
            <w:tcBorders>
              <w:left w:val="single" w:sz="4" w:space="0" w:color="000000"/>
              <w:right w:val="single" w:sz="4" w:space="0" w:color="000000"/>
            </w:tcBorders>
          </w:tcPr>
          <w:p>
            <w:pPr/>
          </w:p>
        </w:tc>
        <w:tc>
          <w:tcPr>
            <w:tcW w:w="1429" w:type="dxa"/>
            <w:vMerge/>
            <w:tcBorders>
              <w:left w:val="single" w:sz="4" w:space="0" w:color="000000"/>
              <w:right w:val="single" w:sz="4" w:space="0" w:color="000000"/>
            </w:tcBorders>
          </w:tcPr>
          <w:p>
            <w:pPr/>
          </w:p>
        </w:tc>
        <w:tc>
          <w:tcPr>
            <w:tcW w:w="17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个月内通过证券交易</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2552" w:type="dxa"/>
            <w:vMerge/>
            <w:tcBorders>
              <w:left w:val="single" w:sz="4" w:space="0" w:color="000000"/>
              <w:right w:val="single" w:sz="4" w:space="0" w:color="000000"/>
            </w:tcBorders>
          </w:tcPr>
          <w:p>
            <w:pPr/>
          </w:p>
        </w:tc>
        <w:tc>
          <w:tcPr>
            <w:tcW w:w="1429" w:type="dxa"/>
            <w:vMerge/>
            <w:tcBorders>
              <w:left w:val="single" w:sz="4" w:space="0" w:color="000000"/>
              <w:right w:val="single" w:sz="4" w:space="0" w:color="000000"/>
            </w:tcBorders>
          </w:tcPr>
          <w:p>
            <w:pPr/>
          </w:p>
        </w:tc>
        <w:tc>
          <w:tcPr>
            <w:tcW w:w="17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所挂牌交易出售公司</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2552" w:type="dxa"/>
            <w:vMerge/>
            <w:tcBorders>
              <w:left w:val="single" w:sz="4" w:space="0" w:color="000000"/>
              <w:right w:val="single" w:sz="4" w:space="0" w:color="000000"/>
            </w:tcBorders>
          </w:tcPr>
          <w:p>
            <w:pPr/>
          </w:p>
        </w:tc>
        <w:tc>
          <w:tcPr>
            <w:tcW w:w="1429" w:type="dxa"/>
            <w:vMerge/>
            <w:tcBorders>
              <w:left w:val="single" w:sz="4" w:space="0" w:color="000000"/>
              <w:right w:val="single" w:sz="4" w:space="0" w:color="000000"/>
            </w:tcBorders>
          </w:tcPr>
          <w:p>
            <w:pPr/>
          </w:p>
        </w:tc>
        <w:tc>
          <w:tcPr>
            <w:tcW w:w="17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股票数量占其所持有</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3" w:hRule="exact"/>
        </w:trPr>
        <w:tc>
          <w:tcPr>
            <w:tcW w:w="2552" w:type="dxa"/>
            <w:vMerge/>
            <w:tcBorders>
              <w:left w:val="single" w:sz="4" w:space="0" w:color="000000"/>
              <w:right w:val="single" w:sz="4" w:space="0" w:color="000000"/>
            </w:tcBorders>
          </w:tcPr>
          <w:p>
            <w:pPr/>
          </w:p>
        </w:tc>
        <w:tc>
          <w:tcPr>
            <w:tcW w:w="1429" w:type="dxa"/>
            <w:vMerge/>
            <w:tcBorders>
              <w:left w:val="single" w:sz="4" w:space="0" w:color="000000"/>
              <w:right w:val="single" w:sz="4" w:space="0" w:color="000000"/>
            </w:tcBorders>
          </w:tcPr>
          <w:p>
            <w:pPr/>
          </w:p>
        </w:tc>
        <w:tc>
          <w:tcPr>
            <w:tcW w:w="17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公司股票总数的比例</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57" w:hRule="exact"/>
        </w:trPr>
        <w:tc>
          <w:tcPr>
            <w:tcW w:w="2552" w:type="dxa"/>
            <w:vMerge/>
            <w:tcBorders>
              <w:left w:val="single" w:sz="4" w:space="0" w:color="000000"/>
              <w:bottom w:val="single" w:sz="4" w:space="0" w:color="000000"/>
              <w:right w:val="single" w:sz="4" w:space="0" w:color="000000"/>
            </w:tcBorders>
          </w:tcPr>
          <w:p>
            <w:pPr/>
          </w:p>
        </w:tc>
        <w:tc>
          <w:tcPr>
            <w:tcW w:w="1429" w:type="dxa"/>
            <w:vMerge/>
            <w:tcBorders>
              <w:left w:val="single" w:sz="4" w:space="0" w:color="000000"/>
              <w:bottom w:val="single" w:sz="4" w:space="0" w:color="000000"/>
              <w:right w:val="single" w:sz="4" w:space="0" w:color="000000"/>
            </w:tcBorders>
          </w:tcPr>
          <w:p>
            <w:pPr/>
          </w:p>
        </w:tc>
        <w:tc>
          <w:tcPr>
            <w:tcW w:w="17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r>
        <w:trPr>
          <w:trHeight w:val="357" w:hRule="exact"/>
        </w:trPr>
        <w:tc>
          <w:tcPr>
            <w:tcW w:w="2552" w:type="dxa"/>
            <w:vMerge w:val="restart"/>
            <w:tcBorders>
              <w:top w:val="single" w:sz="4" w:space="0" w:color="000000"/>
              <w:left w:val="single" w:sz="4" w:space="0" w:color="000000"/>
              <w:right w:val="single" w:sz="4" w:space="0" w:color="000000"/>
            </w:tcBorders>
          </w:tcPr>
          <w:p>
            <w:pPr/>
          </w:p>
        </w:tc>
        <w:tc>
          <w:tcPr>
            <w:tcW w:w="1429" w:type="dxa"/>
            <w:tcBorders>
              <w:top w:val="single" w:sz="4" w:space="0" w:color="000000"/>
              <w:left w:val="single" w:sz="4" w:space="0" w:color="000000"/>
              <w:bottom w:val="nil" w:sz="6" w:space="0" w:color="auto"/>
              <w:right w:val="single" w:sz="9" w:space="0" w:color="FFFFFF"/>
            </w:tcBorders>
          </w:tcPr>
          <w:p>
            <w:pPr/>
          </w:p>
        </w:tc>
        <w:tc>
          <w:tcPr>
            <w:tcW w:w="1765" w:type="dxa"/>
            <w:tcBorders>
              <w:top w:val="single" w:sz="4" w:space="0" w:color="000000"/>
              <w:left w:val="single" w:sz="9" w:space="0" w:color="FFFFFF"/>
              <w:bottom w:val="nil" w:sz="6" w:space="0" w:color="auto"/>
              <w:right w:val="single" w:sz="4"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自公司首次公开发行</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2552" w:type="dxa"/>
            <w:vMerge/>
            <w:tcBorders>
              <w:left w:val="single" w:sz="4" w:space="0" w:color="000000"/>
              <w:right w:val="single" w:sz="4" w:space="0" w:color="000000"/>
            </w:tcBorders>
          </w:tcPr>
          <w:p>
            <w:pPr/>
          </w:p>
        </w:tc>
        <w:tc>
          <w:tcPr>
            <w:tcW w:w="1429" w:type="dxa"/>
            <w:tcBorders>
              <w:top w:val="nil" w:sz="6" w:space="0" w:color="auto"/>
              <w:left w:val="single" w:sz="4" w:space="0" w:color="000000"/>
              <w:bottom w:val="nil" w:sz="6" w:space="0" w:color="auto"/>
              <w:right w:val="single" w:sz="9" w:space="0" w:color="FFFFFF"/>
            </w:tcBorders>
          </w:tcPr>
          <w:p>
            <w:pPr/>
          </w:p>
        </w:tc>
        <w:tc>
          <w:tcPr>
            <w:tcW w:w="1765" w:type="dxa"/>
            <w:tcBorders>
              <w:top w:val="nil" w:sz="6" w:space="0" w:color="auto"/>
              <w:left w:val="single" w:sz="9" w:space="0" w:color="FFFFFF"/>
              <w:bottom w:val="nil" w:sz="6" w:space="0" w:color="auto"/>
              <w:right w:val="single" w:sz="4" w:space="0" w:color="000000"/>
            </w:tcBorders>
          </w:tcPr>
          <w:p>
            <w:pPr>
              <w:pStyle w:val="TableParagraph"/>
              <w:spacing w:line="240" w:lineRule="auto" w:before="1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股票并上市之日起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552" w:type="dxa"/>
            <w:vMerge/>
            <w:tcBorders>
              <w:left w:val="single" w:sz="4" w:space="0" w:color="000000"/>
              <w:right w:val="single" w:sz="4" w:space="0" w:color="000000"/>
            </w:tcBorders>
          </w:tcPr>
          <w:p>
            <w:pPr/>
          </w:p>
        </w:tc>
        <w:tc>
          <w:tcPr>
            <w:tcW w:w="1429" w:type="dxa"/>
            <w:tcBorders>
              <w:top w:val="nil" w:sz="6" w:space="0" w:color="auto"/>
              <w:left w:val="single" w:sz="4" w:space="0" w:color="000000"/>
              <w:bottom w:val="nil" w:sz="6" w:space="0" w:color="auto"/>
              <w:right w:val="single" w:sz="9" w:space="0" w:color="FFFFFF"/>
            </w:tcBorders>
          </w:tcPr>
          <w:p>
            <w:pPr/>
          </w:p>
        </w:tc>
        <w:tc>
          <w:tcPr>
            <w:tcW w:w="1765" w:type="dxa"/>
            <w:tcBorders>
              <w:top w:val="nil" w:sz="6" w:space="0" w:color="auto"/>
              <w:left w:val="single" w:sz="9" w:space="0" w:color="FFFFFF"/>
              <w:bottom w:val="nil" w:sz="6" w:space="0" w:color="auto"/>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个月内</w:t>
            </w:r>
            <w:r>
              <w:rPr>
                <w:rFonts w:ascii="宋体" w:hAnsi="宋体" w:cs="宋体" w:eastAsia="宋体" w:hint="default"/>
                <w:spacing w:val="-81"/>
                <w:sz w:val="18"/>
                <w:szCs w:val="18"/>
              </w:rPr>
              <w:t>，</w:t>
            </w:r>
            <w:r>
              <w:rPr>
                <w:rFonts w:ascii="宋体" w:hAnsi="宋体" w:cs="宋体" w:eastAsia="宋体" w:hint="default"/>
                <w:sz w:val="18"/>
                <w:szCs w:val="18"/>
              </w:rPr>
              <w:t>不转让或者委</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2" w:type="dxa"/>
            <w:vMerge/>
            <w:tcBorders>
              <w:left w:val="single" w:sz="4" w:space="0" w:color="000000"/>
              <w:right w:val="single" w:sz="4" w:space="0" w:color="000000"/>
            </w:tcBorders>
          </w:tcPr>
          <w:p>
            <w:pPr/>
          </w:p>
        </w:tc>
        <w:tc>
          <w:tcPr>
            <w:tcW w:w="1429" w:type="dxa"/>
            <w:tcBorders>
              <w:top w:val="nil" w:sz="6" w:space="0" w:color="auto"/>
              <w:left w:val="single" w:sz="4" w:space="0" w:color="000000"/>
              <w:bottom w:val="nil" w:sz="6" w:space="0" w:color="auto"/>
              <w:right w:val="single" w:sz="9" w:space="0" w:color="FFFFFF"/>
            </w:tcBorders>
          </w:tcPr>
          <w:p>
            <w:pPr/>
          </w:p>
        </w:tc>
        <w:tc>
          <w:tcPr>
            <w:tcW w:w="1765" w:type="dxa"/>
            <w:tcBorders>
              <w:top w:val="nil" w:sz="6" w:space="0" w:color="auto"/>
              <w:left w:val="single" w:sz="9"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托他人管理其持有的</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432" w:hRule="exact"/>
        </w:trPr>
        <w:tc>
          <w:tcPr>
            <w:tcW w:w="2552" w:type="dxa"/>
            <w:vMerge/>
            <w:tcBorders>
              <w:left w:val="single" w:sz="4" w:space="0" w:color="000000"/>
              <w:right w:val="single" w:sz="4" w:space="0" w:color="000000"/>
            </w:tcBorders>
          </w:tcPr>
          <w:p>
            <w:pPr/>
          </w:p>
        </w:tc>
        <w:tc>
          <w:tcPr>
            <w:tcW w:w="1429" w:type="dxa"/>
            <w:tcBorders>
              <w:top w:val="nil" w:sz="6" w:space="0" w:color="auto"/>
              <w:left w:val="single" w:sz="4" w:space="0" w:color="000000"/>
              <w:bottom w:val="nil" w:sz="6" w:space="0" w:color="auto"/>
              <w:right w:val="single" w:sz="9" w:space="0" w:color="FFFFFF"/>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李彤彤、盖洪涛 天津达晨创富股 权投资基金中心</w:t>
            </w:r>
          </w:p>
          <w:p>
            <w:pPr>
              <w:pStyle w:val="TableParagraph"/>
              <w:spacing w:line="319" w:lineRule="auto" w:before="19"/>
              <w:ind w:left="22" w:right="26"/>
              <w:jc w:val="left"/>
              <w:rPr>
                <w:rFonts w:ascii="宋体" w:hAnsi="宋体" w:cs="宋体" w:eastAsia="宋体" w:hint="default"/>
                <w:sz w:val="18"/>
                <w:szCs w:val="18"/>
              </w:rPr>
            </w:pPr>
            <w:r>
              <w:rPr>
                <w:rFonts w:ascii="宋体" w:hAnsi="宋体" w:cs="宋体" w:eastAsia="宋体" w:hint="default"/>
                <w:spacing w:val="-12"/>
                <w:sz w:val="18"/>
                <w:szCs w:val="18"/>
              </w:rPr>
              <w:t>（有限合伙）、天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津常春藤一期股 </w:t>
            </w:r>
            <w:r>
              <w:rPr>
                <w:rFonts w:ascii="宋体" w:hAnsi="宋体" w:cs="宋体" w:eastAsia="宋体" w:hint="default"/>
                <w:spacing w:val="-10"/>
                <w:sz w:val="18"/>
                <w:szCs w:val="18"/>
              </w:rPr>
              <w:t>权投资中心（有限</w:t>
            </w:r>
            <w:r>
              <w:rPr>
                <w:rFonts w:ascii="宋体" w:hAnsi="宋体" w:cs="宋体" w:eastAsia="宋体" w:hint="default"/>
                <w:sz w:val="18"/>
                <w:szCs w:val="18"/>
              </w:rPr>
              <w:t> </w:t>
            </w:r>
            <w:r>
              <w:rPr>
                <w:rFonts w:ascii="宋体" w:hAnsi="宋体" w:cs="宋体" w:eastAsia="宋体" w:hint="default"/>
                <w:spacing w:val="-12"/>
                <w:sz w:val="18"/>
                <w:szCs w:val="18"/>
              </w:rPr>
              <w:t>合伙）、上海力鼎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投资管理有限公 </w:t>
            </w:r>
            <w:r>
              <w:rPr>
                <w:rFonts w:ascii="宋体" w:hAnsi="宋体" w:cs="宋体" w:eastAsia="宋体" w:hint="default"/>
                <w:spacing w:val="-10"/>
                <w:sz w:val="18"/>
                <w:szCs w:val="18"/>
              </w:rPr>
              <w:t>司、深圳市孚威创</w:t>
            </w:r>
            <w:r>
              <w:rPr>
                <w:rFonts w:ascii="宋体" w:hAnsi="宋体" w:cs="宋体" w:eastAsia="宋体" w:hint="default"/>
                <w:sz w:val="18"/>
                <w:szCs w:val="18"/>
              </w:rPr>
              <w:t> 业投资有限公司</w:t>
            </w:r>
          </w:p>
        </w:tc>
        <w:tc>
          <w:tcPr>
            <w:tcW w:w="1765" w:type="dxa"/>
            <w:tcBorders>
              <w:top w:val="nil" w:sz="6" w:space="0" w:color="auto"/>
              <w:left w:val="single" w:sz="9" w:space="0" w:color="FFFFFF"/>
              <w:bottom w:val="nil" w:sz="6" w:space="0" w:color="auto"/>
              <w:right w:val="single" w:sz="4" w:space="0" w:color="000000"/>
            </w:tcBorders>
          </w:tcPr>
          <w:p>
            <w:pPr>
              <w:pStyle w:val="TableParagraph"/>
              <w:spacing w:line="196" w:lineRule="exact" w:before="10"/>
              <w:ind w:left="4"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81"/>
                <w:sz w:val="18"/>
                <w:szCs w:val="18"/>
              </w:rPr>
              <w:t>，</w:t>
            </w:r>
            <w:r>
              <w:rPr>
                <w:rFonts w:ascii="宋体" w:hAnsi="宋体" w:cs="宋体" w:eastAsia="宋体" w:hint="default"/>
                <w:sz w:val="18"/>
                <w:szCs w:val="18"/>
              </w:rPr>
              <w:t>也不由公司回购</w:t>
            </w:r>
          </w:p>
          <w:p>
            <w:pPr>
              <w:pStyle w:val="TableParagraph"/>
              <w:spacing w:line="156" w:lineRule="exact"/>
              <w:ind w:left="-15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5" w:lineRule="exact"/>
              <w:ind w:left="4" w:right="0"/>
              <w:jc w:val="left"/>
              <w:rPr>
                <w:rFonts w:ascii="宋体" w:hAnsi="宋体" w:cs="宋体" w:eastAsia="宋体" w:hint="default"/>
                <w:sz w:val="18"/>
                <w:szCs w:val="18"/>
              </w:rPr>
            </w:pPr>
            <w:r>
              <w:rPr>
                <w:rFonts w:ascii="宋体" w:hAnsi="宋体" w:cs="宋体" w:eastAsia="宋体" w:hint="default"/>
                <w:spacing w:val="-8"/>
                <w:sz w:val="18"/>
                <w:szCs w:val="18"/>
              </w:rPr>
              <w:t>该部分股份。此外，公</w:t>
            </w:r>
          </w:p>
          <w:p>
            <w:pPr>
              <w:pStyle w:val="TableParagraph"/>
              <w:spacing w:line="316" w:lineRule="auto" w:before="76"/>
              <w:ind w:left="4" w:right="22"/>
              <w:jc w:val="left"/>
              <w:rPr>
                <w:rFonts w:ascii="宋体" w:hAnsi="宋体" w:cs="宋体" w:eastAsia="宋体" w:hint="default"/>
                <w:sz w:val="18"/>
                <w:szCs w:val="18"/>
              </w:rPr>
            </w:pPr>
            <w:r>
              <w:rPr>
                <w:rFonts w:ascii="宋体" w:hAnsi="宋体" w:cs="宋体" w:eastAsia="宋体" w:hint="default"/>
                <w:sz w:val="18"/>
                <w:szCs w:val="18"/>
              </w:rPr>
              <w:t>司股东承诺所持公司 股份在担任公司董事 监事或高级管理人员 期间每年转让的比例 不超过其所持股份总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，在离职后 </w:t>
            </w:r>
            <w:r>
              <w:rPr>
                <w:rFonts w:ascii="宋体" w:hAnsi="宋体" w:cs="宋体" w:eastAsia="宋体" w:hint="default"/>
                <w:spacing w:val="-9"/>
                <w:sz w:val="18"/>
                <w:szCs w:val="18"/>
              </w:rPr>
              <w:t>半年内不转让。在申报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离任六个月后的十二 个月内通过证券交易</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3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7"/>
                <w:sz w:val="18"/>
                <w:szCs w:val="18"/>
              </w:rPr>
              <w:t>报告期内，承诺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人严格履行了 承诺事项。</w:t>
            </w:r>
          </w:p>
        </w:tc>
      </w:tr>
      <w:tr>
        <w:trPr>
          <w:trHeight w:val="312" w:hRule="exact"/>
        </w:trPr>
        <w:tc>
          <w:tcPr>
            <w:tcW w:w="2552" w:type="dxa"/>
            <w:vMerge/>
            <w:tcBorders>
              <w:left w:val="single" w:sz="4" w:space="0" w:color="000000"/>
              <w:right w:val="single" w:sz="4" w:space="0" w:color="000000"/>
            </w:tcBorders>
          </w:tcPr>
          <w:p>
            <w:pPr/>
          </w:p>
        </w:tc>
        <w:tc>
          <w:tcPr>
            <w:tcW w:w="1429" w:type="dxa"/>
            <w:tcBorders>
              <w:top w:val="nil" w:sz="6" w:space="0" w:color="auto"/>
              <w:left w:val="single" w:sz="4" w:space="0" w:color="000000"/>
              <w:bottom w:val="nil" w:sz="6" w:space="0" w:color="auto"/>
              <w:right w:val="single" w:sz="9" w:space="0" w:color="FFFFFF"/>
            </w:tcBorders>
          </w:tcPr>
          <w:p>
            <w:pPr/>
          </w:p>
        </w:tc>
        <w:tc>
          <w:tcPr>
            <w:tcW w:w="1765" w:type="dxa"/>
            <w:tcBorders>
              <w:top w:val="nil" w:sz="6" w:space="0" w:color="auto"/>
              <w:left w:val="single" w:sz="9"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所挂牌交易出售公司</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2" w:type="dxa"/>
            <w:vMerge/>
            <w:tcBorders>
              <w:left w:val="single" w:sz="4" w:space="0" w:color="000000"/>
              <w:right w:val="single" w:sz="4" w:space="0" w:color="000000"/>
            </w:tcBorders>
          </w:tcPr>
          <w:p>
            <w:pPr/>
          </w:p>
        </w:tc>
        <w:tc>
          <w:tcPr>
            <w:tcW w:w="1429" w:type="dxa"/>
            <w:tcBorders>
              <w:top w:val="nil" w:sz="6" w:space="0" w:color="auto"/>
              <w:left w:val="single" w:sz="4" w:space="0" w:color="000000"/>
              <w:bottom w:val="nil" w:sz="6" w:space="0" w:color="auto"/>
              <w:right w:val="single" w:sz="9" w:space="0" w:color="FFFFFF"/>
            </w:tcBorders>
          </w:tcPr>
          <w:p>
            <w:pPr/>
          </w:p>
        </w:tc>
        <w:tc>
          <w:tcPr>
            <w:tcW w:w="1765" w:type="dxa"/>
            <w:tcBorders>
              <w:top w:val="nil" w:sz="6" w:space="0" w:color="auto"/>
              <w:left w:val="single" w:sz="9"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股票数量占其所持有</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552" w:type="dxa"/>
            <w:vMerge/>
            <w:tcBorders>
              <w:left w:val="single" w:sz="4" w:space="0" w:color="000000"/>
              <w:right w:val="single" w:sz="4" w:space="0" w:color="000000"/>
            </w:tcBorders>
          </w:tcPr>
          <w:p>
            <w:pPr/>
          </w:p>
        </w:tc>
        <w:tc>
          <w:tcPr>
            <w:tcW w:w="1429" w:type="dxa"/>
            <w:tcBorders>
              <w:top w:val="nil" w:sz="6" w:space="0" w:color="auto"/>
              <w:left w:val="single" w:sz="4" w:space="0" w:color="000000"/>
              <w:bottom w:val="nil" w:sz="6" w:space="0" w:color="auto"/>
              <w:right w:val="single" w:sz="9" w:space="0" w:color="FFFFFF"/>
            </w:tcBorders>
          </w:tcPr>
          <w:p>
            <w:pPr/>
          </w:p>
        </w:tc>
        <w:tc>
          <w:tcPr>
            <w:tcW w:w="1765" w:type="dxa"/>
            <w:tcBorders>
              <w:top w:val="nil" w:sz="6" w:space="0" w:color="auto"/>
              <w:left w:val="single" w:sz="9"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公司股票总数的比例</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552" w:type="dxa"/>
            <w:vMerge/>
            <w:tcBorders>
              <w:left w:val="single" w:sz="4" w:space="0" w:color="000000"/>
              <w:right w:val="single" w:sz="4" w:space="0" w:color="000000"/>
            </w:tcBorders>
          </w:tcPr>
          <w:p>
            <w:pPr/>
          </w:p>
        </w:tc>
        <w:tc>
          <w:tcPr>
            <w:tcW w:w="1429" w:type="dxa"/>
            <w:tcBorders>
              <w:top w:val="nil" w:sz="6" w:space="0" w:color="auto"/>
              <w:left w:val="single" w:sz="4" w:space="0" w:color="000000"/>
              <w:bottom w:val="single" w:sz="4" w:space="0" w:color="000000"/>
              <w:right w:val="single" w:sz="9" w:space="0" w:color="FFFFFF"/>
            </w:tcBorders>
          </w:tcPr>
          <w:p>
            <w:pPr/>
          </w:p>
        </w:tc>
        <w:tc>
          <w:tcPr>
            <w:tcW w:w="1765" w:type="dxa"/>
            <w:tcBorders>
              <w:top w:val="nil" w:sz="6" w:space="0" w:color="auto"/>
              <w:left w:val="single" w:sz="9" w:space="0" w:color="FFFFFF"/>
              <w:bottom w:val="single" w:sz="4" w:space="0" w:color="000000"/>
              <w:right w:val="single" w:sz="4"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552" w:type="dxa"/>
            <w:vMerge/>
            <w:tcBorders>
              <w:left w:val="single" w:sz="4" w:space="0" w:color="000000"/>
              <w:right w:val="single" w:sz="4" w:space="0" w:color="000000"/>
            </w:tcBorders>
          </w:tcPr>
          <w:p>
            <w:pPr/>
          </w:p>
        </w:tc>
        <w:tc>
          <w:tcPr>
            <w:tcW w:w="1429" w:type="dxa"/>
            <w:tcBorders>
              <w:top w:val="single" w:sz="4" w:space="0" w:color="000000"/>
              <w:left w:val="single" w:sz="4" w:space="0" w:color="000000"/>
              <w:bottom w:val="nil" w:sz="6" w:space="0" w:color="auto"/>
              <w:right w:val="single" w:sz="4" w:space="0" w:color="000000"/>
            </w:tcBorders>
          </w:tcPr>
          <w:p>
            <w:pPr/>
          </w:p>
        </w:tc>
        <w:tc>
          <w:tcPr>
            <w:tcW w:w="17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不存在直接或间接地</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2807" w:hRule="exact"/>
        </w:trPr>
        <w:tc>
          <w:tcPr>
            <w:tcW w:w="2552" w:type="dxa"/>
            <w:vMerge/>
            <w:tcBorders>
              <w:left w:val="single" w:sz="4" w:space="0" w:color="000000"/>
              <w:right w:val="single" w:sz="4" w:space="0" w:color="000000"/>
            </w:tcBorders>
          </w:tcPr>
          <w:p>
            <w:pPr/>
          </w:p>
        </w:tc>
        <w:tc>
          <w:tcPr>
            <w:tcW w:w="1429" w:type="dxa"/>
            <w:tcBorders>
              <w:top w:val="nil" w:sz="6" w:space="0" w:color="auto"/>
              <w:left w:val="single" w:sz="4" w:space="0" w:color="000000"/>
              <w:bottom w:val="nil" w:sz="6" w:space="0" w:color="auto"/>
              <w:right w:val="single" w:sz="4" w:space="0" w:color="000000"/>
            </w:tcBorders>
          </w:tcPr>
          <w:p>
            <w:pPr>
              <w:pStyle w:val="TableParagraph"/>
              <w:spacing w:line="319" w:lineRule="auto" w:before="146"/>
              <w:ind w:left="22" w:right="33"/>
              <w:jc w:val="left"/>
              <w:rPr>
                <w:rFonts w:ascii="宋体" w:hAnsi="宋体" w:cs="宋体" w:eastAsia="宋体" w:hint="default"/>
                <w:sz w:val="18"/>
                <w:szCs w:val="18"/>
              </w:rPr>
            </w:pPr>
            <w:r>
              <w:rPr>
                <w:rFonts w:ascii="宋体" w:hAnsi="宋体" w:cs="宋体" w:eastAsia="宋体" w:hint="default"/>
                <w:spacing w:val="-10"/>
                <w:sz w:val="18"/>
                <w:szCs w:val="18"/>
              </w:rPr>
              <w:t>朱烨东、沈飒、陈</w:t>
            </w:r>
            <w:r>
              <w:rPr>
                <w:rFonts w:ascii="宋体" w:hAnsi="宋体" w:cs="宋体" w:eastAsia="宋体" w:hint="default"/>
                <w:sz w:val="18"/>
                <w:szCs w:val="18"/>
              </w:rPr>
              <w:t> </w:t>
            </w:r>
            <w:r>
              <w:rPr>
                <w:rFonts w:ascii="宋体" w:hAnsi="宋体" w:cs="宋体" w:eastAsia="宋体" w:hint="default"/>
                <w:spacing w:val="-10"/>
                <w:sz w:val="18"/>
                <w:szCs w:val="18"/>
              </w:rPr>
              <w:t>绪华、蔡迦、李彤</w:t>
            </w:r>
            <w:r>
              <w:rPr>
                <w:rFonts w:ascii="宋体" w:hAnsi="宋体" w:cs="宋体" w:eastAsia="宋体" w:hint="default"/>
                <w:sz w:val="18"/>
                <w:szCs w:val="18"/>
              </w:rPr>
              <w:t> </w:t>
            </w:r>
            <w:r>
              <w:rPr>
                <w:rFonts w:ascii="宋体" w:hAnsi="宋体" w:cs="宋体" w:eastAsia="宋体" w:hint="default"/>
                <w:spacing w:val="-10"/>
                <w:sz w:val="18"/>
                <w:szCs w:val="18"/>
              </w:rPr>
              <w:t>彤、天津达晨创富</w:t>
            </w:r>
            <w:r>
              <w:rPr>
                <w:rFonts w:ascii="宋体" w:hAnsi="宋体" w:cs="宋体" w:eastAsia="宋体" w:hint="default"/>
                <w:sz w:val="18"/>
                <w:szCs w:val="18"/>
              </w:rPr>
              <w:t> 股权投资基金中 </w:t>
            </w:r>
            <w:r>
              <w:rPr>
                <w:rFonts w:ascii="宋体" w:hAnsi="宋体" w:cs="宋体" w:eastAsia="宋体" w:hint="default"/>
                <w:spacing w:val="-12"/>
                <w:sz w:val="18"/>
                <w:szCs w:val="18"/>
              </w:rPr>
              <w:t>心（有限合伙）、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天津常春藤一期 </w:t>
            </w:r>
            <w:r>
              <w:rPr>
                <w:rFonts w:ascii="宋体" w:hAnsi="宋体" w:cs="宋体" w:eastAsia="宋体" w:hint="default"/>
                <w:spacing w:val="-10"/>
                <w:sz w:val="18"/>
                <w:szCs w:val="18"/>
              </w:rPr>
              <w:t>股权投资中心（有</w:t>
            </w:r>
            <w:r>
              <w:rPr>
                <w:rFonts w:ascii="宋体" w:hAnsi="宋体" w:cs="宋体" w:eastAsia="宋体" w:hint="default"/>
                <w:sz w:val="18"/>
                <w:szCs w:val="18"/>
              </w:rPr>
              <w:t> 限合伙）</w:t>
            </w:r>
          </w:p>
        </w:tc>
        <w:tc>
          <w:tcPr>
            <w:tcW w:w="176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1" w:right="22"/>
              <w:jc w:val="left"/>
              <w:rPr>
                <w:rFonts w:ascii="宋体" w:hAnsi="宋体" w:cs="宋体" w:eastAsia="宋体" w:hint="default"/>
                <w:sz w:val="18"/>
                <w:szCs w:val="18"/>
              </w:rPr>
            </w:pPr>
            <w:r>
              <w:rPr>
                <w:rFonts w:ascii="宋体" w:hAnsi="宋体" w:cs="宋体" w:eastAsia="宋体" w:hint="default"/>
                <w:sz w:val="18"/>
                <w:szCs w:val="18"/>
              </w:rPr>
              <w:t>从事任何与中科金财 所从事的业务构成同 业竞争的任何业务活 </w:t>
            </w:r>
            <w:r>
              <w:rPr>
                <w:rFonts w:ascii="宋体" w:hAnsi="宋体" w:cs="宋体" w:eastAsia="宋体" w:hint="default"/>
                <w:spacing w:val="-9"/>
                <w:sz w:val="18"/>
                <w:szCs w:val="18"/>
              </w:rPr>
              <w:t>动，今后的任何时间亦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不会直接或间接地以 </w:t>
            </w:r>
            <w:r>
              <w:rPr>
                <w:rFonts w:ascii="宋体" w:hAnsi="宋体" w:cs="宋体" w:eastAsia="宋体" w:hint="default"/>
                <w:spacing w:val="-9"/>
                <w:sz w:val="18"/>
                <w:szCs w:val="18"/>
              </w:rPr>
              <w:t>任何方式（包括但不限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9"/>
                <w:sz w:val="18"/>
                <w:szCs w:val="18"/>
              </w:rPr>
              <w:t>于独资、合营、合作和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9"/>
                <w:sz w:val="18"/>
                <w:szCs w:val="18"/>
              </w:rPr>
              <w:t>联营）参与或进行任何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与中科金财所从事的</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7"/>
                <w:sz w:val="18"/>
                <w:szCs w:val="18"/>
              </w:rPr>
              <w:t>报告期内，承诺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人严格履行了 承诺事项。</w:t>
            </w:r>
          </w:p>
        </w:tc>
      </w:tr>
      <w:tr>
        <w:trPr>
          <w:trHeight w:val="318" w:hRule="exact"/>
        </w:trPr>
        <w:tc>
          <w:tcPr>
            <w:tcW w:w="2552" w:type="dxa"/>
            <w:vMerge/>
            <w:tcBorders>
              <w:left w:val="single" w:sz="4" w:space="0" w:color="000000"/>
              <w:bottom w:val="single" w:sz="4" w:space="0" w:color="000000"/>
              <w:right w:val="single" w:sz="4" w:space="0" w:color="000000"/>
            </w:tcBorders>
          </w:tcPr>
          <w:p>
            <w:pPr/>
          </w:p>
        </w:tc>
        <w:tc>
          <w:tcPr>
            <w:tcW w:w="1429" w:type="dxa"/>
            <w:tcBorders>
              <w:top w:val="nil" w:sz="6" w:space="0" w:color="auto"/>
              <w:left w:val="single" w:sz="4" w:space="0" w:color="000000"/>
              <w:bottom w:val="single" w:sz="4" w:space="0" w:color="000000"/>
              <w:right w:val="single" w:sz="4" w:space="0" w:color="000000"/>
            </w:tcBorders>
          </w:tcPr>
          <w:p>
            <w:pPr/>
          </w:p>
        </w:tc>
        <w:tc>
          <w:tcPr>
            <w:tcW w:w="17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业务有实质性竞争或</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44.220001pt;margin-top:170.580002pt;width:63.4pt;height:64.45pt;mso-position-horizontal-relative:page;mso-position-vertical-relative:page;z-index:-670912" coordorigin="6884,3412" coordsize="1268,1289">
            <v:group style="position:absolute;left:6884;top:3764;width:1268;height:936" coordorigin="6884,3764" coordsize="1268,936">
              <v:shape style="position:absolute;left:6884;top:3764;width:1268;height:936" coordorigin="6884,3764" coordsize="1268,936" path="m6884,4700l8152,4700,8152,3764,6884,3764,6884,4700xe" filled="true" fillcolor="#ffffff" stroked="false">
                <v:path arrowok="t"/>
                <v:fill type="solid"/>
              </v:shape>
            </v:group>
            <v:group style="position:absolute;left:6907;top:3412;width:1221;height:353" coordorigin="6907,3412" coordsize="1221,353">
              <v:shape style="position:absolute;left:6907;top:3412;width:1221;height:353" coordorigin="6907,3412" coordsize="1221,353" path="m6907,3764l8128,3764,8128,3412,6907,3412,6907,376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2"/>
        <w:gridCol w:w="1417"/>
        <w:gridCol w:w="1776"/>
        <w:gridCol w:w="1277"/>
        <w:gridCol w:w="1277"/>
        <w:gridCol w:w="1268"/>
      </w:tblGrid>
      <w:tr>
        <w:trPr>
          <w:trHeight w:val="674" w:hRule="exact"/>
        </w:trPr>
        <w:tc>
          <w:tcPr>
            <w:tcW w:w="2552" w:type="dxa"/>
            <w:vMerge w:val="restart"/>
            <w:tcBorders>
              <w:top w:val="single" w:sz="4" w:space="0" w:color="000000"/>
              <w:left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1"/>
              <w:jc w:val="left"/>
              <w:rPr>
                <w:rFonts w:ascii="宋体" w:hAnsi="宋体" w:cs="宋体" w:eastAsia="宋体" w:hint="default"/>
                <w:sz w:val="18"/>
                <w:szCs w:val="18"/>
              </w:rPr>
            </w:pPr>
            <w:r>
              <w:rPr>
                <w:rFonts w:ascii="宋体" w:hAnsi="宋体" w:cs="宋体" w:eastAsia="宋体" w:hint="default"/>
                <w:sz w:val="18"/>
                <w:szCs w:val="18"/>
              </w:rPr>
              <w:t>可能有实质性竞争的 业务活动。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2552" w:type="dxa"/>
            <w:vMerge/>
            <w:tcBorders>
              <w:left w:val="single" w:sz="4" w:space="0" w:color="000000"/>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7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尽量避免不必要的关</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联交易发生</w:t>
            </w:r>
            <w:r>
              <w:rPr>
                <w:rFonts w:ascii="宋体" w:hAnsi="宋体" w:cs="宋体" w:eastAsia="宋体" w:hint="default"/>
                <w:spacing w:val="-81"/>
                <w:sz w:val="18"/>
                <w:szCs w:val="18"/>
              </w:rPr>
              <w:t>，</w:t>
            </w:r>
            <w:r>
              <w:rPr>
                <w:rFonts w:ascii="宋体" w:hAnsi="宋体" w:cs="宋体" w:eastAsia="宋体" w:hint="default"/>
                <w:sz w:val="18"/>
                <w:szCs w:val="18"/>
              </w:rPr>
              <w:t>对持续经</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776" w:type="dxa"/>
            <w:tcBorders>
              <w:top w:val="nil" w:sz="6" w:space="0" w:color="auto"/>
              <w:left w:val="single" w:sz="4" w:space="0" w:color="000000"/>
              <w:bottom w:val="nil" w:sz="6" w:space="0" w:color="auto"/>
              <w:right w:val="single" w:sz="13" w:space="0" w:color="FFFFFF"/>
            </w:tcBorders>
          </w:tcPr>
          <w:p>
            <w:pPr>
              <w:pStyle w:val="TableParagraph"/>
              <w:spacing w:line="316" w:lineRule="auto" w:before="10"/>
              <w:ind w:left="22" w:right="-44"/>
              <w:jc w:val="left"/>
              <w:rPr>
                <w:rFonts w:ascii="宋体" w:hAnsi="宋体" w:cs="宋体" w:eastAsia="宋体" w:hint="default"/>
                <w:sz w:val="18"/>
                <w:szCs w:val="18"/>
              </w:rPr>
            </w:pPr>
            <w:r>
              <w:rPr>
                <w:rFonts w:ascii="宋体" w:hAnsi="宋体" w:cs="宋体" w:eastAsia="宋体" w:hint="default"/>
                <w:sz w:val="18"/>
                <w:szCs w:val="18"/>
              </w:rPr>
              <w:t>营所发生的必要的关 </w:t>
            </w:r>
            <w:r>
              <w:rPr>
                <w:rFonts w:ascii="宋体" w:hAnsi="宋体" w:cs="宋体" w:eastAsia="宋体" w:hint="default"/>
                <w:spacing w:val="-9"/>
                <w:sz w:val="18"/>
                <w:szCs w:val="18"/>
              </w:rPr>
              <w:t>联交易，应以双方协议</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规定的方式进行处理，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遵循市场化的定价原</w:t>
            </w:r>
          </w:p>
        </w:tc>
        <w:tc>
          <w:tcPr>
            <w:tcW w:w="1277"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7"/>
                <w:sz w:val="18"/>
                <w:szCs w:val="18"/>
              </w:rPr>
              <w:t>报告期内，承诺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人严格履行了 承诺事项。</w:t>
            </w:r>
          </w:p>
        </w:tc>
      </w:tr>
      <w:tr>
        <w:trPr>
          <w:trHeight w:val="313"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则</w:t>
            </w:r>
            <w:r>
              <w:rPr>
                <w:rFonts w:ascii="宋体" w:hAnsi="宋体" w:cs="宋体" w:eastAsia="宋体" w:hint="default"/>
                <w:spacing w:val="-81"/>
                <w:sz w:val="18"/>
                <w:szCs w:val="18"/>
              </w:rPr>
              <w:t>，</w:t>
            </w:r>
            <w:r>
              <w:rPr>
                <w:rFonts w:ascii="宋体" w:hAnsi="宋体" w:cs="宋体" w:eastAsia="宋体" w:hint="default"/>
                <w:sz w:val="18"/>
                <w:szCs w:val="18"/>
              </w:rPr>
              <w:t>避免损害广大中小</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552" w:type="dxa"/>
            <w:vMerge/>
            <w:tcBorders>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股东权益的情况发生</w:t>
            </w: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1277"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552"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7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若公司租赁房产在租</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552"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赁有效期内因出租人</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2"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未办理房产证或者未</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23"/>
              <w:jc w:val="left"/>
              <w:rPr>
                <w:rFonts w:ascii="宋体" w:hAnsi="宋体" w:cs="宋体" w:eastAsia="宋体" w:hint="default"/>
                <w:sz w:val="18"/>
                <w:szCs w:val="18"/>
              </w:rPr>
            </w:pPr>
            <w:r>
              <w:rPr>
                <w:rFonts w:ascii="宋体" w:hAnsi="宋体" w:cs="宋体" w:eastAsia="宋体" w:hint="default"/>
                <w:spacing w:val="-10"/>
                <w:sz w:val="18"/>
                <w:szCs w:val="18"/>
              </w:rPr>
              <w:t>沈飒、朱烨东、蔡</w:t>
            </w:r>
            <w:r>
              <w:rPr>
                <w:rFonts w:ascii="宋体" w:hAnsi="宋体" w:cs="宋体" w:eastAsia="宋体" w:hint="default"/>
                <w:sz w:val="18"/>
                <w:szCs w:val="18"/>
              </w:rPr>
              <w:t> 迦、陈绪华</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办理租赁备案登记导 致中科金财受到任何 罚款或者需要变更办 </w:t>
            </w:r>
            <w:r>
              <w:rPr>
                <w:rFonts w:ascii="宋体" w:hAnsi="宋体" w:cs="宋体" w:eastAsia="宋体" w:hint="default"/>
                <w:spacing w:val="-9"/>
                <w:sz w:val="18"/>
                <w:szCs w:val="18"/>
              </w:rPr>
              <w:t>公场所，将承担公司及</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7"/>
                <w:sz w:val="18"/>
                <w:szCs w:val="18"/>
              </w:rPr>
              <w:t>报告期内，承诺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人严格履行了 承诺事项。</w:t>
            </w:r>
          </w:p>
        </w:tc>
      </w:tr>
      <w:tr>
        <w:trPr>
          <w:trHeight w:val="312" w:hRule="exact"/>
        </w:trPr>
        <w:tc>
          <w:tcPr>
            <w:tcW w:w="2552"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其子公司中科商务由</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552"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此产生的所有经济损</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552"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2552" w:type="dxa"/>
            <w:vMerge w:val="restart"/>
            <w:tcBorders>
              <w:top w:val="single" w:sz="4" w:space="0" w:color="000000"/>
              <w:left w:val="single" w:sz="4" w:space="0" w:color="000000"/>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7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将承担</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2008-2011</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年公</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司因</w:t>
            </w:r>
            <w:r>
              <w:rPr>
                <w:rFonts w:ascii="Times New Roman" w:hAnsi="Times New Roman" w:cs="Times New Roman" w:eastAsia="Times New Roman" w:hint="default"/>
                <w:sz w:val="18"/>
                <w:szCs w:val="18"/>
              </w:rPr>
              <w:t>“</w:t>
            </w:r>
            <w:r>
              <w:rPr>
                <w:rFonts w:ascii="宋体" w:hAnsi="宋体" w:cs="宋体" w:eastAsia="宋体" w:hint="default"/>
                <w:sz w:val="18"/>
                <w:szCs w:val="18"/>
              </w:rPr>
              <w:t>原单位缴纳</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1243"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朱烨东、沈飒</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307" w:lineRule="auto" w:before="5"/>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新参保或所需资料未 准备齐全</w:t>
            </w:r>
            <w:r>
              <w:rPr>
                <w:rFonts w:ascii="Times New Roman" w:hAnsi="Times New Roman" w:cs="Times New Roman" w:eastAsia="Times New Roman" w:hint="default"/>
                <w:sz w:val="18"/>
                <w:szCs w:val="18"/>
              </w:rPr>
              <w:t>”</w:t>
            </w:r>
            <w:r>
              <w:rPr>
                <w:rFonts w:ascii="宋体" w:hAnsi="宋体" w:cs="宋体" w:eastAsia="宋体" w:hint="default"/>
                <w:sz w:val="18"/>
                <w:szCs w:val="18"/>
              </w:rPr>
              <w:t>而未能及时 </w:t>
            </w:r>
            <w:r>
              <w:rPr>
                <w:rFonts w:ascii="宋体" w:hAnsi="宋体" w:cs="宋体" w:eastAsia="宋体" w:hint="default"/>
                <w:spacing w:val="-9"/>
                <w:sz w:val="18"/>
                <w:szCs w:val="18"/>
              </w:rPr>
              <w:t>缴纳社会保险、住房公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积金等问题可能产生</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7"/>
                <w:sz w:val="18"/>
                <w:szCs w:val="18"/>
              </w:rPr>
              <w:t>报告期内，承诺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人严格履行了 承诺事项。</w:t>
            </w:r>
          </w:p>
        </w:tc>
      </w:tr>
      <w:tr>
        <w:trPr>
          <w:trHeight w:val="313"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的全部费用和经济损</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2552" w:type="dxa"/>
            <w:vMerge/>
            <w:tcBorders>
              <w:left w:val="single" w:sz="4" w:space="0" w:color="000000"/>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7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w:t>
            </w:r>
            <w:r>
              <w:rPr>
                <w:rFonts w:ascii="宋体" w:hAnsi="宋体" w:cs="宋体" w:eastAsia="宋体" w:hint="default"/>
                <w:sz w:val="18"/>
                <w:szCs w:val="18"/>
              </w:rPr>
              <w:t>部分超募资金用</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于补充银行贷款</w:t>
            </w:r>
            <w:r>
              <w:rPr>
                <w:rFonts w:ascii="Times New Roman" w:hAnsi="Times New Roman" w:cs="Times New Roman" w:eastAsia="Times New Roman" w:hint="default"/>
                <w:sz w:val="18"/>
                <w:szCs w:val="18"/>
              </w:rPr>
              <w:t>”</w:t>
            </w:r>
            <w:r>
              <w:rPr>
                <w:rFonts w:ascii="宋体" w:hAnsi="宋体" w:cs="宋体" w:eastAsia="宋体" w:hint="default"/>
                <w:sz w:val="18"/>
                <w:szCs w:val="18"/>
              </w:rPr>
              <w:t>事项</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公司承诺最近十二个</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月内未进行证券投资</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等高风险投资</w:t>
            </w:r>
            <w:r>
              <w:rPr>
                <w:rFonts w:ascii="宋体" w:hAnsi="宋体" w:cs="宋体" w:eastAsia="宋体" w:hint="default"/>
                <w:spacing w:val="-81"/>
                <w:sz w:val="18"/>
                <w:szCs w:val="18"/>
              </w:rPr>
              <w:t>，</w:t>
            </w:r>
            <w:r>
              <w:rPr>
                <w:rFonts w:ascii="宋体" w:hAnsi="宋体" w:cs="宋体" w:eastAsia="宋体" w:hint="default"/>
                <w:sz w:val="18"/>
                <w:szCs w:val="18"/>
              </w:rPr>
              <w:t>公司在</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使用部分超募资金偿</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2"/>
              <w:jc w:val="both"/>
              <w:rPr>
                <w:rFonts w:ascii="宋体" w:hAnsi="宋体" w:cs="宋体" w:eastAsia="宋体" w:hint="default"/>
                <w:sz w:val="18"/>
                <w:szCs w:val="18"/>
              </w:rPr>
            </w:pPr>
            <w:r>
              <w:rPr>
                <w:rFonts w:ascii="宋体" w:hAnsi="宋体" w:cs="宋体" w:eastAsia="宋体" w:hint="default"/>
                <w:sz w:val="18"/>
                <w:szCs w:val="18"/>
              </w:rPr>
              <w:t>还银行贷款后十二个 月内不进行证券投资 </w:t>
            </w:r>
            <w:r>
              <w:rPr>
                <w:rFonts w:ascii="宋体" w:hAnsi="宋体" w:cs="宋体" w:eastAsia="宋体" w:hint="default"/>
                <w:spacing w:val="-9"/>
                <w:sz w:val="18"/>
                <w:szCs w:val="18"/>
              </w:rPr>
              <w:t>等高风险投资。本次公</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20"/>
              <w:jc w:val="left"/>
              <w:rPr>
                <w:rFonts w:ascii="宋体" w:hAnsi="宋体" w:cs="宋体" w:eastAsia="宋体" w:hint="default"/>
                <w:sz w:val="18"/>
                <w:szCs w:val="18"/>
              </w:rPr>
            </w:pPr>
            <w:r>
              <w:rPr>
                <w:rFonts w:ascii="宋体" w:hAnsi="宋体" w:cs="宋体" w:eastAsia="宋体" w:hint="default"/>
                <w:spacing w:val="-7"/>
                <w:sz w:val="18"/>
                <w:szCs w:val="18"/>
              </w:rPr>
              <w:t>报告期内，公司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严格履行了承 诺事项。</w:t>
            </w:r>
          </w:p>
        </w:tc>
      </w:tr>
      <w:tr>
        <w:trPr>
          <w:trHeight w:val="312"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司使用部分超募资金</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偿还银行贷款与公司</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施不相抵触</w:t>
            </w:r>
            <w:r>
              <w:rPr>
                <w:rFonts w:ascii="宋体" w:hAnsi="宋体" w:cs="宋体" w:eastAsia="宋体" w:hint="default"/>
                <w:spacing w:val="-81"/>
                <w:sz w:val="18"/>
                <w:szCs w:val="18"/>
              </w:rPr>
              <w:t>，</w:t>
            </w:r>
            <w:r>
              <w:rPr>
                <w:rFonts w:ascii="宋体" w:hAnsi="宋体" w:cs="宋体" w:eastAsia="宋体" w:hint="default"/>
                <w:sz w:val="18"/>
                <w:szCs w:val="18"/>
              </w:rPr>
              <w:t>不影响公</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司募集资金投资项目</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552" w:type="dxa"/>
            <w:vMerge/>
            <w:tcBorders>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的正常进行</w:t>
            </w:r>
            <w:r>
              <w:rPr>
                <w:rFonts w:ascii="宋体" w:hAnsi="宋体" w:cs="宋体" w:eastAsia="宋体" w:hint="default"/>
                <w:spacing w:val="-81"/>
                <w:sz w:val="18"/>
                <w:szCs w:val="18"/>
              </w:rPr>
              <w:t>，</w:t>
            </w:r>
            <w:r>
              <w:rPr>
                <w:rFonts w:ascii="宋体" w:hAnsi="宋体" w:cs="宋体" w:eastAsia="宋体" w:hint="default"/>
                <w:sz w:val="18"/>
                <w:szCs w:val="18"/>
              </w:rPr>
              <w:t>不存在变</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44.220001pt;margin-top:281.799988pt;width:63.4pt;height:124.8pt;mso-position-horizontal-relative:page;mso-position-vertical-relative:page;z-index:-670888" coordorigin="6884,5636" coordsize="1268,2496">
            <v:shape style="position:absolute;left:6884;top:5636;width:1268;height:2496" coordorigin="6884,5636" coordsize="1268,2496" path="m6884,8132l8152,8132,8152,5636,6884,5636,6884,813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2"/>
        <w:gridCol w:w="1417"/>
        <w:gridCol w:w="1776"/>
        <w:gridCol w:w="1277"/>
        <w:gridCol w:w="1277"/>
        <w:gridCol w:w="1268"/>
      </w:tblGrid>
      <w:tr>
        <w:trPr>
          <w:trHeight w:val="317" w:hRule="exact"/>
        </w:trPr>
        <w:tc>
          <w:tcPr>
            <w:tcW w:w="2552" w:type="dxa"/>
            <w:vMerge w:val="restart"/>
            <w:tcBorders>
              <w:top w:val="single" w:sz="4" w:space="0" w:color="000000"/>
              <w:left w:val="single" w:sz="4" w:space="0" w:color="000000"/>
              <w:right w:val="single" w:sz="4" w:space="0" w:color="000000"/>
            </w:tcBorders>
          </w:tcPr>
          <w:p>
            <w:pPr/>
          </w:p>
        </w:tc>
        <w:tc>
          <w:tcPr>
            <w:tcW w:w="1417" w:type="dxa"/>
            <w:vMerge w:val="restart"/>
            <w:tcBorders>
              <w:top w:val="single" w:sz="4" w:space="0" w:color="000000"/>
              <w:left w:val="single" w:sz="4" w:space="0" w:color="000000"/>
              <w:right w:val="single" w:sz="4" w:space="0" w:color="000000"/>
            </w:tcBorders>
          </w:tcPr>
          <w:p>
            <w:pPr/>
          </w:p>
        </w:tc>
        <w:tc>
          <w:tcPr>
            <w:tcW w:w="17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相改变募集资金投向</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r>
      <w:tr>
        <w:trPr>
          <w:trHeight w:val="313" w:hRule="exact"/>
        </w:trPr>
        <w:tc>
          <w:tcPr>
            <w:tcW w:w="2552"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和损害股东利益的情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57" w:hRule="exact"/>
        </w:trPr>
        <w:tc>
          <w:tcPr>
            <w:tcW w:w="2552" w:type="dxa"/>
            <w:vMerge/>
            <w:tcBorders>
              <w:left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r>
        <w:trPr>
          <w:trHeight w:val="362" w:hRule="exact"/>
        </w:trPr>
        <w:tc>
          <w:tcPr>
            <w:tcW w:w="2552" w:type="dxa"/>
            <w:vMerge/>
            <w:tcBorders>
              <w:left w:val="single" w:sz="4" w:space="0" w:color="000000"/>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7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w:t>
            </w:r>
            <w:r>
              <w:rPr>
                <w:rFonts w:ascii="宋体" w:hAnsi="宋体" w:cs="宋体" w:eastAsia="宋体" w:hint="default"/>
                <w:sz w:val="18"/>
                <w:szCs w:val="18"/>
              </w:rPr>
              <w:t>部分超募资金暂</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时补充流动资金</w:t>
            </w:r>
            <w:r>
              <w:rPr>
                <w:rFonts w:ascii="Times New Roman" w:hAnsi="Times New Roman" w:cs="Times New Roman" w:eastAsia="Times New Roman" w:hint="default"/>
                <w:sz w:val="18"/>
                <w:szCs w:val="18"/>
              </w:rPr>
              <w:t>“</w:t>
            </w:r>
            <w:r>
              <w:rPr>
                <w:rFonts w:ascii="宋体" w:hAnsi="宋体" w:cs="宋体" w:eastAsia="宋体" w:hint="default"/>
                <w:sz w:val="18"/>
                <w:szCs w:val="18"/>
              </w:rPr>
              <w:t>事项</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公司承诺最近十二个</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月内</w:t>
            </w:r>
            <w:r>
              <w:rPr>
                <w:rFonts w:ascii="宋体" w:hAnsi="宋体" w:cs="宋体" w:eastAsia="宋体" w:hint="default"/>
                <w:spacing w:val="-81"/>
                <w:sz w:val="18"/>
                <w:szCs w:val="18"/>
              </w:rPr>
              <w:t>，</w:t>
            </w:r>
            <w:r>
              <w:rPr>
                <w:rFonts w:ascii="宋体" w:hAnsi="宋体" w:cs="宋体" w:eastAsia="宋体" w:hint="default"/>
                <w:sz w:val="18"/>
                <w:szCs w:val="18"/>
              </w:rPr>
              <w:t>公司未进行证券</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投资等高风险投资</w:t>
            </w:r>
            <w:r>
              <w:rPr>
                <w:rFonts w:ascii="宋体" w:hAnsi="宋体" w:cs="宋体" w:eastAsia="宋体" w:hint="default"/>
                <w:spacing w:val="-81"/>
                <w:sz w:val="18"/>
                <w:szCs w:val="18"/>
              </w:rPr>
              <w:t>，</w:t>
            </w:r>
            <w:r>
              <w:rPr>
                <w:rFonts w:ascii="宋体" w:hAnsi="宋体" w:cs="宋体" w:eastAsia="宋体" w:hint="default"/>
                <w:sz w:val="18"/>
                <w:szCs w:val="18"/>
              </w:rPr>
              <w:t>并</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承诺本次利用部分超</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募资金暂时补充流动</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资金后十二个月内不 进行证券投资等高风 </w:t>
            </w:r>
            <w:r>
              <w:rPr>
                <w:rFonts w:ascii="宋体" w:hAnsi="宋体" w:cs="宋体" w:eastAsia="宋体" w:hint="default"/>
                <w:spacing w:val="-9"/>
                <w:sz w:val="18"/>
                <w:szCs w:val="18"/>
              </w:rPr>
              <w:t>险投资。本次公司使用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部分超募资金暂时补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7"/>
                <w:sz w:val="18"/>
                <w:szCs w:val="18"/>
              </w:rPr>
              <w:t>报告期内，公司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严格履行了承 诺事项。</w:t>
            </w:r>
          </w:p>
        </w:tc>
      </w:tr>
      <w:tr>
        <w:trPr>
          <w:trHeight w:val="312"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充流动资金与公司募</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集资金投资项目实施</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不相抵触</w:t>
            </w:r>
            <w:r>
              <w:rPr>
                <w:rFonts w:ascii="宋体" w:hAnsi="宋体" w:cs="宋体" w:eastAsia="宋体" w:hint="default"/>
                <w:spacing w:val="-81"/>
                <w:sz w:val="18"/>
                <w:szCs w:val="18"/>
              </w:rPr>
              <w:t>，</w:t>
            </w:r>
            <w:r>
              <w:rPr>
                <w:rFonts w:ascii="宋体" w:hAnsi="宋体" w:cs="宋体" w:eastAsia="宋体" w:hint="default"/>
                <w:sz w:val="18"/>
                <w:szCs w:val="18"/>
              </w:rPr>
              <w:t>不影响公司</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募集资金投资项目的</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正常进行</w:t>
            </w:r>
            <w:r>
              <w:rPr>
                <w:rFonts w:ascii="宋体" w:hAnsi="宋体" w:cs="宋体" w:eastAsia="宋体" w:hint="default"/>
                <w:spacing w:val="-81"/>
                <w:sz w:val="18"/>
                <w:szCs w:val="18"/>
              </w:rPr>
              <w:t>，</w:t>
            </w:r>
            <w:r>
              <w:rPr>
                <w:rFonts w:ascii="宋体" w:hAnsi="宋体" w:cs="宋体" w:eastAsia="宋体" w:hint="default"/>
                <w:sz w:val="18"/>
                <w:szCs w:val="18"/>
              </w:rPr>
              <w:t>不存在变相</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改变募集资金投向和</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损害股东利益的情况</w:t>
            </w: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1277"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2552" w:type="dxa"/>
            <w:vMerge/>
            <w:tcBorders>
              <w:left w:val="single" w:sz="4" w:space="0" w:color="000000"/>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7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w:t>
            </w:r>
            <w:r>
              <w:rPr>
                <w:rFonts w:ascii="宋体" w:hAnsi="宋体" w:cs="宋体" w:eastAsia="宋体" w:hint="default"/>
                <w:sz w:val="18"/>
                <w:szCs w:val="18"/>
              </w:rPr>
              <w:t>部分超募资金用</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于票据自助受理系统</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事项公司承诺最</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近十二个月内</w:t>
            </w:r>
            <w:r>
              <w:rPr>
                <w:rFonts w:ascii="宋体" w:hAnsi="宋体" w:cs="宋体" w:eastAsia="宋体" w:hint="default"/>
                <w:spacing w:val="-81"/>
                <w:sz w:val="18"/>
                <w:szCs w:val="18"/>
              </w:rPr>
              <w:t>，</w:t>
            </w:r>
            <w:r>
              <w:rPr>
                <w:rFonts w:ascii="宋体" w:hAnsi="宋体" w:cs="宋体" w:eastAsia="宋体" w:hint="default"/>
                <w:sz w:val="18"/>
                <w:szCs w:val="18"/>
              </w:rPr>
              <w:t>公司未</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进行证券投资等高风</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险投资</w:t>
            </w:r>
            <w:r>
              <w:rPr>
                <w:rFonts w:ascii="宋体" w:hAnsi="宋体" w:cs="宋体" w:eastAsia="宋体" w:hint="default"/>
                <w:spacing w:val="-81"/>
                <w:sz w:val="18"/>
                <w:szCs w:val="18"/>
              </w:rPr>
              <w:t>，</w:t>
            </w:r>
            <w:r>
              <w:rPr>
                <w:rFonts w:ascii="宋体" w:hAnsi="宋体" w:cs="宋体" w:eastAsia="宋体" w:hint="default"/>
                <w:sz w:val="18"/>
                <w:szCs w:val="18"/>
              </w:rPr>
              <w:t>并承诺本次利</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用部分超募资金用于</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票据自助受理系统项</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目后十二个月内不进 行证券投资等高风险 </w:t>
            </w:r>
            <w:r>
              <w:rPr>
                <w:rFonts w:ascii="宋体" w:hAnsi="宋体" w:cs="宋体" w:eastAsia="宋体" w:hint="default"/>
                <w:spacing w:val="-9"/>
                <w:sz w:val="18"/>
                <w:szCs w:val="18"/>
              </w:rPr>
              <w:t>投资。本次公司使用部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分超募资金用于票据</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7"/>
                <w:sz w:val="18"/>
                <w:szCs w:val="18"/>
              </w:rPr>
              <w:t>报告期内，公司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严格履行了承 诺事项。</w:t>
            </w:r>
          </w:p>
        </w:tc>
      </w:tr>
      <w:tr>
        <w:trPr>
          <w:trHeight w:val="312"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自助受理系统项目与</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公司募集资金投资项</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目实施不相抵触</w:t>
            </w:r>
            <w:r>
              <w:rPr>
                <w:rFonts w:ascii="宋体" w:hAnsi="宋体" w:cs="宋体" w:eastAsia="宋体" w:hint="default"/>
                <w:spacing w:val="-81"/>
                <w:sz w:val="18"/>
                <w:szCs w:val="18"/>
              </w:rPr>
              <w:t>，</w:t>
            </w:r>
            <w:r>
              <w:rPr>
                <w:rFonts w:ascii="宋体" w:hAnsi="宋体" w:cs="宋体" w:eastAsia="宋体" w:hint="default"/>
                <w:sz w:val="18"/>
                <w:szCs w:val="18"/>
              </w:rPr>
              <w:t>不影</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响公司募集资金投资</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项目的正常进行</w:t>
            </w:r>
            <w:r>
              <w:rPr>
                <w:rFonts w:ascii="宋体" w:hAnsi="宋体" w:cs="宋体" w:eastAsia="宋体" w:hint="default"/>
                <w:spacing w:val="-81"/>
                <w:sz w:val="18"/>
                <w:szCs w:val="18"/>
              </w:rPr>
              <w:t>，</w:t>
            </w:r>
            <w:r>
              <w:rPr>
                <w:rFonts w:ascii="宋体" w:hAnsi="宋体" w:cs="宋体" w:eastAsia="宋体" w:hint="default"/>
                <w:sz w:val="18"/>
                <w:szCs w:val="18"/>
              </w:rPr>
              <w:t>不存</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在变相改变募集资金</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552" w:type="dxa"/>
            <w:vMerge/>
            <w:tcBorders>
              <w:left w:val="single" w:sz="4" w:space="0" w:color="000000"/>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投向和损害股东利益</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552" w:type="dxa"/>
            <w:vMerge/>
            <w:tcBorders>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的情况。</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0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是否就导致的同业竞争和关联</w:t>
            </w:r>
          </w:p>
        </w:tc>
        <w:tc>
          <w:tcPr>
            <w:tcW w:w="70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24"/>
        <w:gridCol w:w="7044"/>
      </w:tblGrid>
      <w:tr>
        <w:trPr>
          <w:trHeight w:val="362" w:hRule="exact"/>
        </w:trPr>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交易问题作出承诺</w:t>
            </w:r>
          </w:p>
        </w:tc>
        <w:tc>
          <w:tcPr>
            <w:tcW w:w="7044" w:type="dxa"/>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70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报告期内，承诺人履行了承诺。</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ind w:right="0"/>
        <w:jc w:val="left"/>
        <w:rPr>
          <w:b w:val="0"/>
          <w:bCs w:val="0"/>
        </w:rPr>
      </w:pPr>
      <w:r>
        <w:rPr/>
        <w:t>七、聘任、解聘会计师事务所情况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85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朱锦梅、张静</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6"/>
        <w:ind w:left="154" w:right="52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spacing w:line="501" w:lineRule="auto" w:before="0"/>
        <w:ind w:left="154" w:right="5990" w:firstLine="0"/>
        <w:jc w:val="left"/>
        <w:rPr>
          <w:rFonts w:ascii="宋体" w:hAnsi="宋体" w:cs="宋体" w:eastAsia="宋体" w:hint="default"/>
          <w:sz w:val="24"/>
          <w:szCs w:val="24"/>
        </w:rPr>
      </w:pPr>
      <w:r>
        <w:rPr>
          <w:rFonts w:ascii="宋体" w:hAnsi="宋体" w:cs="宋体" w:eastAsia="宋体" w:hint="default"/>
          <w:b/>
          <w:bCs/>
          <w:sz w:val="24"/>
          <w:szCs w:val="24"/>
        </w:rPr>
        <w:t>八、其他重大事项的说明</w:t>
      </w:r>
      <w:r>
        <w:rPr>
          <w:rFonts w:ascii="宋体" w:hAnsi="宋体" w:cs="宋体" w:eastAsia="宋体" w:hint="default"/>
          <w:b/>
          <w:bCs/>
          <w:w w:val="99"/>
          <w:sz w:val="24"/>
          <w:szCs w:val="24"/>
        </w:rPr>
        <w:t> </w:t>
      </w:r>
      <w:r>
        <w:rPr>
          <w:rFonts w:ascii="宋体" w:hAnsi="宋体" w:cs="宋体" w:eastAsia="宋体" w:hint="default"/>
          <w:sz w:val="21"/>
          <w:szCs w:val="21"/>
        </w:rPr>
        <w:t>本报告期，无需要说明的其他重大事项。 </w:t>
      </w:r>
      <w:r>
        <w:rPr>
          <w:rFonts w:ascii="宋体" w:hAnsi="宋体" w:cs="宋体" w:eastAsia="宋体" w:hint="default"/>
          <w:b/>
          <w:bCs/>
          <w:sz w:val="24"/>
          <w:szCs w:val="24"/>
        </w:rPr>
        <w:t>九、公司子公司重要事项</w:t>
      </w:r>
      <w:r>
        <w:rPr>
          <w:rFonts w:ascii="宋体" w:hAnsi="宋体" w:cs="宋体" w:eastAsia="宋体" w:hint="default"/>
          <w:sz w:val="24"/>
          <w:szCs w:val="24"/>
        </w:rPr>
      </w:r>
    </w:p>
    <w:p>
      <w:pPr>
        <w:pStyle w:val="BodyText"/>
        <w:spacing w:line="408" w:lineRule="auto" w:before="137"/>
        <w:ind w:right="0" w:firstLine="525"/>
        <w:jc w:val="left"/>
      </w:pPr>
      <w:r>
        <w:rPr/>
        <w:t>为增强北京中科金财电子商务有限公司的资金实力，满足中科商务公司业务快速发展需要，经公司 </w:t>
      </w:r>
      <w:r>
        <w:rPr>
          <w:spacing w:val="-1"/>
        </w:rPr>
        <w:t>第二届董事会第十一次会议审议通过，中科金财向子公司中科商务增资10,080万元。本次增资完成后，中</w:t>
      </w:r>
      <w:r>
        <w:rPr>
          <w:spacing w:val="-82"/>
        </w:rPr>
        <w:t> </w:t>
      </w:r>
      <w:r>
        <w:rPr>
          <w:spacing w:val="-82"/>
        </w:rPr>
      </w:r>
      <w:r>
        <w:rPr>
          <w:spacing w:val="-1"/>
        </w:rPr>
        <w:t>科商务的注册资本增加至10,000万元。本次增资的实施将增强中科商务的资金实力和企业竞争力，提高其</w:t>
      </w:r>
      <w:r>
        <w:rPr>
          <w:spacing w:val="-80"/>
        </w:rPr>
        <w:t> </w:t>
      </w:r>
      <w:r>
        <w:rPr>
          <w:spacing w:val="-80"/>
        </w:rPr>
      </w:r>
      <w:r>
        <w:rPr/>
        <w:t>经济增长速度和效益，有利于公司的快速、长远、持续发展。详细情况已于2012年9月18日刊登在《证券</w:t>
      </w:r>
      <w:r>
        <w:rPr/>
        <w:t> </w:t>
      </w:r>
      <w:hyperlink r:id="rId11">
        <w:r>
          <w:rPr/>
          <w:t>日报》、《证券时报》、《中国证券报》、《上海证券报》、巨潮资讯网（www.cninfo</w:t>
        </w:r>
      </w:hyperlink>
      <w:r>
        <w:rPr/>
        <w:t>.com.cn）。</w:t>
      </w:r>
    </w:p>
    <w:p>
      <w:pPr>
        <w:spacing w:line="240" w:lineRule="auto" w:before="11"/>
        <w:rPr>
          <w:rFonts w:ascii="宋体" w:hAnsi="宋体" w:cs="宋体" w:eastAsia="宋体" w:hint="default"/>
          <w:sz w:val="18"/>
          <w:szCs w:val="18"/>
        </w:rPr>
      </w:pPr>
    </w:p>
    <w:p>
      <w:pPr>
        <w:pStyle w:val="Heading2"/>
        <w:spacing w:line="240" w:lineRule="auto" w:before="0"/>
        <w:ind w:right="0"/>
        <w:jc w:val="left"/>
        <w:rPr>
          <w:b w:val="0"/>
          <w:bCs w:val="0"/>
        </w:rPr>
      </w:pPr>
      <w:r>
        <w:rPr/>
        <w:t>十、公司发行公司债券的情况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153" w:right="0" w:firstLine="427"/>
        <w:jc w:val="left"/>
      </w:pPr>
      <w:r>
        <w:rPr/>
        <w:t>公司于2012年10月9日召开第二届董事会第十二次会议，审议通过了《关于公司符合发行公司债券条</w:t>
      </w:r>
      <w:r>
        <w:rPr>
          <w:spacing w:val="-1"/>
        </w:rPr>
        <w:t> 件的议案》和《关于发行公司债券的议案》，并于2012年10月25日召开2012年第二次临时股东大会审议通</w:t>
      </w:r>
      <w:r>
        <w:rPr>
          <w:spacing w:val="-81"/>
        </w:rPr>
        <w:t> </w:t>
      </w:r>
      <w:r>
        <w:rPr>
          <w:spacing w:val="-81"/>
        </w:rPr>
      </w:r>
      <w:r>
        <w:rPr/>
        <w:t>过了上述议案。</w:t>
      </w:r>
    </w:p>
    <w:p>
      <w:pPr>
        <w:pStyle w:val="BodyText"/>
        <w:spacing w:line="408" w:lineRule="auto"/>
        <w:ind w:left="153" w:right="0" w:firstLine="420"/>
        <w:jc w:val="left"/>
      </w:pPr>
      <w:r>
        <w:rPr>
          <w:spacing w:val="-1"/>
        </w:rPr>
        <w:t>2012年12月21日，公司本次公开发行公司债券的申请获得了中国证券监督管理委员会发行审核委员会</w:t>
      </w:r>
      <w:r>
        <w:rPr/>
        <w:t> 的批准，并于2013年1月18日收到了中国证券监督管理委员会《关于核准北京中科金财科技股份有限公司 公开发行公司债券的批复》证监许可[2013]39号，核准公司向社会公开发行面值不超过2.4亿元的公司债 券。</w:t>
      </w:r>
    </w:p>
    <w:p>
      <w:pPr>
        <w:spacing w:after="0" w:line="408"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_TOC_250005"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r>
        <w:rPr/>
        <w:t>一、股份变动情况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678"/>
        <w:gridCol w:w="1004"/>
        <w:gridCol w:w="850"/>
        <w:gridCol w:w="1020"/>
        <w:gridCol w:w="844"/>
        <w:gridCol w:w="842"/>
        <w:gridCol w:w="696"/>
        <w:gridCol w:w="990"/>
        <w:gridCol w:w="996"/>
        <w:gridCol w:w="708"/>
      </w:tblGrid>
      <w:tr>
        <w:trPr>
          <w:trHeight w:val="402" w:hRule="exact"/>
        </w:trPr>
        <w:tc>
          <w:tcPr>
            <w:tcW w:w="1678" w:type="dxa"/>
            <w:tcBorders>
              <w:top w:val="single" w:sz="4" w:space="0" w:color="000000"/>
              <w:left w:val="single" w:sz="4" w:space="0" w:color="000000"/>
              <w:bottom w:val="nil" w:sz="6" w:space="0" w:color="auto"/>
              <w:right w:val="single" w:sz="4" w:space="0" w:color="000000"/>
            </w:tcBorders>
            <w:shd w:val="clear" w:color="auto" w:fill="D3D3D3"/>
          </w:tcPr>
          <w:p>
            <w:pPr/>
          </w:p>
        </w:tc>
        <w:tc>
          <w:tcPr>
            <w:tcW w:w="18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9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0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0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0" w:hRule="exact"/>
        </w:trPr>
        <w:tc>
          <w:tcPr>
            <w:tcW w:w="1678" w:type="dxa"/>
            <w:vMerge w:val="restart"/>
            <w:tcBorders>
              <w:top w:val="nil" w:sz="6" w:space="0" w:color="auto"/>
              <w:left w:val="single" w:sz="4" w:space="0" w:color="000000"/>
              <w:right w:val="single" w:sz="4" w:space="0" w:color="000000"/>
            </w:tcBorders>
            <w:shd w:val="clear" w:color="auto" w:fill="D3D3D3"/>
          </w:tcPr>
          <w:p>
            <w:pPr/>
          </w:p>
        </w:tc>
        <w:tc>
          <w:tcPr>
            <w:tcW w:w="1004" w:type="dxa"/>
            <w:tcBorders>
              <w:top w:val="single" w:sz="4" w:space="0" w:color="000000"/>
              <w:left w:val="single" w:sz="4" w:space="0" w:color="000000"/>
              <w:bottom w:val="nil" w:sz="6" w:space="0" w:color="auto"/>
              <w:right w:val="single" w:sz="4" w:space="0" w:color="000000"/>
            </w:tcBorders>
            <w:shd w:val="clear" w:color="auto" w:fill="D3D3D3"/>
          </w:tcPr>
          <w:p>
            <w:pPr/>
          </w:p>
        </w:tc>
        <w:tc>
          <w:tcPr>
            <w:tcW w:w="85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4"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696" w:type="dxa"/>
            <w:tcBorders>
              <w:top w:val="single" w:sz="4" w:space="0" w:color="000000"/>
              <w:left w:val="single" w:sz="4" w:space="0" w:color="000000"/>
              <w:bottom w:val="nil" w:sz="6" w:space="0" w:color="auto"/>
              <w:right w:val="single" w:sz="4" w:space="0" w:color="000000"/>
            </w:tcBorders>
            <w:shd w:val="clear" w:color="auto" w:fill="D3D3D3"/>
          </w:tcPr>
          <w:p>
            <w:pPr/>
          </w:p>
        </w:tc>
        <w:tc>
          <w:tcPr>
            <w:tcW w:w="990" w:type="dxa"/>
            <w:tcBorders>
              <w:top w:val="single" w:sz="4" w:space="0" w:color="000000"/>
              <w:left w:val="single" w:sz="4" w:space="0" w:color="000000"/>
              <w:bottom w:val="nil" w:sz="6" w:space="0" w:color="auto"/>
              <w:right w:val="single" w:sz="4" w:space="0" w:color="000000"/>
            </w:tcBorders>
            <w:shd w:val="clear" w:color="auto" w:fill="D3D3D3"/>
          </w:tcPr>
          <w:p>
            <w:pPr/>
          </w:p>
        </w:tc>
        <w:tc>
          <w:tcPr>
            <w:tcW w:w="996" w:type="dxa"/>
            <w:tcBorders>
              <w:top w:val="single" w:sz="4" w:space="0" w:color="000000"/>
              <w:left w:val="single" w:sz="4" w:space="0" w:color="000000"/>
              <w:bottom w:val="nil" w:sz="6" w:space="0" w:color="auto"/>
              <w:right w:val="single" w:sz="4" w:space="0" w:color="000000"/>
            </w:tcBorders>
            <w:shd w:val="clear" w:color="auto" w:fill="D3D3D3"/>
          </w:tcPr>
          <w:p>
            <w:pPr/>
          </w:p>
        </w:tc>
        <w:tc>
          <w:tcPr>
            <w:tcW w:w="70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2" w:hRule="exact"/>
        </w:trPr>
        <w:tc>
          <w:tcPr>
            <w:tcW w:w="1678" w:type="dxa"/>
            <w:vMerge/>
            <w:tcBorders>
              <w:left w:val="single" w:sz="4" w:space="0" w:color="000000"/>
              <w:bottom w:val="nil" w:sz="6" w:space="0" w:color="auto"/>
              <w:right w:val="single" w:sz="4" w:space="0" w:color="000000"/>
            </w:tcBorders>
            <w:shd w:val="clear" w:color="auto" w:fill="D3D3D3"/>
          </w:tcPr>
          <w:p>
            <w:pPr/>
          </w:p>
        </w:tc>
        <w:tc>
          <w:tcPr>
            <w:tcW w:w="100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1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2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1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3D3D3"/>
          </w:tcPr>
          <w:p>
            <w:pPr/>
          </w:p>
        </w:tc>
        <w:tc>
          <w:tcPr>
            <w:tcW w:w="69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1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1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2" w:hRule="exact"/>
        </w:trPr>
        <w:tc>
          <w:tcPr>
            <w:tcW w:w="1678" w:type="dxa"/>
            <w:vMerge w:val="restart"/>
            <w:tcBorders>
              <w:top w:val="nil" w:sz="6" w:space="0" w:color="auto"/>
              <w:left w:val="single" w:sz="4" w:space="0" w:color="000000"/>
              <w:right w:val="single" w:sz="4" w:space="0" w:color="000000"/>
            </w:tcBorders>
            <w:shd w:val="clear" w:color="auto" w:fill="D3D3D3"/>
          </w:tcPr>
          <w:p>
            <w:pPr/>
          </w:p>
        </w:tc>
        <w:tc>
          <w:tcPr>
            <w:tcW w:w="1004" w:type="dxa"/>
            <w:vMerge/>
            <w:tcBorders>
              <w:left w:val="single" w:sz="4" w:space="0" w:color="000000"/>
              <w:bottom w:val="nil" w:sz="6" w:space="0" w:color="auto"/>
              <w:right w:val="single" w:sz="4" w:space="0" w:color="000000"/>
            </w:tcBorders>
            <w:shd w:val="clear" w:color="auto" w:fill="D3D3D3"/>
          </w:tcPr>
          <w:p>
            <w:pPr/>
          </w:p>
        </w:tc>
        <w:tc>
          <w:tcPr>
            <w:tcW w:w="850" w:type="dxa"/>
            <w:vMerge/>
            <w:tcBorders>
              <w:left w:val="single" w:sz="4" w:space="0" w:color="000000"/>
              <w:bottom w:val="nil" w:sz="6" w:space="0" w:color="auto"/>
              <w:right w:val="single" w:sz="4" w:space="0" w:color="000000"/>
            </w:tcBorders>
            <w:shd w:val="clear" w:color="auto" w:fill="D3D3D3"/>
          </w:tcPr>
          <w:p>
            <w:pPr/>
          </w:p>
        </w:tc>
        <w:tc>
          <w:tcPr>
            <w:tcW w:w="1020" w:type="dxa"/>
            <w:vMerge/>
            <w:tcBorders>
              <w:left w:val="single" w:sz="4" w:space="0" w:color="000000"/>
              <w:bottom w:val="nil" w:sz="6" w:space="0" w:color="auto"/>
              <w:right w:val="single" w:sz="4" w:space="0" w:color="000000"/>
            </w:tcBorders>
            <w:shd w:val="clear" w:color="auto" w:fill="D3D3D3"/>
          </w:tcPr>
          <w:p>
            <w:pPr/>
          </w:p>
        </w:tc>
        <w:tc>
          <w:tcPr>
            <w:tcW w:w="844" w:type="dxa"/>
            <w:vMerge/>
            <w:tcBorders>
              <w:left w:val="single" w:sz="4" w:space="0" w:color="000000"/>
              <w:bottom w:val="nil" w:sz="6" w:space="0" w:color="auto"/>
              <w:right w:val="single" w:sz="4" w:space="0" w:color="000000"/>
            </w:tcBorders>
            <w:shd w:val="clear" w:color="auto" w:fill="D3D3D3"/>
          </w:tcPr>
          <w:p>
            <w:pPr/>
          </w:p>
        </w:tc>
        <w:tc>
          <w:tcPr>
            <w:tcW w:w="842" w:type="dxa"/>
            <w:vMerge/>
            <w:tcBorders>
              <w:left w:val="single" w:sz="4" w:space="0" w:color="000000"/>
              <w:right w:val="single" w:sz="4" w:space="0" w:color="000000"/>
            </w:tcBorders>
            <w:shd w:val="clear" w:color="auto" w:fill="D3D3D3"/>
          </w:tcPr>
          <w:p>
            <w:pPr/>
          </w:p>
        </w:tc>
        <w:tc>
          <w:tcPr>
            <w:tcW w:w="696" w:type="dxa"/>
            <w:vMerge/>
            <w:tcBorders>
              <w:left w:val="single" w:sz="4" w:space="0" w:color="000000"/>
              <w:bottom w:val="nil" w:sz="6" w:space="0" w:color="auto"/>
              <w:right w:val="single" w:sz="4" w:space="0" w:color="000000"/>
            </w:tcBorders>
            <w:shd w:val="clear" w:color="auto" w:fill="D3D3D3"/>
          </w:tcPr>
          <w:p>
            <w:pPr/>
          </w:p>
        </w:tc>
        <w:tc>
          <w:tcPr>
            <w:tcW w:w="990" w:type="dxa"/>
            <w:vMerge/>
            <w:tcBorders>
              <w:left w:val="single" w:sz="4" w:space="0" w:color="000000"/>
              <w:bottom w:val="nil" w:sz="6" w:space="0" w:color="auto"/>
              <w:right w:val="single" w:sz="4" w:space="0" w:color="000000"/>
            </w:tcBorders>
            <w:shd w:val="clear" w:color="auto" w:fill="D3D3D3"/>
          </w:tcPr>
          <w:p>
            <w:pPr/>
          </w:p>
        </w:tc>
        <w:tc>
          <w:tcPr>
            <w:tcW w:w="996" w:type="dxa"/>
            <w:vMerge/>
            <w:tcBorders>
              <w:left w:val="single" w:sz="4" w:space="0" w:color="000000"/>
              <w:bottom w:val="nil" w:sz="6" w:space="0" w:color="auto"/>
              <w:right w:val="single" w:sz="4" w:space="0" w:color="000000"/>
            </w:tcBorders>
            <w:shd w:val="clear" w:color="auto" w:fill="D3D3D3"/>
          </w:tcPr>
          <w:p>
            <w:pPr/>
          </w:p>
        </w:tc>
        <w:tc>
          <w:tcPr>
            <w:tcW w:w="708" w:type="dxa"/>
            <w:vMerge/>
            <w:tcBorders>
              <w:left w:val="single" w:sz="4" w:space="0" w:color="000000"/>
              <w:bottom w:val="nil" w:sz="6" w:space="0" w:color="auto"/>
              <w:right w:val="single" w:sz="4" w:space="0" w:color="000000"/>
            </w:tcBorders>
            <w:shd w:val="clear" w:color="auto" w:fill="D3D3D3"/>
          </w:tcPr>
          <w:p>
            <w:pPr/>
          </w:p>
        </w:tc>
      </w:tr>
      <w:tr>
        <w:trPr>
          <w:trHeight w:val="160" w:hRule="exact"/>
        </w:trPr>
        <w:tc>
          <w:tcPr>
            <w:tcW w:w="1678" w:type="dxa"/>
            <w:vMerge/>
            <w:tcBorders>
              <w:left w:val="single" w:sz="4" w:space="0" w:color="000000"/>
              <w:bottom w:val="single" w:sz="4" w:space="0" w:color="000000"/>
              <w:right w:val="single" w:sz="4" w:space="0" w:color="000000"/>
            </w:tcBorders>
            <w:shd w:val="clear" w:color="auto" w:fill="D3D3D3"/>
          </w:tcPr>
          <w:p>
            <w:pPr/>
          </w:p>
        </w:tc>
        <w:tc>
          <w:tcPr>
            <w:tcW w:w="1004" w:type="dxa"/>
            <w:tcBorders>
              <w:top w:val="nil" w:sz="6" w:space="0" w:color="auto"/>
              <w:left w:val="single" w:sz="4" w:space="0" w:color="000000"/>
              <w:bottom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4"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 w:type="dxa"/>
            <w:vMerge/>
            <w:tcBorders>
              <w:left w:val="single" w:sz="4" w:space="0" w:color="000000"/>
              <w:bottom w:val="single" w:sz="4" w:space="0" w:color="000000"/>
              <w:right w:val="single" w:sz="4" w:space="0" w:color="000000"/>
            </w:tcBorders>
            <w:shd w:val="clear" w:color="auto" w:fill="D3D3D3"/>
          </w:tcPr>
          <w:p>
            <w:pPr/>
          </w:p>
        </w:tc>
        <w:tc>
          <w:tcPr>
            <w:tcW w:w="696" w:type="dxa"/>
            <w:tcBorders>
              <w:top w:val="nil" w:sz="6" w:space="0" w:color="auto"/>
              <w:left w:val="single" w:sz="4" w:space="0" w:color="000000"/>
              <w:bottom w:val="single" w:sz="4" w:space="0" w:color="000000"/>
              <w:right w:val="single" w:sz="4" w:space="0" w:color="000000"/>
            </w:tcBorders>
            <w:shd w:val="clear" w:color="auto" w:fill="D3D3D3"/>
          </w:tcPr>
          <w:p>
            <w:pPr/>
          </w:p>
        </w:tc>
        <w:tc>
          <w:tcPr>
            <w:tcW w:w="990" w:type="dxa"/>
            <w:tcBorders>
              <w:top w:val="nil" w:sz="6" w:space="0" w:color="auto"/>
              <w:left w:val="single" w:sz="4" w:space="0" w:color="000000"/>
              <w:bottom w:val="single" w:sz="4" w:space="0" w:color="000000"/>
              <w:right w:val="single" w:sz="4" w:space="0" w:color="000000"/>
            </w:tcBorders>
            <w:shd w:val="clear" w:color="auto" w:fill="D3D3D3"/>
          </w:tcPr>
          <w:p>
            <w:pPr/>
          </w:p>
        </w:tc>
        <w:tc>
          <w:tcPr>
            <w:tcW w:w="996" w:type="dxa"/>
            <w:tcBorders>
              <w:top w:val="nil" w:sz="6" w:space="0" w:color="auto"/>
              <w:left w:val="single" w:sz="4" w:space="0" w:color="000000"/>
              <w:bottom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52,347,534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020"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52,347,534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75%</w:t>
            </w:r>
          </w:p>
        </w:tc>
      </w:tr>
      <w:tr>
        <w:trPr>
          <w:trHeight w:val="402" w:hRule="exact"/>
        </w:trPr>
        <w:tc>
          <w:tcPr>
            <w:tcW w:w="1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52,347,534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020"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52,347,534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75%</w:t>
            </w:r>
          </w:p>
        </w:tc>
      </w:tr>
      <w:tr>
        <w:trPr>
          <w:trHeight w:val="402" w:hRule="exact"/>
        </w:trPr>
        <w:tc>
          <w:tcPr>
            <w:tcW w:w="1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9,649,836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18.43%</w:t>
            </w:r>
          </w:p>
        </w:tc>
        <w:tc>
          <w:tcPr>
            <w:tcW w:w="1020"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9,649,836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13.84%</w:t>
            </w:r>
          </w:p>
        </w:tc>
      </w:tr>
      <w:tr>
        <w:trPr>
          <w:trHeight w:val="402" w:hRule="exact"/>
        </w:trPr>
        <w:tc>
          <w:tcPr>
            <w:tcW w:w="1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42,697,698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81.57%</w:t>
            </w:r>
          </w:p>
        </w:tc>
        <w:tc>
          <w:tcPr>
            <w:tcW w:w="1020"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42,697,698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61.16%</w:t>
            </w:r>
          </w:p>
        </w:tc>
      </w:tr>
      <w:tr>
        <w:trPr>
          <w:trHeight w:val="402" w:hRule="exact"/>
        </w:trPr>
        <w:tc>
          <w:tcPr>
            <w:tcW w:w="1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4" w:type="dxa"/>
            <w:tcBorders>
              <w:top w:val="single" w:sz="4" w:space="0" w:color="000000"/>
              <w:left w:val="single" w:sz="13" w:space="0" w:color="D3D3D3"/>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17,450,000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17,450,000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17,450,000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1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4" w:type="dxa"/>
            <w:tcBorders>
              <w:top w:val="single" w:sz="4" w:space="0" w:color="000000"/>
              <w:left w:val="single" w:sz="13" w:space="0" w:color="D3D3D3"/>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17,450,000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17,450,000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17,450,000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1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52,347,534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17,450,000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17,450,000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69,797,534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r>
    </w:tbl>
    <w:p>
      <w:pPr>
        <w:spacing w:line="420" w:lineRule="auto" w:before="63"/>
        <w:ind w:left="154" w:right="3470" w:firstLine="0"/>
        <w:jc w:val="left"/>
        <w:rPr>
          <w:rFonts w:ascii="宋体" w:hAnsi="宋体" w:cs="宋体" w:eastAsia="宋体" w:hint="default"/>
          <w:sz w:val="18"/>
          <w:szCs w:val="18"/>
        </w:rPr>
      </w:pPr>
      <w:r>
        <w:rPr>
          <w:rFonts w:ascii="宋体" w:hAnsi="宋体" w:cs="宋体" w:eastAsia="宋体" w:hint="default"/>
          <w:b/>
          <w:bCs/>
          <w:sz w:val="21"/>
          <w:szCs w:val="21"/>
        </w:rPr>
        <w:t>股份变动的原因</w:t>
      </w:r>
      <w:r>
        <w:rPr>
          <w:rFonts w:ascii="宋体" w:hAnsi="宋体" w:cs="宋体" w:eastAsia="宋体" w:hint="default"/>
          <w:b/>
          <w:bCs/>
          <w:w w:val="99"/>
          <w:sz w:val="21"/>
          <w:szCs w:val="21"/>
        </w:rPr>
        <w:t> </w:t>
      </w:r>
      <w:r>
        <w:rPr>
          <w:rFonts w:ascii="宋体" w:hAnsi="宋体" w:cs="宋体" w:eastAsia="宋体" w:hint="default"/>
          <w:sz w:val="21"/>
          <w:szCs w:val="21"/>
        </w:rPr>
        <w:t>公司于2012年2月发行新股1745万股，注册资本变更为6979.75万元。 </w:t>
      </w:r>
      <w:r>
        <w:rPr>
          <w:rFonts w:ascii="宋体" w:hAnsi="宋体" w:cs="宋体" w:eastAsia="宋体" w:hint="default"/>
          <w:sz w:val="18"/>
          <w:szCs w:val="18"/>
        </w:rPr>
        <w:t>股份变动的批准情况</w:t>
      </w:r>
    </w:p>
    <w:p>
      <w:pPr>
        <w:spacing w:before="97"/>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15"/>
          <w:szCs w:val="15"/>
        </w:rPr>
      </w:pPr>
    </w:p>
    <w:p>
      <w:pPr>
        <w:pStyle w:val="BodyText"/>
        <w:spacing w:line="408" w:lineRule="auto" w:before="0"/>
        <w:ind w:right="0" w:firstLine="464"/>
        <w:jc w:val="left"/>
      </w:pPr>
      <w:r>
        <w:rPr/>
        <w:t>经中国证券监督管理委员会证监许可[2012]152号文核准，北京中科金财科技股份有限公司采用网下</w:t>
      </w:r>
      <w:r>
        <w:rPr>
          <w:spacing w:val="-1"/>
        </w:rPr>
        <w:t> </w:t>
      </w:r>
      <w:r>
        <w:rPr/>
        <w:t>向询价对象配售和网上向社会公众投资者定价发行相结合的方式，向社会公开发行人民币普通股1,745万</w:t>
      </w:r>
      <w:r>
        <w:rPr/>
        <w:t> 股，发行价格为22.00元/股，其中网下配售344万股，网上发行1,401万股。经深圳证券交易所深证上 [2012]37号文同意，公司首次公开发行人民币普通股股票于2012年2月28日在深圳证券交易所中小企业板 </w:t>
      </w:r>
      <w:r>
        <w:rPr>
          <w:spacing w:val="-2"/>
        </w:rPr>
        <w:t>上市。上市后公司总股本由5,234.7534万股增加到6,979.7534万股，其中，无限售条件的上市流通股份数</w:t>
      </w:r>
      <w:r>
        <w:rPr>
          <w:spacing w:val="-67"/>
        </w:rPr>
        <w:t> </w:t>
      </w:r>
      <w:r>
        <w:rPr>
          <w:spacing w:val="-67"/>
        </w:rPr>
      </w:r>
      <w:r>
        <w:rPr/>
        <w:t>为1,401万股。</w:t>
      </w:r>
    </w:p>
    <w:p>
      <w:pPr>
        <w:spacing w:line="405" w:lineRule="auto" w:before="46"/>
        <w:ind w:left="154" w:right="0" w:firstLine="420"/>
        <w:jc w:val="left"/>
        <w:rPr>
          <w:rFonts w:ascii="宋体" w:hAnsi="宋体" w:cs="宋体" w:eastAsia="宋体" w:hint="default"/>
          <w:sz w:val="18"/>
          <w:szCs w:val="18"/>
        </w:rPr>
      </w:pPr>
      <w:r>
        <w:rPr>
          <w:rFonts w:ascii="宋体" w:hAnsi="宋体" w:cs="宋体" w:eastAsia="宋体" w:hint="default"/>
          <w:spacing w:val="-1"/>
          <w:sz w:val="21"/>
          <w:szCs w:val="21"/>
        </w:rPr>
        <w:t>根据《证券发行与承销管理办法》的相关规定，公司网下配售的股票自公司网上发行的股票在深圳证</w:t>
      </w:r>
      <w:r>
        <w:rPr>
          <w:rFonts w:ascii="宋体" w:hAnsi="宋体" w:cs="宋体" w:eastAsia="宋体" w:hint="default"/>
          <w:sz w:val="21"/>
          <w:szCs w:val="21"/>
        </w:rPr>
        <w:t> </w:t>
      </w:r>
      <w:r>
        <w:rPr>
          <w:rFonts w:ascii="宋体" w:hAnsi="宋体" w:cs="宋体" w:eastAsia="宋体" w:hint="default"/>
          <w:spacing w:val="-1"/>
          <w:sz w:val="21"/>
          <w:szCs w:val="21"/>
        </w:rPr>
        <w:t>券交易所上市交易之日即2012年2月28日起，锁定三个月方可上市流通，该部分股票已于2012年5月28日起</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开始上市流通。网下配售股票上市流通后，公司无限售条件的上市流通股份数增加至1,745万股。</w:t>
      </w:r>
      <w:r>
        <w:rPr>
          <w:rFonts w:ascii="宋体" w:hAnsi="宋体" w:cs="宋体" w:eastAsia="宋体" w:hint="default"/>
          <w:sz w:val="21"/>
          <w:szCs w:val="21"/>
        </w:rPr>
        <w:t> </w:t>
      </w:r>
      <w:r>
        <w:rPr>
          <w:rFonts w:ascii="宋体" w:hAnsi="宋体" w:cs="宋体" w:eastAsia="宋体" w:hint="default"/>
          <w:b/>
          <w:bCs/>
          <w:sz w:val="18"/>
          <w:szCs w:val="18"/>
        </w:rPr>
        <w:t>股份变动对最近一年和最近一期基本每股收益和稀释每股收益、归属于公司普通股股东的每股净资产等财务指标的影响</w:t>
      </w:r>
      <w:r>
        <w:rPr>
          <w:rFonts w:ascii="宋体" w:hAnsi="宋体" w:cs="宋体" w:eastAsia="宋体" w:hint="default"/>
          <w:sz w:val="18"/>
          <w:szCs w:val="18"/>
        </w:rPr>
      </w:r>
    </w:p>
    <w:p>
      <w:pPr>
        <w:spacing w:line="241" w:lineRule="exact"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5"/>
        <w:ind w:right="0" w:firstLine="420"/>
        <w:jc w:val="left"/>
      </w:pPr>
      <w:r>
        <w:rPr>
          <w:spacing w:val="-1"/>
        </w:rPr>
        <w:t>报告期末，每股收益0.95元，每股净资产9.85元。如公司报告期内不首次公开发行新股，则报告期末</w:t>
      </w:r>
      <w:r>
        <w:rPr/>
        <w:t> 每股收益1.21元，每股净资产12.58元。</w:t>
      </w:r>
    </w:p>
    <w:p>
      <w:pPr>
        <w:spacing w:after="0" w:line="408" w:lineRule="auto"/>
        <w:jc w:val="left"/>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ind w:right="102"/>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8"/>
        <w:gridCol w:w="1609"/>
        <w:gridCol w:w="1124"/>
        <w:gridCol w:w="1144"/>
        <w:gridCol w:w="1591"/>
        <w:gridCol w:w="1367"/>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07"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6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1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86" w:right="22" w:hanging="264"/>
              <w:jc w:val="left"/>
              <w:rPr>
                <w:rFonts w:ascii="宋体" w:hAnsi="宋体" w:cs="宋体" w:eastAsia="宋体" w:hint="default"/>
                <w:sz w:val="18"/>
                <w:szCs w:val="18"/>
              </w:rPr>
            </w:pPr>
            <w:r>
              <w:rPr>
                <w:rFonts w:ascii="宋体" w:hAnsi="宋体" w:cs="宋体" w:eastAsia="宋体" w:hint="default"/>
                <w:spacing w:val="-2"/>
                <w:sz w:val="18"/>
                <w:szCs w:val="18"/>
              </w:rPr>
              <w:t>发行价格（或</w:t>
            </w:r>
            <w:r>
              <w:rPr>
                <w:rFonts w:ascii="宋体" w:hAnsi="宋体" w:cs="宋体" w:eastAsia="宋体" w:hint="default"/>
                <w:sz w:val="18"/>
                <w:szCs w:val="18"/>
              </w:rPr>
              <w:t> 利率）</w:t>
            </w:r>
          </w:p>
        </w:tc>
        <w:tc>
          <w:tcPr>
            <w:tcW w:w="1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发行数量</w:t>
            </w:r>
          </w:p>
        </w:tc>
        <w:tc>
          <w:tcPr>
            <w:tcW w:w="1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中科金财</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17,450,000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14,010,000</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02" w:firstLine="0"/>
        <w:jc w:val="left"/>
        <w:rPr>
          <w:rFonts w:ascii="宋体" w:hAnsi="宋体" w:cs="宋体" w:eastAsia="宋体" w:hint="default"/>
          <w:sz w:val="18"/>
          <w:szCs w:val="18"/>
        </w:rPr>
      </w:pPr>
      <w:r>
        <w:rPr>
          <w:rFonts w:ascii="宋体" w:hAnsi="宋体" w:cs="宋体" w:eastAsia="宋体" w:hint="default"/>
          <w:b/>
          <w:bCs/>
          <w:sz w:val="18"/>
          <w:szCs w:val="18"/>
        </w:rPr>
        <w:t>前三年历次证券发行情况的说明</w:t>
      </w:r>
      <w:r>
        <w:rPr>
          <w:rFonts w:ascii="宋体" w:hAnsi="宋体" w:cs="宋体" w:eastAsia="宋体" w:hint="default"/>
          <w:sz w:val="18"/>
          <w:szCs w:val="18"/>
        </w:rPr>
      </w:r>
    </w:p>
    <w:p>
      <w:pPr>
        <w:spacing w:line="240" w:lineRule="auto" w:before="12"/>
        <w:rPr>
          <w:rFonts w:ascii="宋体" w:hAnsi="宋体" w:cs="宋体" w:eastAsia="宋体" w:hint="default"/>
          <w:b/>
          <w:bCs/>
          <w:sz w:val="12"/>
          <w:szCs w:val="12"/>
        </w:rPr>
      </w:pPr>
    </w:p>
    <w:p>
      <w:pPr>
        <w:pStyle w:val="BodyText"/>
        <w:spacing w:line="393" w:lineRule="auto" w:before="0"/>
        <w:ind w:left="153" w:right="208" w:firstLine="336"/>
        <w:jc w:val="both"/>
      </w:pPr>
      <w:r>
        <w:rPr>
          <w:spacing w:val="-4"/>
        </w:rPr>
        <w:t>经中国证券监督管理委员会《关于核准北京中科金财科技股份有限公司首次公开发行股票的批复》（证</w:t>
      </w:r>
      <w:r>
        <w:rPr/>
        <w:t> </w:t>
      </w:r>
      <w:r>
        <w:rPr>
          <w:spacing w:val="-7"/>
        </w:rPr>
        <w:t>监许可</w:t>
      </w:r>
      <w:r>
        <w:rPr>
          <w:rFonts w:ascii="Times New Roman" w:hAnsi="Times New Roman" w:cs="Times New Roman" w:eastAsia="Times New Roman" w:hint="default"/>
          <w:spacing w:val="-7"/>
        </w:rPr>
        <w:t>[2012]152</w:t>
      </w:r>
      <w:r>
        <w:rPr>
          <w:spacing w:val="-7"/>
        </w:rPr>
        <w:t>号）核准，北京中科金财科技股份有限公司首次公开发行人民币普通股（</w:t>
      </w:r>
      <w:r>
        <w:rPr>
          <w:rFonts w:ascii="Times New Roman" w:hAnsi="Times New Roman" w:cs="Times New Roman" w:eastAsia="Times New Roman" w:hint="default"/>
          <w:spacing w:val="-7"/>
        </w:rPr>
        <w:t>A</w:t>
      </w:r>
      <w:r>
        <w:rPr>
          <w:spacing w:val="-7"/>
        </w:rPr>
        <w:t>股）</w:t>
      </w:r>
      <w:r>
        <w:rPr>
          <w:rFonts w:ascii="Times New Roman" w:hAnsi="Times New Roman" w:cs="Times New Roman" w:eastAsia="Times New Roman" w:hint="default"/>
          <w:spacing w:val="-7"/>
        </w:rPr>
        <w:t>17,450,000.00</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股，发行价格</w:t>
      </w:r>
      <w:r>
        <w:rPr>
          <w:rFonts w:ascii="Times New Roman" w:hAnsi="Times New Roman" w:cs="Times New Roman" w:eastAsia="Times New Roman" w:hint="default"/>
        </w:rPr>
        <w:t>22</w:t>
      </w:r>
      <w:r>
        <w:rPr/>
        <w:t>元</w:t>
      </w:r>
      <w:r>
        <w:rPr>
          <w:rFonts w:ascii="Times New Roman" w:hAnsi="Times New Roman" w:cs="Times New Roman" w:eastAsia="Times New Roman" w:hint="default"/>
        </w:rPr>
        <w:t>/</w:t>
      </w:r>
      <w:r>
        <w:rPr/>
        <w:t>股，公司首次公开发行前总股本为</w:t>
      </w:r>
      <w:r>
        <w:rPr>
          <w:rFonts w:ascii="Times New Roman" w:hAnsi="Times New Roman" w:cs="Times New Roman" w:eastAsia="Times New Roman" w:hint="default"/>
        </w:rPr>
        <w:t>52,347,534.00</w:t>
      </w:r>
      <w:r>
        <w:rPr/>
        <w:t>股，发行后总股本为</w:t>
      </w:r>
      <w:r>
        <w:rPr>
          <w:rFonts w:ascii="Times New Roman" w:hAnsi="Times New Roman" w:cs="Times New Roman" w:eastAsia="Times New Roman" w:hint="default"/>
        </w:rPr>
        <w:t>69,797,534.00</w:t>
      </w:r>
      <w:r>
        <w:rPr/>
        <w:t>股。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日首次公开发行人民币普通股股票在深圳证券交易所挂牌上市。</w:t>
      </w:r>
    </w:p>
    <w:p>
      <w:pPr>
        <w:spacing w:line="240" w:lineRule="auto" w:before="3"/>
        <w:rPr>
          <w:rFonts w:ascii="宋体" w:hAnsi="宋体" w:cs="宋体" w:eastAsia="宋体" w:hint="default"/>
          <w:sz w:val="19"/>
          <w:szCs w:val="19"/>
        </w:rPr>
      </w:pPr>
    </w:p>
    <w:p>
      <w:pPr>
        <w:pStyle w:val="Heading3"/>
        <w:spacing w:line="240" w:lineRule="auto"/>
        <w:ind w:left="153" w:right="102"/>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30"/>
          <w:szCs w:val="30"/>
        </w:rPr>
      </w:pPr>
    </w:p>
    <w:p>
      <w:pPr>
        <w:pStyle w:val="BodyText"/>
        <w:spacing w:line="386" w:lineRule="auto" w:before="0"/>
        <w:ind w:right="102" w:firstLine="423"/>
        <w:jc w:val="left"/>
      </w:pPr>
      <w:r>
        <w:rPr/>
        <w:t>公司发行的人民币普通股（</w:t>
      </w:r>
      <w:r>
        <w:rPr>
          <w:rFonts w:ascii="Times New Roman" w:hAnsi="Times New Roman" w:cs="Times New Roman" w:eastAsia="Times New Roman" w:hint="default"/>
        </w:rPr>
        <w:t>A</w:t>
      </w:r>
      <w:r>
        <w:rPr/>
        <w:t>股）股票于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日在深圳证券交易所中小企业板上市，总股本由 </w:t>
      </w:r>
      <w:r>
        <w:rPr>
          <w:rFonts w:ascii="Times New Roman" w:hAnsi="Times New Roman" w:cs="Times New Roman" w:eastAsia="Times New Roman" w:hint="default"/>
          <w:spacing w:val="-1"/>
        </w:rPr>
        <w:t>52,347,534.00</w:t>
      </w:r>
      <w:r>
        <w:rPr>
          <w:spacing w:val="-1"/>
        </w:rPr>
        <w:t>股增加到</w:t>
      </w:r>
      <w:r>
        <w:rPr>
          <w:rFonts w:ascii="Times New Roman" w:hAnsi="Times New Roman" w:cs="Times New Roman" w:eastAsia="Times New Roman" w:hint="default"/>
          <w:spacing w:val="-1"/>
        </w:rPr>
        <w:t>69,797,534.00</w:t>
      </w:r>
      <w:r>
        <w:rPr>
          <w:spacing w:val="-1"/>
        </w:rPr>
        <w:t>股。公司净资产增加</w:t>
      </w:r>
      <w:r>
        <w:rPr>
          <w:rFonts w:ascii="Times New Roman" w:hAnsi="Times New Roman" w:cs="Times New Roman" w:eastAsia="Times New Roman" w:hint="default"/>
          <w:spacing w:val="-1"/>
        </w:rPr>
        <w:t>333,733,517.24</w:t>
      </w:r>
      <w:r>
        <w:rPr>
          <w:spacing w:val="-1"/>
        </w:rPr>
        <w:t>元，其中股本增加</w:t>
      </w:r>
      <w:r>
        <w:rPr>
          <w:rFonts w:ascii="Times New Roman" w:hAnsi="Times New Roman" w:cs="Times New Roman" w:eastAsia="Times New Roman" w:hint="default"/>
          <w:spacing w:val="-1"/>
        </w:rPr>
        <w:t>17,450,000.00</w:t>
      </w:r>
      <w:r>
        <w:rPr>
          <w:spacing w:val="-1"/>
        </w:rPr>
        <w:t>元，</w:t>
      </w:r>
      <w:r>
        <w:rPr>
          <w:spacing w:val="-76"/>
        </w:rPr>
        <w:t> </w:t>
      </w:r>
      <w:r>
        <w:rPr/>
        <w:t>资本公积增加</w:t>
      </w:r>
      <w:r>
        <w:rPr>
          <w:rFonts w:ascii="Times New Roman" w:hAnsi="Times New Roman" w:cs="Times New Roman" w:eastAsia="Times New Roman" w:hint="default"/>
        </w:rPr>
        <w:t>316,283,517.24</w:t>
      </w:r>
      <w:r>
        <w:rPr/>
        <w:t>元。截至</w:t>
      </w:r>
      <w:r>
        <w:rPr>
          <w:rFonts w:ascii="Times New Roman" w:hAnsi="Times New Roman" w:cs="Times New Roman" w:eastAsia="Times New Roman" w:hint="default"/>
        </w:rPr>
        <w:t>12</w:t>
      </w:r>
      <w:r>
        <w:rPr/>
        <w:t>月底，公司资产负债率为</w:t>
      </w:r>
      <w:r>
        <w:rPr>
          <w:rFonts w:ascii="Times New Roman" w:hAnsi="Times New Roman" w:cs="Times New Roman" w:eastAsia="Times New Roman" w:hint="default"/>
        </w:rPr>
        <w:t>35.31%</w:t>
      </w:r>
      <w:r>
        <w:rPr/>
        <w:t>，较年初</w:t>
      </w:r>
      <w:r>
        <w:rPr>
          <w:rFonts w:ascii="Times New Roman" w:hAnsi="Times New Roman" w:cs="Times New Roman" w:eastAsia="Times New Roman" w:hint="default"/>
        </w:rPr>
        <w:t>36.08%</w:t>
      </w:r>
      <w:r>
        <w:rPr/>
        <w:t>有所下降。</w:t>
      </w:r>
    </w:p>
    <w:p>
      <w:pPr>
        <w:spacing w:line="240" w:lineRule="auto" w:before="0"/>
        <w:rPr>
          <w:rFonts w:ascii="宋体" w:hAnsi="宋体" w:cs="宋体" w:eastAsia="宋体" w:hint="default"/>
          <w:sz w:val="18"/>
          <w:szCs w:val="18"/>
        </w:rPr>
      </w:pPr>
    </w:p>
    <w:p>
      <w:pPr>
        <w:pStyle w:val="Heading2"/>
        <w:spacing w:line="240" w:lineRule="auto" w:before="0"/>
        <w:ind w:right="102"/>
        <w:jc w:val="left"/>
        <w:rPr>
          <w:b w:val="0"/>
          <w:bCs w:val="0"/>
        </w:rPr>
      </w:pP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1156"/>
        <w:gridCol w:w="261"/>
        <w:gridCol w:w="1132"/>
        <w:gridCol w:w="994"/>
        <w:gridCol w:w="851"/>
        <w:gridCol w:w="991"/>
        <w:gridCol w:w="852"/>
        <w:gridCol w:w="391"/>
        <w:gridCol w:w="601"/>
        <w:gridCol w:w="767"/>
      </w:tblGrid>
      <w:tr>
        <w:trPr>
          <w:trHeight w:val="402" w:hRule="exact"/>
        </w:trPr>
        <w:tc>
          <w:tcPr>
            <w:tcW w:w="27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93" w:type="dxa"/>
            <w:gridSpan w:val="2"/>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7,186</w:t>
            </w:r>
          </w:p>
        </w:tc>
        <w:tc>
          <w:tcPr>
            <w:tcW w:w="407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368" w:type="dxa"/>
            <w:gridSpan w:val="2"/>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7,863</w:t>
            </w:r>
          </w:p>
        </w:tc>
      </w:tr>
      <w:tr>
        <w:trPr>
          <w:trHeight w:val="402" w:hRule="exact"/>
        </w:trPr>
        <w:tc>
          <w:tcPr>
            <w:tcW w:w="9556"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1" w:hRule="exact"/>
        </w:trPr>
        <w:tc>
          <w:tcPr>
            <w:tcW w:w="1560" w:type="dxa"/>
            <w:vMerge w:val="restart"/>
            <w:tcBorders>
              <w:top w:val="single" w:sz="4" w:space="0" w:color="000000"/>
              <w:left w:val="single" w:sz="4" w:space="0" w:color="000000"/>
              <w:right w:val="single" w:sz="4" w:space="0" w:color="000000"/>
            </w:tcBorders>
            <w:shd w:val="clear" w:color="auto" w:fill="D3D3D3"/>
          </w:tcPr>
          <w:p>
            <w:pPr/>
          </w:p>
        </w:tc>
        <w:tc>
          <w:tcPr>
            <w:tcW w:w="1417" w:type="dxa"/>
            <w:gridSpan w:val="2"/>
            <w:vMerge w:val="restart"/>
            <w:tcBorders>
              <w:top w:val="single" w:sz="4" w:space="0" w:color="000000"/>
              <w:left w:val="single" w:sz="4" w:space="0" w:color="000000"/>
              <w:right w:val="single" w:sz="4" w:space="0" w:color="000000"/>
            </w:tcBorders>
            <w:shd w:val="clear" w:color="auto" w:fill="D3D3D3"/>
          </w:tcPr>
          <w:p>
            <w:pPr/>
          </w:p>
        </w:tc>
        <w:tc>
          <w:tcPr>
            <w:tcW w:w="1132" w:type="dxa"/>
            <w:vMerge w:val="restart"/>
            <w:tcBorders>
              <w:top w:val="single" w:sz="4" w:space="0" w:color="000000"/>
              <w:left w:val="single" w:sz="4" w:space="0" w:color="000000"/>
              <w:right w:val="single" w:sz="4" w:space="0" w:color="000000"/>
            </w:tcBorders>
            <w:shd w:val="clear" w:color="auto" w:fill="D3D3D3"/>
          </w:tcPr>
          <w:p>
            <w:pPr/>
          </w:p>
        </w:tc>
        <w:tc>
          <w:tcPr>
            <w:tcW w:w="994" w:type="dxa"/>
            <w:tcBorders>
              <w:top w:val="single" w:sz="4" w:space="0" w:color="000000"/>
              <w:left w:val="single" w:sz="4" w:space="0" w:color="000000"/>
              <w:bottom w:val="nil" w:sz="6" w:space="0" w:color="auto"/>
              <w:right w:val="single" w:sz="4" w:space="0" w:color="000000"/>
            </w:tcBorders>
            <w:shd w:val="clear" w:color="auto" w:fill="D3D3D3"/>
          </w:tcPr>
          <w:p>
            <w:pPr/>
          </w:p>
        </w:tc>
        <w:tc>
          <w:tcPr>
            <w:tcW w:w="85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0" w:right="5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9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85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1" w:right="59"/>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1759"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4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560" w:type="dxa"/>
            <w:vMerge/>
            <w:tcBorders>
              <w:left w:val="single" w:sz="4" w:space="0" w:color="000000"/>
              <w:bottom w:val="nil" w:sz="6" w:space="0" w:color="auto"/>
              <w:right w:val="single" w:sz="4" w:space="0" w:color="000000"/>
            </w:tcBorders>
            <w:shd w:val="clear" w:color="auto" w:fill="D3D3D3"/>
          </w:tcPr>
          <w:p>
            <w:pPr/>
          </w:p>
        </w:tc>
        <w:tc>
          <w:tcPr>
            <w:tcW w:w="1417" w:type="dxa"/>
            <w:gridSpan w:val="2"/>
            <w:vMerge/>
            <w:tcBorders>
              <w:left w:val="single" w:sz="4" w:space="0" w:color="000000"/>
              <w:bottom w:val="nil" w:sz="6" w:space="0" w:color="auto"/>
              <w:right w:val="single" w:sz="4" w:space="0" w:color="000000"/>
            </w:tcBorders>
            <w:shd w:val="clear" w:color="auto" w:fill="D3D3D3"/>
          </w:tcPr>
          <w:p>
            <w:pPr/>
          </w:p>
        </w:tc>
        <w:tc>
          <w:tcPr>
            <w:tcW w:w="1132" w:type="dxa"/>
            <w:vMerge/>
            <w:tcBorders>
              <w:left w:val="single" w:sz="4" w:space="0" w:color="000000"/>
              <w:bottom w:val="nil" w:sz="6" w:space="0" w:color="auto"/>
              <w:right w:val="single" w:sz="4" w:space="0" w:color="000000"/>
            </w:tcBorders>
            <w:shd w:val="clear" w:color="auto" w:fill="D3D3D3"/>
          </w:tcPr>
          <w:p>
            <w:pPr/>
          </w:p>
        </w:tc>
        <w:tc>
          <w:tcPr>
            <w:tcW w:w="994" w:type="dxa"/>
            <w:vMerge w:val="restart"/>
            <w:tcBorders>
              <w:top w:val="nil" w:sz="6" w:space="0" w:color="auto"/>
              <w:left w:val="single" w:sz="4" w:space="0" w:color="000000"/>
              <w:right w:val="single" w:sz="4" w:space="0" w:color="000000"/>
            </w:tcBorders>
            <w:shd w:val="clear" w:color="auto" w:fill="D3D3D3"/>
          </w:tcPr>
          <w:p>
            <w:pPr>
              <w:pStyle w:val="TableParagraph"/>
              <w:spacing w:line="196" w:lineRule="exact" w:before="51"/>
              <w:ind w:right="0"/>
              <w:jc w:val="center"/>
              <w:rPr>
                <w:rFonts w:ascii="宋体" w:hAnsi="宋体" w:cs="宋体" w:eastAsia="宋体" w:hint="default"/>
                <w:sz w:val="18"/>
                <w:szCs w:val="18"/>
              </w:rPr>
            </w:pPr>
            <w:r>
              <w:rPr>
                <w:rFonts w:ascii="宋体" w:hAnsi="宋体" w:cs="宋体" w:eastAsia="宋体" w:hint="default"/>
                <w:sz w:val="18"/>
                <w:szCs w:val="18"/>
              </w:rPr>
              <w:t>报告期末持</w:t>
            </w:r>
          </w:p>
          <w:p>
            <w:pPr>
              <w:pStyle w:val="TableParagraph"/>
              <w:spacing w:line="156"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股数量</w:t>
            </w:r>
          </w:p>
        </w:tc>
        <w:tc>
          <w:tcPr>
            <w:tcW w:w="851" w:type="dxa"/>
            <w:vMerge/>
            <w:tcBorders>
              <w:left w:val="single" w:sz="4" w:space="0" w:color="000000"/>
              <w:right w:val="single" w:sz="4" w:space="0" w:color="000000"/>
            </w:tcBorders>
            <w:shd w:val="clear" w:color="auto" w:fill="D3D3D3"/>
          </w:tcPr>
          <w:p>
            <w:pPr/>
          </w:p>
        </w:tc>
        <w:tc>
          <w:tcPr>
            <w:tcW w:w="991" w:type="dxa"/>
            <w:vMerge/>
            <w:tcBorders>
              <w:left w:val="single" w:sz="4" w:space="0" w:color="000000"/>
              <w:right w:val="single" w:sz="4" w:space="0" w:color="000000"/>
            </w:tcBorders>
            <w:shd w:val="clear" w:color="auto" w:fill="D3D3D3"/>
          </w:tcPr>
          <w:p>
            <w:pPr/>
          </w:p>
        </w:tc>
        <w:tc>
          <w:tcPr>
            <w:tcW w:w="852" w:type="dxa"/>
            <w:vMerge/>
            <w:tcBorders>
              <w:left w:val="single" w:sz="4" w:space="0" w:color="000000"/>
              <w:right w:val="single" w:sz="4" w:space="0" w:color="000000"/>
            </w:tcBorders>
            <w:shd w:val="clear" w:color="auto" w:fill="D3D3D3"/>
          </w:tcPr>
          <w:p>
            <w:pPr/>
          </w:p>
        </w:tc>
        <w:tc>
          <w:tcPr>
            <w:tcW w:w="1759" w:type="dxa"/>
            <w:gridSpan w:val="3"/>
            <w:vMerge/>
            <w:tcBorders>
              <w:left w:val="single" w:sz="4" w:space="0" w:color="000000"/>
              <w:right w:val="single" w:sz="4" w:space="0" w:color="000000"/>
            </w:tcBorders>
            <w:shd w:val="clear" w:color="auto" w:fill="D3D3D3"/>
          </w:tcPr>
          <w:p>
            <w:pPr/>
          </w:p>
        </w:tc>
      </w:tr>
      <w:tr>
        <w:trPr>
          <w:trHeight w:val="141" w:hRule="exact"/>
        </w:trPr>
        <w:tc>
          <w:tcPr>
            <w:tcW w:w="156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7"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1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持股比例（</w:t>
            </w:r>
            <w:r>
              <w:rPr>
                <w:rFonts w:ascii="Times New Roman" w:hAnsi="Times New Roman" w:cs="Times New Roman" w:eastAsia="Times New Roman" w:hint="default"/>
                <w:spacing w:val="-11"/>
                <w:sz w:val="18"/>
                <w:szCs w:val="18"/>
              </w:rPr>
              <w:t>%</w:t>
            </w:r>
          </w:p>
        </w:tc>
        <w:tc>
          <w:tcPr>
            <w:tcW w:w="994" w:type="dxa"/>
            <w:vMerge/>
            <w:tcBorders>
              <w:left w:val="single" w:sz="4" w:space="0" w:color="000000"/>
              <w:right w:val="single" w:sz="4" w:space="0" w:color="000000"/>
            </w:tcBorders>
            <w:shd w:val="clear" w:color="auto" w:fill="D3D3D3"/>
          </w:tcPr>
          <w:p>
            <w:pPr/>
          </w:p>
        </w:tc>
        <w:tc>
          <w:tcPr>
            <w:tcW w:w="851" w:type="dxa"/>
            <w:vMerge/>
            <w:tcBorders>
              <w:left w:val="single" w:sz="4" w:space="0" w:color="000000"/>
              <w:right w:val="single" w:sz="4" w:space="0" w:color="000000"/>
            </w:tcBorders>
            <w:shd w:val="clear" w:color="auto" w:fill="D3D3D3"/>
          </w:tcPr>
          <w:p>
            <w:pPr/>
          </w:p>
        </w:tc>
        <w:tc>
          <w:tcPr>
            <w:tcW w:w="991" w:type="dxa"/>
            <w:vMerge/>
            <w:tcBorders>
              <w:left w:val="single" w:sz="4" w:space="0" w:color="000000"/>
              <w:right w:val="single" w:sz="4" w:space="0" w:color="000000"/>
            </w:tcBorders>
            <w:shd w:val="clear" w:color="auto" w:fill="D3D3D3"/>
          </w:tcPr>
          <w:p>
            <w:pPr/>
          </w:p>
        </w:tc>
        <w:tc>
          <w:tcPr>
            <w:tcW w:w="852" w:type="dxa"/>
            <w:vMerge/>
            <w:tcBorders>
              <w:left w:val="single" w:sz="4" w:space="0" w:color="000000"/>
              <w:right w:val="single" w:sz="4" w:space="0" w:color="000000"/>
            </w:tcBorders>
            <w:shd w:val="clear" w:color="auto" w:fill="D3D3D3"/>
          </w:tcPr>
          <w:p>
            <w:pPr/>
          </w:p>
        </w:tc>
        <w:tc>
          <w:tcPr>
            <w:tcW w:w="1759" w:type="dxa"/>
            <w:gridSpan w:val="3"/>
            <w:vMerge/>
            <w:tcBorders>
              <w:left w:val="single" w:sz="4" w:space="0" w:color="000000"/>
              <w:bottom w:val="single" w:sz="4" w:space="0" w:color="000000"/>
              <w:right w:val="single" w:sz="4" w:space="0" w:color="000000"/>
            </w:tcBorders>
            <w:shd w:val="clear" w:color="auto" w:fill="D3D3D3"/>
          </w:tcPr>
          <w:p>
            <w:pPr/>
          </w:p>
        </w:tc>
      </w:tr>
      <w:tr>
        <w:trPr>
          <w:trHeight w:val="251" w:hRule="exact"/>
        </w:trPr>
        <w:tc>
          <w:tcPr>
            <w:tcW w:w="1560" w:type="dxa"/>
            <w:vMerge/>
            <w:tcBorders>
              <w:left w:val="single" w:sz="4" w:space="0" w:color="000000"/>
              <w:bottom w:val="nil" w:sz="6" w:space="0" w:color="auto"/>
              <w:right w:val="single" w:sz="4" w:space="0" w:color="000000"/>
            </w:tcBorders>
            <w:shd w:val="clear" w:color="auto" w:fill="D3D3D3"/>
          </w:tcPr>
          <w:p>
            <w:pPr/>
          </w:p>
        </w:tc>
        <w:tc>
          <w:tcPr>
            <w:tcW w:w="1417" w:type="dxa"/>
            <w:gridSpan w:val="2"/>
            <w:vMerge/>
            <w:tcBorders>
              <w:left w:val="single" w:sz="4" w:space="0" w:color="000000"/>
              <w:bottom w:val="nil" w:sz="6" w:space="0" w:color="auto"/>
              <w:right w:val="single" w:sz="4" w:space="0" w:color="000000"/>
            </w:tcBorders>
            <w:shd w:val="clear" w:color="auto" w:fill="D3D3D3"/>
          </w:tcPr>
          <w:p>
            <w:pPr/>
          </w:p>
        </w:tc>
        <w:tc>
          <w:tcPr>
            <w:tcW w:w="1132" w:type="dxa"/>
            <w:vMerge/>
            <w:tcBorders>
              <w:left w:val="single" w:sz="4" w:space="0" w:color="000000"/>
              <w:bottom w:val="nil" w:sz="6" w:space="0" w:color="auto"/>
              <w:right w:val="single" w:sz="4" w:space="0" w:color="000000"/>
            </w:tcBorders>
            <w:shd w:val="clear" w:color="auto" w:fill="D3D3D3"/>
          </w:tcPr>
          <w:p>
            <w:pPr/>
          </w:p>
        </w:tc>
        <w:tc>
          <w:tcPr>
            <w:tcW w:w="994" w:type="dxa"/>
            <w:vMerge/>
            <w:tcBorders>
              <w:left w:val="single" w:sz="4" w:space="0" w:color="000000"/>
              <w:right w:val="single" w:sz="4" w:space="0" w:color="000000"/>
            </w:tcBorders>
            <w:shd w:val="clear" w:color="auto" w:fill="D3D3D3"/>
          </w:tcPr>
          <w:p>
            <w:pPr/>
          </w:p>
        </w:tc>
        <w:tc>
          <w:tcPr>
            <w:tcW w:w="851" w:type="dxa"/>
            <w:vMerge/>
            <w:tcBorders>
              <w:left w:val="single" w:sz="4" w:space="0" w:color="000000"/>
              <w:right w:val="single" w:sz="4" w:space="0" w:color="000000"/>
            </w:tcBorders>
            <w:shd w:val="clear" w:color="auto" w:fill="D3D3D3"/>
          </w:tcPr>
          <w:p>
            <w:pPr/>
          </w:p>
        </w:tc>
        <w:tc>
          <w:tcPr>
            <w:tcW w:w="991" w:type="dxa"/>
            <w:vMerge/>
            <w:tcBorders>
              <w:left w:val="single" w:sz="4" w:space="0" w:color="000000"/>
              <w:right w:val="single" w:sz="4" w:space="0" w:color="000000"/>
            </w:tcBorders>
            <w:shd w:val="clear" w:color="auto" w:fill="D3D3D3"/>
          </w:tcPr>
          <w:p>
            <w:pPr/>
          </w:p>
        </w:tc>
        <w:tc>
          <w:tcPr>
            <w:tcW w:w="852" w:type="dxa"/>
            <w:vMerge/>
            <w:tcBorders>
              <w:left w:val="single" w:sz="4" w:space="0" w:color="000000"/>
              <w:right w:val="single" w:sz="4" w:space="0" w:color="000000"/>
            </w:tcBorders>
            <w:shd w:val="clear" w:color="auto" w:fill="D3D3D3"/>
          </w:tcPr>
          <w:p>
            <w:pPr/>
          </w:p>
        </w:tc>
        <w:tc>
          <w:tcPr>
            <w:tcW w:w="99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7"/>
              <w:ind w:left="13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7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7"/>
              <w:ind w:left="20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560" w:type="dxa"/>
            <w:vMerge w:val="restart"/>
            <w:tcBorders>
              <w:top w:val="nil" w:sz="6" w:space="0" w:color="auto"/>
              <w:left w:val="single" w:sz="4" w:space="0" w:color="000000"/>
              <w:right w:val="single" w:sz="4" w:space="0" w:color="000000"/>
            </w:tcBorders>
            <w:shd w:val="clear" w:color="auto" w:fill="D3D3D3"/>
          </w:tcPr>
          <w:p>
            <w:pPr/>
          </w:p>
        </w:tc>
        <w:tc>
          <w:tcPr>
            <w:tcW w:w="1417" w:type="dxa"/>
            <w:gridSpan w:val="2"/>
            <w:vMerge w:val="restart"/>
            <w:tcBorders>
              <w:top w:val="nil" w:sz="6" w:space="0" w:color="auto"/>
              <w:left w:val="single" w:sz="4" w:space="0" w:color="000000"/>
              <w:right w:val="single" w:sz="4" w:space="0" w:color="000000"/>
            </w:tcBorders>
            <w:shd w:val="clear" w:color="auto" w:fill="D3D3D3"/>
          </w:tcPr>
          <w:p>
            <w:pPr/>
          </w:p>
        </w:tc>
        <w:tc>
          <w:tcPr>
            <w:tcW w:w="1132" w:type="dxa"/>
            <w:vMerge w:val="restart"/>
            <w:tcBorders>
              <w:top w:val="nil" w:sz="6" w:space="0" w:color="auto"/>
              <w:left w:val="single" w:sz="4" w:space="0" w:color="000000"/>
              <w:right w:val="single" w:sz="4" w:space="0" w:color="000000"/>
            </w:tcBorders>
            <w:shd w:val="clear" w:color="auto" w:fill="D3D3D3"/>
          </w:tcPr>
          <w:p>
            <w:pPr/>
          </w:p>
        </w:tc>
        <w:tc>
          <w:tcPr>
            <w:tcW w:w="994" w:type="dxa"/>
            <w:vMerge/>
            <w:tcBorders>
              <w:left w:val="single" w:sz="4" w:space="0" w:color="000000"/>
              <w:bottom w:val="nil" w:sz="6" w:space="0" w:color="auto"/>
              <w:right w:val="single" w:sz="4" w:space="0" w:color="000000"/>
            </w:tcBorders>
            <w:shd w:val="clear" w:color="auto" w:fill="D3D3D3"/>
          </w:tcPr>
          <w:p>
            <w:pPr/>
          </w:p>
        </w:tc>
        <w:tc>
          <w:tcPr>
            <w:tcW w:w="851" w:type="dxa"/>
            <w:vMerge/>
            <w:tcBorders>
              <w:left w:val="single" w:sz="4" w:space="0" w:color="000000"/>
              <w:right w:val="single" w:sz="4" w:space="0" w:color="000000"/>
            </w:tcBorders>
            <w:shd w:val="clear" w:color="auto" w:fill="D3D3D3"/>
          </w:tcPr>
          <w:p>
            <w:pPr/>
          </w:p>
        </w:tc>
        <w:tc>
          <w:tcPr>
            <w:tcW w:w="991" w:type="dxa"/>
            <w:vMerge/>
            <w:tcBorders>
              <w:left w:val="single" w:sz="4" w:space="0" w:color="000000"/>
              <w:right w:val="single" w:sz="4" w:space="0" w:color="000000"/>
            </w:tcBorders>
            <w:shd w:val="clear" w:color="auto" w:fill="D3D3D3"/>
          </w:tcPr>
          <w:p>
            <w:pPr/>
          </w:p>
        </w:tc>
        <w:tc>
          <w:tcPr>
            <w:tcW w:w="852" w:type="dxa"/>
            <w:vMerge/>
            <w:tcBorders>
              <w:left w:val="single" w:sz="4" w:space="0" w:color="000000"/>
              <w:right w:val="single" w:sz="4" w:space="0" w:color="000000"/>
            </w:tcBorders>
            <w:shd w:val="clear" w:color="auto" w:fill="D3D3D3"/>
          </w:tcPr>
          <w:p>
            <w:pPr/>
          </w:p>
        </w:tc>
        <w:tc>
          <w:tcPr>
            <w:tcW w:w="991" w:type="dxa"/>
            <w:gridSpan w:val="2"/>
            <w:vMerge/>
            <w:tcBorders>
              <w:left w:val="single" w:sz="4" w:space="0" w:color="000000"/>
              <w:right w:val="single" w:sz="4" w:space="0" w:color="000000"/>
            </w:tcBorders>
            <w:shd w:val="clear" w:color="auto" w:fill="D3D3D3"/>
          </w:tcPr>
          <w:p>
            <w:pPr/>
          </w:p>
        </w:tc>
        <w:tc>
          <w:tcPr>
            <w:tcW w:w="767" w:type="dxa"/>
            <w:vMerge/>
            <w:tcBorders>
              <w:left w:val="single" w:sz="4" w:space="0" w:color="000000"/>
              <w:right w:val="single" w:sz="4" w:space="0" w:color="000000"/>
            </w:tcBorders>
            <w:shd w:val="clear" w:color="auto" w:fill="D3D3D3"/>
          </w:tcPr>
          <w:p>
            <w:pPr/>
          </w:p>
        </w:tc>
      </w:tr>
      <w:tr>
        <w:trPr>
          <w:trHeight w:val="161" w:hRule="exact"/>
        </w:trPr>
        <w:tc>
          <w:tcPr>
            <w:tcW w:w="1560" w:type="dxa"/>
            <w:vMerge/>
            <w:tcBorders>
              <w:left w:val="single" w:sz="4" w:space="0" w:color="000000"/>
              <w:bottom w:val="single" w:sz="4" w:space="0" w:color="000000"/>
              <w:right w:val="single" w:sz="4" w:space="0" w:color="000000"/>
            </w:tcBorders>
            <w:shd w:val="clear" w:color="auto" w:fill="D3D3D3"/>
          </w:tcPr>
          <w:p>
            <w:pPr/>
          </w:p>
        </w:tc>
        <w:tc>
          <w:tcPr>
            <w:tcW w:w="1417" w:type="dxa"/>
            <w:gridSpan w:val="2"/>
            <w:vMerge/>
            <w:tcBorders>
              <w:left w:val="single" w:sz="4" w:space="0" w:color="000000"/>
              <w:bottom w:val="single" w:sz="4" w:space="0" w:color="000000"/>
              <w:right w:val="single" w:sz="4" w:space="0" w:color="000000"/>
            </w:tcBorders>
            <w:shd w:val="clear" w:color="auto" w:fill="D3D3D3"/>
          </w:tcPr>
          <w:p>
            <w:pPr/>
          </w:p>
        </w:tc>
        <w:tc>
          <w:tcPr>
            <w:tcW w:w="1132" w:type="dxa"/>
            <w:vMerge/>
            <w:tcBorders>
              <w:left w:val="single" w:sz="4" w:space="0" w:color="000000"/>
              <w:bottom w:val="single" w:sz="4" w:space="0" w:color="000000"/>
              <w:right w:val="single" w:sz="4" w:space="0" w:color="000000"/>
            </w:tcBorders>
            <w:shd w:val="clear" w:color="auto" w:fill="D3D3D3"/>
          </w:tcPr>
          <w:p>
            <w:pPr/>
          </w:p>
        </w:tc>
        <w:tc>
          <w:tcPr>
            <w:tcW w:w="994" w:type="dxa"/>
            <w:tcBorders>
              <w:top w:val="nil" w:sz="6" w:space="0" w:color="auto"/>
              <w:left w:val="single" w:sz="4" w:space="0" w:color="000000"/>
              <w:bottom w:val="single" w:sz="4" w:space="0" w:color="000000"/>
              <w:right w:val="single" w:sz="4" w:space="0" w:color="000000"/>
            </w:tcBorders>
            <w:shd w:val="clear" w:color="auto" w:fill="D3D3D3"/>
          </w:tcPr>
          <w:p>
            <w:pPr/>
          </w:p>
        </w:tc>
        <w:tc>
          <w:tcPr>
            <w:tcW w:w="851" w:type="dxa"/>
            <w:vMerge/>
            <w:tcBorders>
              <w:left w:val="single" w:sz="4" w:space="0" w:color="000000"/>
              <w:bottom w:val="single" w:sz="4" w:space="0" w:color="000000"/>
              <w:right w:val="single" w:sz="4" w:space="0" w:color="000000"/>
            </w:tcBorders>
            <w:shd w:val="clear" w:color="auto" w:fill="D3D3D3"/>
          </w:tcPr>
          <w:p>
            <w:pPr/>
          </w:p>
        </w:tc>
        <w:tc>
          <w:tcPr>
            <w:tcW w:w="991" w:type="dxa"/>
            <w:vMerge/>
            <w:tcBorders>
              <w:left w:val="single" w:sz="4" w:space="0" w:color="000000"/>
              <w:bottom w:val="single" w:sz="4" w:space="0" w:color="000000"/>
              <w:right w:val="single" w:sz="4" w:space="0" w:color="000000"/>
            </w:tcBorders>
            <w:shd w:val="clear" w:color="auto" w:fill="D3D3D3"/>
          </w:tcPr>
          <w:p>
            <w:pPr/>
          </w:p>
        </w:tc>
        <w:tc>
          <w:tcPr>
            <w:tcW w:w="852" w:type="dxa"/>
            <w:vMerge/>
            <w:tcBorders>
              <w:left w:val="single" w:sz="4" w:space="0" w:color="000000"/>
              <w:bottom w:val="single" w:sz="4" w:space="0" w:color="000000"/>
              <w:right w:val="single" w:sz="4" w:space="0" w:color="000000"/>
            </w:tcBorders>
            <w:shd w:val="clear" w:color="auto" w:fill="D3D3D3"/>
          </w:tcPr>
          <w:p>
            <w:pPr/>
          </w:p>
        </w:tc>
        <w:tc>
          <w:tcPr>
            <w:tcW w:w="991" w:type="dxa"/>
            <w:gridSpan w:val="2"/>
            <w:vMerge/>
            <w:tcBorders>
              <w:left w:val="single" w:sz="4" w:space="0" w:color="000000"/>
              <w:bottom w:val="single" w:sz="4" w:space="0" w:color="000000"/>
              <w:right w:val="single" w:sz="4" w:space="0" w:color="000000"/>
            </w:tcBorders>
            <w:shd w:val="clear" w:color="auto" w:fill="D3D3D3"/>
          </w:tcPr>
          <w:p>
            <w:pPr/>
          </w:p>
        </w:tc>
        <w:tc>
          <w:tcPr>
            <w:tcW w:w="7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15,859,144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15,859,144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8" w:space="0" w:color="D3D3D3"/>
              <w:left w:val="single" w:sz="4" w:space="0" w:color="000000"/>
              <w:bottom w:val="single" w:sz="4" w:space="0" w:color="000000"/>
              <w:right w:val="single" w:sz="4" w:space="0" w:color="000000"/>
            </w:tcBorders>
          </w:tcPr>
          <w:p>
            <w:pPr/>
          </w:p>
        </w:tc>
        <w:tc>
          <w:tcPr>
            <w:tcW w:w="767" w:type="dxa"/>
            <w:tcBorders>
              <w:top w:val="single" w:sz="48" w:space="0" w:color="D3D3D3"/>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陈绪华</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9,942,465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9,942,465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蔡迦</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8,509,041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8,509,041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李彤彤</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6,099,672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6,099,672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5"/>
              <w:jc w:val="both"/>
              <w:rPr>
                <w:rFonts w:ascii="宋体" w:hAnsi="宋体" w:cs="宋体" w:eastAsia="宋体" w:hint="default"/>
                <w:sz w:val="18"/>
                <w:szCs w:val="18"/>
              </w:rPr>
            </w:pPr>
            <w:r>
              <w:rPr>
                <w:rFonts w:ascii="宋体" w:hAnsi="宋体" w:cs="宋体" w:eastAsia="宋体" w:hint="default"/>
                <w:sz w:val="18"/>
                <w:szCs w:val="18"/>
              </w:rPr>
              <w:t>天津达晨创富股权 投资基金中心（有 限合伙）</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20"/>
        </w:sectPr>
      </w:pPr>
    </w:p>
    <w:p>
      <w:pPr>
        <w:spacing w:line="240" w:lineRule="auto" w:before="0"/>
        <w:rPr>
          <w:rFonts w:ascii="宋体" w:hAnsi="宋体" w:cs="宋体" w:eastAsia="宋体" w:hint="default"/>
          <w:sz w:val="20"/>
          <w:szCs w:val="20"/>
        </w:rPr>
      </w:pPr>
      <w:r>
        <w:rPr/>
        <w:pict>
          <v:shape style="position:absolute;margin-left:56.459999pt;margin-top:71.999962pt;width:479.1pt;height:692.3pt;mso-position-horizontal-relative:page;mso-position-vertical-relative:page;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1168"/>
                    <w:gridCol w:w="250"/>
                    <w:gridCol w:w="1134"/>
                    <w:gridCol w:w="992"/>
                    <w:gridCol w:w="851"/>
                    <w:gridCol w:w="877"/>
                    <w:gridCol w:w="114"/>
                    <w:gridCol w:w="852"/>
                    <w:gridCol w:w="402"/>
                    <w:gridCol w:w="589"/>
                    <w:gridCol w:w="779"/>
                  </w:tblGrid>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5"/>
                          <w:jc w:val="both"/>
                          <w:rPr>
                            <w:rFonts w:ascii="宋体" w:hAnsi="宋体" w:cs="宋体" w:eastAsia="宋体" w:hint="default"/>
                            <w:sz w:val="18"/>
                            <w:szCs w:val="18"/>
                          </w:rPr>
                        </w:pPr>
                        <w:r>
                          <w:rPr>
                            <w:rFonts w:ascii="宋体" w:hAnsi="宋体" w:cs="宋体" w:eastAsia="宋体" w:hint="default"/>
                            <w:sz w:val="18"/>
                            <w:szCs w:val="18"/>
                          </w:rPr>
                          <w:t>天津常春藤一期股 权投资中心（有限 合伙）</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3,850,000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3,850,000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盖洪涛</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2,287,376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2,287,376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上海力鼎投资管理 有限公司</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1,069,836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1,069,836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桂兴</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457,350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457,350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兴业国际信托有限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重庆中行新股 申购信托项目（</w:t>
                        </w:r>
                        <w:r>
                          <w:rPr>
                            <w:rFonts w:ascii="Times New Roman" w:hAnsi="Times New Roman" w:cs="Times New Roman" w:eastAsia="Times New Roman" w:hint="default"/>
                            <w:sz w:val="18"/>
                            <w:szCs w:val="18"/>
                          </w:rPr>
                          <w:t>2 </w:t>
                        </w:r>
                        <w:r>
                          <w:rPr>
                            <w:rFonts w:ascii="宋体" w:hAnsi="宋体" w:cs="宋体" w:eastAsia="宋体" w:hint="default"/>
                            <w:sz w:val="18"/>
                            <w:szCs w:val="18"/>
                          </w:rPr>
                          <w:t>期）</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374,311</w:t>
                        </w:r>
                      </w:p>
                    </w:tc>
                    <w:tc>
                      <w:tcPr>
                        <w:tcW w:w="851"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374,311</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7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 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名股东的情况（如有）</w:t>
                        </w:r>
                      </w:p>
                    </w:tc>
                    <w:tc>
                      <w:tcPr>
                        <w:tcW w:w="6590" w:type="dxa"/>
                        <w:gridSpan w:val="9"/>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2977"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6590" w:type="dxa"/>
                        <w:gridSpan w:val="9"/>
                        <w:vMerge w:val="restart"/>
                        <w:tcBorders>
                          <w:top w:val="single" w:sz="4" w:space="0" w:color="000000"/>
                          <w:left w:val="single" w:sz="10" w:space="0" w:color="D3D3D3"/>
                          <w:right w:val="single" w:sz="4" w:space="0" w:color="000000"/>
                        </w:tcBorders>
                      </w:tcPr>
                      <w:p>
                        <w:pPr>
                          <w:pStyle w:val="TableParagraph"/>
                          <w:spacing w:line="319" w:lineRule="auto" w:before="51"/>
                          <w:ind w:left="15" w:right="77"/>
                          <w:jc w:val="both"/>
                          <w:rPr>
                            <w:rFonts w:ascii="宋体" w:hAnsi="宋体" w:cs="宋体" w:eastAsia="宋体" w:hint="default"/>
                            <w:sz w:val="18"/>
                            <w:szCs w:val="18"/>
                          </w:rPr>
                        </w:pPr>
                        <w:r>
                          <w:rPr>
                            <w:rFonts w:ascii="宋体" w:hAnsi="宋体" w:cs="宋体" w:eastAsia="宋体" w:hint="default"/>
                            <w:sz w:val="18"/>
                            <w:szCs w:val="18"/>
                          </w:rPr>
                          <w:t>上述股东中沈飒、陈绪华、蔡迦为公司一致行动人。除上述关系外，公司未知上述 其他股东是否存在其他关联关系或属于《上市公司股东持股变动信息披露管理办法 中规定的一致行动人。</w:t>
                        </w:r>
                      </w:p>
                    </w:tc>
                  </w:tr>
                  <w:tr>
                    <w:trPr>
                      <w:trHeight w:val="392" w:hRule="exact"/>
                    </w:trPr>
                    <w:tc>
                      <w:tcPr>
                        <w:tcW w:w="2977" w:type="dxa"/>
                        <w:gridSpan w:val="3"/>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590" w:type="dxa"/>
                        <w:gridSpan w:val="9"/>
                        <w:vMerge/>
                        <w:tcBorders>
                          <w:left w:val="single" w:sz="10" w:space="0" w:color="D3D3D3"/>
                          <w:right w:val="single" w:sz="4" w:space="0" w:color="000000"/>
                        </w:tcBorders>
                      </w:tcPr>
                      <w:p>
                        <w:pPr/>
                      </w:p>
                    </w:tc>
                  </w:tr>
                  <w:tr>
                    <w:trPr>
                      <w:trHeight w:val="317" w:hRule="exact"/>
                    </w:trPr>
                    <w:tc>
                      <w:tcPr>
                        <w:tcW w:w="2977"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6590" w:type="dxa"/>
                        <w:gridSpan w:val="9"/>
                        <w:vMerge/>
                        <w:tcBorders>
                          <w:left w:val="single" w:sz="10" w:space="0" w:color="D3D3D3"/>
                          <w:bottom w:val="single" w:sz="4" w:space="0" w:color="000000"/>
                          <w:right w:val="single" w:sz="4" w:space="0" w:color="000000"/>
                        </w:tcBorders>
                      </w:tcPr>
                      <w:p>
                        <w:pPr/>
                      </w:p>
                    </w:tc>
                  </w:tr>
                  <w:tr>
                    <w:trPr>
                      <w:trHeight w:val="402" w:hRule="exact"/>
                    </w:trPr>
                    <w:tc>
                      <w:tcPr>
                        <w:tcW w:w="9568"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7" w:hRule="exact"/>
                    </w:trPr>
                    <w:tc>
                      <w:tcPr>
                        <w:tcW w:w="2728"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4104"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2736"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5" w:hRule="exact"/>
                    </w:trPr>
                    <w:tc>
                      <w:tcPr>
                        <w:tcW w:w="2728"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540"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736" w:type="dxa"/>
                        <w:gridSpan w:val="5"/>
                        <w:vMerge/>
                        <w:tcBorders>
                          <w:left w:val="single" w:sz="4" w:space="0" w:color="000000"/>
                          <w:bottom w:val="single" w:sz="4" w:space="0" w:color="000000"/>
                          <w:right w:val="single" w:sz="4" w:space="0" w:color="000000"/>
                        </w:tcBorders>
                        <w:shd w:val="clear" w:color="auto" w:fill="D3D3D3"/>
                      </w:tcPr>
                      <w:p>
                        <w:pPr/>
                      </w:p>
                    </w:tc>
                  </w:tr>
                  <w:tr>
                    <w:trPr>
                      <w:trHeight w:val="195" w:hRule="exact"/>
                    </w:trPr>
                    <w:tc>
                      <w:tcPr>
                        <w:tcW w:w="2728" w:type="dxa"/>
                        <w:gridSpan w:val="2"/>
                        <w:vMerge/>
                        <w:tcBorders>
                          <w:left w:val="single" w:sz="4" w:space="0" w:color="000000"/>
                          <w:bottom w:val="nil" w:sz="6" w:space="0" w:color="auto"/>
                          <w:right w:val="single" w:sz="4" w:space="0" w:color="000000"/>
                        </w:tcBorders>
                        <w:shd w:val="clear" w:color="auto" w:fill="D3D3D3"/>
                      </w:tcPr>
                      <w:p>
                        <w:pPr/>
                      </w:p>
                    </w:tc>
                    <w:tc>
                      <w:tcPr>
                        <w:tcW w:w="4104" w:type="dxa"/>
                        <w:gridSpan w:val="5"/>
                        <w:vMerge/>
                        <w:tcBorders>
                          <w:left w:val="single" w:sz="4" w:space="0" w:color="000000"/>
                          <w:bottom w:val="nil" w:sz="6" w:space="0" w:color="auto"/>
                          <w:right w:val="single" w:sz="4" w:space="0" w:color="000000"/>
                        </w:tcBorders>
                        <w:shd w:val="clear" w:color="auto" w:fill="D3D3D3"/>
                      </w:tcPr>
                      <w:p>
                        <w:pPr/>
                      </w:p>
                    </w:tc>
                    <w:tc>
                      <w:tcPr>
                        <w:tcW w:w="1368"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7" w:hRule="exact"/>
                    </w:trPr>
                    <w:tc>
                      <w:tcPr>
                        <w:tcW w:w="2728"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4104"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gridSpan w:val="3"/>
                        <w:vMerge/>
                        <w:tcBorders>
                          <w:left w:val="single" w:sz="4" w:space="0" w:color="000000"/>
                          <w:bottom w:val="single" w:sz="4" w:space="0" w:color="000000"/>
                          <w:right w:val="single" w:sz="4" w:space="0" w:color="000000"/>
                        </w:tcBorders>
                        <w:shd w:val="clear" w:color="auto" w:fill="D3D3D3"/>
                      </w:tcPr>
                      <w:p>
                        <w:pPr/>
                      </w:p>
                    </w:tc>
                    <w:tc>
                      <w:tcPr>
                        <w:tcW w:w="1368" w:type="dxa"/>
                        <w:gridSpan w:val="2"/>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桂兴</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457,350</w:t>
                        </w:r>
                      </w:p>
                    </w:tc>
                    <w:tc>
                      <w:tcPr>
                        <w:tcW w:w="13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457,350</w:t>
                        </w:r>
                      </w:p>
                    </w:tc>
                  </w:tr>
                  <w:tr>
                    <w:trPr>
                      <w:trHeight w:val="714"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兴业国际信托有限公司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重庆中行 新股申购信托项目（</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374,311</w:t>
                        </w:r>
                      </w:p>
                    </w:tc>
                    <w:tc>
                      <w:tcPr>
                        <w:tcW w:w="13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7" w:right="0"/>
                          <w:jc w:val="left"/>
                          <w:rPr>
                            <w:rFonts w:ascii="Times New Roman" w:hAnsi="Times New Roman" w:cs="Times New Roman" w:eastAsia="Times New Roman" w:hint="default"/>
                            <w:sz w:val="18"/>
                            <w:szCs w:val="18"/>
                          </w:rPr>
                        </w:pPr>
                        <w:r>
                          <w:rPr>
                            <w:rFonts w:ascii="Times New Roman"/>
                            <w:sz w:val="18"/>
                          </w:rPr>
                          <w:t>374,311</w:t>
                        </w:r>
                      </w:p>
                    </w:tc>
                  </w:tr>
                  <w:tr>
                    <w:trPr>
                      <w:trHeight w:val="714"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中国银行－海富通收益增长证券 投资基金</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359,526</w:t>
                        </w:r>
                      </w:p>
                    </w:tc>
                    <w:tc>
                      <w:tcPr>
                        <w:tcW w:w="13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359,526</w:t>
                        </w:r>
                      </w:p>
                    </w:tc>
                  </w:tr>
                  <w:tr>
                    <w:trPr>
                      <w:trHeight w:val="714"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中国工商银行－海富通中小盘股 票型证券投资基金</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299,816</w:t>
                        </w:r>
                      </w:p>
                    </w:tc>
                    <w:tc>
                      <w:tcPr>
                        <w:tcW w:w="13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299,816</w:t>
                        </w:r>
                      </w:p>
                    </w:tc>
                  </w:tr>
                  <w:tr>
                    <w:trPr>
                      <w:trHeight w:val="714"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国元证券股份有限公司客户信用 交易担保证券账户</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176,368</w:t>
                        </w:r>
                      </w:p>
                    </w:tc>
                    <w:tc>
                      <w:tcPr>
                        <w:tcW w:w="13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176,368</w:t>
                        </w:r>
                      </w:p>
                    </w:tc>
                  </w:tr>
                  <w:tr>
                    <w:trPr>
                      <w:trHeight w:val="402"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崔斌</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140,000</w:t>
                        </w:r>
                      </w:p>
                    </w:tc>
                    <w:tc>
                      <w:tcPr>
                        <w:tcW w:w="13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140,000</w:t>
                        </w:r>
                      </w:p>
                    </w:tc>
                  </w:tr>
                  <w:tr>
                    <w:trPr>
                      <w:trHeight w:val="402"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厦门安能建设有限公司</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133,800</w:t>
                        </w:r>
                      </w:p>
                    </w:tc>
                    <w:tc>
                      <w:tcPr>
                        <w:tcW w:w="13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133,800</w:t>
                        </w:r>
                      </w:p>
                    </w:tc>
                  </w:tr>
                  <w:tr>
                    <w:trPr>
                      <w:trHeight w:val="402"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黄忠伟</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121,700</w:t>
                        </w:r>
                      </w:p>
                    </w:tc>
                    <w:tc>
                      <w:tcPr>
                        <w:tcW w:w="13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121,700</w:t>
                        </w:r>
                      </w:p>
                    </w:tc>
                  </w:tr>
                  <w:tr>
                    <w:trPr>
                      <w:trHeight w:val="402"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杨强</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120,000</w:t>
                        </w:r>
                      </w:p>
                    </w:tc>
                    <w:tc>
                      <w:tcPr>
                        <w:tcW w:w="13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120,000</w:t>
                        </w:r>
                      </w:p>
                    </w:tc>
                  </w:tr>
                  <w:tr>
                    <w:trPr>
                      <w:trHeight w:val="402"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程建群</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107,700</w:t>
                        </w:r>
                      </w:p>
                    </w:tc>
                    <w:tc>
                      <w:tcPr>
                        <w:tcW w:w="13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107,700</w:t>
                        </w:r>
                      </w:p>
                    </w:tc>
                  </w:tr>
                  <w:tr>
                    <w:trPr>
                      <w:trHeight w:val="1338" w:hRule="exact"/>
                    </w:trPr>
                    <w:tc>
                      <w:tcPr>
                        <w:tcW w:w="27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8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84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 w:right="144"/>
                          <w:jc w:val="left"/>
                          <w:rPr>
                            <w:rFonts w:ascii="宋体" w:hAnsi="宋体" w:cs="宋体" w:eastAsia="宋体" w:hint="default"/>
                            <w:sz w:val="18"/>
                            <w:szCs w:val="18"/>
                          </w:rPr>
                        </w:pPr>
                        <w:r>
                          <w:rPr>
                            <w:rFonts w:ascii="宋体" w:hAnsi="宋体" w:cs="宋体" w:eastAsia="宋体" w:hint="default"/>
                            <w:sz w:val="18"/>
                            <w:szCs w:val="18"/>
                          </w:rPr>
                          <w:t>公司未知上述股东是否存在关联关系或属于《上市公司股东持股变动信息披露管理办 法》中规定的一致行动人。</w:t>
                        </w:r>
                      </w:p>
                    </w:tc>
                  </w:tr>
                  <w:tr>
                    <w:trPr>
                      <w:trHeight w:val="402" w:hRule="exact"/>
                    </w:trPr>
                    <w:tc>
                      <w:tcPr>
                        <w:tcW w:w="27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tc>
                    <w:tc>
                      <w:tcPr>
                        <w:tcW w:w="684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2"/>
        <w:rPr>
          <w:rFonts w:ascii="宋体" w:hAnsi="宋体" w:cs="宋体" w:eastAsia="宋体" w:hint="default"/>
          <w:sz w:val="28"/>
          <w:szCs w:val="28"/>
        </w:rPr>
      </w:pPr>
    </w:p>
    <w:p>
      <w:pPr>
        <w:spacing w:line="38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19.1pt;mso-position-horizontal-relative:char;mso-position-vertical-relative:line" coordorigin="0,0" coordsize="9587,382">
            <v:group style="position:absolute;left:26;top:14;width:2;height:353" coordorigin="26,14" coordsize="2,353">
              <v:shape style="position:absolute;left:26;top:14;width:2;height:353" coordorigin="26,14" coordsize="0,353" path="m26,14l26,367e" filled="false" stroked="true" strokeweight="1.140pt" strokecolor="#d3d3d3">
                <v:path arrowok="t"/>
              </v:shape>
            </v:group>
            <v:group style="position:absolute;left:2721;top:14;width:2;height:353" coordorigin="2721,14" coordsize="2,353">
              <v:shape style="position:absolute;left:2721;top:14;width:2;height:353" coordorigin="2721,14" coordsize="0,353" path="m2721,14l2721,367e" filled="false" stroked="true" strokeweight="1.140pt" strokecolor="#d3d3d3">
                <v:path arrowok="t"/>
              </v:shape>
            </v:group>
            <v:group style="position:absolute;left:37;top:14;width:2673;height:353" coordorigin="37,14" coordsize="2673,353">
              <v:shape style="position:absolute;left:37;top:14;width:2673;height:353" coordorigin="37,14" coordsize="2673,353" path="m37,367l2710,367,2710,14,37,14,37,36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372" coordorigin="10,5" coordsize="2,372">
              <v:shape style="position:absolute;left:10;top:5;width:2;height:372" coordorigin="10,5" coordsize="0,372" path="m10,5l10,377e" filled="false" stroked="true" strokeweight=".48001pt" strokecolor="#000000">
                <v:path arrowok="t"/>
              </v:shape>
            </v:group>
            <v:group style="position:absolute;left:5;top:372;width:2728;height:2" coordorigin="5,372" coordsize="2728,2">
              <v:shape style="position:absolute;left:5;top:372;width:2728;height:2" coordorigin="5,372" coordsize="2728,0" path="m5,372l2732,372e" filled="false" stroked="true" strokeweight=".48004pt" strokecolor="#000000">
                <v:path arrowok="t"/>
              </v:shape>
            </v:group>
            <v:group style="position:absolute;left:2737;top:14;width:2;height:363" coordorigin="2737,14" coordsize="2,363">
              <v:shape style="position:absolute;left:2737;top:14;width:2;height:363" coordorigin="2737,14" coordsize="0,363" path="m2737,14l2737,377e" filled="false" stroked="true" strokeweight=".47998pt" strokecolor="#000000">
                <v:path arrowok="t"/>
              </v:shape>
            </v:group>
            <v:group style="position:absolute;left:2742;top:372;width:6831;height:2" coordorigin="2742,372" coordsize="6831,2">
              <v:shape style="position:absolute;left:2742;top:372;width:6831;height:2" coordorigin="2742,372" coordsize="6831,0" path="m2742,372l9572,372e" filled="false" stroked="true" strokeweight=".48004pt" strokecolor="#000000">
                <v:path arrowok="t"/>
              </v:shape>
            </v:group>
            <v:group style="position:absolute;left:9577;top:5;width:2;height:372" coordorigin="9577,5" coordsize="2,372">
              <v:shape style="position:absolute;left:9577;top:5;width:2;height:372" coordorigin="9577,5" coordsize="0,372" path="m9577,5l9577,377e" filled="false" stroked="true" strokeweight=".47998pt" strokecolor="#000000">
                <v:path arrowok="t"/>
              </v:shape>
              <v:shape style="position:absolute;left:10;top:10;width:2717;height:363"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35"/>
        <w:gridCol w:w="2057"/>
        <w:gridCol w:w="4176"/>
      </w:tblGrid>
      <w:tr>
        <w:trPr>
          <w:trHeight w:val="401"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年就职于北京中科金财科技股份有限公司任董事兼运营总监。</w:t>
            </w:r>
          </w:p>
        </w:tc>
      </w:tr>
      <w:tr>
        <w:trPr>
          <w:trHeight w:val="403"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报告期控股股东变更</w:t>
      </w:r>
    </w:p>
    <w:p>
      <w:pPr>
        <w:spacing w:line="547" w:lineRule="auto" w:before="116"/>
        <w:ind w:left="154" w:right="7557" w:firstLine="0"/>
        <w:jc w:val="left"/>
        <w:rPr>
          <w:rFonts w:ascii="宋体" w:hAnsi="宋体" w:cs="宋体" w:eastAsia="宋体" w:hint="default"/>
          <w:sz w:val="18"/>
          <w:szCs w:val="18"/>
        </w:rPr>
      </w:pPr>
      <w:r>
        <w:rPr/>
        <w:pict>
          <v:shape style="position:absolute;margin-left:56.459999pt;margin-top:84.11235pt;width:479.1pt;height:116.6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3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朱烨东先生近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年就职于北京中科金财科技股份有限公司任董事长兼总经理。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沈飒女士近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年就职于北京中科金财科技股份有限公司任董事兼运营总监。</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99"/>
          <w:sz w:val="21"/>
          <w:szCs w:val="21"/>
        </w:rPr>
        <w:t> </w:t>
      </w:r>
      <w:r>
        <w:rPr>
          <w:rFonts w:ascii="宋体" w:hAnsi="宋体" w:cs="宋体" w:eastAsia="宋体" w:hint="default"/>
          <w:sz w:val="18"/>
          <w:szCs w:val="18"/>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报告期实际控制人变更</w:t>
      </w:r>
    </w:p>
    <w:p>
      <w:pPr>
        <w:spacing w:line="338" w:lineRule="auto" w:before="117"/>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公司与实际控制人之间的产权及控制关系的方框图</w:t>
      </w:r>
    </w:p>
    <w:p>
      <w:pPr>
        <w:spacing w:line="240" w:lineRule="auto" w:before="3"/>
        <w:rPr>
          <w:rFonts w:ascii="宋体" w:hAnsi="宋体" w:cs="宋体" w:eastAsia="宋体" w:hint="default"/>
          <w:sz w:val="22"/>
          <w:szCs w:val="22"/>
        </w:rPr>
      </w:pPr>
    </w:p>
    <w:p>
      <w:pPr>
        <w:spacing w:line="3540" w:lineRule="exact"/>
        <w:ind w:left="1826"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3993220" cy="22479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4" cstate="print"/>
                    <a:stretch>
                      <a:fillRect/>
                    </a:stretch>
                  </pic:blipFill>
                  <pic:spPr>
                    <a:xfrm>
                      <a:off x="0" y="0"/>
                      <a:ext cx="3993220" cy="2247900"/>
                    </a:xfrm>
                    <a:prstGeom prst="rect">
                      <a:avLst/>
                    </a:prstGeom>
                  </pic:spPr>
                </pic:pic>
              </a:graphicData>
            </a:graphic>
          </wp:inline>
        </w:drawing>
      </w:r>
      <w:r>
        <w:rPr>
          <w:rFonts w:ascii="宋体" w:hAnsi="宋体" w:cs="宋体" w:eastAsia="宋体" w:hint="default"/>
          <w:position w:val="-70"/>
          <w:sz w:val="20"/>
          <w:szCs w:val="20"/>
        </w:rPr>
      </w:r>
    </w:p>
    <w:p>
      <w:pPr>
        <w:spacing w:line="240" w:lineRule="auto" w:before="0"/>
        <w:rPr>
          <w:rFonts w:ascii="宋体" w:hAnsi="宋体" w:cs="宋体" w:eastAsia="宋体" w:hint="default"/>
          <w:sz w:val="24"/>
          <w:szCs w:val="24"/>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7"/>
      <w:r>
        <w:rPr/>
        <w:t>第七节</w:t>
      </w:r>
      <w:r>
        <w:rPr>
          <w:spacing w:val="-17"/>
        </w:rPr>
        <w:t> </w:t>
      </w:r>
      <w:r>
        <w:rPr/>
        <w:t>董事、监事、高级管理人员和员工情况</w:t>
      </w:r>
      <w:bookmarkEnd w:id="7"/>
      <w:r>
        <w:rPr>
          <w:b w:val="0"/>
          <w:bCs w:val="0"/>
        </w:rPr>
      </w:r>
    </w:p>
    <w:p>
      <w:pPr>
        <w:spacing w:line="240" w:lineRule="auto" w:before="11"/>
        <w:rPr>
          <w:rFonts w:ascii="宋体" w:hAnsi="宋体" w:cs="宋体" w:eastAsia="宋体" w:hint="default"/>
          <w:b/>
          <w:bCs/>
          <w:sz w:val="38"/>
          <w:szCs w:val="38"/>
        </w:rPr>
      </w:pPr>
    </w:p>
    <w:p>
      <w:pPr>
        <w:pStyle w:val="Heading2"/>
        <w:spacing w:line="240" w:lineRule="auto" w:before="0"/>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70"/>
        <w:gridCol w:w="870"/>
        <w:gridCol w:w="870"/>
        <w:gridCol w:w="870"/>
        <w:gridCol w:w="870"/>
        <w:gridCol w:w="868"/>
        <w:gridCol w:w="870"/>
        <w:gridCol w:w="869"/>
        <w:gridCol w:w="869"/>
        <w:gridCol w:w="869"/>
        <w:gridCol w:w="869"/>
      </w:tblGrid>
      <w:tr>
        <w:trPr>
          <w:trHeight w:val="1025" w:hRule="exact"/>
        </w:trPr>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8" w:right="67"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8"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8"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董事长兼 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董事兼运 营总监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15,859,144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15,859,144</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陈绪华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66</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9,942,465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9,942,465</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67</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8,509,041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8,509,041</w:t>
            </w:r>
          </w:p>
        </w:tc>
      </w:tr>
      <w:tr>
        <w:trPr>
          <w:trHeight w:val="1026"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李明珠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经理兼董 事会秘书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于志宏</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彭雪峰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温京辉</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王锁柱</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李彤彤</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6,099,672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6,099,672</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盖洪涛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2,287,376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2,287,376</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孟庆涛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范惠众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31</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任宏军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赵学荣</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70"/>
        <w:gridCol w:w="870"/>
        <w:gridCol w:w="870"/>
        <w:gridCol w:w="870"/>
        <w:gridCol w:w="870"/>
        <w:gridCol w:w="868"/>
        <w:gridCol w:w="870"/>
        <w:gridCol w:w="869"/>
        <w:gridCol w:w="869"/>
        <w:gridCol w:w="869"/>
        <w:gridCol w:w="869"/>
      </w:tblGrid>
      <w:tr>
        <w:trPr>
          <w:trHeight w:val="674" w:hRule="exact"/>
        </w:trPr>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5"/>
              <w:jc w:val="left"/>
              <w:rPr>
                <w:rFonts w:ascii="宋体" w:hAnsi="宋体" w:cs="宋体" w:eastAsia="宋体" w:hint="default"/>
                <w:sz w:val="18"/>
                <w:szCs w:val="18"/>
              </w:rPr>
            </w:pPr>
            <w:r>
              <w:rPr>
                <w:rFonts w:ascii="宋体" w:hAnsi="宋体" w:cs="宋体" w:eastAsia="宋体" w:hint="default"/>
                <w:sz w:val="18"/>
                <w:szCs w:val="18"/>
              </w:rPr>
              <w:t>兼财务总 监</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黄智舜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杜江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李昕照</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张京辉</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夏海涛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景雪飞</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ind w:right="0"/>
        <w:jc w:val="left"/>
        <w:rPr>
          <w:b w:val="0"/>
          <w:bCs w:val="0"/>
        </w:rPr>
      </w:pPr>
      <w:r>
        <w:rPr/>
        <w:t>二、任职情况</w:t>
      </w:r>
      <w:r>
        <w:rPr>
          <w:b w:val="0"/>
          <w:bCs w:val="0"/>
        </w:rPr>
      </w:r>
    </w:p>
    <w:p>
      <w:pPr>
        <w:spacing w:line="240" w:lineRule="auto" w:before="6"/>
        <w:rPr>
          <w:rFonts w:ascii="宋体" w:hAnsi="宋体" w:cs="宋体" w:eastAsia="宋体" w:hint="default"/>
          <w:b/>
          <w:bCs/>
          <w:sz w:val="30"/>
          <w:szCs w:val="30"/>
        </w:rPr>
      </w:pPr>
    </w:p>
    <w:p>
      <w:pPr>
        <w:pStyle w:val="Heading3"/>
        <w:spacing w:line="408" w:lineRule="auto"/>
        <w:ind w:right="4085"/>
        <w:jc w:val="left"/>
        <w:rPr>
          <w:b w:val="0"/>
          <w:bCs w:val="0"/>
        </w:rPr>
      </w:pPr>
      <w:r>
        <w:rPr/>
        <w:t>公司现任董事、监事、高级管理人员最近</w:t>
      </w:r>
      <w:r>
        <w:rPr>
          <w:spacing w:val="-58"/>
        </w:rPr>
        <w:t> </w:t>
      </w:r>
      <w:r>
        <w:rPr/>
        <w:t>5</w:t>
      </w:r>
      <w:r>
        <w:rPr>
          <w:spacing w:val="-56"/>
        </w:rPr>
        <w:t> </w:t>
      </w:r>
      <w:r>
        <w:rPr/>
        <w:t>年的主要工作经历</w:t>
      </w:r>
      <w:r>
        <w:rPr>
          <w:w w:val="99"/>
        </w:rPr>
        <w:t> </w:t>
      </w:r>
      <w:r>
        <w:rPr/>
        <w:t>公司现任董事近5年工作经历：</w:t>
      </w:r>
      <w:r>
        <w:rPr>
          <w:b w:val="0"/>
          <w:bCs w:val="0"/>
        </w:rPr>
      </w:r>
    </w:p>
    <w:p>
      <w:pPr>
        <w:pStyle w:val="BodyText"/>
        <w:spacing w:line="408" w:lineRule="auto"/>
        <w:ind w:right="233" w:firstLine="420"/>
        <w:jc w:val="both"/>
      </w:pPr>
      <w:r>
        <w:rPr/>
        <w:t>朱烨东，男，中国国籍，无境外永久居留权，1968 年6</w:t>
      </w:r>
      <w:r>
        <w:rPr>
          <w:spacing w:val="-6"/>
        </w:rPr>
        <w:t> </w:t>
      </w:r>
      <w:r>
        <w:rPr/>
        <w:t>月出生。南京理工大学计算机系软件专业学</w:t>
      </w:r>
      <w:r>
        <w:rPr/>
        <w:t> 士、北京大学经济学院金融学硕士、北京大学经济学院政治经济学博士、高级工程师。近5年任职于北京 中科金财科技股份有限公司，现任公司董事长兼总经理。</w:t>
      </w:r>
    </w:p>
    <w:p>
      <w:pPr>
        <w:pStyle w:val="BodyText"/>
        <w:spacing w:line="408" w:lineRule="auto"/>
        <w:ind w:right="233" w:firstLine="420"/>
        <w:jc w:val="both"/>
      </w:pPr>
      <w:r>
        <w:rPr/>
        <w:t>陈绪华，男，中国国籍，无境外永久居留权，1947年出生。近5年任职于北京中科金财科技股份有限 公司，现任公司副董事长。</w:t>
      </w:r>
    </w:p>
    <w:p>
      <w:pPr>
        <w:pStyle w:val="BodyText"/>
        <w:spacing w:line="408" w:lineRule="auto"/>
        <w:ind w:right="233" w:firstLine="420"/>
        <w:jc w:val="both"/>
      </w:pPr>
      <w:r>
        <w:rPr/>
        <w:t>沈飒，女，中国国籍，无境外永久居留权，1973 年2</w:t>
      </w:r>
      <w:r>
        <w:rPr>
          <w:spacing w:val="-2"/>
        </w:rPr>
        <w:t> </w:t>
      </w:r>
      <w:r>
        <w:rPr/>
        <w:t>月出生，北京大学经济学院金融专业硕士，中</w:t>
      </w:r>
      <w:r>
        <w:rPr/>
        <w:t> 共党员。近5年任职于北京中科金财科技股份有限公司，现任公司董事兼运营总监。</w:t>
      </w:r>
    </w:p>
    <w:p>
      <w:pPr>
        <w:pStyle w:val="BodyText"/>
        <w:spacing w:line="408" w:lineRule="auto"/>
        <w:ind w:right="151" w:firstLine="420"/>
        <w:jc w:val="both"/>
      </w:pPr>
      <w:r>
        <w:rPr/>
        <w:t>蔡迦，女，中国国籍，无境外永久居留权，1946</w:t>
      </w:r>
      <w:r>
        <w:rPr>
          <w:spacing w:val="-25"/>
        </w:rPr>
        <w:t> </w:t>
      </w:r>
      <w:r>
        <w:rPr/>
        <w:t>年出生，大学本科学历。近5年任职于北京中科金财</w:t>
      </w:r>
      <w:r>
        <w:rPr/>
        <w:t> 科技股份有限公司，现任公司董事。</w:t>
      </w:r>
    </w:p>
    <w:p>
      <w:pPr>
        <w:pStyle w:val="BodyText"/>
        <w:spacing w:line="408" w:lineRule="auto"/>
        <w:ind w:right="233" w:firstLine="420"/>
        <w:jc w:val="both"/>
      </w:pPr>
      <w:r>
        <w:rPr/>
        <w:t>李明珠，男，中国国籍，无境外永久居留权，1969</w:t>
      </w:r>
      <w:r>
        <w:rPr>
          <w:spacing w:val="-4"/>
        </w:rPr>
        <w:t> </w:t>
      </w:r>
      <w:r>
        <w:rPr/>
        <w:t>年出生，毕业于南开大学金融系农村金融专业，</w:t>
      </w:r>
      <w:r>
        <w:rPr/>
        <w:t> 高级经济师。近5年任职于北京中科金财科技股份有限公司，现任公司董事、副总经理兼董事会秘书。</w:t>
      </w:r>
    </w:p>
    <w:p>
      <w:pPr>
        <w:pStyle w:val="BodyText"/>
        <w:spacing w:line="408" w:lineRule="auto"/>
        <w:ind w:right="114" w:firstLine="420"/>
        <w:jc w:val="left"/>
      </w:pPr>
      <w:r>
        <w:rPr/>
        <w:t>于志宏，男，中国国籍，无境外永久居留权，1971</w:t>
      </w:r>
      <w:r>
        <w:rPr>
          <w:spacing w:val="-4"/>
        </w:rPr>
        <w:t> </w:t>
      </w:r>
      <w:r>
        <w:rPr/>
        <w:t>年出生，清华大学工学学士、中国人民大学MBA。</w:t>
      </w:r>
      <w:r>
        <w:rPr/>
        <w:t> 近5年任职于达晨创业投资有限公司，兼任公司董事。</w:t>
      </w:r>
    </w:p>
    <w:p>
      <w:pPr>
        <w:pStyle w:val="BodyText"/>
        <w:spacing w:line="408" w:lineRule="auto"/>
        <w:ind w:right="135" w:firstLine="525"/>
        <w:jc w:val="left"/>
      </w:pPr>
      <w:r>
        <w:rPr/>
        <w:t>温京辉，男，中国国籍，无境外永久居留权，1970</w:t>
      </w:r>
      <w:r>
        <w:rPr>
          <w:spacing w:val="-25"/>
        </w:rPr>
        <w:t> </w:t>
      </w:r>
      <w:r>
        <w:rPr/>
        <w:t>年出生，毕业于北京理工大学管理学院，注册会</w:t>
      </w:r>
      <w:r>
        <w:rPr/>
        <w:t> 计师、注册税务师。近5年任职于德豪国际－利安达信隆会计师事务所，兼任公司独立董事，新余钢铁股</w:t>
      </w:r>
    </w:p>
    <w:p>
      <w:pPr>
        <w:spacing w:after="0" w:line="408"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4"/>
        <w:ind w:left="679" w:right="174" w:hanging="526"/>
        <w:jc w:val="left"/>
      </w:pPr>
      <w:r>
        <w:rPr/>
        <w:t>份有限公司、北京空港科技园区股份有限公司、江苏吴中实业股份有限公司独立董事。 彭雪峰，男，中国国籍，无境外永久居留权，全国人大代表。1962</w:t>
      </w:r>
      <w:r>
        <w:rPr>
          <w:spacing w:val="-4"/>
        </w:rPr>
        <w:t> </w:t>
      </w:r>
      <w:r>
        <w:rPr/>
        <w:t>年出生，北京大学法学院博士。</w:t>
      </w:r>
    </w:p>
    <w:p>
      <w:pPr>
        <w:pStyle w:val="BodyText"/>
        <w:spacing w:line="408" w:lineRule="auto"/>
        <w:ind w:right="275"/>
        <w:jc w:val="left"/>
      </w:pPr>
      <w:r>
        <w:rPr/>
        <w:t>近5年任职于大成律师事务所，兼任公司独立董事，山东海运股份有限公司、北京万通地产股份有限公司 独立董事。</w:t>
      </w:r>
    </w:p>
    <w:p>
      <w:pPr>
        <w:pStyle w:val="BodyText"/>
        <w:spacing w:line="408" w:lineRule="auto"/>
        <w:ind w:right="279" w:firstLine="420"/>
        <w:jc w:val="left"/>
        <w:rPr>
          <w:rFonts w:ascii="宋体" w:hAnsi="宋体" w:cs="宋体" w:eastAsia="宋体" w:hint="default"/>
        </w:rPr>
      </w:pPr>
      <w:r>
        <w:rPr/>
        <w:t>王锁柱，男，中国国籍，无境外永久居留权，1964</w:t>
      </w:r>
      <w:r>
        <w:rPr>
          <w:spacing w:val="-4"/>
        </w:rPr>
        <w:t> </w:t>
      </w:r>
      <w:r>
        <w:rPr/>
        <w:t>年出生，教授。西安交通大学管理学院博士，中</w:t>
      </w:r>
      <w:r>
        <w:rPr/>
        <w:t> 科院软件研究所博士后。近5年任职于首都师范大学，兼任公司独立董事。 </w:t>
      </w:r>
      <w:r>
        <w:rPr>
          <w:rFonts w:ascii="宋体" w:hAnsi="宋体" w:cs="宋体" w:eastAsia="宋体" w:hint="default"/>
          <w:b/>
          <w:bCs/>
        </w:rPr>
        <w:t>公司现任监事近5年工作经历：</w:t>
      </w:r>
      <w:r>
        <w:rPr>
          <w:rFonts w:ascii="宋体" w:hAnsi="宋体" w:cs="宋体" w:eastAsia="宋体" w:hint="default"/>
        </w:rPr>
      </w:r>
    </w:p>
    <w:p>
      <w:pPr>
        <w:pStyle w:val="BodyText"/>
        <w:spacing w:line="408" w:lineRule="auto"/>
        <w:ind w:right="102" w:firstLine="420"/>
        <w:jc w:val="left"/>
      </w:pPr>
      <w:r>
        <w:rPr>
          <w:spacing w:val="-1"/>
        </w:rPr>
        <w:t>孟庆涛，男，中国国籍，无境外永久居留权，1970年出生，毕业于北京科技大学分院金属压力加工专</w:t>
      </w:r>
      <w:r>
        <w:rPr/>
        <w:t> 业，大学本科学历。近5年任职于北京中科金财科技股份有限公司，现任公司监事会主席。</w:t>
      </w:r>
    </w:p>
    <w:p>
      <w:pPr>
        <w:pStyle w:val="BodyText"/>
        <w:spacing w:line="408" w:lineRule="auto"/>
        <w:ind w:right="102" w:firstLine="420"/>
        <w:jc w:val="left"/>
        <w:rPr>
          <w:rFonts w:ascii="MS Gothic" w:hAnsi="MS Gothic" w:cs="MS Gothic" w:eastAsia="MS Gothic" w:hint="default"/>
        </w:rPr>
      </w:pPr>
      <w:r>
        <w:rPr/>
        <w:t>范惠众，男，中国国籍，无境外永久居留权，1982年出生，经济学学士、经济学硕士。近5年任职于 </w:t>
      </w:r>
      <w:r>
        <w:rPr>
          <w:spacing w:val="-1"/>
        </w:rPr>
        <w:t>上海常春藤投资有限公司，现任董事总经理。兼任公司监事、上海华燕置业发展有限公司董事、云南锦苑</w:t>
      </w:r>
      <w:r>
        <w:rPr>
          <w:spacing w:val="-82"/>
        </w:rPr>
        <w:t> </w:t>
      </w:r>
      <w:r>
        <w:rPr>
          <w:spacing w:val="-82"/>
        </w:rPr>
      </w:r>
      <w:r>
        <w:rPr/>
        <w:t>花卉产业股份有限公司董事、上海新旭发机械科技有限公司董事</w:t>
      </w:r>
      <w:r>
        <w:rPr>
          <w:rFonts w:ascii="MS Gothic" w:hAnsi="MS Gothic" w:cs="MS Gothic" w:eastAsia="MS Gothic" w:hint="default"/>
        </w:rPr>
        <w:t>｡</w:t>
      </w:r>
    </w:p>
    <w:p>
      <w:pPr>
        <w:pStyle w:val="BodyText"/>
        <w:spacing w:line="408" w:lineRule="auto"/>
        <w:ind w:right="102" w:firstLine="420"/>
        <w:jc w:val="left"/>
        <w:rPr>
          <w:rFonts w:ascii="宋体" w:hAnsi="宋体" w:cs="宋体" w:eastAsia="宋体" w:hint="default"/>
        </w:rPr>
      </w:pPr>
      <w:r>
        <w:rPr>
          <w:spacing w:val="-1"/>
        </w:rPr>
        <w:t>任宏军，男，中国国籍，无境外永久居留权，1971年出生。北京理工大学计算机应用专业毕业，大学</w:t>
      </w:r>
      <w:r>
        <w:rPr/>
        <w:t> 专科学历。近5年任职于北京中科金财科技股份有限公司，现任公司监事。 </w:t>
      </w:r>
      <w:r>
        <w:rPr>
          <w:rFonts w:ascii="宋体" w:hAnsi="宋体" w:cs="宋体" w:eastAsia="宋体" w:hint="default"/>
          <w:b/>
          <w:bCs/>
        </w:rPr>
        <w:t>公司现任高级管理人员近5年工作经历：</w:t>
      </w:r>
      <w:r>
        <w:rPr>
          <w:rFonts w:ascii="宋体" w:hAnsi="宋体" w:cs="宋体" w:eastAsia="宋体" w:hint="default"/>
        </w:rPr>
      </w:r>
    </w:p>
    <w:p>
      <w:pPr>
        <w:pStyle w:val="BodyText"/>
        <w:spacing w:line="408" w:lineRule="auto"/>
        <w:ind w:left="574" w:right="4370"/>
        <w:jc w:val="left"/>
      </w:pPr>
      <w:r>
        <w:rPr/>
        <w:t>朱烨东，现任公司总经理，简历同上。 沈飒，现任公司运营总监，简历同上。 李明珠，现任公司副总经理兼董事会秘书，简历同上。</w:t>
      </w:r>
    </w:p>
    <w:p>
      <w:pPr>
        <w:pStyle w:val="BodyText"/>
        <w:spacing w:line="408" w:lineRule="auto"/>
        <w:ind w:right="102" w:firstLine="420"/>
        <w:jc w:val="left"/>
      </w:pPr>
      <w:r>
        <w:rPr/>
        <w:t>赵学荣，女，中国国籍，无境外永久居留权，1973</w:t>
      </w:r>
      <w:r>
        <w:rPr>
          <w:spacing w:val="-2"/>
        </w:rPr>
        <w:t> </w:t>
      </w:r>
      <w:r>
        <w:rPr/>
        <w:t>年出生，中国人民大学财务会计专业本科毕业，</w:t>
      </w:r>
      <w:r>
        <w:rPr/>
        <w:t> </w:t>
      </w:r>
      <w:r>
        <w:rPr>
          <w:spacing w:val="-1"/>
        </w:rPr>
        <w:t>高级经济师，会计师职称。近5年任职于北京中科金财科技股份有限公司，现任公司副总经理兼财务总监。</w:t>
      </w:r>
    </w:p>
    <w:p>
      <w:pPr>
        <w:pStyle w:val="BodyText"/>
        <w:spacing w:line="408" w:lineRule="auto"/>
        <w:ind w:right="279" w:firstLine="420"/>
        <w:jc w:val="left"/>
      </w:pPr>
      <w:r>
        <w:rPr/>
        <w:t>黄智舜，男，中国国籍，无境外永久居留权，1969</w:t>
      </w:r>
      <w:r>
        <w:rPr>
          <w:spacing w:val="-4"/>
        </w:rPr>
        <w:t> </w:t>
      </w:r>
      <w:r>
        <w:rPr/>
        <w:t>年出生，毕业于北京大学力学系力学专业，本科</w:t>
      </w:r>
      <w:r>
        <w:rPr/>
        <w:t> 学历，高级工程师。近5年任职于北京中科金财科技股份有限公司，现任公司副总经理。</w:t>
      </w:r>
    </w:p>
    <w:p>
      <w:pPr>
        <w:pStyle w:val="BodyText"/>
        <w:spacing w:line="408" w:lineRule="auto"/>
        <w:ind w:right="196" w:firstLine="525"/>
        <w:jc w:val="left"/>
      </w:pPr>
      <w:r>
        <w:rPr/>
        <w:t>杜江，男，中国国籍，无境外永久居留权，1963</w:t>
      </w:r>
      <w:r>
        <w:rPr>
          <w:spacing w:val="-26"/>
        </w:rPr>
        <w:t> </w:t>
      </w:r>
      <w:r>
        <w:rPr/>
        <w:t>年出生。华中理工大学博士学位，副教授。曾任北</w:t>
      </w:r>
      <w:r>
        <w:rPr/>
        <w:t> 京瑞科时代科技有限公司副总经理，2008年10月至今任公司副总经理。</w:t>
      </w:r>
    </w:p>
    <w:p>
      <w:pPr>
        <w:pStyle w:val="BodyText"/>
        <w:spacing w:line="408" w:lineRule="auto"/>
        <w:ind w:right="197" w:firstLine="420"/>
        <w:jc w:val="left"/>
      </w:pPr>
      <w:r>
        <w:rPr/>
        <w:t>李昕照，女，中国国籍，无境外永久居留权，1970</w:t>
      </w:r>
      <w:r>
        <w:rPr>
          <w:spacing w:val="-27"/>
        </w:rPr>
        <w:t> </w:t>
      </w:r>
      <w:r>
        <w:rPr/>
        <w:t>年出生，大学本科学历，高级工程师。近5年任职</w:t>
      </w:r>
      <w:r>
        <w:rPr/>
        <w:t> 于北京中科金财科技股份有限公司，现任公司副总经理。</w:t>
      </w:r>
    </w:p>
    <w:p>
      <w:pPr>
        <w:pStyle w:val="BodyText"/>
        <w:spacing w:line="408" w:lineRule="auto"/>
        <w:ind w:right="102" w:firstLine="420"/>
        <w:jc w:val="left"/>
      </w:pPr>
      <w:r>
        <w:rPr>
          <w:spacing w:val="-1"/>
        </w:rPr>
        <w:t>张京辉，男，中国国籍，无境外永久居留权，1971年出生，北京信息工程学院计算机软件专业本科毕</w:t>
      </w:r>
      <w:r>
        <w:rPr/>
        <w:t> 业，学士学位。曾任职于亚美亚通讯设备（中国）有限公司，2012年3月至今任公司副总经理。</w:t>
      </w:r>
    </w:p>
    <w:p>
      <w:pPr>
        <w:pStyle w:val="BodyText"/>
        <w:spacing w:line="408" w:lineRule="auto"/>
        <w:ind w:right="102" w:firstLine="420"/>
        <w:jc w:val="left"/>
      </w:pPr>
      <w:r>
        <w:rPr>
          <w:spacing w:val="-1"/>
        </w:rPr>
        <w:t>夏海涛，男，中国国籍，无境外永久居留权，1970年出生，天津商学院商业企业管理系财会计学专业</w:t>
      </w:r>
      <w:r>
        <w:rPr/>
        <w:t> 本科毕业，高级经济师，会计师职称。曾任职于北京炎黄时代健康传媒广告有限公司，2010年4月至今就</w:t>
      </w:r>
    </w:p>
    <w:p>
      <w:pPr>
        <w:spacing w:after="0" w:line="408"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职于北京中科金财科技股份有限公司，现任公司副总经理。</w:t>
      </w:r>
    </w:p>
    <w:p>
      <w:pPr>
        <w:spacing w:line="240" w:lineRule="auto" w:before="11"/>
        <w:rPr>
          <w:rFonts w:ascii="宋体" w:hAnsi="宋体" w:cs="宋体" w:eastAsia="宋体" w:hint="default"/>
          <w:sz w:val="13"/>
          <w:szCs w:val="13"/>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1"/>
        <w:gridCol w:w="3188"/>
        <w:gridCol w:w="1064"/>
        <w:gridCol w:w="1196"/>
        <w:gridCol w:w="1330"/>
        <w:gridCol w:w="1588"/>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于志宏</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天津达晨创富股权投资基金中心（有限 合伙）</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范惠众</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天津常春藤一期股权投资中心（有限合 伙）</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彭雪峰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大成律师事务所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温京辉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德豪国际－利安达信隆会计师事务所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王锁柱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首都师范大学信息工程学院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副院长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w:t>
      </w:r>
    </w:p>
    <w:p>
      <w:pPr>
        <w:spacing w:line="240" w:lineRule="auto" w:before="10"/>
        <w:rPr>
          <w:rFonts w:ascii="宋体" w:hAnsi="宋体" w:cs="宋体" w:eastAsia="宋体" w:hint="default"/>
          <w:sz w:val="12"/>
          <w:szCs w:val="12"/>
        </w:rPr>
      </w:pPr>
    </w:p>
    <w:p>
      <w:pPr>
        <w:pStyle w:val="Heading3"/>
        <w:spacing w:line="240" w:lineRule="auto"/>
        <w:ind w:right="0"/>
        <w:jc w:val="left"/>
        <w:rPr>
          <w:b w:val="0"/>
          <w:bCs w:val="0"/>
        </w:rPr>
      </w:pPr>
      <w:r>
        <w:rPr/>
        <w:t>决策程序：</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150" w:firstLine="441"/>
        <w:jc w:val="both"/>
      </w:pPr>
      <w:r>
        <w:rPr>
          <w:spacing w:val="-1"/>
        </w:rPr>
        <w:t>高级管理人员报酬由董事会薪酬与考核委员会提出方案，经董事会审议通过后方可实施；董事的报酬</w:t>
      </w:r>
      <w:r>
        <w:rPr/>
        <w:t> </w:t>
      </w:r>
      <w:r>
        <w:rPr>
          <w:spacing w:val="-1"/>
        </w:rPr>
        <w:t>由董事会薪酬与考核委员会提出方案，经董事会审议通过后，报送股东大会审议通过方可实施；监事的报</w:t>
      </w:r>
      <w:r>
        <w:rPr>
          <w:spacing w:val="-83"/>
        </w:rPr>
        <w:t> </w:t>
      </w:r>
      <w:r>
        <w:rPr>
          <w:spacing w:val="-83"/>
        </w:rPr>
      </w:r>
      <w:r>
        <w:rPr/>
        <w:t>酬由监事会提出方案，经股东大会通过后方可实施。</w:t>
      </w:r>
    </w:p>
    <w:p>
      <w:pPr>
        <w:pStyle w:val="Heading3"/>
        <w:spacing w:line="240" w:lineRule="auto" w:before="46"/>
        <w:ind w:left="153" w:right="0"/>
        <w:jc w:val="left"/>
        <w:rPr>
          <w:b w:val="0"/>
          <w:bCs w:val="0"/>
        </w:rPr>
      </w:pPr>
      <w:r>
        <w:rPr/>
        <w:t>确定依据：</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150" w:firstLine="441"/>
        <w:jc w:val="both"/>
      </w:pPr>
      <w:r>
        <w:rPr>
          <w:spacing w:val="-2"/>
        </w:rPr>
        <w:t>董事、监事及高级管理人员的报酬根据管理岗位的主要范围、职责、重要性以及其它相关企业相关岗</w:t>
      </w:r>
      <w:r>
        <w:rPr/>
        <w:t> 位的薪酬水平确定。</w:t>
      </w:r>
    </w:p>
    <w:p>
      <w:pPr>
        <w:pStyle w:val="BodyText"/>
        <w:spacing w:line="408" w:lineRule="auto"/>
        <w:ind w:left="595" w:right="1139" w:hanging="442"/>
        <w:jc w:val="left"/>
      </w:pPr>
      <w:r>
        <w:rPr>
          <w:rFonts w:ascii="宋体" w:hAnsi="宋体" w:cs="宋体" w:eastAsia="宋体" w:hint="default"/>
          <w:b/>
          <w:bCs/>
        </w:rPr>
        <w:t>实际支付情况：</w:t>
      </w:r>
      <w:r>
        <w:rPr>
          <w:rFonts w:ascii="宋体" w:hAnsi="宋体" w:cs="宋体" w:eastAsia="宋体" w:hint="default"/>
          <w:b/>
          <w:bCs/>
          <w:w w:val="99"/>
        </w:rPr>
        <w:t> </w:t>
      </w:r>
      <w:r>
        <w:rPr/>
        <w:t>独立董事津贴每季度按标准支付，其他董事、监事、高级管理人员报酬每月按标准支付。</w:t>
      </w:r>
    </w:p>
    <w:p>
      <w:pPr>
        <w:spacing w:before="3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6"/>
        <w:gridCol w:w="1196"/>
        <w:gridCol w:w="1195"/>
        <w:gridCol w:w="1196"/>
        <w:gridCol w:w="1196"/>
        <w:gridCol w:w="1195"/>
      </w:tblGrid>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3" w:right="50"/>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董事长兼总经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9" w:right="0"/>
              <w:jc w:val="left"/>
              <w:rPr>
                <w:rFonts w:ascii="Times New Roman" w:hAnsi="Times New Roman" w:cs="Times New Roman" w:eastAsia="Times New Roman" w:hint="default"/>
                <w:sz w:val="18"/>
                <w:szCs w:val="18"/>
              </w:rPr>
            </w:pPr>
            <w:r>
              <w:rPr>
                <w:rFonts w:ascii="Times New Roman"/>
                <w:sz w:val="18"/>
              </w:rPr>
              <w:t>28.52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8" w:right="0"/>
              <w:jc w:val="left"/>
              <w:rPr>
                <w:rFonts w:ascii="Times New Roman" w:hAnsi="Times New Roman" w:cs="Times New Roman" w:eastAsia="Times New Roman" w:hint="default"/>
                <w:sz w:val="18"/>
                <w:szCs w:val="18"/>
              </w:rPr>
            </w:pPr>
            <w:r>
              <w:rPr>
                <w:rFonts w:ascii="Times New Roman"/>
                <w:sz w:val="18"/>
              </w:rPr>
              <w:t>28.52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6"/>
        <w:gridCol w:w="1196"/>
        <w:gridCol w:w="1195"/>
        <w:gridCol w:w="1196"/>
        <w:gridCol w:w="1196"/>
        <w:gridCol w:w="1195"/>
      </w:tblGrid>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陈绪华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董事兼运营总 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蔡迦</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李明珠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董事、副总经 理兼董事会秘 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24.72</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于志宏</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王锁柱</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温京辉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彭雪峰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孟庆涛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任宏军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范惠众</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黄智舜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28.72</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赵学荣</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副总经理兼财 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23.32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23.32</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22.67</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夏海涛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李昕照</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24.52</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张京辉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景雪飞</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27.66</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李彤彤</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盖洪涛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before="0"/>
        <w:ind w:right="0"/>
        <w:jc w:val="left"/>
        <w:rPr>
          <w:b w:val="0"/>
          <w:bCs w:val="0"/>
        </w:rPr>
      </w:pPr>
      <w:r>
        <w:rPr/>
        <w:t>四、公司董事、监事、高级管理人员离职和解聘情况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李彤彤</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盖洪涛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景雪飞</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ind w:right="102"/>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573" w:right="96"/>
        <w:jc w:val="left"/>
      </w:pPr>
      <w:r>
        <w:rPr>
          <w:spacing w:val="-3"/>
        </w:rPr>
        <w:t>报告期内公司核心技术人员景雪飞、赵宝军因个人原因辞职，对公司核心竞争力与经营并无重大影响。</w:t>
      </w:r>
      <w:r>
        <w:rPr>
          <w:spacing w:val="-98"/>
        </w:rPr>
        <w:t> </w:t>
      </w:r>
      <w:r>
        <w:rPr>
          <w:spacing w:val="-98"/>
        </w:rPr>
      </w:r>
      <w:r>
        <w:rPr/>
        <w:t>报告期内公司新增核心技术人员杨阳、张京辉，简历如下： 杨阳，男，中国国籍，无境外永久居留权，1967年出生。武汉工业大学计算机及应用专业学士、北京</w:t>
      </w:r>
    </w:p>
    <w:p>
      <w:pPr>
        <w:pStyle w:val="BodyText"/>
        <w:spacing w:line="408" w:lineRule="auto"/>
        <w:ind w:left="153" w:right="102"/>
        <w:jc w:val="left"/>
      </w:pPr>
      <w:r>
        <w:rPr/>
        <w:t>大学经济学院金融学硕士，工程师。曾就职中国银行北京分行信息科技部软件工程师、项目经理，广东发 </w:t>
      </w:r>
      <w:r>
        <w:rPr>
          <w:spacing w:val="-3"/>
        </w:rPr>
        <w:t>展银行北京分行电子银行部总经理助理、信息科技部总经理，北京基础设施投资有限公司线网综合部经理，</w:t>
      </w:r>
      <w:r>
        <w:rPr>
          <w:spacing w:val="-92"/>
        </w:rPr>
        <w:t> </w:t>
      </w:r>
      <w:r>
        <w:rPr>
          <w:spacing w:val="-92"/>
        </w:rPr>
      </w:r>
      <w:r>
        <w:rPr/>
        <w:t>北京轨道交通路网管理有限公司总经理、常务副总经理，北京市政交通一卡通有限公司总经理，现任北京</w:t>
      </w:r>
      <w:r>
        <w:rPr/>
        <w:t> 中科金财科技股份有限公司总经理。曾经从事过技术研发、系统运行维护、负责中大型项目建设管理等工 作，拥有企业的丰富管理经验，熟悉现代企业管理方式。</w:t>
      </w:r>
    </w:p>
    <w:p>
      <w:pPr>
        <w:pStyle w:val="BodyText"/>
        <w:spacing w:line="408" w:lineRule="auto"/>
        <w:ind w:left="153" w:right="209" w:firstLine="360"/>
        <w:jc w:val="both"/>
      </w:pPr>
      <w:r>
        <w:rPr/>
        <w:t>张京辉，男，中国国籍，无境外永久居留权，1971年出生，北京信息工程学院计算机软件专业本科毕 </w:t>
      </w:r>
      <w:r>
        <w:rPr>
          <w:spacing w:val="-1"/>
        </w:rPr>
        <w:t>业，学士学位。曾任光大国际信托投资公司系统集成公司软件开发工程师、项目经理，美国优利系统（中</w:t>
      </w:r>
      <w:r>
        <w:rPr>
          <w:spacing w:val="-83"/>
        </w:rPr>
        <w:t> </w:t>
      </w:r>
      <w:r>
        <w:rPr>
          <w:spacing w:val="-83"/>
        </w:rPr>
      </w:r>
      <w:r>
        <w:rPr>
          <w:spacing w:val="-1"/>
        </w:rPr>
        <w:t>国）有限公司高级顾问、专业服务部经理、解决方案经理，美国太阳系统（中国）有限公司解决方案和专</w:t>
      </w:r>
      <w:r>
        <w:rPr>
          <w:spacing w:val="-83"/>
        </w:rPr>
        <w:t> </w:t>
      </w:r>
      <w:r>
        <w:rPr>
          <w:spacing w:val="-83"/>
        </w:rPr>
      </w:r>
      <w:r>
        <w:rPr>
          <w:spacing w:val="-1"/>
        </w:rPr>
        <w:t>业服务销售经理，亚美亚（中国）系统有限公司解决方案经理，在产品研发、专业服务管理以及业务咨询</w:t>
      </w:r>
      <w:r>
        <w:rPr>
          <w:spacing w:val="-83"/>
        </w:rPr>
        <w:t> </w:t>
      </w:r>
      <w:r>
        <w:rPr>
          <w:spacing w:val="-83"/>
        </w:rPr>
      </w:r>
      <w:r>
        <w:rPr>
          <w:spacing w:val="-1"/>
        </w:rPr>
        <w:t>领域有10年工作经验。目前任职于北京中科金财科技股份有限公司，主要负责公司银行技术体系的技术开</w:t>
      </w:r>
      <w:r>
        <w:rPr>
          <w:spacing w:val="-82"/>
        </w:rPr>
        <w:t> </w:t>
      </w:r>
      <w:r>
        <w:rPr>
          <w:spacing w:val="-82"/>
        </w:rPr>
      </w:r>
      <w:r>
        <w:rPr/>
        <w:t>发和技术管理工作。</w:t>
      </w:r>
    </w:p>
    <w:p>
      <w:pPr>
        <w:spacing w:line="240" w:lineRule="auto" w:before="11"/>
        <w:rPr>
          <w:rFonts w:ascii="宋体" w:hAnsi="宋体" w:cs="宋体" w:eastAsia="宋体" w:hint="default"/>
          <w:sz w:val="18"/>
          <w:szCs w:val="18"/>
        </w:rPr>
      </w:pPr>
    </w:p>
    <w:p>
      <w:pPr>
        <w:pStyle w:val="Heading2"/>
        <w:spacing w:line="240" w:lineRule="auto" w:before="0"/>
        <w:ind w:right="102"/>
        <w:jc w:val="left"/>
        <w:rPr>
          <w:b w:val="0"/>
          <w:bCs w:val="0"/>
        </w:rPr>
      </w:pPr>
      <w:r>
        <w:rPr/>
        <w:t>六、公司员工情况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758"/>
        <w:gridCol w:w="1378"/>
        <w:gridCol w:w="1380"/>
        <w:gridCol w:w="2756"/>
      </w:tblGrid>
      <w:tr>
        <w:trPr>
          <w:trHeight w:val="427" w:hRule="exact"/>
        </w:trPr>
        <w:tc>
          <w:tcPr>
            <w:tcW w:w="4135" w:type="dxa"/>
            <w:gridSpan w:val="2"/>
            <w:tcBorders>
              <w:top w:val="single" w:sz="6" w:space="0" w:color="000000"/>
              <w:left w:val="single" w:sz="6" w:space="0" w:color="000000"/>
              <w:bottom w:val="single" w:sz="6" w:space="0" w:color="000000"/>
              <w:right w:val="single" w:sz="8"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在职员工的人数</w:t>
            </w:r>
          </w:p>
        </w:tc>
        <w:tc>
          <w:tcPr>
            <w:tcW w:w="4136" w:type="dxa"/>
            <w:gridSpan w:val="2"/>
            <w:tcBorders>
              <w:top w:val="single" w:sz="6" w:space="0" w:color="000000"/>
              <w:left w:val="single" w:sz="8" w:space="0" w:color="000000"/>
              <w:bottom w:val="single" w:sz="6"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912</w:t>
            </w:r>
          </w:p>
        </w:tc>
      </w:tr>
      <w:tr>
        <w:trPr>
          <w:trHeight w:val="427" w:hRule="exact"/>
        </w:trPr>
        <w:tc>
          <w:tcPr>
            <w:tcW w:w="4135" w:type="dxa"/>
            <w:gridSpan w:val="2"/>
            <w:tcBorders>
              <w:top w:val="single" w:sz="6" w:space="0" w:color="000000"/>
              <w:left w:val="single" w:sz="6" w:space="0" w:color="000000"/>
              <w:bottom w:val="single" w:sz="6" w:space="0" w:color="000000"/>
              <w:right w:val="single" w:sz="8"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公司需承担费用的离退休职工人数</w:t>
            </w:r>
          </w:p>
        </w:tc>
        <w:tc>
          <w:tcPr>
            <w:tcW w:w="4136" w:type="dxa"/>
            <w:gridSpan w:val="2"/>
            <w:tcBorders>
              <w:top w:val="single" w:sz="6" w:space="0" w:color="000000"/>
              <w:left w:val="single" w:sz="8" w:space="0" w:color="000000"/>
              <w:bottom w:val="single" w:sz="6"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w:t>
            </w:r>
          </w:p>
        </w:tc>
      </w:tr>
      <w:tr>
        <w:trPr>
          <w:trHeight w:val="430" w:hRule="exact"/>
        </w:trPr>
        <w:tc>
          <w:tcPr>
            <w:tcW w:w="2758"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专业结构</w:t>
            </w:r>
            <w:r>
              <w:rPr>
                <w:rFonts w:ascii="宋体" w:hAnsi="宋体" w:cs="宋体" w:eastAsia="宋体" w:hint="default"/>
                <w:sz w:val="18"/>
                <w:szCs w:val="18"/>
              </w:rPr>
            </w:r>
          </w:p>
        </w:tc>
        <w:tc>
          <w:tcPr>
            <w:tcW w:w="2758" w:type="dxa"/>
            <w:gridSpan w:val="2"/>
            <w:tcBorders>
              <w:top w:val="single" w:sz="6"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2756"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占员工总数的比例</w:t>
            </w:r>
            <w:r>
              <w:rPr>
                <w:rFonts w:ascii="宋体" w:hAnsi="宋体" w:cs="宋体" w:eastAsia="宋体" w:hint="default"/>
                <w:sz w:val="18"/>
                <w:szCs w:val="18"/>
              </w:rPr>
            </w:r>
          </w:p>
        </w:tc>
      </w:tr>
      <w:tr>
        <w:trPr>
          <w:trHeight w:val="426" w:hRule="exact"/>
        </w:trPr>
        <w:tc>
          <w:tcPr>
            <w:tcW w:w="2758"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275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641</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70.29%</w:t>
            </w:r>
          </w:p>
        </w:tc>
      </w:tr>
      <w:tr>
        <w:trPr>
          <w:trHeight w:val="487" w:hRule="exact"/>
        </w:trPr>
        <w:tc>
          <w:tcPr>
            <w:tcW w:w="2758"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75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157</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7"/>
              <w:ind w:right="0"/>
              <w:jc w:val="center"/>
              <w:rPr>
                <w:rFonts w:ascii="Times New Roman" w:hAnsi="Times New Roman" w:cs="Times New Roman" w:eastAsia="Times New Roman" w:hint="default"/>
                <w:sz w:val="18"/>
                <w:szCs w:val="18"/>
              </w:rPr>
            </w:pPr>
            <w:r>
              <w:rPr>
                <w:rFonts w:ascii="Times New Roman"/>
                <w:sz w:val="18"/>
              </w:rPr>
              <w:t>17.21%</w:t>
            </w:r>
          </w:p>
        </w:tc>
      </w:tr>
      <w:tr>
        <w:trPr>
          <w:trHeight w:val="487" w:hRule="exact"/>
        </w:trPr>
        <w:tc>
          <w:tcPr>
            <w:tcW w:w="2758"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其他职能人员</w:t>
            </w:r>
          </w:p>
        </w:tc>
        <w:tc>
          <w:tcPr>
            <w:tcW w:w="275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57"/>
              <w:ind w:right="0"/>
              <w:jc w:val="center"/>
              <w:rPr>
                <w:rFonts w:ascii="Times New Roman" w:hAnsi="Times New Roman" w:cs="Times New Roman" w:eastAsia="Times New Roman" w:hint="default"/>
                <w:sz w:val="18"/>
                <w:szCs w:val="18"/>
              </w:rPr>
            </w:pPr>
            <w:r>
              <w:rPr>
                <w:rFonts w:ascii="Times New Roman"/>
                <w:sz w:val="18"/>
              </w:rPr>
              <w:t>114</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12.5%</w:t>
            </w:r>
          </w:p>
        </w:tc>
      </w:tr>
      <w:tr>
        <w:trPr>
          <w:trHeight w:val="487" w:hRule="exact"/>
        </w:trPr>
        <w:tc>
          <w:tcPr>
            <w:tcW w:w="2758"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17"/>
              <w:ind w:left="1"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75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912</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100%</w:t>
            </w:r>
          </w:p>
        </w:tc>
      </w:tr>
      <w:tr>
        <w:trPr>
          <w:trHeight w:val="427" w:hRule="exact"/>
        </w:trPr>
        <w:tc>
          <w:tcPr>
            <w:tcW w:w="2758"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57"/>
              <w:ind w:left="2" w:right="0"/>
              <w:jc w:val="center"/>
              <w:rPr>
                <w:rFonts w:ascii="宋体" w:hAnsi="宋体" w:cs="宋体" w:eastAsia="宋体" w:hint="default"/>
                <w:sz w:val="18"/>
                <w:szCs w:val="18"/>
              </w:rPr>
            </w:pPr>
            <w:r>
              <w:rPr>
                <w:rFonts w:ascii="宋体" w:hAnsi="宋体" w:cs="宋体" w:eastAsia="宋体" w:hint="default"/>
                <w:b/>
                <w:bCs/>
                <w:sz w:val="18"/>
                <w:szCs w:val="18"/>
              </w:rPr>
              <w:t>学历</w:t>
            </w:r>
            <w:r>
              <w:rPr>
                <w:rFonts w:ascii="宋体" w:hAnsi="宋体" w:cs="宋体" w:eastAsia="宋体" w:hint="default"/>
                <w:sz w:val="18"/>
                <w:szCs w:val="18"/>
              </w:rPr>
            </w:r>
          </w:p>
        </w:tc>
        <w:tc>
          <w:tcPr>
            <w:tcW w:w="275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b/>
                <w:bCs/>
                <w:sz w:val="18"/>
                <w:szCs w:val="18"/>
              </w:rPr>
              <w:t>占员工总数的比例</w:t>
            </w:r>
            <w:r>
              <w:rPr>
                <w:rFonts w:ascii="宋体" w:hAnsi="宋体" w:cs="宋体" w:eastAsia="宋体" w:hint="default"/>
                <w:sz w:val="18"/>
                <w:szCs w:val="18"/>
              </w:rPr>
            </w:r>
          </w:p>
        </w:tc>
      </w:tr>
      <w:tr>
        <w:trPr>
          <w:trHeight w:val="487" w:hRule="exact"/>
        </w:trPr>
        <w:tc>
          <w:tcPr>
            <w:tcW w:w="2758"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博士后</w:t>
            </w:r>
          </w:p>
        </w:tc>
        <w:tc>
          <w:tcPr>
            <w:tcW w:w="275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1"/>
              <w:jc w:val="center"/>
              <w:rPr>
                <w:rFonts w:ascii="Times New Roman" w:hAnsi="Times New Roman" w:cs="Times New Roman" w:eastAsia="Times New Roman" w:hint="default"/>
                <w:sz w:val="18"/>
                <w:szCs w:val="18"/>
              </w:rPr>
            </w:pPr>
            <w:r>
              <w:rPr>
                <w:rFonts w:ascii="Times New Roman"/>
                <w:sz w:val="18"/>
              </w:rPr>
              <w:t>1</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0.11%</w:t>
            </w:r>
          </w:p>
        </w:tc>
      </w:tr>
      <w:tr>
        <w:trPr>
          <w:trHeight w:val="486" w:hRule="exact"/>
        </w:trPr>
        <w:tc>
          <w:tcPr>
            <w:tcW w:w="2758"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博士</w:t>
            </w:r>
          </w:p>
        </w:tc>
        <w:tc>
          <w:tcPr>
            <w:tcW w:w="275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0.22%</w:t>
            </w:r>
          </w:p>
        </w:tc>
      </w:tr>
      <w:tr>
        <w:trPr>
          <w:trHeight w:val="487" w:hRule="exact"/>
        </w:trPr>
        <w:tc>
          <w:tcPr>
            <w:tcW w:w="2758"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硕士</w:t>
            </w:r>
          </w:p>
        </w:tc>
        <w:tc>
          <w:tcPr>
            <w:tcW w:w="275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57"/>
              <w:ind w:right="0"/>
              <w:jc w:val="center"/>
              <w:rPr>
                <w:rFonts w:ascii="Times New Roman" w:hAnsi="Times New Roman" w:cs="Times New Roman" w:eastAsia="Times New Roman" w:hint="default"/>
                <w:sz w:val="18"/>
                <w:szCs w:val="18"/>
              </w:rPr>
            </w:pPr>
            <w:r>
              <w:rPr>
                <w:rFonts w:ascii="Times New Roman"/>
                <w:sz w:val="18"/>
              </w:rPr>
              <w:t>81</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8.88%</w:t>
            </w:r>
          </w:p>
        </w:tc>
      </w:tr>
      <w:tr>
        <w:trPr>
          <w:trHeight w:val="488" w:hRule="exact"/>
        </w:trPr>
        <w:tc>
          <w:tcPr>
            <w:tcW w:w="2758"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275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730</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7"/>
              <w:ind w:right="0"/>
              <w:jc w:val="center"/>
              <w:rPr>
                <w:rFonts w:ascii="Times New Roman" w:hAnsi="Times New Roman" w:cs="Times New Roman" w:eastAsia="Times New Roman" w:hint="default"/>
                <w:sz w:val="18"/>
                <w:szCs w:val="18"/>
              </w:rPr>
            </w:pPr>
            <w:r>
              <w:rPr>
                <w:rFonts w:ascii="Times New Roman"/>
                <w:sz w:val="18"/>
              </w:rPr>
              <w:t>80.05%</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2758"/>
        <w:gridCol w:w="2758"/>
        <w:gridCol w:w="2756"/>
      </w:tblGrid>
      <w:tr>
        <w:trPr>
          <w:trHeight w:val="490" w:hRule="exact"/>
        </w:trPr>
        <w:tc>
          <w:tcPr>
            <w:tcW w:w="2758"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2758"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80</w:t>
            </w:r>
          </w:p>
        </w:tc>
        <w:tc>
          <w:tcPr>
            <w:tcW w:w="2756"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8.77%</w:t>
            </w:r>
          </w:p>
        </w:tc>
      </w:tr>
      <w:tr>
        <w:trPr>
          <w:trHeight w:val="487" w:hRule="exact"/>
        </w:trPr>
        <w:tc>
          <w:tcPr>
            <w:tcW w:w="2758"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17"/>
              <w:ind w:right="1008"/>
              <w:jc w:val="right"/>
              <w:rPr>
                <w:rFonts w:ascii="宋体" w:hAnsi="宋体" w:cs="宋体" w:eastAsia="宋体" w:hint="default"/>
                <w:sz w:val="18"/>
                <w:szCs w:val="18"/>
              </w:rPr>
            </w:pPr>
            <w:r>
              <w:rPr>
                <w:rFonts w:ascii="宋体" w:hAnsi="宋体" w:cs="宋体" w:eastAsia="宋体" w:hint="default"/>
                <w:sz w:val="18"/>
                <w:szCs w:val="18"/>
              </w:rPr>
              <w:t>大专以下</w:t>
            </w:r>
          </w:p>
        </w:tc>
        <w:tc>
          <w:tcPr>
            <w:tcW w:w="27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0"/>
              <w:jc w:val="center"/>
              <w:rPr>
                <w:rFonts w:ascii="Times New Roman" w:hAnsi="Times New Roman" w:cs="Times New Roman" w:eastAsia="Times New Roman" w:hint="default"/>
                <w:sz w:val="18"/>
                <w:szCs w:val="18"/>
              </w:rPr>
            </w:pPr>
            <w:r>
              <w:rPr>
                <w:rFonts w:ascii="Times New Roman"/>
                <w:sz w:val="18"/>
              </w:rPr>
              <w:t>18</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1"/>
              <w:jc w:val="center"/>
              <w:rPr>
                <w:rFonts w:ascii="Times New Roman" w:hAnsi="Times New Roman" w:cs="Times New Roman" w:eastAsia="Times New Roman" w:hint="default"/>
                <w:sz w:val="18"/>
                <w:szCs w:val="18"/>
              </w:rPr>
            </w:pPr>
            <w:r>
              <w:rPr>
                <w:rFonts w:ascii="Times New Roman"/>
                <w:sz w:val="18"/>
              </w:rPr>
              <w:t>1.97%</w:t>
            </w:r>
          </w:p>
        </w:tc>
      </w:tr>
      <w:tr>
        <w:trPr>
          <w:trHeight w:val="486" w:hRule="exact"/>
        </w:trPr>
        <w:tc>
          <w:tcPr>
            <w:tcW w:w="2758"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16"/>
              <w:ind w:right="1115"/>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7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912</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sz w:val="18"/>
              </w:rPr>
              <w:t>100%</w:t>
            </w:r>
          </w:p>
        </w:tc>
      </w:tr>
      <w:tr>
        <w:trPr>
          <w:trHeight w:val="427" w:hRule="exact"/>
        </w:trPr>
        <w:tc>
          <w:tcPr>
            <w:tcW w:w="2758"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57"/>
              <w:ind w:left="2" w:right="0"/>
              <w:jc w:val="center"/>
              <w:rPr>
                <w:rFonts w:ascii="宋体" w:hAnsi="宋体" w:cs="宋体" w:eastAsia="宋体" w:hint="default"/>
                <w:sz w:val="18"/>
                <w:szCs w:val="18"/>
              </w:rPr>
            </w:pPr>
            <w:r>
              <w:rPr>
                <w:rFonts w:ascii="宋体" w:hAnsi="宋体" w:cs="宋体" w:eastAsia="宋体" w:hint="default"/>
                <w:b/>
                <w:bCs/>
                <w:sz w:val="18"/>
                <w:szCs w:val="18"/>
              </w:rPr>
              <w:t>年龄</w:t>
            </w:r>
            <w:r>
              <w:rPr>
                <w:rFonts w:ascii="宋体" w:hAnsi="宋体" w:cs="宋体" w:eastAsia="宋体" w:hint="default"/>
                <w:sz w:val="18"/>
                <w:szCs w:val="18"/>
              </w:rPr>
            </w:r>
          </w:p>
        </w:tc>
        <w:tc>
          <w:tcPr>
            <w:tcW w:w="27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b/>
                <w:bCs/>
                <w:sz w:val="18"/>
                <w:szCs w:val="18"/>
              </w:rPr>
              <w:t>占员工总数的比例</w:t>
            </w:r>
            <w:r>
              <w:rPr>
                <w:rFonts w:ascii="宋体" w:hAnsi="宋体" w:cs="宋体" w:eastAsia="宋体" w:hint="default"/>
                <w:sz w:val="18"/>
                <w:szCs w:val="18"/>
              </w:rPr>
            </w:r>
          </w:p>
        </w:tc>
      </w:tr>
      <w:tr>
        <w:trPr>
          <w:trHeight w:val="487" w:hRule="exact"/>
        </w:trPr>
        <w:tc>
          <w:tcPr>
            <w:tcW w:w="2758"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17"/>
              <w:ind w:right="1008"/>
              <w:jc w:val="right"/>
              <w:rPr>
                <w:rFonts w:ascii="宋体" w:hAnsi="宋体" w:cs="宋体" w:eastAsia="宋体" w:hint="default"/>
                <w:sz w:val="18"/>
                <w:szCs w:val="18"/>
              </w:rPr>
            </w:pPr>
            <w:r>
              <w:rPr>
                <w:rFonts w:ascii="Times New Roman" w:hAnsi="Times New Roman" w:cs="Times New Roman" w:eastAsia="Times New Roman" w:hint="default"/>
                <w:sz w:val="18"/>
                <w:szCs w:val="18"/>
              </w:rPr>
              <w:t>41</w:t>
            </w:r>
            <w:r>
              <w:rPr>
                <w:rFonts w:ascii="宋体" w:hAnsi="宋体" w:cs="宋体" w:eastAsia="宋体" w:hint="default"/>
                <w:sz w:val="18"/>
                <w:szCs w:val="18"/>
              </w:rPr>
              <w:t>岁以上</w:t>
            </w:r>
          </w:p>
        </w:tc>
        <w:tc>
          <w:tcPr>
            <w:tcW w:w="27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7"/>
              <w:ind w:right="0"/>
              <w:jc w:val="center"/>
              <w:rPr>
                <w:rFonts w:ascii="Times New Roman" w:hAnsi="Times New Roman" w:cs="Times New Roman" w:eastAsia="Times New Roman" w:hint="default"/>
                <w:sz w:val="18"/>
                <w:szCs w:val="18"/>
              </w:rPr>
            </w:pPr>
            <w:r>
              <w:rPr>
                <w:rFonts w:ascii="Times New Roman"/>
                <w:sz w:val="18"/>
              </w:rPr>
              <w:t>57</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6.25%</w:t>
            </w:r>
          </w:p>
        </w:tc>
      </w:tr>
      <w:tr>
        <w:trPr>
          <w:trHeight w:val="487" w:hRule="exact"/>
        </w:trPr>
        <w:tc>
          <w:tcPr>
            <w:tcW w:w="2758"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17"/>
              <w:ind w:right="1068"/>
              <w:jc w:val="right"/>
              <w:rPr>
                <w:rFonts w:ascii="宋体" w:hAnsi="宋体" w:cs="宋体" w:eastAsia="宋体" w:hint="default"/>
                <w:sz w:val="18"/>
                <w:szCs w:val="18"/>
              </w:rPr>
            </w:pPr>
            <w:r>
              <w:rPr>
                <w:rFonts w:ascii="Times New Roman" w:hAnsi="Times New Roman" w:cs="Times New Roman" w:eastAsia="Times New Roman" w:hint="default"/>
                <w:sz w:val="18"/>
                <w:szCs w:val="18"/>
              </w:rPr>
              <w:t>31-40</w:t>
            </w:r>
            <w:r>
              <w:rPr>
                <w:rFonts w:ascii="宋体" w:hAnsi="宋体" w:cs="宋体" w:eastAsia="宋体" w:hint="default"/>
                <w:sz w:val="18"/>
                <w:szCs w:val="18"/>
              </w:rPr>
              <w:t>岁</w:t>
            </w:r>
          </w:p>
        </w:tc>
        <w:tc>
          <w:tcPr>
            <w:tcW w:w="27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278</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7"/>
              <w:ind w:right="0"/>
              <w:jc w:val="center"/>
              <w:rPr>
                <w:rFonts w:ascii="Times New Roman" w:hAnsi="Times New Roman" w:cs="Times New Roman" w:eastAsia="Times New Roman" w:hint="default"/>
                <w:sz w:val="18"/>
                <w:szCs w:val="18"/>
              </w:rPr>
            </w:pPr>
            <w:r>
              <w:rPr>
                <w:rFonts w:ascii="Times New Roman"/>
                <w:sz w:val="18"/>
              </w:rPr>
              <w:t>30.48%</w:t>
            </w:r>
          </w:p>
        </w:tc>
      </w:tr>
      <w:tr>
        <w:trPr>
          <w:trHeight w:val="487" w:hRule="exact"/>
        </w:trPr>
        <w:tc>
          <w:tcPr>
            <w:tcW w:w="2758"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17"/>
              <w:ind w:right="1008"/>
              <w:jc w:val="righ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岁以下</w:t>
            </w:r>
          </w:p>
        </w:tc>
        <w:tc>
          <w:tcPr>
            <w:tcW w:w="27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577</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7"/>
              <w:ind w:right="0"/>
              <w:jc w:val="center"/>
              <w:rPr>
                <w:rFonts w:ascii="Times New Roman" w:hAnsi="Times New Roman" w:cs="Times New Roman" w:eastAsia="Times New Roman" w:hint="default"/>
                <w:sz w:val="18"/>
                <w:szCs w:val="18"/>
              </w:rPr>
            </w:pPr>
            <w:r>
              <w:rPr>
                <w:rFonts w:ascii="Times New Roman"/>
                <w:sz w:val="18"/>
              </w:rPr>
              <w:t>63.27%</w:t>
            </w:r>
          </w:p>
        </w:tc>
      </w:tr>
      <w:tr>
        <w:trPr>
          <w:trHeight w:val="487" w:hRule="exact"/>
        </w:trPr>
        <w:tc>
          <w:tcPr>
            <w:tcW w:w="2758"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117"/>
              <w:ind w:right="1115"/>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7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912</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7"/>
          <w:szCs w:val="17"/>
        </w:rPr>
      </w:pPr>
    </w:p>
    <w:p>
      <w:pPr>
        <w:spacing w:line="3510" w:lineRule="exact"/>
        <w:ind w:left="15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9"/>
          <w:sz w:val="20"/>
          <w:szCs w:val="20"/>
        </w:rPr>
        <w:drawing>
          <wp:inline distT="0" distB="0" distL="0" distR="0">
            <wp:extent cx="4829556" cy="222885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5" cstate="print"/>
                    <a:stretch>
                      <a:fillRect/>
                    </a:stretch>
                  </pic:blipFill>
                  <pic:spPr>
                    <a:xfrm>
                      <a:off x="0" y="0"/>
                      <a:ext cx="4829556" cy="2228850"/>
                    </a:xfrm>
                    <a:prstGeom prst="rect">
                      <a:avLst/>
                    </a:prstGeom>
                  </pic:spPr>
                </pic:pic>
              </a:graphicData>
            </a:graphic>
          </wp:inline>
        </w:drawing>
      </w:r>
      <w:r>
        <w:rPr>
          <w:rFonts w:ascii="Times New Roman" w:hAnsi="Times New Roman" w:cs="Times New Roman" w:eastAsia="Times New Roman" w:hint="default"/>
          <w:position w:val="-69"/>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p>
      <w:pPr>
        <w:spacing w:line="4590" w:lineRule="exact"/>
        <w:ind w:left="15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1"/>
          <w:sz w:val="20"/>
          <w:szCs w:val="20"/>
        </w:rPr>
        <w:drawing>
          <wp:inline distT="0" distB="0" distL="0" distR="0">
            <wp:extent cx="4102099" cy="2914650"/>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6" cstate="print"/>
                    <a:stretch>
                      <a:fillRect/>
                    </a:stretch>
                  </pic:blipFill>
                  <pic:spPr>
                    <a:xfrm>
                      <a:off x="0" y="0"/>
                      <a:ext cx="4102099" cy="2914650"/>
                    </a:xfrm>
                    <a:prstGeom prst="rect">
                      <a:avLst/>
                    </a:prstGeom>
                  </pic:spPr>
                </pic:pic>
              </a:graphicData>
            </a:graphic>
          </wp:inline>
        </w:drawing>
      </w:r>
      <w:r>
        <w:rPr>
          <w:rFonts w:ascii="Times New Roman" w:hAnsi="Times New Roman" w:cs="Times New Roman" w:eastAsia="Times New Roman" w:hint="default"/>
          <w:position w:val="-91"/>
          <w:sz w:val="20"/>
          <w:szCs w:val="20"/>
        </w:rPr>
      </w:r>
    </w:p>
    <w:p>
      <w:pPr>
        <w:spacing w:after="0" w:line="4590" w:lineRule="exact"/>
        <w:rPr>
          <w:rFonts w:ascii="Times New Roman" w:hAnsi="Times New Roman" w:cs="Times New Roman" w:eastAsia="Times New Roman" w:hint="default"/>
          <w:sz w:val="20"/>
          <w:szCs w:val="20"/>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left="3591" w:right="3647"/>
        <w:jc w:val="center"/>
        <w:rPr>
          <w:b w:val="0"/>
          <w:bCs w:val="0"/>
        </w:rPr>
      </w:pPr>
      <w:bookmarkStart w:name="_TOC_250003" w:id="8"/>
      <w:r>
        <w:rPr/>
        <w:t>第八节</w:t>
      </w:r>
      <w:r>
        <w:rPr>
          <w:spacing w:val="-5"/>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102"/>
        <w:jc w:val="left"/>
        <w:rPr>
          <w:b w:val="0"/>
          <w:bCs w:val="0"/>
        </w:rPr>
      </w:pP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153" w:right="91" w:firstLine="588"/>
        <w:jc w:val="left"/>
      </w:pPr>
      <w:r>
        <w:rPr>
          <w:spacing w:val="-2"/>
        </w:rPr>
        <w:t>公司严格按照《公司法》、《证券法》、《上市公司治理准则》、《深圳证券交易所股票上市规则》</w:t>
      </w:r>
      <w:r>
        <w:rPr/>
        <w:t> 等法律、法规的要求，不断完善公司治理结构，建立健全内部管理和控制制度，规范公司运作，提高公司 治理水平。报告期内，公司制定或修订的各项公司治理制度如下：</w:t>
      </w:r>
    </w:p>
    <w:p>
      <w:pPr>
        <w:spacing w:line="240" w:lineRule="auto" w:before="7"/>
        <w:rPr>
          <w:rFonts w:ascii="宋体" w:hAnsi="宋体" w:cs="宋体" w:eastAsia="宋体" w:hint="default"/>
          <w:sz w:val="22"/>
          <w:szCs w:val="22"/>
        </w:rPr>
      </w:pPr>
    </w:p>
    <w:tbl>
      <w:tblPr>
        <w:tblW w:w="0" w:type="auto"/>
        <w:jc w:val="left"/>
        <w:tblInd w:w="146" w:type="dxa"/>
        <w:tblLayout w:type="fixed"/>
        <w:tblCellMar>
          <w:top w:w="0" w:type="dxa"/>
          <w:left w:w="0" w:type="dxa"/>
          <w:bottom w:w="0" w:type="dxa"/>
          <w:right w:w="0" w:type="dxa"/>
        </w:tblCellMar>
        <w:tblLook w:val="01E0"/>
      </w:tblPr>
      <w:tblGrid>
        <w:gridCol w:w="1384"/>
        <w:gridCol w:w="4003"/>
        <w:gridCol w:w="1559"/>
        <w:gridCol w:w="2126"/>
      </w:tblGrid>
      <w:tr>
        <w:trPr>
          <w:trHeight w:val="432"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制度名称</w:t>
            </w:r>
            <w:r>
              <w:rPr>
                <w:rFonts w:ascii="宋体" w:hAnsi="宋体" w:cs="宋体" w:eastAsia="宋体" w:hint="default"/>
                <w:sz w:val="21"/>
                <w:szCs w:val="21"/>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50" w:right="0"/>
              <w:jc w:val="left"/>
              <w:rPr>
                <w:rFonts w:ascii="宋体" w:hAnsi="宋体" w:cs="宋体" w:eastAsia="宋体" w:hint="default"/>
                <w:sz w:val="21"/>
                <w:szCs w:val="21"/>
              </w:rPr>
            </w:pPr>
            <w:r>
              <w:rPr>
                <w:rFonts w:ascii="宋体" w:hAnsi="宋体" w:cs="宋体" w:eastAsia="宋体" w:hint="default"/>
                <w:b/>
                <w:bCs/>
                <w:sz w:val="21"/>
                <w:szCs w:val="21"/>
              </w:rPr>
              <w:t>披露时间</w:t>
            </w:r>
            <w:r>
              <w:rPr>
                <w:rFonts w:ascii="宋体" w:hAnsi="宋体" w:cs="宋体" w:eastAsia="宋体" w:hint="default"/>
                <w:sz w:val="21"/>
                <w:szCs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披露媒体</w:t>
            </w:r>
            <w:r>
              <w:rPr>
                <w:rFonts w:ascii="宋体" w:hAnsi="宋体" w:cs="宋体" w:eastAsia="宋体" w:hint="default"/>
                <w:sz w:val="21"/>
                <w:szCs w:val="21"/>
              </w:rPr>
            </w:r>
          </w:p>
        </w:tc>
      </w:tr>
      <w:tr>
        <w:trPr>
          <w:trHeight w:val="432"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w:t>
            </w:r>
          </w:p>
        </w:tc>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规范与关联方资金往来的管理制度</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82" w:right="0"/>
              <w:jc w:val="left"/>
              <w:rPr>
                <w:rFonts w:ascii="Times New Roman" w:hAnsi="Times New Roman" w:cs="Times New Roman" w:eastAsia="Times New Roman" w:hint="default"/>
                <w:sz w:val="21"/>
                <w:szCs w:val="21"/>
              </w:rPr>
            </w:pPr>
            <w:r>
              <w:rPr>
                <w:rFonts w:ascii="Times New Roman"/>
                <w:sz w:val="21"/>
              </w:rPr>
              <w:t>2012-03-20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w:t>
            </w:r>
          </w:p>
        </w:tc>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董事会审计委员会年报工作规程</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82" w:right="0"/>
              <w:jc w:val="left"/>
              <w:rPr>
                <w:rFonts w:ascii="Times New Roman" w:hAnsi="Times New Roman" w:cs="Times New Roman" w:eastAsia="Times New Roman" w:hint="default"/>
                <w:sz w:val="21"/>
                <w:szCs w:val="21"/>
              </w:rPr>
            </w:pPr>
            <w:r>
              <w:rPr>
                <w:rFonts w:ascii="Times New Roman"/>
                <w:sz w:val="21"/>
              </w:rPr>
              <w:t>2012-03-20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w:t>
            </w:r>
          </w:p>
        </w:tc>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年报信息披露重大差错责任追究制度</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82" w:right="0"/>
              <w:jc w:val="left"/>
              <w:rPr>
                <w:rFonts w:ascii="Times New Roman" w:hAnsi="Times New Roman" w:cs="Times New Roman" w:eastAsia="Times New Roman" w:hint="default"/>
                <w:sz w:val="21"/>
                <w:szCs w:val="21"/>
              </w:rPr>
            </w:pPr>
            <w:r>
              <w:rPr>
                <w:rFonts w:ascii="Times New Roman"/>
                <w:sz w:val="21"/>
              </w:rPr>
              <w:t>2012-03-20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4</w:t>
            </w:r>
          </w:p>
        </w:tc>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重大信息内部报告制度</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82" w:right="0"/>
              <w:jc w:val="left"/>
              <w:rPr>
                <w:rFonts w:ascii="Times New Roman" w:hAnsi="Times New Roman" w:cs="Times New Roman" w:eastAsia="Times New Roman" w:hint="default"/>
                <w:sz w:val="21"/>
                <w:szCs w:val="21"/>
              </w:rPr>
            </w:pPr>
            <w:r>
              <w:rPr>
                <w:rFonts w:ascii="Times New Roman"/>
                <w:sz w:val="21"/>
              </w:rPr>
              <w:t>2012-03-20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5</w:t>
            </w:r>
          </w:p>
        </w:tc>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机构投资者接待管理办法</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82" w:right="0"/>
              <w:jc w:val="left"/>
              <w:rPr>
                <w:rFonts w:ascii="Times New Roman" w:hAnsi="Times New Roman" w:cs="Times New Roman" w:eastAsia="Times New Roman" w:hint="default"/>
                <w:sz w:val="21"/>
                <w:szCs w:val="21"/>
              </w:rPr>
            </w:pPr>
            <w:r>
              <w:rPr>
                <w:rFonts w:ascii="Times New Roman"/>
                <w:sz w:val="21"/>
              </w:rPr>
              <w:t>2012-03-20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6</w:t>
            </w:r>
          </w:p>
        </w:tc>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独立董事年报工作制度</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82" w:right="0"/>
              <w:jc w:val="left"/>
              <w:rPr>
                <w:rFonts w:ascii="Times New Roman" w:hAnsi="Times New Roman" w:cs="Times New Roman" w:eastAsia="Times New Roman" w:hint="default"/>
                <w:sz w:val="21"/>
                <w:szCs w:val="21"/>
              </w:rPr>
            </w:pPr>
            <w:r>
              <w:rPr>
                <w:rFonts w:ascii="Times New Roman"/>
                <w:sz w:val="21"/>
              </w:rPr>
              <w:t>2012-03-20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59"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w:t>
            </w:r>
          </w:p>
        </w:tc>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0"/>
              <w:jc w:val="left"/>
              <w:rPr>
                <w:rFonts w:ascii="宋体" w:hAnsi="宋体" w:cs="宋体" w:eastAsia="宋体" w:hint="default"/>
                <w:sz w:val="21"/>
                <w:szCs w:val="21"/>
              </w:rPr>
            </w:pPr>
            <w:r>
              <w:rPr>
                <w:rFonts w:ascii="宋体" w:hAnsi="宋体" w:cs="宋体" w:eastAsia="宋体" w:hint="default"/>
                <w:sz w:val="21"/>
                <w:szCs w:val="21"/>
              </w:rPr>
              <w:t>董事、监事和高级管理人员所持本公司股份 及其变动管理制度</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2" w:right="0"/>
              <w:jc w:val="left"/>
              <w:rPr>
                <w:rFonts w:ascii="Times New Roman" w:hAnsi="Times New Roman" w:cs="Times New Roman" w:eastAsia="Times New Roman" w:hint="default"/>
                <w:sz w:val="21"/>
                <w:szCs w:val="21"/>
              </w:rPr>
            </w:pPr>
            <w:r>
              <w:rPr>
                <w:rFonts w:ascii="Times New Roman"/>
                <w:sz w:val="21"/>
              </w:rPr>
              <w:t>2012-03-20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8</w:t>
            </w:r>
          </w:p>
        </w:tc>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信息披露管理制度</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82" w:right="0"/>
              <w:jc w:val="left"/>
              <w:rPr>
                <w:rFonts w:ascii="Times New Roman" w:hAnsi="Times New Roman" w:cs="Times New Roman" w:eastAsia="Times New Roman" w:hint="default"/>
                <w:sz w:val="21"/>
                <w:szCs w:val="21"/>
              </w:rPr>
            </w:pPr>
            <w:r>
              <w:rPr>
                <w:rFonts w:ascii="Times New Roman"/>
                <w:sz w:val="21"/>
              </w:rPr>
              <w:t>2012-08-28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9</w:t>
            </w:r>
          </w:p>
        </w:tc>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投资者关系管理制度</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82" w:right="0"/>
              <w:jc w:val="left"/>
              <w:rPr>
                <w:rFonts w:ascii="Times New Roman" w:hAnsi="Times New Roman" w:cs="Times New Roman" w:eastAsia="Times New Roman" w:hint="default"/>
                <w:sz w:val="21"/>
                <w:szCs w:val="21"/>
              </w:rPr>
            </w:pPr>
            <w:r>
              <w:rPr>
                <w:rFonts w:ascii="Times New Roman"/>
                <w:sz w:val="21"/>
              </w:rPr>
              <w:t>2012-08-28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10</w:t>
            </w:r>
          </w:p>
        </w:tc>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内幕信息知情人管理制度</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82" w:right="0"/>
              <w:jc w:val="left"/>
              <w:rPr>
                <w:rFonts w:ascii="Times New Roman" w:hAnsi="Times New Roman" w:cs="Times New Roman" w:eastAsia="Times New Roman" w:hint="default"/>
                <w:sz w:val="21"/>
                <w:szCs w:val="21"/>
              </w:rPr>
            </w:pPr>
            <w:r>
              <w:rPr>
                <w:rFonts w:ascii="Times New Roman"/>
                <w:sz w:val="21"/>
              </w:rPr>
              <w:t>2012-08-28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11</w:t>
            </w:r>
          </w:p>
        </w:tc>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对外担保管理制度</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82" w:right="0"/>
              <w:jc w:val="left"/>
              <w:rPr>
                <w:rFonts w:ascii="Times New Roman" w:hAnsi="Times New Roman" w:cs="Times New Roman" w:eastAsia="Times New Roman" w:hint="default"/>
                <w:sz w:val="21"/>
                <w:szCs w:val="21"/>
              </w:rPr>
            </w:pPr>
            <w:r>
              <w:rPr>
                <w:rFonts w:ascii="Times New Roman"/>
                <w:sz w:val="21"/>
              </w:rPr>
              <w:t>2012-08-28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12</w:t>
            </w:r>
          </w:p>
        </w:tc>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对外投资管理制度</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82" w:right="0"/>
              <w:jc w:val="left"/>
              <w:rPr>
                <w:rFonts w:ascii="Times New Roman" w:hAnsi="Times New Roman" w:cs="Times New Roman" w:eastAsia="Times New Roman" w:hint="default"/>
                <w:sz w:val="21"/>
                <w:szCs w:val="21"/>
              </w:rPr>
            </w:pPr>
            <w:r>
              <w:rPr>
                <w:rFonts w:ascii="Times New Roman"/>
                <w:sz w:val="21"/>
              </w:rPr>
              <w:t>2012-08-28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13</w:t>
            </w:r>
          </w:p>
        </w:tc>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高风险投资管理制度</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82" w:right="0"/>
              <w:jc w:val="left"/>
              <w:rPr>
                <w:rFonts w:ascii="Times New Roman" w:hAnsi="Times New Roman" w:cs="Times New Roman" w:eastAsia="Times New Roman" w:hint="default"/>
                <w:sz w:val="21"/>
                <w:szCs w:val="21"/>
              </w:rPr>
            </w:pPr>
            <w:r>
              <w:rPr>
                <w:rFonts w:ascii="Times New Roman"/>
                <w:sz w:val="21"/>
              </w:rPr>
              <w:t>2012-08-28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14</w:t>
            </w:r>
          </w:p>
        </w:tc>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董事会议事规则</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82" w:right="0"/>
              <w:jc w:val="left"/>
              <w:rPr>
                <w:rFonts w:ascii="Times New Roman" w:hAnsi="Times New Roman" w:cs="Times New Roman" w:eastAsia="Times New Roman" w:hint="default"/>
                <w:sz w:val="21"/>
                <w:szCs w:val="21"/>
              </w:rPr>
            </w:pPr>
            <w:r>
              <w:rPr>
                <w:rFonts w:ascii="Times New Roman"/>
                <w:sz w:val="21"/>
              </w:rPr>
              <w:t>2012-08-28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pStyle w:val="BodyText"/>
        <w:spacing w:line="408" w:lineRule="auto" w:before="63"/>
        <w:ind w:right="102" w:firstLine="420"/>
        <w:jc w:val="left"/>
      </w:pPr>
      <w:r>
        <w:rPr>
          <w:spacing w:val="-1"/>
        </w:rPr>
        <w:t>截止报告期末，公司已经形成了较为完善的法人治理结构，形成了完善的决策机制、监督机制和执行</w:t>
      </w:r>
      <w:r>
        <w:rPr/>
        <w:t> 机制，公司治理的实际情况与《公司法》和中国证监会相关规定的要求不存在差异。具体情况如下：</w:t>
      </w:r>
    </w:p>
    <w:p>
      <w:pPr>
        <w:pStyle w:val="BodyText"/>
        <w:spacing w:line="408" w:lineRule="auto"/>
        <w:ind w:left="577" w:right="102"/>
        <w:jc w:val="left"/>
      </w:pPr>
      <w:r>
        <w:rPr/>
        <w:t>（一）关于股东与股东大会</w:t>
      </w:r>
      <w:r>
        <w:rPr>
          <w:spacing w:val="-1"/>
        </w:rPr>
        <w:t> 股东大会是公司的最高权力机构，公司依据《公司法》、《公司章程》、《上市公司治理准则》等文</w:t>
      </w:r>
    </w:p>
    <w:p>
      <w:pPr>
        <w:pStyle w:val="BodyText"/>
        <w:spacing w:line="408" w:lineRule="auto"/>
        <w:ind w:right="210"/>
        <w:jc w:val="both"/>
      </w:pPr>
      <w:r>
        <w:rPr>
          <w:spacing w:val="-1"/>
        </w:rPr>
        <w:t>件制定了《股东大会议事规则》，规范了股东大会召集、召开、表决程序，平等对待所有股东，积极采用</w:t>
      </w:r>
      <w:r>
        <w:rPr>
          <w:spacing w:val="-85"/>
        </w:rPr>
        <w:t> </w:t>
      </w:r>
      <w:r>
        <w:rPr>
          <w:spacing w:val="-85"/>
        </w:rPr>
      </w:r>
      <w:r>
        <w:rPr>
          <w:spacing w:val="-1"/>
        </w:rPr>
        <w:t>网络投票等形式，扩大中小股东参与度，保证股东对公司重大事项的知情权和参与权，确保全体股东尤其</w:t>
      </w:r>
      <w:r>
        <w:rPr>
          <w:spacing w:val="-83"/>
        </w:rPr>
        <w:t> </w:t>
      </w:r>
      <w:r>
        <w:rPr>
          <w:spacing w:val="-83"/>
        </w:rPr>
      </w:r>
      <w:r>
        <w:rPr/>
        <w:t>是中小股东享有平等地位，充分行使自己的权利。</w:t>
      </w:r>
    </w:p>
    <w:p>
      <w:pPr>
        <w:spacing w:after="0" w:line="408" w:lineRule="auto"/>
        <w:jc w:val="both"/>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4"/>
        <w:ind w:left="577" w:right="102"/>
        <w:jc w:val="left"/>
      </w:pPr>
      <w:r>
        <w:rPr/>
        <w:t>（二）关于公司与控股股东</w:t>
      </w:r>
      <w:r>
        <w:rPr>
          <w:spacing w:val="-1"/>
        </w:rPr>
        <w:t> 公司拥有独立的业务和自主经营能力，在业务、人员、资产、机构、财务上独立于控股股东，公司董</w:t>
      </w:r>
    </w:p>
    <w:p>
      <w:pPr>
        <w:pStyle w:val="BodyText"/>
        <w:spacing w:line="408" w:lineRule="auto"/>
        <w:ind w:right="209"/>
        <w:jc w:val="both"/>
      </w:pPr>
      <w:r>
        <w:rPr>
          <w:spacing w:val="-1"/>
        </w:rPr>
        <w:t>事会、监事会和内部机构独立运作。公司控股股东严格根据《上市公司治理准则》、《深圳证券交易所股</w:t>
      </w:r>
      <w:r>
        <w:rPr>
          <w:spacing w:val="-83"/>
        </w:rPr>
        <w:t> </w:t>
      </w:r>
      <w:r>
        <w:rPr>
          <w:spacing w:val="-83"/>
        </w:rPr>
      </w:r>
      <w:r>
        <w:rPr>
          <w:spacing w:val="-1"/>
        </w:rPr>
        <w:t>票上市规则》、《公司章程》规范股东行为，通过股东大会行使股东权利，未发生超越股东大会及董事会</w:t>
      </w:r>
      <w:r>
        <w:rPr>
          <w:spacing w:val="-83"/>
        </w:rPr>
        <w:t> </w:t>
      </w:r>
      <w:r>
        <w:rPr>
          <w:spacing w:val="-83"/>
        </w:rPr>
      </w:r>
      <w:r>
        <w:rPr/>
        <w:t>而直接或间接干预公司经营与决策的行为。</w:t>
      </w:r>
    </w:p>
    <w:p>
      <w:pPr>
        <w:pStyle w:val="BodyText"/>
        <w:spacing w:line="408" w:lineRule="auto"/>
        <w:ind w:left="577" w:right="102"/>
        <w:jc w:val="left"/>
      </w:pPr>
      <w:r>
        <w:rPr/>
        <w:t>（三）关于董事与董事会</w:t>
      </w:r>
      <w:r>
        <w:rPr>
          <w:spacing w:val="-1"/>
        </w:rPr>
        <w:t> 公司严格按照《公司法》、《公司章程》等相关法律法规选举产生董事人选，公司目前有独立董事三</w:t>
      </w:r>
    </w:p>
    <w:p>
      <w:pPr>
        <w:pStyle w:val="BodyText"/>
        <w:spacing w:line="408" w:lineRule="auto"/>
        <w:ind w:right="209"/>
        <w:jc w:val="both"/>
      </w:pPr>
      <w:r>
        <w:rPr>
          <w:spacing w:val="-1"/>
        </w:rPr>
        <w:t>名，占全体董事的三分之一，董事会人数及人员构成符合法律法规和《公司章程》的要求。公司董事会严</w:t>
      </w:r>
      <w:r>
        <w:rPr>
          <w:spacing w:val="-83"/>
        </w:rPr>
        <w:t> </w:t>
      </w:r>
      <w:r>
        <w:rPr>
          <w:spacing w:val="-83"/>
        </w:rPr>
      </w:r>
      <w:r>
        <w:rPr>
          <w:spacing w:val="-1"/>
        </w:rPr>
        <w:t>格按照《公司章程》、《独立董事工作制度》及《董事会议事规则》、《深圳证券交易所中小企业板上市</w:t>
      </w:r>
      <w:r>
        <w:rPr>
          <w:spacing w:val="-84"/>
        </w:rPr>
        <w:t> </w:t>
      </w:r>
      <w:r>
        <w:rPr>
          <w:spacing w:val="-84"/>
        </w:rPr>
      </w:r>
      <w:r>
        <w:rPr>
          <w:spacing w:val="-1"/>
        </w:rPr>
        <w:t>公司规范运作指引》等相关规定召集召开董事会，各董事按要求出席董事会，认真审议各项议案，履行职</w:t>
      </w:r>
      <w:r>
        <w:rPr>
          <w:spacing w:val="-82"/>
        </w:rPr>
        <w:t> </w:t>
      </w:r>
      <w:r>
        <w:rPr>
          <w:spacing w:val="-82"/>
        </w:rPr>
      </w:r>
      <w:r>
        <w:rPr>
          <w:spacing w:val="-1"/>
        </w:rPr>
        <w:t>责，勤勉尽责。独立董事独立履行职责，维护公司整体利益，尤其关注中小股东的合法权益不受损害，对</w:t>
      </w:r>
      <w:r>
        <w:rPr>
          <w:spacing w:val="-83"/>
        </w:rPr>
        <w:t> </w:t>
      </w:r>
      <w:r>
        <w:rPr>
          <w:spacing w:val="-83"/>
        </w:rPr>
      </w:r>
      <w:r>
        <w:rPr/>
        <w:t>重要及重大事项发表独立意见。</w:t>
      </w:r>
    </w:p>
    <w:p>
      <w:pPr>
        <w:pStyle w:val="BodyText"/>
        <w:spacing w:line="408" w:lineRule="auto"/>
        <w:ind w:left="577" w:right="102"/>
        <w:jc w:val="left"/>
      </w:pPr>
      <w:r>
        <w:rPr/>
        <w:t>（四）关于监事与监事会</w:t>
      </w:r>
      <w:r>
        <w:rPr>
          <w:spacing w:val="-1"/>
        </w:rPr>
        <w:t> </w:t>
      </w:r>
      <w:r>
        <w:rPr/>
        <w:t>公司严格按照《公司法》、《公司章程》等相关法律法规选举产生监事人选，公司监事会由3名监事</w:t>
      </w:r>
    </w:p>
    <w:p>
      <w:pPr>
        <w:pStyle w:val="BodyText"/>
        <w:spacing w:line="408" w:lineRule="auto"/>
        <w:ind w:right="101"/>
        <w:jc w:val="left"/>
      </w:pPr>
      <w:r>
        <w:rPr/>
        <w:t>组成，监事会人数及人员构成符合法律法规的要求。公司监事会严格按照《公司章程》及《监事会议事规 </w:t>
      </w:r>
      <w:r>
        <w:rPr>
          <w:spacing w:val="-3"/>
        </w:rPr>
        <w:t>则》等相关规定召集召开监事会，各监事按要求出席监事会，认真履行职责，对公司重大事项、关联交易、</w:t>
      </w:r>
      <w:r>
        <w:rPr>
          <w:spacing w:val="-94"/>
        </w:rPr>
        <w:t> </w:t>
      </w:r>
      <w:r>
        <w:rPr>
          <w:spacing w:val="-94"/>
        </w:rPr>
      </w:r>
      <w:r>
        <w:rPr/>
        <w:t>财务状况等进行监督并发表意见，维护了公司及股东的合法权益。</w:t>
      </w:r>
    </w:p>
    <w:p>
      <w:pPr>
        <w:pStyle w:val="BodyText"/>
        <w:spacing w:line="408" w:lineRule="auto"/>
        <w:ind w:left="577" w:right="167"/>
        <w:jc w:val="left"/>
      </w:pPr>
      <w:r>
        <w:rPr/>
        <w:t>（五）关于信息披露与透明度</w:t>
      </w:r>
      <w:r>
        <w:rPr>
          <w:spacing w:val="-1"/>
        </w:rPr>
        <w:t> </w:t>
      </w:r>
      <w:r>
        <w:rPr/>
        <w:t>公司严格执行《信息披露管理制度》、《董事会秘书工作制度》、《内幕信息知情人管理制度》等，</w:t>
      </w:r>
    </w:p>
    <w:p>
      <w:pPr>
        <w:pStyle w:val="BodyText"/>
        <w:spacing w:line="408" w:lineRule="auto"/>
        <w:ind w:right="211"/>
        <w:jc w:val="both"/>
      </w:pPr>
      <w:r>
        <w:rPr>
          <w:spacing w:val="-1"/>
        </w:rPr>
        <w:t>由董事会秘书负责信息披露工作，建立投资者专线电话、电子邮箱，提高公司运作的透明度。2012年度公</w:t>
      </w:r>
      <w:r>
        <w:rPr>
          <w:spacing w:val="-81"/>
        </w:rPr>
        <w:t> </w:t>
      </w:r>
      <w:r>
        <w:rPr>
          <w:spacing w:val="-81"/>
        </w:rPr>
      </w:r>
      <w:r>
        <w:rPr>
          <w:spacing w:val="-1"/>
        </w:rPr>
        <w:t>司指定《证券时报》、《证券日报》、《中国证券报》、《上海证券报》及巨潮资讯网作为本公司信息披</w:t>
      </w:r>
      <w:r>
        <w:rPr>
          <w:spacing w:val="-86"/>
        </w:rPr>
        <w:t> </w:t>
      </w:r>
      <w:r>
        <w:rPr>
          <w:spacing w:val="-86"/>
        </w:rPr>
      </w:r>
      <w:r>
        <w:rPr>
          <w:spacing w:val="-1"/>
        </w:rPr>
        <w:t>露的法定媒体，严格按照有关规定真实、准确、完整、及时地披露有关信息，确保公司所有股东能够以平</w:t>
      </w:r>
      <w:r>
        <w:rPr>
          <w:spacing w:val="-83"/>
        </w:rPr>
        <w:t> </w:t>
      </w:r>
      <w:r>
        <w:rPr>
          <w:spacing w:val="-83"/>
        </w:rPr>
      </w:r>
      <w:r>
        <w:rPr/>
        <w:t>等的机会获取信息。</w:t>
      </w:r>
    </w:p>
    <w:p>
      <w:pPr>
        <w:pStyle w:val="BodyText"/>
        <w:spacing w:line="408" w:lineRule="auto"/>
        <w:ind w:left="577" w:right="167"/>
        <w:jc w:val="left"/>
      </w:pPr>
      <w:r>
        <w:rPr/>
        <w:t>（六）关于相关利益者</w:t>
      </w:r>
      <w:r>
        <w:rPr>
          <w:spacing w:val="-1"/>
        </w:rPr>
        <w:t> </w:t>
      </w:r>
      <w:r>
        <w:rPr/>
        <w:t>公司充分尊重和维护相关利益者的合法权益，积极加强与相关利益者的沟通和交流，推动公司持续、</w:t>
      </w:r>
    </w:p>
    <w:p>
      <w:pPr>
        <w:pStyle w:val="BodyText"/>
        <w:spacing w:line="240" w:lineRule="auto"/>
        <w:ind w:right="0"/>
        <w:jc w:val="both"/>
      </w:pPr>
      <w:r>
        <w:rPr/>
        <w:t>稳定、健康地发展。公司的治理情况符合中国证监会有关上市公司治理的规范性文件要求。</w:t>
      </w:r>
    </w:p>
    <w:p>
      <w:pPr>
        <w:spacing w:line="240" w:lineRule="auto" w:before="10"/>
        <w:rPr>
          <w:rFonts w:ascii="宋体" w:hAnsi="宋体" w:cs="宋体" w:eastAsia="宋体" w:hint="default"/>
          <w:sz w:val="14"/>
          <w:szCs w:val="14"/>
        </w:rPr>
      </w:pPr>
    </w:p>
    <w:p>
      <w:pPr>
        <w:pStyle w:val="BodyText"/>
        <w:spacing w:line="408" w:lineRule="auto" w:before="0"/>
        <w:ind w:left="577" w:right="102"/>
        <w:jc w:val="left"/>
      </w:pPr>
      <w:r>
        <w:rPr/>
        <w:t>（七）关于公司与投资者</w:t>
      </w:r>
      <w:r>
        <w:rPr>
          <w:spacing w:val="-1"/>
        </w:rPr>
        <w:t> 公司严格执行《投资者关系管理制度》、《机构投资者接待管理办法》，公司董事会秘书为投资者关</w:t>
      </w:r>
    </w:p>
    <w:p>
      <w:pPr>
        <w:pStyle w:val="BodyText"/>
        <w:spacing w:line="408" w:lineRule="auto"/>
        <w:ind w:right="188"/>
        <w:jc w:val="both"/>
      </w:pPr>
      <w:r>
        <w:rPr/>
        <w:t>系管理负责人，组织实施投资者关系的日常管理工作。报告期内，公司通过电话、接待投资者现场调研、 深交所投资者关系互动平台等方式，加强与投资者的沟通。</w:t>
      </w:r>
    </w:p>
    <w:p>
      <w:pPr>
        <w:spacing w:after="0" w:line="408" w:lineRule="auto"/>
        <w:jc w:val="both"/>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4"/>
        <w:ind w:left="577" w:right="0"/>
        <w:jc w:val="left"/>
      </w:pPr>
      <w:r>
        <w:rPr/>
        <w:t>（八）关于绩效评价与激励约束机制</w:t>
      </w:r>
      <w:r>
        <w:rPr>
          <w:spacing w:val="-1"/>
        </w:rPr>
        <w:t> 公司逐步完善和建立公正、透明的董事、监事及高级管理人员绩效评价体系和激励约束机制，高级管</w:t>
      </w:r>
    </w:p>
    <w:p>
      <w:pPr>
        <w:pStyle w:val="BodyText"/>
        <w:spacing w:line="408" w:lineRule="auto"/>
        <w:ind w:right="151"/>
        <w:jc w:val="both"/>
      </w:pPr>
      <w:r>
        <w:rPr>
          <w:spacing w:val="-1"/>
        </w:rPr>
        <w:t>理人员的聘任公开、透明，符合有关法律法规和公司内部规章制度的要求。本公司高级管理人员实行年薪</w:t>
      </w:r>
      <w:r>
        <w:rPr>
          <w:spacing w:val="-83"/>
        </w:rPr>
        <w:t> </w:t>
      </w:r>
      <w:r>
        <w:rPr>
          <w:spacing w:val="-83"/>
        </w:rPr>
      </w:r>
      <w:r>
        <w:rPr>
          <w:spacing w:val="-1"/>
        </w:rPr>
        <w:t>制，年薪与年度经营指标完成情况挂钩，同时根据《公司章程》中对高级管理人员履职行为、权限和职责</w:t>
      </w:r>
      <w:r>
        <w:rPr>
          <w:spacing w:val="-83"/>
        </w:rPr>
        <w:t> </w:t>
      </w:r>
      <w:r>
        <w:rPr>
          <w:spacing w:val="-83"/>
        </w:rPr>
      </w:r>
      <w:r>
        <w:rPr/>
        <w:t>的规定进行综合考评。</w:t>
      </w:r>
    </w:p>
    <w:p>
      <w:pPr>
        <w:spacing w:before="34"/>
        <w:ind w:left="154" w:right="0" w:firstLine="0"/>
        <w:jc w:val="both"/>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line="338" w:lineRule="auto" w:before="117"/>
        <w:ind w:left="154" w:right="45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公司治理与《公司法》和中国证监会相关规定的要求不存在差异。</w:t>
      </w:r>
    </w:p>
    <w:p>
      <w:pPr>
        <w:spacing w:before="42"/>
        <w:ind w:left="154" w:right="0" w:firstLine="0"/>
        <w:jc w:val="both"/>
        <w:rPr>
          <w:rFonts w:ascii="宋体" w:hAnsi="宋体" w:cs="宋体" w:eastAsia="宋体" w:hint="default"/>
          <w:sz w:val="18"/>
          <w:szCs w:val="18"/>
        </w:rPr>
      </w:pPr>
      <w:r>
        <w:rPr>
          <w:rFonts w:ascii="宋体" w:hAnsi="宋体" w:cs="宋体" w:eastAsia="宋体" w:hint="default"/>
          <w:b/>
          <w:bCs/>
          <w:sz w:val="18"/>
          <w:szCs w:val="18"/>
        </w:rPr>
        <w:t>公司治理专项活动开展情况以及内幕信息知情人登记管理制度的制定、实施情况</w:t>
      </w:r>
      <w:r>
        <w:rPr>
          <w:rFonts w:ascii="宋体" w:hAnsi="宋体" w:cs="宋体" w:eastAsia="宋体" w:hint="default"/>
          <w:sz w:val="18"/>
          <w:szCs w:val="18"/>
        </w:rPr>
      </w:r>
    </w:p>
    <w:p>
      <w:pPr>
        <w:spacing w:line="240" w:lineRule="auto" w:before="12"/>
        <w:rPr>
          <w:rFonts w:ascii="宋体" w:hAnsi="宋体" w:cs="宋体" w:eastAsia="宋体" w:hint="default"/>
          <w:b/>
          <w:bCs/>
          <w:sz w:val="12"/>
          <w:szCs w:val="12"/>
        </w:rPr>
      </w:pPr>
    </w:p>
    <w:p>
      <w:pPr>
        <w:pStyle w:val="BodyText"/>
        <w:spacing w:line="408" w:lineRule="auto" w:before="0"/>
        <w:ind w:left="153" w:right="150" w:firstLine="514"/>
        <w:jc w:val="both"/>
      </w:pPr>
      <w:r>
        <w:rPr>
          <w:spacing w:val="-3"/>
        </w:rPr>
        <w:t>报告期内，根据北京证监局《关于开展北京辖区上市公司规范运作自查自纠工作的通知》（京证公司</w:t>
      </w:r>
      <w:r>
        <w:rPr/>
        <w:t> </w:t>
      </w:r>
      <w:r>
        <w:rPr>
          <w:spacing w:val="-3"/>
        </w:rPr>
        <w:t>发〔2012〕60</w:t>
      </w:r>
      <w:r>
        <w:rPr>
          <w:spacing w:val="-30"/>
        </w:rPr>
        <w:t> </w:t>
      </w:r>
      <w:r>
        <w:rPr>
          <w:spacing w:val="-2"/>
        </w:rPr>
        <w:t>号）文件的要求，公司以监事会为主导，开展了规范运作自查自纠活动，对公司董事会、高</w:t>
      </w:r>
      <w:r>
        <w:rPr>
          <w:spacing w:val="-100"/>
        </w:rPr>
        <w:t> </w:t>
      </w:r>
      <w:r>
        <w:rPr>
          <w:spacing w:val="-100"/>
        </w:rPr>
      </w:r>
      <w:r>
        <w:rPr>
          <w:spacing w:val="-1"/>
        </w:rPr>
        <w:t>管执行公司职务行为，信息披露及日常经营活动等进行认真仔细核查，并形成自查自纠工作报告。公司已</w:t>
      </w:r>
      <w:r>
        <w:rPr>
          <w:spacing w:val="-83"/>
        </w:rPr>
        <w:t> </w:t>
      </w:r>
      <w:r>
        <w:rPr>
          <w:spacing w:val="-83"/>
        </w:rPr>
      </w:r>
      <w:r>
        <w:rPr/>
        <w:t>将工作报告及全套核查底稿报送北京证监局审核。</w:t>
      </w:r>
    </w:p>
    <w:p>
      <w:pPr>
        <w:pStyle w:val="BodyText"/>
        <w:spacing w:line="240" w:lineRule="auto"/>
        <w:ind w:left="649" w:right="0"/>
        <w:jc w:val="left"/>
      </w:pPr>
      <w:r>
        <w:rPr>
          <w:spacing w:val="-1"/>
        </w:rPr>
        <w:t>公司</w:t>
      </w:r>
      <w:r>
        <w:rPr/>
        <w:t>于</w:t>
      </w:r>
      <w:r>
        <w:rPr>
          <w:spacing w:val="-53"/>
        </w:rPr>
        <w:t> </w:t>
      </w:r>
      <w:r>
        <w:rPr>
          <w:spacing w:val="-1"/>
        </w:rPr>
        <w:t>201</w:t>
      </w:r>
      <w:r>
        <w:rPr/>
        <w:t>2</w:t>
      </w:r>
      <w:r>
        <w:rPr>
          <w:spacing w:val="-53"/>
        </w:rPr>
        <w:t> </w:t>
      </w:r>
      <w:r>
        <w:rPr/>
        <w:t>年</w:t>
      </w:r>
      <w:r>
        <w:rPr>
          <w:spacing w:val="-53"/>
        </w:rPr>
        <w:t> </w:t>
      </w:r>
      <w:r>
        <w:rPr/>
        <w:t>3</w:t>
      </w:r>
      <w:r>
        <w:rPr>
          <w:spacing w:val="-52"/>
        </w:rPr>
        <w:t> </w:t>
      </w:r>
      <w:r>
        <w:rPr/>
        <w:t>月</w:t>
      </w:r>
      <w:r>
        <w:rPr>
          <w:spacing w:val="-54"/>
        </w:rPr>
        <w:t> </w:t>
      </w:r>
      <w:r>
        <w:rPr>
          <w:spacing w:val="-1"/>
        </w:rPr>
        <w:t>1</w:t>
      </w:r>
      <w:r>
        <w:rPr/>
        <w:t>7</w:t>
      </w:r>
      <w:r>
        <w:rPr>
          <w:spacing w:val="-52"/>
        </w:rPr>
        <w:t> </w:t>
      </w:r>
      <w:r>
        <w:rPr>
          <w:spacing w:val="-2"/>
        </w:rPr>
        <w:t>日</w:t>
      </w:r>
      <w:r>
        <w:rPr>
          <w:spacing w:val="-1"/>
        </w:rPr>
        <w:t>召开的第二届董事会第八次会议制定了《内幕信息知情人管理制度</w:t>
      </w:r>
      <w:r>
        <w:rPr>
          <w:spacing w:val="-104"/>
        </w:rPr>
        <w:t>》</w:t>
      </w:r>
      <w:r>
        <w:rPr>
          <w:spacing w:val="-2"/>
        </w:rPr>
        <w:t>，</w:t>
      </w:r>
      <w:r>
        <w:rPr/>
        <w:t>并于</w:t>
      </w:r>
    </w:p>
    <w:p>
      <w:pPr>
        <w:spacing w:line="240" w:lineRule="auto" w:before="10"/>
        <w:rPr>
          <w:rFonts w:ascii="宋体" w:hAnsi="宋体" w:cs="宋体" w:eastAsia="宋体" w:hint="default"/>
          <w:sz w:val="14"/>
          <w:szCs w:val="14"/>
        </w:rPr>
      </w:pPr>
    </w:p>
    <w:p>
      <w:pPr>
        <w:pStyle w:val="BodyText"/>
        <w:spacing w:line="240" w:lineRule="auto" w:before="0"/>
        <w:ind w:left="153" w:right="0"/>
        <w:jc w:val="both"/>
      </w:pPr>
      <w:r>
        <w:rPr/>
        <w:t>2012</w:t>
      </w:r>
      <w:r>
        <w:rPr>
          <w:spacing w:val="-54"/>
        </w:rPr>
        <w:t> </w:t>
      </w:r>
      <w:r>
        <w:rPr/>
        <w:t>年</w:t>
      </w:r>
      <w:r>
        <w:rPr>
          <w:spacing w:val="-54"/>
        </w:rPr>
        <w:t> </w:t>
      </w:r>
      <w:r>
        <w:rPr/>
        <w:t>8</w:t>
      </w:r>
      <w:r>
        <w:rPr>
          <w:spacing w:val="-54"/>
        </w:rPr>
        <w:t> </w:t>
      </w:r>
      <w:r>
        <w:rPr/>
        <w:t>月</w:t>
      </w:r>
      <w:r>
        <w:rPr>
          <w:spacing w:val="-55"/>
        </w:rPr>
        <w:t> </w:t>
      </w:r>
      <w:r>
        <w:rPr/>
        <w:t>24</w:t>
      </w:r>
      <w:r>
        <w:rPr>
          <w:spacing w:val="-53"/>
        </w:rPr>
        <w:t> </w:t>
      </w:r>
      <w:r>
        <w:rPr/>
        <w:t>日召开的第二届董事会第十次会议上根据深交所《关于上市公司建立内幕信息知情人登记</w:t>
      </w:r>
    </w:p>
    <w:p>
      <w:pPr>
        <w:spacing w:line="240" w:lineRule="auto" w:before="10"/>
        <w:rPr>
          <w:rFonts w:ascii="宋体" w:hAnsi="宋体" w:cs="宋体" w:eastAsia="宋体" w:hint="default"/>
          <w:sz w:val="14"/>
          <w:szCs w:val="14"/>
        </w:rPr>
      </w:pPr>
    </w:p>
    <w:p>
      <w:pPr>
        <w:pStyle w:val="BodyText"/>
        <w:spacing w:line="408" w:lineRule="auto" w:before="0"/>
        <w:ind w:right="0" w:hanging="1"/>
        <w:jc w:val="left"/>
      </w:pPr>
      <w:r>
        <w:rPr>
          <w:spacing w:val="-10"/>
        </w:rPr>
        <w:t>管理制度的规定》、《中小企业板信息披露业务备忘录第</w:t>
      </w:r>
      <w:r>
        <w:rPr>
          <w:spacing w:val="-45"/>
        </w:rPr>
        <w:t> </w:t>
      </w:r>
      <w:r>
        <w:rPr>
          <w:spacing w:val="-1"/>
        </w:rPr>
        <w:t>24</w:t>
      </w:r>
      <w:r>
        <w:rPr>
          <w:spacing w:val="-45"/>
        </w:rPr>
        <w:t> </w:t>
      </w:r>
      <w:r>
        <w:rPr>
          <w:spacing w:val="-1"/>
        </w:rPr>
        <w:t>号：内幕信息知情人员登记管理相关事项》的</w:t>
      </w:r>
      <w:r>
        <w:rPr>
          <w:spacing w:val="-98"/>
        </w:rPr>
        <w:t> </w:t>
      </w:r>
      <w:r>
        <w:rPr>
          <w:spacing w:val="-98"/>
        </w:rPr>
      </w:r>
      <w:r>
        <w:rPr/>
        <w:t>相关规定对《内幕信息知情人管理制度》进行了修订。</w:t>
      </w:r>
    </w:p>
    <w:p>
      <w:pPr>
        <w:pStyle w:val="BodyText"/>
        <w:spacing w:line="408" w:lineRule="auto"/>
        <w:ind w:right="128" w:firstLine="495"/>
        <w:jc w:val="both"/>
      </w:pPr>
      <w:r>
        <w:rPr>
          <w:spacing w:val="-7"/>
        </w:rPr>
        <w:t>报告期内，公司按照《深圳证券交易所中小企业板上市公司规范运作指引》、《内幕信息知情人登记制</w:t>
      </w:r>
      <w:r>
        <w:rPr/>
        <w:t> </w:t>
      </w:r>
      <w:r>
        <w:rPr>
          <w:spacing w:val="-1"/>
        </w:rPr>
        <w:t>度》的要求，做好内幕信息保密和管理工作。在涉及定期报告，发行公司债券等敏感信息时，如实、完整</w:t>
      </w:r>
      <w:r>
        <w:rPr>
          <w:spacing w:val="-83"/>
        </w:rPr>
        <w:t> </w:t>
      </w:r>
      <w:r>
        <w:rPr>
          <w:spacing w:val="-83"/>
        </w:rPr>
      </w:r>
      <w:r>
        <w:rPr>
          <w:spacing w:val="-1"/>
        </w:rPr>
        <w:t>地记录内幕信息在公开前的报告、传递、编制、审核、披露等各环节所有内幕信息知情人名单，以及知情</w:t>
      </w:r>
      <w:r>
        <w:rPr>
          <w:spacing w:val="-83"/>
        </w:rPr>
        <w:t> </w:t>
      </w:r>
      <w:r>
        <w:rPr>
          <w:spacing w:val="-83"/>
        </w:rPr>
      </w:r>
      <w:r>
        <w:rPr/>
        <w:t>人知悉内幕信息的时间等相关档案。报告期内，公司未发现相关人员利用内幕信息买卖公司股票的情况。</w:t>
      </w:r>
    </w:p>
    <w:p>
      <w:pPr>
        <w:spacing w:line="240" w:lineRule="auto" w:before="11"/>
        <w:rPr>
          <w:rFonts w:ascii="宋体" w:hAnsi="宋体" w:cs="宋体" w:eastAsia="宋体" w:hint="default"/>
          <w:sz w:val="18"/>
          <w:szCs w:val="18"/>
        </w:rPr>
      </w:pPr>
    </w:p>
    <w:p>
      <w:pPr>
        <w:pStyle w:val="Heading2"/>
        <w:spacing w:line="240" w:lineRule="auto" w:before="0"/>
        <w:ind w:right="0"/>
        <w:jc w:val="both"/>
        <w:rPr>
          <w:b w:val="0"/>
          <w:bCs w:val="0"/>
        </w:rPr>
      </w:pPr>
      <w:r>
        <w:rPr/>
        <w:t>二、报告期内召开的年度股东大会和临时股东大会的有关情况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7"/>
          <w:szCs w:val="27"/>
        </w:rPr>
      </w:pPr>
    </w:p>
    <w:p>
      <w:pPr>
        <w:spacing w:before="63"/>
        <w:ind w:left="0" w:right="169" w:firstLine="0"/>
        <w:jc w:val="right"/>
        <w:rPr>
          <w:rFonts w:ascii="宋体" w:hAnsi="宋体" w:cs="宋体" w:eastAsia="宋体" w:hint="default"/>
          <w:sz w:val="18"/>
          <w:szCs w:val="18"/>
        </w:rPr>
      </w:pPr>
      <w:r>
        <w:rPr/>
        <w:pict>
          <v:shape style="position:absolute;margin-left:56.459999pt;margin-top:-66.737976pt;width:479.05pt;height:147.9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2"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、关于审议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2012-007  </w:t>
                        </w:r>
                        <w:r>
                          <w:rPr>
                            <w:rFonts w:ascii="宋体" w:hAnsi="宋体" w:cs="宋体" w:eastAsia="宋体" w:hint="default"/>
                            <w:sz w:val="18"/>
                            <w:szCs w:val="18"/>
                          </w:rPr>
                          <w:t>《北京中</w:t>
                        </w:r>
                      </w:p>
                    </w:tc>
                  </w:tr>
                  <w:tr>
                    <w:trPr>
                      <w:trHeight w:val="311"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年度审</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科金财科技股份有</w:t>
                        </w:r>
                      </w:p>
                    </w:tc>
                  </w:tr>
                  <w:tr>
                    <w:trPr>
                      <w:trHeight w:val="30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计报告的议案；</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629"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2" w:lineRule="auto"/>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年年度股东大 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00" w:lineRule="auto" w:before="15"/>
                          <w:ind w:left="23" w:right="36"/>
                          <w:jc w:val="left"/>
                          <w:rPr>
                            <w:rFonts w:ascii="宋体" w:hAnsi="宋体" w:cs="宋体" w:eastAsia="宋体" w:hint="default"/>
                            <w:sz w:val="18"/>
                            <w:szCs w:val="18"/>
                          </w:rPr>
                        </w:pPr>
                        <w:r>
                          <w:rPr>
                            <w:rFonts w:ascii="宋体" w:hAnsi="宋体" w:cs="宋体" w:eastAsia="宋体" w:hint="default"/>
                            <w:sz w:val="18"/>
                            <w:szCs w:val="18"/>
                          </w:rPr>
                          <w:t>关于审议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 利润分配方案的议</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96"/>
                          <w:jc w:val="center"/>
                          <w:rPr>
                            <w:rFonts w:ascii="宋体" w:hAnsi="宋体" w:cs="宋体" w:eastAsia="宋体" w:hint="default"/>
                            <w:sz w:val="18"/>
                            <w:szCs w:val="18"/>
                          </w:rPr>
                        </w:pPr>
                        <w:r>
                          <w:rPr>
                            <w:rFonts w:ascii="宋体" w:hAnsi="宋体" w:cs="宋体" w:eastAsia="宋体" w:hint="default"/>
                            <w:sz w:val="18"/>
                            <w:szCs w:val="18"/>
                          </w:rPr>
                          <w:t>审议通过全部议案</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3" w:right="110"/>
                          <w:jc w:val="left"/>
                          <w:rPr>
                            <w:rFonts w:ascii="宋体" w:hAnsi="宋体" w:cs="宋体" w:eastAsia="宋体" w:hint="default"/>
                            <w:sz w:val="18"/>
                            <w:szCs w:val="18"/>
                          </w:rPr>
                        </w:pPr>
                        <w:r>
                          <w:rPr>
                            <w:rFonts w:ascii="宋体" w:hAnsi="宋体" w:cs="宋体" w:eastAsia="宋体" w:hint="default"/>
                            <w:sz w:val="18"/>
                            <w:szCs w:val="18"/>
                          </w:rPr>
                          <w:t>股东大会决议公告 </w:t>
                        </w:r>
                        <w:r>
                          <w:rPr>
                            <w:rFonts w:ascii="宋体" w:hAnsi="宋体" w:cs="宋体" w:eastAsia="宋体" w:hint="default"/>
                            <w:spacing w:val="-20"/>
                            <w:sz w:val="18"/>
                            <w:szCs w:val="18"/>
                          </w:rPr>
                          <w:t>刊登于《证券时报》</w:t>
                        </w:r>
                        <w:r>
                          <w:rPr>
                            <w:rFonts w:ascii="宋体" w:hAnsi="宋体" w:cs="宋体" w:eastAsia="宋体" w:hint="default"/>
                            <w:sz w:val="18"/>
                            <w:szCs w:val="18"/>
                          </w:rPr>
                        </w: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Times New Roman" w:hAnsi="Times New Roman" w:cs="Times New Roman" w:eastAsia="Times New Roman" w:hint="default"/>
                            <w:sz w:val="18"/>
                            <w:szCs w:val="18"/>
                          </w:rPr>
                          <w:t>3</w:t>
                        </w:r>
                        <w:r>
                          <w:rPr>
                            <w:rFonts w:ascii="宋体" w:hAnsi="宋体" w:cs="宋体" w:eastAsia="宋体" w:hint="default"/>
                            <w:sz w:val="18"/>
                            <w:szCs w:val="18"/>
                          </w:rPr>
                          <w:t>、关于审议</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《中国</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年董事会工作</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证券报</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《上海证券</w:t>
                        </w:r>
                      </w:p>
                    </w:tc>
                  </w:tr>
                  <w:tr>
                    <w:trPr>
                      <w:trHeight w:val="313"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报告的议案；</w:t>
                        </w:r>
                        <w:r>
                          <w:rPr>
                            <w:rFonts w:ascii="Times New Roman" w:hAnsi="Times New Roman" w:cs="Times New Roman" w:eastAsia="Times New Roman" w:hint="default"/>
                            <w:sz w:val="18"/>
                            <w:szCs w:val="18"/>
                          </w:rPr>
                          <w:t>4</w:t>
                        </w:r>
                        <w:r>
                          <w:rPr>
                            <w:rFonts w:ascii="宋体" w:hAnsi="宋体" w:cs="宋体" w:eastAsia="宋体" w:hint="default"/>
                            <w:sz w:val="18"/>
                            <w:szCs w:val="18"/>
                          </w:rPr>
                          <w:t>、关</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报》及巨潮资讯网</w:t>
                        </w:r>
                      </w:p>
                    </w:tc>
                  </w:tr>
                </w:tbl>
                <w:p>
                  <w:pPr/>
                </w:p>
              </w:txbxContent>
            </v:textbox>
            <w10:wrap type="none"/>
          </v:shape>
        </w:pict>
      </w:r>
      <w:r>
        <w:rPr>
          <w:rFonts w:ascii="宋体" w:hAnsi="宋体" w:cs="宋体" w:eastAsia="宋体" w:hint="default"/>
          <w:sz w:val="18"/>
          <w:szCs w:val="18"/>
        </w:rPr>
        <w:t>》</w:t>
      </w:r>
    </w:p>
    <w:p>
      <w:pPr>
        <w:spacing w:before="76"/>
        <w:ind w:left="0" w:right="15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2"/>
        <w:rPr>
          <w:rFonts w:ascii="宋体" w:hAnsi="宋体" w:cs="宋体" w:eastAsia="宋体" w:hint="default"/>
          <w:sz w:val="28"/>
          <w:szCs w:val="28"/>
        </w:rPr>
      </w:pPr>
    </w:p>
    <w:p>
      <w:pPr>
        <w:spacing w:line="4749" w:lineRule="exact"/>
        <w:ind w:left="144" w:right="0" w:firstLine="0"/>
        <w:rPr>
          <w:rFonts w:ascii="宋体" w:hAnsi="宋体" w:cs="宋体" w:eastAsia="宋体" w:hint="default"/>
          <w:sz w:val="20"/>
          <w:szCs w:val="20"/>
        </w:rPr>
      </w:pPr>
      <w:r>
        <w:rPr>
          <w:rFonts w:ascii="宋体" w:hAnsi="宋体" w:cs="宋体" w:eastAsia="宋体" w:hint="default"/>
          <w:position w:val="-94"/>
          <w:sz w:val="20"/>
          <w:szCs w:val="20"/>
        </w:rPr>
        <w:pict>
          <v:group style="width:479.3pt;height:237.5pt;mso-position-horizontal-relative:char;mso-position-vertical-relative:line" coordorigin="0,0" coordsize="9586,4750">
            <v:group style="position:absolute;left:4799;top:14;width:1584;height:4721" coordorigin="4799,14" coordsize="1584,4721">
              <v:shape style="position:absolute;left:4799;top:14;width:1584;height:4721" coordorigin="4799,14" coordsize="1584,4721" path="m4799,4735l6383,4735,6383,14,4799,14,4799,4735xe" filled="true" fillcolor="#ffffff" stroked="false">
                <v:path arrowok="t"/>
                <v:fill type="solid"/>
              </v:shape>
            </v:group>
            <v:group style="position:absolute;left:5;top:10;width:6388;height:2" coordorigin="5,10" coordsize="6388,2">
              <v:shape style="position:absolute;left:5;top:10;width:6388;height:2" coordorigin="5,10" coordsize="6388,0" path="m5,10l6392,10e" filled="false" stroked="true" strokeweight=".48004pt" strokecolor="#000000">
                <v:path arrowok="t"/>
              </v:shape>
            </v:group>
            <v:group style="position:absolute;left:6392;top:10;width:1584;height:2" coordorigin="6392,10" coordsize="1584,2">
              <v:shape style="position:absolute;left:6392;top:10;width:1584;height:2" coordorigin="6392,10" coordsize="1584,0" path="m6392,10l7976,10e" filled="false" stroked="true" strokeweight=".48pt" strokecolor="#000000">
                <v:path arrowok="t"/>
              </v:shape>
            </v:group>
            <v:group style="position:absolute;left:7976;top:10;width:1605;height:2" coordorigin="7976,10" coordsize="1605,2">
              <v:shape style="position:absolute;left:7976;top:10;width:1605;height:2" coordorigin="7976,10" coordsize="1605,0" path="m7976,10l9581,10e" filled="false" stroked="true" strokeweight=".48004pt" strokecolor="#000000">
                <v:path arrowok="t"/>
              </v:shape>
            </v:group>
            <v:group style="position:absolute;left:10;top:5;width:2;height:4740" coordorigin="10,5" coordsize="2,4740">
              <v:shape style="position:absolute;left:10;top:5;width:2;height:4740" coordorigin="10,5" coordsize="0,4740" path="m10,5l10,4745e" filled="false" stroked="true" strokeweight=".48001pt" strokecolor="#000000">
                <v:path arrowok="t"/>
              </v:shape>
            </v:group>
            <v:group style="position:absolute;left:5;top:4740;width:1596;height:2" coordorigin="5,4740" coordsize="1596,2">
              <v:shape style="position:absolute;left:5;top:4740;width:1596;height:2" coordorigin="5,4740" coordsize="1596,0" path="m5,4740l1601,4740e" filled="false" stroked="true" strokeweight=".48004pt" strokecolor="#000000">
                <v:path arrowok="t"/>
              </v:shape>
            </v:group>
            <v:group style="position:absolute;left:1606;top:14;width:2;height:4731" coordorigin="1606,14" coordsize="2,4731">
              <v:shape style="position:absolute;left:1606;top:14;width:2;height:4731" coordorigin="1606,14" coordsize="0,4731" path="m1606,14l1606,4745e" filled="false" stroked="true" strokeweight=".48001pt" strokecolor="#000000">
                <v:path arrowok="t"/>
              </v:shape>
            </v:group>
            <v:group style="position:absolute;left:1610;top:4740;width:1584;height:2" coordorigin="1610,4740" coordsize="1584,2">
              <v:shape style="position:absolute;left:1610;top:4740;width:1584;height:2" coordorigin="1610,4740" coordsize="1584,0" path="m1610,4740l3194,4740e" filled="false" stroked="true" strokeweight=".48004pt" strokecolor="#000000">
                <v:path arrowok="t"/>
              </v:shape>
            </v:group>
            <v:group style="position:absolute;left:3199;top:14;width:2;height:4731" coordorigin="3199,14" coordsize="2,4731">
              <v:shape style="position:absolute;left:3199;top:14;width:2;height:4731" coordorigin="3199,14" coordsize="0,4731" path="m3199,14l3199,4745e" filled="false" stroked="true" strokeweight=".48pt" strokecolor="#000000">
                <v:path arrowok="t"/>
              </v:shape>
            </v:group>
            <v:group style="position:absolute;left:3204;top:4740;width:1586;height:2" coordorigin="3204,4740" coordsize="1586,2">
              <v:shape style="position:absolute;left:3204;top:4740;width:1586;height:2" coordorigin="3204,4740" coordsize="1586,0" path="m3204,4740l4789,4740e" filled="false" stroked="true" strokeweight=".48004pt" strokecolor="#000000">
                <v:path arrowok="t"/>
              </v:shape>
            </v:group>
            <v:group style="position:absolute;left:4794;top:14;width:2;height:4731" coordorigin="4794,14" coordsize="2,4731">
              <v:shape style="position:absolute;left:4794;top:14;width:2;height:4731" coordorigin="4794,14" coordsize="0,4731" path="m4794,14l4794,4745e" filled="false" stroked="true" strokeweight=".48001pt" strokecolor="#000000">
                <v:path arrowok="t"/>
              </v:shape>
            </v:group>
            <v:group style="position:absolute;left:4799;top:4740;width:1584;height:2" coordorigin="4799,4740" coordsize="1584,2">
              <v:shape style="position:absolute;left:4799;top:4740;width:1584;height:2" coordorigin="4799,4740" coordsize="1584,0" path="m4799,4740l6383,4740e" filled="false" stroked="true" strokeweight=".48004pt" strokecolor="#000000">
                <v:path arrowok="t"/>
              </v:shape>
            </v:group>
            <v:group style="position:absolute;left:6388;top:14;width:2;height:4731" coordorigin="6388,14" coordsize="2,4731">
              <v:shape style="position:absolute;left:6388;top:14;width:2;height:4731" coordorigin="6388,14" coordsize="0,4731" path="m6388,14l6388,4745e" filled="false" stroked="true" strokeweight=".47998pt" strokecolor="#000000">
                <v:path arrowok="t"/>
              </v:shape>
            </v:group>
            <v:group style="position:absolute;left:6392;top:4740;width:1584;height:2" coordorigin="6392,4740" coordsize="1584,2">
              <v:shape style="position:absolute;left:6392;top:4740;width:1584;height:2" coordorigin="6392,4740" coordsize="1584,0" path="m6392,4740l7976,4740e" filled="false" stroked="true" strokeweight=".48pt" strokecolor="#000000">
                <v:path arrowok="t"/>
              </v:shape>
            </v:group>
            <v:group style="position:absolute;left:7981;top:14;width:2;height:4731" coordorigin="7981,14" coordsize="2,4731">
              <v:shape style="position:absolute;left:7981;top:14;width:2;height:4731" coordorigin="7981,14" coordsize="0,4731" path="m7981,14l7981,4745e" filled="false" stroked="true" strokeweight=".48001pt" strokecolor="#000000">
                <v:path arrowok="t"/>
              </v:shape>
            </v:group>
            <v:group style="position:absolute;left:7986;top:4740;width:1586;height:2" coordorigin="7986,4740" coordsize="1586,2">
              <v:shape style="position:absolute;left:7986;top:4740;width:1586;height:2" coordorigin="7986,4740" coordsize="1586,0" path="m7986,4740l9571,4740e" filled="false" stroked="true" strokeweight=".48004pt" strokecolor="#000000">
                <v:path arrowok="t"/>
              </v:shape>
            </v:group>
            <v:group style="position:absolute;left:9576;top:5;width:2;height:4740" coordorigin="9576,5" coordsize="2,4740">
              <v:shape style="position:absolute;left:9576;top:5;width:2;height:4740" coordorigin="9576,5" coordsize="0,4740" path="m9576,5l9576,4745e" filled="false" stroked="true" strokeweight=".47998pt" strokecolor="#000000">
                <v:path arrowok="t"/>
              </v:shape>
              <v:shape style="position:absolute;left:7981;top:10;width:1595;height:4731" type="#_x0000_t202" filled="false" stroked="false">
                <v:textbox inset="0,0,0,0">
                  <w:txbxContent>
                    <w:p>
                      <w:pPr>
                        <w:spacing w:line="362" w:lineRule="auto" w:before="55"/>
                        <w:ind w:left="28" w:right="35" w:firstLine="0"/>
                        <w:jc w:val="left"/>
                        <w:rPr>
                          <w:rFonts w:ascii="Times New Roman" w:hAnsi="Times New Roman" w:cs="Times New Roman" w:eastAsia="Times New Roman" w:hint="default"/>
                          <w:sz w:val="18"/>
                          <w:szCs w:val="18"/>
                        </w:rPr>
                      </w:pPr>
                      <w:hyperlink r:id="rId17">
                        <w:r>
                          <w:rPr>
                            <w:rFonts w:ascii="Times New Roman"/>
                            <w:spacing w:val="-1"/>
                            <w:sz w:val="18"/>
                          </w:rPr>
                          <w:t>http://www.cninfo.co</w:t>
                        </w:r>
                      </w:hyperlink>
                      <w:r>
                        <w:rPr>
                          <w:rFonts w:ascii="Times New Roman"/>
                          <w:spacing w:val="-40"/>
                          <w:sz w:val="18"/>
                        </w:rPr>
                        <w:t> </w:t>
                      </w:r>
                      <w:r>
                        <w:rPr>
                          <w:rFonts w:ascii="Times New Roman"/>
                          <w:spacing w:val="-40"/>
                          <w:sz w:val="18"/>
                        </w:rPr>
                      </w:r>
                      <w:r>
                        <w:rPr>
                          <w:rFonts w:ascii="Times New Roman"/>
                          <w:sz w:val="18"/>
                        </w:rPr>
                        <w:t>m.cn</w:t>
                      </w:r>
                    </w:p>
                  </w:txbxContent>
                </v:textbox>
                <w10:wrap type="none"/>
              </v:shape>
              <v:shape style="position:absolute;left:0;top:0;width:9586;height:4750" type="#_x0000_t202" filled="false" stroked="false">
                <v:textbox inset="0,0,0,0">
                  <w:txbxContent>
                    <w:p>
                      <w:pPr>
                        <w:spacing w:line="309" w:lineRule="auto" w:before="25"/>
                        <w:ind w:left="3228" w:right="4735" w:firstLine="0"/>
                        <w:jc w:val="left"/>
                        <w:rPr>
                          <w:rFonts w:ascii="宋体" w:hAnsi="宋体" w:cs="宋体" w:eastAsia="宋体" w:hint="default"/>
                          <w:sz w:val="18"/>
                          <w:szCs w:val="18"/>
                        </w:rPr>
                      </w:pPr>
                      <w:r>
                        <w:rPr>
                          <w:rFonts w:ascii="宋体" w:hAnsi="宋体" w:cs="宋体" w:eastAsia="宋体" w:hint="default"/>
                          <w:sz w:val="18"/>
                          <w:szCs w:val="18"/>
                        </w:rPr>
                        <w:t>于审议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年监事 会工作报告的议案； </w:t>
                      </w:r>
                      <w:r>
                        <w:rPr>
                          <w:rFonts w:ascii="Times New Roman" w:hAnsi="Times New Roman" w:cs="Times New Roman" w:eastAsia="Times New Roman" w:hint="default"/>
                          <w:sz w:val="18"/>
                          <w:szCs w:val="18"/>
                        </w:rPr>
                        <w:t>5</w:t>
                      </w:r>
                      <w:r>
                        <w:rPr>
                          <w:rFonts w:ascii="宋体" w:hAnsi="宋体" w:cs="宋体" w:eastAsia="宋体" w:hint="default"/>
                          <w:sz w:val="18"/>
                          <w:szCs w:val="18"/>
                        </w:rPr>
                        <w:t>、关于审议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年度决算报告的议 案；</w:t>
                      </w:r>
                      <w:r>
                        <w:rPr>
                          <w:rFonts w:ascii="Times New Roman" w:hAnsi="Times New Roman" w:cs="Times New Roman" w:eastAsia="Times New Roman" w:hint="default"/>
                          <w:sz w:val="18"/>
                          <w:szCs w:val="18"/>
                        </w:rPr>
                        <w:t>6</w:t>
                      </w:r>
                      <w:r>
                        <w:rPr>
                          <w:rFonts w:ascii="宋体" w:hAnsi="宋体" w:cs="宋体" w:eastAsia="宋体" w:hint="default"/>
                          <w:sz w:val="18"/>
                          <w:szCs w:val="18"/>
                        </w:rPr>
                        <w:t>、关于审议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年度预算方案 的议案；</w:t>
                      </w:r>
                      <w:r>
                        <w:rPr>
                          <w:rFonts w:ascii="Times New Roman" w:hAnsi="Times New Roman" w:cs="Times New Roman" w:eastAsia="Times New Roman" w:hint="default"/>
                          <w:sz w:val="18"/>
                          <w:szCs w:val="18"/>
                        </w:rPr>
                        <w:t>7</w:t>
                      </w:r>
                      <w:r>
                        <w:rPr>
                          <w:rFonts w:ascii="宋体" w:hAnsi="宋体" w:cs="宋体" w:eastAsia="宋体" w:hint="default"/>
                          <w:sz w:val="18"/>
                          <w:szCs w:val="18"/>
                        </w:rPr>
                        <w:t>、关于审 议续聘上海立信会 计师事务所的议案； </w:t>
                      </w:r>
                      <w:r>
                        <w:rPr>
                          <w:rFonts w:ascii="Times New Roman" w:hAnsi="Times New Roman" w:cs="Times New Roman" w:eastAsia="Times New Roman" w:hint="default"/>
                          <w:sz w:val="18"/>
                          <w:szCs w:val="18"/>
                        </w:rPr>
                        <w:t>8</w:t>
                      </w:r>
                      <w:r>
                        <w:rPr>
                          <w:rFonts w:ascii="宋体" w:hAnsi="宋体" w:cs="宋体" w:eastAsia="宋体" w:hint="default"/>
                          <w:sz w:val="18"/>
                          <w:szCs w:val="18"/>
                        </w:rPr>
                        <w:t>、关于修订《北京 中科金财科技股份 </w:t>
                      </w:r>
                      <w:r>
                        <w:rPr>
                          <w:rFonts w:ascii="宋体" w:hAnsi="宋体" w:cs="宋体" w:eastAsia="宋体" w:hint="default"/>
                          <w:spacing w:val="-10"/>
                          <w:sz w:val="18"/>
                          <w:szCs w:val="18"/>
                        </w:rPr>
                        <w:t>有限公司章程（上市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后适用）》的议案；</w:t>
                      </w:r>
                      <w:r>
                        <w:rPr>
                          <w:rFonts w:ascii="Times New Roman" w:hAnsi="Times New Roman" w:cs="Times New Roman" w:eastAsia="Times New Roman" w:hint="default"/>
                          <w:spacing w:val="-27"/>
                          <w:sz w:val="18"/>
                          <w:szCs w:val="18"/>
                        </w:rPr>
                        <w:t>9</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关于更换监事会成 员的议案；</w:t>
                      </w:r>
                    </w:p>
                  </w:txbxContent>
                </v:textbox>
                <w10:wrap type="none"/>
              </v:shape>
            </v:group>
          </v:group>
        </w:pict>
      </w:r>
      <w:r>
        <w:rPr>
          <w:rFonts w:ascii="宋体" w:hAnsi="宋体" w:cs="宋体" w:eastAsia="宋体" w:hint="default"/>
          <w:position w:val="-94"/>
          <w:sz w:val="20"/>
          <w:szCs w:val="20"/>
        </w:rPr>
      </w:r>
    </w:p>
    <w:p>
      <w:pPr>
        <w:spacing w:line="240" w:lineRule="auto" w:before="11"/>
        <w:rPr>
          <w:rFonts w:ascii="宋体" w:hAnsi="宋体" w:cs="宋体" w:eastAsia="宋体" w:hint="default"/>
          <w:sz w:val="18"/>
          <w:szCs w:val="18"/>
        </w:rPr>
      </w:pPr>
    </w:p>
    <w:p>
      <w:pPr>
        <w:pStyle w:val="Heading3"/>
        <w:spacing w:line="240" w:lineRule="auto" w:before="35"/>
        <w:ind w:right="0"/>
        <w:jc w:val="left"/>
        <w:rPr>
          <w:b w:val="0"/>
          <w:bCs w:val="0"/>
        </w:rPr>
      </w:pPr>
      <w:r>
        <w:rPr/>
        <w:pict>
          <v:shape style="position:absolute;margin-left:289.980011pt;margin-top:-249.086044pt;width:85.4pt;height:236.05pt;mso-position-horizontal-relative:page;mso-position-vertical-relative:paragraph;z-index:-6706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Times New Roman" w:hAnsi="Times New Roman" w:cs="Times New Roman" w:eastAsia="Times New Roman" w:hint="default"/>
        </w:rPr>
        <w:t>2</w:t>
      </w:r>
      <w:r>
        <w:rPr/>
        <w:t>、本报告期临时股东大会情况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p>
      <w:pPr>
        <w:spacing w:line="2496" w:lineRule="exact"/>
        <w:ind w:left="4943" w:right="0" w:firstLine="0"/>
        <w:rPr>
          <w:rFonts w:ascii="宋体" w:hAnsi="宋体" w:cs="宋体" w:eastAsia="宋体" w:hint="default"/>
          <w:sz w:val="20"/>
          <w:szCs w:val="20"/>
        </w:rPr>
      </w:pPr>
      <w:r>
        <w:rPr>
          <w:rFonts w:ascii="宋体" w:hAnsi="宋体" w:cs="宋体" w:eastAsia="宋体" w:hint="default"/>
          <w:position w:val="-49"/>
          <w:sz w:val="20"/>
          <w:szCs w:val="20"/>
        </w:rPr>
        <w:pict>
          <v:group style="width:79.2pt;height:124.8pt;mso-position-horizontal-relative:char;mso-position-vertical-relative:line" coordorigin="0,0" coordsize="1584,2496">
            <v:group style="position:absolute;left:0;top:0;width:1584;height:2496" coordorigin="0,0" coordsize="1584,2496">
              <v:shape style="position:absolute;left:0;top:0;width:1584;height:2496" coordorigin="0,0" coordsize="1584,2496" path="m0,2496l1584,2496,1584,0,0,0,0,2496xe" filled="true" fillcolor="#ffffff" stroked="false">
                <v:path arrowok="t"/>
                <v:fill type="solid"/>
              </v:shape>
            </v:group>
          </v:group>
        </w:pict>
      </w:r>
      <w:r>
        <w:rPr>
          <w:rFonts w:ascii="宋体" w:hAnsi="宋体" w:cs="宋体" w:eastAsia="宋体" w:hint="default"/>
          <w:position w:val="-49"/>
          <w:sz w:val="20"/>
          <w:szCs w:val="2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8"/>
          <w:szCs w:val="28"/>
        </w:rPr>
      </w:pPr>
    </w:p>
    <w:p>
      <w:pPr>
        <w:spacing w:before="44"/>
        <w:ind w:left="0" w:right="169" w:firstLine="0"/>
        <w:jc w:val="right"/>
        <w:rPr>
          <w:rFonts w:ascii="宋体" w:hAnsi="宋体" w:cs="宋体" w:eastAsia="宋体" w:hint="default"/>
          <w:sz w:val="18"/>
          <w:szCs w:val="18"/>
        </w:rPr>
      </w:pPr>
      <w:r>
        <w:rPr/>
        <w:pict>
          <v:group style="position:absolute;margin-left:296.160004pt;margin-top:-11.907892pt;width:79.2pt;height:124.8pt;mso-position-horizontal-relative:page;mso-position-vertical-relative:paragraph;z-index:1672" coordorigin="5923,-238" coordsize="1584,2496">
            <v:shape style="position:absolute;left:5923;top:-238;width:1584;height:2496" coordorigin="5923,-238" coordsize="1584,2496" path="m5923,2258l7507,2258,7507,-238,5923,-238,5923,2258xe" filled="true" fillcolor="#ffffff" stroked="false">
              <v:path arrowok="t"/>
              <v:fill type="solid"/>
            </v:shape>
            <w10:wrap type="none"/>
          </v:group>
        </w:pict>
      </w:r>
      <w:r>
        <w:rPr/>
        <w:pict>
          <v:shape style="position:absolute;margin-left:56.459999pt;margin-top:-176.947906pt;width:479.05pt;height:402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3"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、关于审议部分超</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募资金暂时补充流</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动资金的议案；</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关于变更公司经营</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2012-020  </w:t>
                        </w:r>
                        <w:r>
                          <w:rPr>
                            <w:rFonts w:ascii="宋体" w:hAnsi="宋体" w:cs="宋体" w:eastAsia="宋体" w:hint="default"/>
                            <w:sz w:val="18"/>
                            <w:szCs w:val="18"/>
                          </w:rPr>
                          <w:t>《北京中</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范围的议案；</w:t>
                        </w:r>
                        <w:r>
                          <w:rPr>
                            <w:rFonts w:ascii="Times New Roman" w:hAnsi="Times New Roman" w:cs="Times New Roman" w:eastAsia="Times New Roman" w:hint="default"/>
                            <w:sz w:val="18"/>
                            <w:szCs w:val="18"/>
                          </w:rPr>
                          <w:t>3</w:t>
                        </w:r>
                        <w:r>
                          <w:rPr>
                            <w:rFonts w:ascii="宋体" w:hAnsi="宋体" w:cs="宋体" w:eastAsia="宋体" w:hint="default"/>
                            <w:sz w:val="18"/>
                            <w:szCs w:val="18"/>
                          </w:rPr>
                          <w:t>、关</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科金财科技股份有</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于修</w:t>
                        </w:r>
                        <w:r>
                          <w:rPr>
                            <w:rFonts w:ascii="宋体" w:hAnsi="宋体" w:cs="宋体" w:eastAsia="宋体" w:hint="default"/>
                            <w:spacing w:val="-82"/>
                            <w:sz w:val="18"/>
                            <w:szCs w:val="18"/>
                          </w:rPr>
                          <w:t>订</w:t>
                        </w:r>
                        <w:r>
                          <w:rPr>
                            <w:rFonts w:ascii="宋体" w:hAnsi="宋体" w:cs="宋体" w:eastAsia="宋体" w:hint="default"/>
                            <w:sz w:val="18"/>
                            <w:szCs w:val="18"/>
                          </w:rPr>
                          <w:t>《北京中科金</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年年第</w:t>
                        </w: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财科技股份有限公</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一次临时股东大会</w:t>
                        </w:r>
                      </w:p>
                    </w:tc>
                  </w:tr>
                  <w:tr>
                    <w:trPr>
                      <w:trHeight w:val="941"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3" w:right="29"/>
                          <w:jc w:val="both"/>
                          <w:rPr>
                            <w:rFonts w:ascii="宋体" w:hAnsi="宋体" w:cs="宋体" w:eastAsia="宋体" w:hint="default"/>
                            <w:sz w:val="18"/>
                            <w:szCs w:val="18"/>
                          </w:rPr>
                        </w:pPr>
                        <w:r>
                          <w:rPr>
                            <w:rFonts w:ascii="宋体" w:hAnsi="宋体" w:cs="宋体" w:eastAsia="宋体" w:hint="default"/>
                            <w:spacing w:val="-10"/>
                            <w:sz w:val="18"/>
                            <w:szCs w:val="18"/>
                          </w:rPr>
                          <w:t>司章程》的议案；</w:t>
                        </w:r>
                        <w:r>
                          <w:rPr>
                            <w:rFonts w:ascii="Times New Roman" w:hAnsi="Times New Roman" w:cs="Times New Roman" w:eastAsia="Times New Roman" w:hint="default"/>
                            <w:spacing w:val="-10"/>
                            <w:sz w:val="18"/>
                            <w:szCs w:val="18"/>
                          </w:rPr>
                          <w:t>4</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关于更换董事的议 案；</w:t>
                        </w:r>
                        <w:r>
                          <w:rPr>
                            <w:rFonts w:ascii="Times New Roman" w:hAnsi="Times New Roman" w:cs="Times New Roman" w:eastAsia="Times New Roman" w:hint="default"/>
                            <w:sz w:val="18"/>
                            <w:szCs w:val="18"/>
                          </w:rPr>
                          <w:t>5</w:t>
                        </w:r>
                        <w:r>
                          <w:rPr>
                            <w:rFonts w:ascii="宋体" w:hAnsi="宋体" w:cs="宋体" w:eastAsia="宋体" w:hint="default"/>
                            <w:sz w:val="18"/>
                            <w:szCs w:val="18"/>
                          </w:rPr>
                          <w:t>、关于更换监</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审议通过全部议案</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决议公告》刊登于</w:t>
                        </w:r>
                      </w:p>
                      <w:p>
                        <w:pPr>
                          <w:pStyle w:val="TableParagraph"/>
                          <w:spacing w:line="316" w:lineRule="auto" w:before="76"/>
                          <w:ind w:left="23" w:right="2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《证券</w:t>
                        </w:r>
                        <w:r>
                          <w:rPr>
                            <w:rFonts w:ascii="宋体" w:hAnsi="宋体" w:cs="宋体" w:eastAsia="宋体" w:hint="default"/>
                            <w:sz w:val="18"/>
                            <w:szCs w:val="18"/>
                          </w:rPr>
                          <w:t> 日报</w:t>
                        </w:r>
                        <w:r>
                          <w:rPr>
                            <w:rFonts w:ascii="宋体" w:hAnsi="宋体" w:cs="宋体" w:eastAsia="宋体" w:hint="default"/>
                            <w:spacing w:val="-90"/>
                            <w:sz w:val="18"/>
                            <w:szCs w:val="18"/>
                          </w:rPr>
                          <w:t>》、</w:t>
                        </w:r>
                        <w:r>
                          <w:rPr>
                            <w:rFonts w:ascii="宋体" w:hAnsi="宋体" w:cs="宋体" w:eastAsia="宋体" w:hint="default"/>
                            <w:sz w:val="18"/>
                            <w:szCs w:val="18"/>
                          </w:rPr>
                          <w:t>《中国证券</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事的议案；</w:t>
                        </w:r>
                        <w:r>
                          <w:rPr>
                            <w:rFonts w:ascii="Times New Roman" w:hAnsi="Times New Roman" w:cs="Times New Roman" w:eastAsia="Times New Roman" w:hint="default"/>
                            <w:sz w:val="18"/>
                            <w:szCs w:val="18"/>
                          </w:rPr>
                          <w:t>6</w:t>
                        </w:r>
                        <w:r>
                          <w:rPr>
                            <w:rFonts w:ascii="宋体" w:hAnsi="宋体" w:cs="宋体" w:eastAsia="宋体" w:hint="default"/>
                            <w:sz w:val="18"/>
                            <w:szCs w:val="18"/>
                          </w:rPr>
                          <w:t>、关于</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审议公</w:t>
                        </w:r>
                        <w:r>
                          <w:rPr>
                            <w:rFonts w:ascii="宋体" w:hAnsi="宋体" w:cs="宋体" w:eastAsia="宋体" w:hint="default"/>
                            <w:spacing w:val="-82"/>
                            <w:sz w:val="18"/>
                            <w:szCs w:val="18"/>
                          </w:rPr>
                          <w:t>司</w:t>
                        </w:r>
                        <w:r>
                          <w:rPr>
                            <w:rFonts w:ascii="宋体" w:hAnsi="宋体" w:cs="宋体" w:eastAsia="宋体" w:hint="default"/>
                            <w:sz w:val="18"/>
                            <w:szCs w:val="18"/>
                          </w:rPr>
                          <w:t>《高风险投</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及巨潮资讯网</w:t>
                        </w:r>
                      </w:p>
                    </w:tc>
                  </w:tr>
                  <w:tr>
                    <w:trPr>
                      <w:trHeight w:val="316"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资管理制度》的议</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hyperlink r:id="rId17">
                          <w:r>
                            <w:rPr>
                              <w:rFonts w:ascii="Times New Roman"/>
                              <w:sz w:val="18"/>
                            </w:rPr>
                            <w:t>http://www.cninfo.co</w:t>
                          </w:r>
                        </w:hyperlink>
                      </w:p>
                    </w:tc>
                  </w:tr>
                  <w:tr>
                    <w:trPr>
                      <w:trHeight w:val="313"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Times New Roman" w:hAnsi="Times New Roman" w:cs="Times New Roman" w:eastAsia="Times New Roman" w:hint="default"/>
                            <w:sz w:val="18"/>
                            <w:szCs w:val="18"/>
                          </w:rPr>
                          <w:t>7</w:t>
                        </w:r>
                        <w:r>
                          <w:rPr>
                            <w:rFonts w:ascii="宋体" w:hAnsi="宋体" w:cs="宋体" w:eastAsia="宋体" w:hint="default"/>
                            <w:sz w:val="18"/>
                            <w:szCs w:val="18"/>
                          </w:rPr>
                          <w:t>、关于修改公</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m.cn</w:t>
                        </w: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司内控制度的议案</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、关于申请银行授</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信的议案；</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2012-030  </w:t>
                        </w:r>
                        <w:r>
                          <w:rPr>
                            <w:rFonts w:ascii="宋体" w:hAnsi="宋体" w:cs="宋体" w:eastAsia="宋体" w:hint="default"/>
                            <w:sz w:val="18"/>
                            <w:szCs w:val="18"/>
                          </w:rPr>
                          <w:t>《北京中</w:t>
                        </w:r>
                      </w:p>
                    </w:tc>
                  </w:tr>
                  <w:tr>
                    <w:trPr>
                      <w:trHeight w:val="1555"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07" w:lineRule="auto" w:before="142"/>
                          <w:ind w:left="2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、关于公司符合发 行公司债券条件的 议案；</w:t>
                        </w:r>
                        <w:r>
                          <w:rPr>
                            <w:rFonts w:ascii="Times New Roman" w:hAnsi="Times New Roman" w:cs="Times New Roman" w:eastAsia="Times New Roman" w:hint="default"/>
                            <w:sz w:val="18"/>
                            <w:szCs w:val="18"/>
                          </w:rPr>
                          <w:t>2</w:t>
                        </w:r>
                        <w:r>
                          <w:rPr>
                            <w:rFonts w:ascii="宋体" w:hAnsi="宋体" w:cs="宋体" w:eastAsia="宋体" w:hint="default"/>
                            <w:sz w:val="18"/>
                            <w:szCs w:val="18"/>
                          </w:rPr>
                          <w:t>、关于发行 公司债券的议案；</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审议通过全部议案</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12" w:lineRule="auto" w:before="5"/>
                          <w:ind w:left="23" w:right="29"/>
                          <w:jc w:val="left"/>
                          <w:rPr>
                            <w:rFonts w:ascii="宋体" w:hAnsi="宋体" w:cs="宋体" w:eastAsia="宋体" w:hint="default"/>
                            <w:sz w:val="18"/>
                            <w:szCs w:val="18"/>
                          </w:rPr>
                        </w:pPr>
                        <w:r>
                          <w:rPr>
                            <w:rFonts w:ascii="宋体" w:hAnsi="宋体" w:cs="宋体" w:eastAsia="宋体" w:hint="default"/>
                            <w:sz w:val="18"/>
                            <w:szCs w:val="18"/>
                          </w:rPr>
                          <w:t>科金财科技股份有 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年年第 二次临时股东大会 决议公告》刊登于</w:t>
                        </w:r>
                      </w:p>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《证券</w:t>
                        </w:r>
                      </w:p>
                    </w:tc>
                  </w:tr>
                  <w:tr>
                    <w:trPr>
                      <w:trHeight w:val="317"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日报</w:t>
                        </w:r>
                        <w:r>
                          <w:rPr>
                            <w:rFonts w:ascii="宋体" w:hAnsi="宋体" w:cs="宋体" w:eastAsia="宋体" w:hint="default"/>
                            <w:spacing w:val="-90"/>
                            <w:sz w:val="18"/>
                            <w:szCs w:val="18"/>
                          </w:rPr>
                          <w:t>》、</w:t>
                        </w:r>
                        <w:r>
                          <w:rPr>
                            <w:rFonts w:ascii="宋体" w:hAnsi="宋体" w:cs="宋体" w:eastAsia="宋体" w:hint="default"/>
                            <w:sz w:val="18"/>
                            <w:szCs w:val="18"/>
                          </w:rPr>
                          <w:t>《中国证券</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8"/>
        <w:rPr>
          <w:rFonts w:ascii="宋体" w:hAnsi="宋体" w:cs="宋体" w:eastAsia="宋体" w:hint="default"/>
          <w:sz w:val="26"/>
          <w:szCs w:val="26"/>
        </w:rPr>
      </w:pPr>
    </w:p>
    <w:p>
      <w:pPr>
        <w:spacing w:before="44"/>
        <w:ind w:left="0" w:right="169" w:firstLine="0"/>
        <w:jc w:val="right"/>
        <w:rPr>
          <w:rFonts w:ascii="宋体" w:hAnsi="宋体" w:cs="宋体" w:eastAsia="宋体" w:hint="default"/>
          <w:sz w:val="18"/>
          <w:szCs w:val="18"/>
        </w:rPr>
      </w:pPr>
      <w:r>
        <w:rPr/>
        <w:pict>
          <v:shape style="position:absolute;margin-left:56.459999pt;margin-top:1.191964pt;width:479.05pt;height:65.4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298"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10"/>
                          <w:ind w:left="23" w:right="30"/>
                          <w:jc w:val="left"/>
                          <w:rPr>
                            <w:rFonts w:ascii="Times New Roman" w:hAnsi="Times New Roman" w:cs="Times New Roman" w:eastAsia="Times New Roman" w:hint="default"/>
                            <w:sz w:val="18"/>
                            <w:szCs w:val="18"/>
                          </w:rPr>
                        </w:pPr>
                        <w:r>
                          <w:rPr>
                            <w:rFonts w:ascii="宋体" w:hAnsi="宋体" w:cs="宋体" w:eastAsia="宋体" w:hint="default"/>
                            <w:spacing w:val="-20"/>
                            <w:sz w:val="18"/>
                            <w:szCs w:val="18"/>
                          </w:rPr>
                          <w:t>报》、《上海证券报</w:t>
                        </w:r>
                        <w:r>
                          <w:rPr>
                            <w:rFonts w:ascii="宋体" w:hAnsi="宋体" w:cs="宋体" w:eastAsia="宋体" w:hint="default"/>
                            <w:sz w:val="18"/>
                            <w:szCs w:val="18"/>
                          </w:rPr>
                          <w:t> 及巨潮资讯网 </w:t>
                        </w:r>
                        <w:hyperlink r:id="rId17">
                          <w:r>
                            <w:rPr>
                              <w:rFonts w:ascii="Times New Roman" w:hAnsi="Times New Roman" w:cs="Times New Roman" w:eastAsia="Times New Roman" w:hint="default"/>
                              <w:spacing w:val="-1"/>
                              <w:sz w:val="18"/>
                              <w:szCs w:val="18"/>
                            </w:rPr>
                            <w:t>http://www.cninfo.co</w:t>
                          </w:r>
                        </w:hyperlink>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m.cn</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r>
        <w:rPr/>
        <w:t>三、报告期内独立董事履行职责的情况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彭雪峰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温京辉</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王锁柱</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6"/>
        <w:ind w:left="154" w:right="59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3"/>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before="116"/>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408" w:lineRule="auto" w:before="153"/>
        <w:ind w:left="574" w:right="0" w:hanging="421"/>
        <w:jc w:val="left"/>
        <w:rPr>
          <w:rFonts w:ascii="宋体" w:hAnsi="宋体" w:cs="宋体" w:eastAsia="宋体" w:hint="default"/>
          <w:sz w:val="21"/>
          <w:szCs w:val="21"/>
        </w:rPr>
      </w:pPr>
      <w:r>
        <w:rPr>
          <w:rFonts w:ascii="宋体" w:hAnsi="宋体" w:cs="宋体" w:eastAsia="宋体" w:hint="default"/>
          <w:b/>
          <w:bCs/>
          <w:sz w:val="21"/>
          <w:szCs w:val="21"/>
        </w:rPr>
        <w:t>独立董事对公司有关建议被采纳或未被采纳的说明</w:t>
      </w:r>
      <w:r>
        <w:rPr>
          <w:rFonts w:ascii="宋体" w:hAnsi="宋体" w:cs="宋体" w:eastAsia="宋体" w:hint="default"/>
          <w:b/>
          <w:bCs/>
          <w:w w:val="99"/>
          <w:sz w:val="21"/>
          <w:szCs w:val="21"/>
        </w:rPr>
        <w:t> </w:t>
      </w:r>
      <w:r>
        <w:rPr>
          <w:rFonts w:ascii="宋体" w:hAnsi="宋体" w:cs="宋体" w:eastAsia="宋体" w:hint="default"/>
          <w:spacing w:val="-1"/>
          <w:sz w:val="21"/>
          <w:szCs w:val="21"/>
        </w:rPr>
        <w:t>公司独立董事在2012年度勤勉尽责，积极了解公司的生产经营情况和财务状况；及时关注经济形势以</w:t>
      </w:r>
    </w:p>
    <w:p>
      <w:pPr>
        <w:pStyle w:val="BodyText"/>
        <w:spacing w:line="408" w:lineRule="auto"/>
        <w:ind w:right="150"/>
        <w:jc w:val="both"/>
      </w:pPr>
      <w:r>
        <w:rPr>
          <w:spacing w:val="-1"/>
        </w:rPr>
        <w:t>及市场变化对公司经营状况的影响；关注传媒、网络有关公司的相关报道；及时获悉公司重大事项的进展</w:t>
      </w:r>
      <w:r>
        <w:rPr>
          <w:spacing w:val="-83"/>
        </w:rPr>
        <w:t> </w:t>
      </w:r>
      <w:r>
        <w:rPr>
          <w:spacing w:val="-83"/>
        </w:rPr>
      </w:r>
      <w:r>
        <w:rPr>
          <w:spacing w:val="-1"/>
        </w:rPr>
        <w:t>情况，定期审阅公司提供的定期报告、临时公告；对报告期内公司发生的相关事项出具了独立、公正的独</w:t>
      </w:r>
      <w:r>
        <w:rPr>
          <w:spacing w:val="-82"/>
        </w:rPr>
        <w:t> </w:t>
      </w:r>
      <w:r>
        <w:rPr>
          <w:spacing w:val="-82"/>
        </w:rPr>
      </w:r>
      <w:r>
        <w:rPr/>
        <w:t>立董事意见，有效地履行了独立董事的职责，维护了公司和中小股东的合法权益。</w:t>
      </w:r>
    </w:p>
    <w:p>
      <w:pPr>
        <w:spacing w:line="240" w:lineRule="auto" w:before="11"/>
        <w:rPr>
          <w:rFonts w:ascii="宋体" w:hAnsi="宋体" w:cs="宋体" w:eastAsia="宋体" w:hint="default"/>
          <w:sz w:val="18"/>
          <w:szCs w:val="18"/>
        </w:rPr>
      </w:pPr>
    </w:p>
    <w:p>
      <w:pPr>
        <w:pStyle w:val="Heading2"/>
        <w:spacing w:line="240" w:lineRule="auto" w:before="0"/>
        <w:ind w:right="0"/>
        <w:jc w:val="both"/>
        <w:rPr>
          <w:b w:val="0"/>
          <w:bCs w:val="0"/>
        </w:rPr>
      </w:pPr>
      <w:r>
        <w:rPr/>
        <w:t>四、董事会下设专门委员会在报告期内履行职责情况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577" w:right="0"/>
        <w:jc w:val="left"/>
      </w:pPr>
      <w:r>
        <w:rPr/>
        <w:t>1、战略委员会 </w:t>
      </w:r>
      <w:r>
        <w:rPr>
          <w:spacing w:val="-1"/>
        </w:rPr>
        <w:t>报告期内，战略委员会根据《董事会战略委员会工作制度》及其他有关规定积极开展工作，认真履行</w:t>
      </w:r>
    </w:p>
    <w:p>
      <w:pPr>
        <w:spacing w:after="0" w:line="408"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4"/>
        <w:ind w:right="102"/>
        <w:jc w:val="left"/>
      </w:pPr>
      <w:r>
        <w:rPr>
          <w:spacing w:val="-1"/>
        </w:rPr>
        <w:t>职责。报告期内，战略委员会召开了2次战略委员会会议，向董事会提出的建议，明晰了公司的经营策略，</w:t>
      </w:r>
      <w:r>
        <w:rPr>
          <w:spacing w:val="-82"/>
        </w:rPr>
        <w:t> </w:t>
      </w:r>
      <w:r>
        <w:rPr>
          <w:spacing w:val="-82"/>
        </w:rPr>
      </w:r>
      <w:r>
        <w:rPr/>
        <w:t>对公司持续稳定健康的发展起到了及其重要的促进作用，对公司重要投资事项进行深入的分析研究，为公</w:t>
      </w:r>
      <w:r>
        <w:rPr/>
        <w:t> 司发展战略的实施提出了合理的建议。</w:t>
      </w:r>
    </w:p>
    <w:p>
      <w:pPr>
        <w:pStyle w:val="BodyText"/>
        <w:spacing w:line="408" w:lineRule="auto"/>
        <w:ind w:left="577" w:right="102"/>
        <w:jc w:val="left"/>
      </w:pPr>
      <w:r>
        <w:rPr/>
        <w:t>2、审计委员会 </w:t>
      </w:r>
      <w:r>
        <w:rPr>
          <w:spacing w:val="-1"/>
        </w:rPr>
        <w:t>报告期内，审计委员会根据《公司董事会审计委员会工作制度》及其他有关规定积极开展工作，认真</w:t>
      </w:r>
    </w:p>
    <w:p>
      <w:pPr>
        <w:pStyle w:val="BodyText"/>
        <w:spacing w:line="408" w:lineRule="auto"/>
        <w:ind w:right="101"/>
        <w:jc w:val="left"/>
      </w:pPr>
      <w:r>
        <w:rPr/>
        <w:t>履行职责。报告期内，审计委员会召开了4次会议，审查了公司内部控制制度及执行情况，审核了公司所 有重要的会计政策，定期了解公司财务状况和经营情况，督促和指导公司审计部门对公司财务管理运行情 </w:t>
      </w:r>
      <w:r>
        <w:rPr>
          <w:spacing w:val="-3"/>
        </w:rPr>
        <w:t>况进行定期和不定期的检查和评估，委员会认为公司内控制度体系符合法律、法规及《公司章程》的要求，</w:t>
      </w:r>
      <w:r>
        <w:rPr>
          <w:spacing w:val="-94"/>
        </w:rPr>
        <w:t> </w:t>
      </w:r>
      <w:r>
        <w:rPr>
          <w:spacing w:val="-94"/>
        </w:rPr>
      </w:r>
      <w:r>
        <w:rPr/>
        <w:t>适应当前公司生产经营实际情况的需要。</w:t>
      </w:r>
    </w:p>
    <w:p>
      <w:pPr>
        <w:pStyle w:val="BodyText"/>
        <w:spacing w:line="408" w:lineRule="auto"/>
        <w:ind w:left="577" w:right="102"/>
        <w:jc w:val="left"/>
      </w:pPr>
      <w:r>
        <w:rPr/>
        <w:t>3、薪酬与考核委员会 </w:t>
      </w:r>
      <w:r>
        <w:rPr>
          <w:spacing w:val="-1"/>
        </w:rPr>
        <w:t>报告期内，薪酬与考核委员会根据《董事会薪酬与考核委员会工作制度》及其他有关规定积极开展工</w:t>
      </w:r>
    </w:p>
    <w:p>
      <w:pPr>
        <w:pStyle w:val="BodyText"/>
        <w:spacing w:line="408" w:lineRule="auto"/>
        <w:ind w:right="211"/>
        <w:jc w:val="both"/>
      </w:pPr>
      <w:r>
        <w:rPr/>
        <w:t>作，认真履行职责。报告期内，薪酬与考核委员会召开了1</w:t>
      </w:r>
      <w:r>
        <w:rPr>
          <w:spacing w:val="-24"/>
        </w:rPr>
        <w:t> </w:t>
      </w:r>
      <w:r>
        <w:rPr/>
        <w:t>次会议，根据《公司章程》及《公司董事会薪</w:t>
      </w:r>
      <w:r>
        <w:rPr/>
        <w:t> </w:t>
      </w:r>
      <w:r>
        <w:rPr>
          <w:spacing w:val="-1"/>
        </w:rPr>
        <w:t>酬与考核委员会工作制度》，结合公司经营规模等实际情况并参照行业薪酬水平，对公司董事、监事和高</w:t>
      </w:r>
      <w:r>
        <w:rPr>
          <w:spacing w:val="-82"/>
        </w:rPr>
        <w:t> </w:t>
      </w:r>
      <w:r>
        <w:rPr>
          <w:spacing w:val="-82"/>
        </w:rPr>
      </w:r>
      <w:r>
        <w:rPr/>
        <w:t>级管理人员的薪酬情况进行了审核，并对公司薪酬体系的改善提出了合理化的建议。</w:t>
      </w:r>
    </w:p>
    <w:p>
      <w:pPr>
        <w:pStyle w:val="BodyText"/>
        <w:spacing w:line="408" w:lineRule="auto"/>
        <w:ind w:left="577" w:right="102"/>
        <w:jc w:val="left"/>
      </w:pPr>
      <w:r>
        <w:rPr/>
        <w:t>4、提名委员会 </w:t>
      </w:r>
      <w:r>
        <w:rPr>
          <w:spacing w:val="-1"/>
        </w:rPr>
        <w:t>报告期内，提名委员会根据《公司董事会提名委员会工作制度》及其他有关规定积极开展工作，认真</w:t>
      </w:r>
    </w:p>
    <w:p>
      <w:pPr>
        <w:pStyle w:val="BodyText"/>
        <w:spacing w:line="408" w:lineRule="auto"/>
        <w:ind w:right="102"/>
        <w:jc w:val="left"/>
      </w:pPr>
      <w:r>
        <w:rPr/>
        <w:t>履行职责。报告期内，提名委员会召开了2次会议，对公司高级管理人员夏海涛、张京辉、李昕照及董事 </w:t>
      </w:r>
      <w:r>
        <w:rPr>
          <w:spacing w:val="-1"/>
        </w:rPr>
        <w:t>李明珠的任职资格等相关事宜进行了认真的审核，认为上述人员具有丰富的行业经验和管理经验，完全胜</w:t>
      </w:r>
      <w:r>
        <w:rPr>
          <w:spacing w:val="-81"/>
        </w:rPr>
        <w:t> </w:t>
      </w:r>
      <w:r>
        <w:rPr>
          <w:spacing w:val="-81"/>
        </w:rPr>
      </w:r>
      <w:r>
        <w:rPr/>
        <w:t>任各自的工作，并提请公司第二届董事会第十次会议审议。</w:t>
      </w:r>
    </w:p>
    <w:p>
      <w:pPr>
        <w:spacing w:line="240" w:lineRule="auto" w:before="11"/>
        <w:rPr>
          <w:rFonts w:ascii="宋体" w:hAnsi="宋体" w:cs="宋体" w:eastAsia="宋体" w:hint="default"/>
          <w:sz w:val="18"/>
          <w:szCs w:val="18"/>
        </w:rPr>
      </w:pPr>
    </w:p>
    <w:p>
      <w:pPr>
        <w:pStyle w:val="Heading2"/>
        <w:spacing w:line="240" w:lineRule="auto" w:before="0"/>
        <w:ind w:right="102"/>
        <w:jc w:val="left"/>
        <w:rPr>
          <w:b w:val="0"/>
          <w:bCs w:val="0"/>
        </w:rPr>
      </w:pPr>
      <w:r>
        <w:rPr/>
        <w:t>五、监事会工作情况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102"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4" w:right="67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before="0"/>
        <w:ind w:right="102"/>
        <w:jc w:val="left"/>
        <w:rPr>
          <w:b w:val="0"/>
          <w:bCs w:val="0"/>
        </w:rPr>
      </w:pPr>
      <w:r>
        <w:rPr/>
        <w:t>六、公司相对于控股股东在业务、人员、资产、机构、财务等方面的独立完整情况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02" w:firstLine="423"/>
        <w:jc w:val="left"/>
      </w:pPr>
      <w:r>
        <w:rPr>
          <w:spacing w:val="-1"/>
        </w:rPr>
        <w:t>公司与控股股东在业务、人员、资产、机构、财务等方面完全分开，具有独立完整的业务及自主经营</w:t>
      </w:r>
      <w:r>
        <w:rPr/>
        <w:t> 能力。</w:t>
      </w:r>
    </w:p>
    <w:p>
      <w:pPr>
        <w:pStyle w:val="BodyText"/>
        <w:spacing w:line="408" w:lineRule="auto"/>
        <w:ind w:right="102" w:firstLine="423"/>
        <w:jc w:val="left"/>
      </w:pPr>
      <w:r>
        <w:rPr/>
        <w:t>（一）业务独立：公司拥有独立完整的业务体系及自主经营能力,能够面向市场独立经营、核算和决 </w:t>
      </w:r>
      <w:r>
        <w:rPr>
          <w:spacing w:val="-1"/>
        </w:rPr>
        <w:t>策，独立承担责任与风险。公司的业务开展完全独立于控股股东，不存在受制于公司股东及其它关联方的</w:t>
      </w:r>
    </w:p>
    <w:p>
      <w:pPr>
        <w:spacing w:after="0" w:line="408"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240" w:lineRule="auto" w:before="174"/>
        <w:ind w:right="102"/>
        <w:jc w:val="left"/>
      </w:pPr>
      <w:r>
        <w:rPr/>
        <w:t>情况。</w:t>
      </w:r>
    </w:p>
    <w:p>
      <w:pPr>
        <w:spacing w:line="240" w:lineRule="auto" w:before="10"/>
        <w:rPr>
          <w:rFonts w:ascii="宋体" w:hAnsi="宋体" w:cs="宋体" w:eastAsia="宋体" w:hint="default"/>
          <w:sz w:val="14"/>
          <w:szCs w:val="14"/>
        </w:rPr>
      </w:pPr>
    </w:p>
    <w:p>
      <w:pPr>
        <w:pStyle w:val="BodyText"/>
        <w:spacing w:line="408" w:lineRule="auto" w:before="0"/>
        <w:ind w:left="153" w:right="210" w:firstLine="423"/>
        <w:jc w:val="both"/>
      </w:pPr>
      <w:r>
        <w:rPr>
          <w:spacing w:val="-6"/>
        </w:rPr>
        <w:t>（二）人员独立：公司董事(含独立董事)、监事及高级管理人员严格按照《公司法》、《公司章程》的</w:t>
      </w:r>
      <w:r>
        <w:rPr/>
        <w:t> </w:t>
      </w:r>
      <w:r>
        <w:rPr>
          <w:spacing w:val="-1"/>
        </w:rPr>
        <w:t>有关规定产生，公司的总经理、副总经理、财务负责人、董事会秘书等高级管理人员均在公司专职工作并</w:t>
      </w:r>
      <w:r>
        <w:rPr>
          <w:spacing w:val="-82"/>
        </w:rPr>
        <w:t> </w:t>
      </w:r>
      <w:r>
        <w:rPr>
          <w:spacing w:val="-82"/>
        </w:rPr>
      </w:r>
      <w:r>
        <w:rPr>
          <w:spacing w:val="-1"/>
        </w:rPr>
        <w:t>领取薪酬，不存在在关联企业兼职领薪的情况；公司高级管理人员的任免均由公司董事会通过合法程序决</w:t>
      </w:r>
      <w:r>
        <w:rPr>
          <w:spacing w:val="-81"/>
        </w:rPr>
        <w:t> </w:t>
      </w:r>
      <w:r>
        <w:rPr>
          <w:spacing w:val="-81"/>
        </w:rPr>
      </w:r>
      <w:r>
        <w:rPr>
          <w:spacing w:val="-1"/>
        </w:rPr>
        <w:t>定，不存在控股股东干涉人事任免决定的现象；公司拥有独立的员工队伍，并已建立较为完善的劳动用工</w:t>
      </w:r>
      <w:r>
        <w:rPr>
          <w:spacing w:val="-83"/>
        </w:rPr>
        <w:t> </w:t>
      </w:r>
      <w:r>
        <w:rPr>
          <w:spacing w:val="-83"/>
        </w:rPr>
      </w:r>
      <w:r>
        <w:rPr>
          <w:spacing w:val="-1"/>
        </w:rPr>
        <w:t>和人事管理制度。公司已依据国家的法律法规与公司全体员工签定了劳动合同并缴纳社会保险费用，公司</w:t>
      </w:r>
      <w:r>
        <w:rPr>
          <w:spacing w:val="-81"/>
        </w:rPr>
        <w:t> </w:t>
      </w:r>
      <w:r>
        <w:rPr>
          <w:spacing w:val="-81"/>
        </w:rPr>
      </w:r>
      <w:r>
        <w:rPr/>
        <w:t>拥有独立的劳动用工权利，不存在受控股股东控制的情形。</w:t>
      </w:r>
    </w:p>
    <w:p>
      <w:pPr>
        <w:pStyle w:val="BodyText"/>
        <w:spacing w:line="408" w:lineRule="auto"/>
        <w:ind w:left="153" w:right="188" w:firstLine="423"/>
        <w:jc w:val="both"/>
      </w:pPr>
      <w:r>
        <w:rPr>
          <w:spacing w:val="-1"/>
        </w:rPr>
        <w:t>（三）资产独立：公司的资产完整，拥有与生产经营范围相适应的各项资质、设备、专利等资产。公</w:t>
      </w:r>
      <w:r>
        <w:rPr/>
        <w:t> 司的各项资产均不存在被抵押、质押的情况，并对其拥有完整的所有权。公司资产独立于公司控股股东， </w:t>
      </w:r>
      <w:r>
        <w:rPr>
          <w:spacing w:val="-1"/>
        </w:rPr>
        <w:t>对所有资产有完全的控制支配权，不存在资产、资金被控股股东占用而损害公司利益的情况，亦不存在为</w:t>
      </w:r>
      <w:r>
        <w:rPr>
          <w:spacing w:val="-83"/>
        </w:rPr>
        <w:t> </w:t>
      </w:r>
      <w:r>
        <w:rPr>
          <w:spacing w:val="-83"/>
        </w:rPr>
      </w:r>
      <w:r>
        <w:rPr/>
        <w:t>股东和其他个人提供担保的情形。</w:t>
      </w:r>
    </w:p>
    <w:p>
      <w:pPr>
        <w:pStyle w:val="BodyText"/>
        <w:spacing w:line="408" w:lineRule="auto"/>
        <w:ind w:left="153" w:right="104" w:firstLine="423"/>
        <w:jc w:val="both"/>
      </w:pPr>
      <w:r>
        <w:rPr>
          <w:spacing w:val="-3"/>
        </w:rPr>
        <w:t>（四）机构独立：本公司依照《公司法》和《公司章程》的规定，设置了股东大会、董事会、监事会，</w:t>
      </w:r>
      <w:r>
        <w:rPr/>
        <w:t> </w:t>
      </w:r>
      <w:r>
        <w:rPr>
          <w:spacing w:val="-3"/>
        </w:rPr>
        <w:t>制定了议事规则，公司独立行使经营管理职权，独立于公司的控股股东、实际控制人及其控制的其他企业，</w:t>
      </w:r>
      <w:r>
        <w:rPr>
          <w:spacing w:val="-90"/>
        </w:rPr>
        <w:t> </w:t>
      </w:r>
      <w:r>
        <w:rPr>
          <w:spacing w:val="-90"/>
        </w:rPr>
      </w:r>
      <w:r>
        <w:rPr/>
        <w:t>不存在机构混同的情形。公司的办公场所独立于股东单位，不存在混合经营、合署办公的情形。</w:t>
      </w:r>
    </w:p>
    <w:p>
      <w:pPr>
        <w:pStyle w:val="BodyText"/>
        <w:spacing w:line="408" w:lineRule="auto"/>
        <w:ind w:left="153" w:right="208" w:firstLine="423"/>
        <w:jc w:val="both"/>
      </w:pPr>
      <w:r>
        <w:rPr>
          <w:spacing w:val="-1"/>
        </w:rPr>
        <w:t>（五）财务独立：公司设立了独立的财务部门，配备了专职财务人员，建立了独立的会计核算体系和</w:t>
      </w:r>
      <w:r>
        <w:rPr/>
        <w:t> 财务管理制度。公司在银行独立开户，依法独立纳税，具有独立作出财务决策的能力。</w:t>
      </w:r>
    </w:p>
    <w:p>
      <w:pPr>
        <w:spacing w:line="240" w:lineRule="auto" w:before="11"/>
        <w:rPr>
          <w:rFonts w:ascii="宋体" w:hAnsi="宋体" w:cs="宋体" w:eastAsia="宋体" w:hint="default"/>
          <w:sz w:val="18"/>
          <w:szCs w:val="18"/>
        </w:rPr>
      </w:pPr>
    </w:p>
    <w:p>
      <w:pPr>
        <w:pStyle w:val="Heading2"/>
        <w:spacing w:line="240" w:lineRule="auto" w:before="0"/>
        <w:ind w:right="102"/>
        <w:jc w:val="left"/>
        <w:rPr>
          <w:b w:val="0"/>
          <w:bCs w:val="0"/>
        </w:rPr>
      </w:pPr>
      <w:r>
        <w:rPr/>
        <w:t>七、同业竞争情况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325"/>
        <w:jc w:val="left"/>
      </w:pPr>
      <w:r>
        <w:rPr/>
        <w:t>公司与控股股东、实际控制人及持股5%以上股东之间不存在同业竞争情况。 公司控股股东及持股5%以上的股东于2011年2月28日出具了避免同业竞争的承诺，内容如下： 公司控股股东沈飒、朱烨东承诺：</w:t>
      </w:r>
    </w:p>
    <w:p>
      <w:pPr>
        <w:pStyle w:val="BodyText"/>
        <w:spacing w:line="408" w:lineRule="auto"/>
        <w:ind w:right="188" w:firstLine="315"/>
        <w:jc w:val="both"/>
      </w:pPr>
      <w:r>
        <w:rPr/>
        <w:t>（1）本人目前并没有直接或间接地从事任何与中科金财所从事的业务构成同业竞争的任何业务活动， </w:t>
      </w:r>
      <w:r>
        <w:rPr>
          <w:spacing w:val="-1"/>
        </w:rPr>
        <w:t>今后的任何时间亦不会直接或间接地以任何方式（包括但不限于独资、合资、合作和联营）参与或进行任</w:t>
      </w:r>
      <w:r>
        <w:rPr>
          <w:spacing w:val="-82"/>
        </w:rPr>
        <w:t> </w:t>
      </w:r>
      <w:r>
        <w:rPr>
          <w:spacing w:val="-82"/>
        </w:rPr>
      </w:r>
      <w:r>
        <w:rPr/>
        <w:t>何与中科金财所从事的业务有实质性竞争或可能有实质性竞争的业务活动。</w:t>
      </w:r>
    </w:p>
    <w:p>
      <w:pPr>
        <w:pStyle w:val="BodyText"/>
        <w:spacing w:line="408" w:lineRule="auto"/>
        <w:ind w:right="102" w:firstLine="420"/>
        <w:jc w:val="left"/>
      </w:pPr>
      <w:r>
        <w:rPr/>
        <w:t>（2）对于本人将来可能出现的下属全资、控股、参股企业所生产的产品或所从事的业务与中科金财 </w:t>
      </w:r>
      <w:r>
        <w:rPr>
          <w:spacing w:val="-1"/>
        </w:rPr>
        <w:t>有竞争或构成竞争的情况，承诺在中科金财提出要求时出让本人在该等企业中的全部出资或股份，并承诺</w:t>
      </w:r>
      <w:r>
        <w:rPr>
          <w:spacing w:val="-81"/>
        </w:rPr>
        <w:t> </w:t>
      </w:r>
      <w:r>
        <w:rPr>
          <w:spacing w:val="-81"/>
        </w:rPr>
      </w:r>
      <w:r>
        <w:rPr>
          <w:spacing w:val="-1"/>
        </w:rPr>
        <w:t>给予中科金财对该等出资或股份的优先购买权，并将尽最大努力促使有关交易的价格是经公平合理的及与</w:t>
      </w:r>
      <w:r>
        <w:rPr>
          <w:spacing w:val="-81"/>
        </w:rPr>
        <w:t> </w:t>
      </w:r>
      <w:r>
        <w:rPr>
          <w:spacing w:val="-81"/>
        </w:rPr>
      </w:r>
      <w:r>
        <w:rPr/>
        <w:t>独立第三者进行正常商业交易的基础上确定的。</w:t>
      </w:r>
    </w:p>
    <w:p>
      <w:pPr>
        <w:pStyle w:val="BodyText"/>
        <w:spacing w:line="408" w:lineRule="auto"/>
        <w:ind w:right="209" w:firstLine="315"/>
        <w:jc w:val="both"/>
      </w:pPr>
      <w:r>
        <w:rPr>
          <w:spacing w:val="-1"/>
        </w:rPr>
        <w:t>（3）本人承诺不向业务与中科金财及中科金财的下属企业（含直接或间接控制的企业）所生产的产品</w:t>
      </w:r>
      <w:r>
        <w:rPr/>
        <w:t> </w:t>
      </w:r>
      <w:r>
        <w:rPr>
          <w:spacing w:val="-1"/>
        </w:rPr>
        <w:t>或所从事的业务构成竞争的其他公司、企业或其他机构、组织或个人提供专有技术或提供销售渠道、客户</w:t>
      </w:r>
    </w:p>
    <w:p>
      <w:pPr>
        <w:spacing w:after="0" w:line="408" w:lineRule="auto"/>
        <w:jc w:val="both"/>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信息等商业秘密。</w:t>
      </w:r>
    </w:p>
    <w:p>
      <w:pPr>
        <w:spacing w:line="240" w:lineRule="auto" w:before="10"/>
        <w:rPr>
          <w:rFonts w:ascii="宋体" w:hAnsi="宋体" w:cs="宋体" w:eastAsia="宋体" w:hint="default"/>
          <w:sz w:val="14"/>
          <w:szCs w:val="14"/>
        </w:rPr>
      </w:pPr>
    </w:p>
    <w:p>
      <w:pPr>
        <w:pStyle w:val="BodyText"/>
        <w:spacing w:line="408" w:lineRule="auto" w:before="0"/>
        <w:ind w:right="0" w:firstLine="315"/>
        <w:jc w:val="left"/>
      </w:pPr>
      <w:r>
        <w:rPr>
          <w:spacing w:val="-1"/>
        </w:rPr>
        <w:t>（4）除非中科金财明示同意，本人将不采用代销、特约经销、指定代理商等形式经营销售其他商家生</w:t>
      </w:r>
      <w:r>
        <w:rPr/>
        <w:t> 产的与中科金财产品有同业竞争关系的产品。</w:t>
      </w:r>
    </w:p>
    <w:p>
      <w:pPr>
        <w:pStyle w:val="BodyText"/>
        <w:spacing w:line="408" w:lineRule="auto"/>
        <w:ind w:right="320" w:firstLine="315"/>
        <w:jc w:val="left"/>
      </w:pPr>
      <w:r>
        <w:rPr/>
        <w:t>（5）如出现因本人或本人控制的其他企业或组织违反上述承诺而导致中科金财的权益受到损害的情 况，本人将依法承担相应的赔偿责任。</w:t>
      </w:r>
    </w:p>
    <w:p>
      <w:pPr>
        <w:pStyle w:val="BodyText"/>
        <w:spacing w:line="408" w:lineRule="auto"/>
        <w:ind w:right="149" w:firstLine="420"/>
        <w:jc w:val="both"/>
      </w:pPr>
      <w:r>
        <w:rPr>
          <w:spacing w:val="-1"/>
        </w:rPr>
        <w:t>公司持股5%以上的股东陈绪华、蔡迦、李彤彤、天津达晨创富股权投资基金中心（有限合伙）、天津</w:t>
      </w:r>
      <w:r>
        <w:rPr/>
        <w:t> </w:t>
      </w:r>
      <w:r>
        <w:rPr>
          <w:spacing w:val="-1"/>
        </w:rPr>
        <w:t>常春藤一期股权投资中心（有限合伙）承诺：截至本承诺书出具之日，本人（本机构）未直接或间接投资</w:t>
      </w:r>
      <w:r>
        <w:rPr>
          <w:spacing w:val="-83"/>
        </w:rPr>
        <w:t> </w:t>
      </w:r>
      <w:r>
        <w:rPr>
          <w:spacing w:val="-83"/>
        </w:rPr>
      </w:r>
      <w:r>
        <w:rPr>
          <w:spacing w:val="-1"/>
        </w:rPr>
        <w:t>于任何与中科金财存在相同或类似业务的公司、企业或其他经营实体，未自己经营或为他人经营与中科金</w:t>
      </w:r>
      <w:r>
        <w:rPr>
          <w:spacing w:val="-81"/>
        </w:rPr>
        <w:t> </w:t>
      </w:r>
      <w:r>
        <w:rPr>
          <w:spacing w:val="-81"/>
        </w:rPr>
      </w:r>
      <w:r>
        <w:rPr/>
        <w:t>财相同或类似的业务。</w:t>
      </w:r>
    </w:p>
    <w:p>
      <w:pPr>
        <w:pStyle w:val="BodyText"/>
        <w:spacing w:line="408" w:lineRule="auto"/>
        <w:ind w:right="128" w:firstLine="420"/>
        <w:jc w:val="both"/>
      </w:pPr>
      <w:r>
        <w:rPr>
          <w:spacing w:val="-1"/>
        </w:rPr>
        <w:t>自本承诺书出具之日起，将不以任何方式（包括但不限于单独经营、通过合资经营或拥有另一公司或</w:t>
      </w:r>
      <w:r>
        <w:rPr/>
        <w:t> </w:t>
      </w:r>
      <w:r>
        <w:rPr>
          <w:spacing w:val="-1"/>
        </w:rPr>
        <w:t>企业的股份及其他权益）在中国境内或境外任何地区直接或间接地从事与中科金财主营业务构成或可能构</w:t>
      </w:r>
      <w:r>
        <w:rPr>
          <w:spacing w:val="-81"/>
        </w:rPr>
        <w:t> </w:t>
      </w:r>
      <w:r>
        <w:rPr>
          <w:spacing w:val="-81"/>
        </w:rPr>
      </w:r>
      <w:r>
        <w:rPr>
          <w:spacing w:val="-1"/>
        </w:rPr>
        <w:t>成竞争的业务；不以任何方式从事或参与生产任何与中科金财产品、服务相同、相似或可以取代中科金财</w:t>
      </w:r>
      <w:r>
        <w:rPr>
          <w:spacing w:val="-83"/>
        </w:rPr>
        <w:t> </w:t>
      </w:r>
      <w:r>
        <w:rPr>
          <w:spacing w:val="-83"/>
        </w:rPr>
      </w:r>
      <w:r>
        <w:rPr/>
        <w:t>产品、服务的业务或活动；如从第三方获得的任何商业机会与中科金财经营的业务有竞争或可能有竞争， 则立即通知中科金财，并尽力将该商业机会让予中科金财。</w:t>
      </w:r>
    </w:p>
    <w:p>
      <w:pPr>
        <w:pStyle w:val="BodyText"/>
        <w:spacing w:line="408" w:lineRule="auto"/>
        <w:ind w:right="150" w:firstLine="420"/>
        <w:jc w:val="both"/>
      </w:pPr>
      <w:r>
        <w:rPr>
          <w:spacing w:val="-1"/>
        </w:rPr>
        <w:t>如违反本承诺书所述内容，本人（本机构）将采取积极措施消除同业竞争，并愿意承担由此给中科金</w:t>
      </w:r>
      <w:r>
        <w:rPr/>
        <w:t> </w:t>
      </w:r>
      <w:r>
        <w:rPr>
          <w:spacing w:val="-1"/>
        </w:rPr>
        <w:t>财或中科金财中除本人（本机构）以外的其他股东造成的直接或间接经济损失、索赔责任及额外的费用支</w:t>
      </w:r>
      <w:r>
        <w:rPr>
          <w:spacing w:val="-83"/>
        </w:rPr>
        <w:t> </w:t>
      </w:r>
      <w:r>
        <w:rPr>
          <w:spacing w:val="-83"/>
        </w:rPr>
      </w:r>
      <w:r>
        <w:rPr/>
        <w:t>出。</w:t>
      </w:r>
    </w:p>
    <w:p>
      <w:pPr>
        <w:pStyle w:val="BodyText"/>
        <w:spacing w:line="243" w:lineRule="exact" w:before="0"/>
        <w:ind w:left="574" w:right="0"/>
        <w:jc w:val="left"/>
        <w:rPr>
          <w:sz w:val="18"/>
          <w:szCs w:val="18"/>
        </w:rPr>
      </w:pPr>
      <w:r>
        <w:rPr/>
        <w:t>报告期内，公司股东均严格履行了承诺</w:t>
      </w:r>
      <w:r>
        <w:rPr>
          <w:sz w:val="18"/>
          <w:szCs w:val="18"/>
        </w:rPr>
        <w:t>。</w:t>
      </w:r>
    </w:p>
    <w:p>
      <w:pPr>
        <w:spacing w:line="240" w:lineRule="auto" w:before="1"/>
        <w:rPr>
          <w:rFonts w:ascii="宋体" w:hAnsi="宋体" w:cs="宋体" w:eastAsia="宋体" w:hint="default"/>
          <w:sz w:val="24"/>
          <w:szCs w:val="24"/>
        </w:rPr>
      </w:pPr>
    </w:p>
    <w:p>
      <w:pPr>
        <w:pStyle w:val="Heading2"/>
        <w:spacing w:line="240" w:lineRule="auto" w:before="0"/>
        <w:ind w:right="0"/>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49" w:firstLine="423"/>
        <w:jc w:val="both"/>
      </w:pPr>
      <w:r>
        <w:rPr>
          <w:spacing w:val="-1"/>
        </w:rPr>
        <w:t>公司建立了较为合理的高级管理人员的绩效评价标准和激励约束机制，根据高级管理人员的年度履职</w:t>
      </w:r>
      <w:r>
        <w:rPr/>
        <w:t> </w:t>
      </w:r>
      <w:r>
        <w:rPr>
          <w:spacing w:val="-2"/>
        </w:rPr>
        <w:t>情况、绩效考核结果和公司经营业绩的情况决定其年度薪酬。2012</w:t>
      </w:r>
      <w:r>
        <w:rPr>
          <w:spacing w:val="-40"/>
        </w:rPr>
        <w:t> </w:t>
      </w:r>
      <w:r>
        <w:rPr>
          <w:spacing w:val="-2"/>
        </w:rPr>
        <w:t>年公司高级管理人员能够严格按照《公</w:t>
      </w:r>
      <w:r>
        <w:rPr>
          <w:spacing w:val="-102"/>
        </w:rPr>
        <w:t> </w:t>
      </w:r>
      <w:r>
        <w:rPr>
          <w:spacing w:val="-102"/>
        </w:rPr>
      </w:r>
      <w:r>
        <w:rPr>
          <w:spacing w:val="-5"/>
        </w:rPr>
        <w:t>司法》、《公司章程》及国家有关法律法规认真履行职责，积极落实公司股东大会和董事会相关决议，认真</w:t>
      </w:r>
      <w:r>
        <w:rPr/>
        <w:t> </w:t>
      </w:r>
      <w:r>
        <w:rPr>
          <w:spacing w:val="-1"/>
        </w:rPr>
        <w:t>履行了工作职责，较好的完成了既定目标。公司各项考评及激励机制执行情况良好，起到了应有的激励和</w:t>
      </w:r>
      <w:r>
        <w:rPr>
          <w:spacing w:val="-83"/>
        </w:rPr>
        <w:t> </w:t>
      </w:r>
      <w:r>
        <w:rPr>
          <w:spacing w:val="-83"/>
        </w:rPr>
      </w:r>
      <w:r>
        <w:rPr/>
        <w:t>约束作用。</w:t>
      </w:r>
    </w:p>
    <w:p>
      <w:pPr>
        <w:spacing w:after="0" w:line="408"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1" w:right="3647"/>
        <w:jc w:val="center"/>
        <w:rPr>
          <w:b w:val="0"/>
          <w:bCs w:val="0"/>
        </w:rPr>
      </w:pPr>
      <w:bookmarkStart w:name="_TOC_250002" w:id="9"/>
      <w:r>
        <w:rPr/>
        <w:t>第九节</w:t>
      </w:r>
      <w:r>
        <w:rPr>
          <w:spacing w:val="-5"/>
        </w:rPr>
        <w:t> </w:t>
      </w:r>
      <w:r>
        <w:rPr/>
        <w:t>内部控制</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102"/>
        <w:jc w:val="left"/>
        <w:rPr>
          <w:b w:val="0"/>
          <w:bCs w:val="0"/>
        </w:rPr>
      </w:pPr>
      <w:r>
        <w:rPr/>
        <w:t>一、内部控制建设情况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70" w:firstLine="525"/>
        <w:jc w:val="left"/>
      </w:pPr>
      <w:r>
        <w:rPr>
          <w:spacing w:val="-14"/>
        </w:rPr>
        <w:t>公司根据《公司法》、《证券法》、《上市公司内部控制指引》、《深圳证券交易所中小板上市公司规范</w:t>
      </w:r>
      <w:r>
        <w:rPr/>
        <w:t> </w:t>
      </w:r>
      <w:r>
        <w:rPr>
          <w:spacing w:val="-1"/>
        </w:rPr>
        <w:t>运作指引》及其他法律法规的有关规定，结合公司实际情况和经营特点，围绕公司治理、经营决策、会计</w:t>
      </w:r>
      <w:r>
        <w:rPr>
          <w:spacing w:val="-83"/>
        </w:rPr>
        <w:t> </w:t>
      </w:r>
      <w:r>
        <w:rPr>
          <w:spacing w:val="-83"/>
        </w:rPr>
      </w:r>
      <w:r>
        <w:rPr>
          <w:spacing w:val="-1"/>
        </w:rPr>
        <w:t>及财务管理、信息披露等方面，形成了以《公司章程》为基础，规范三会运作为重点，以信息披露、内控</w:t>
      </w:r>
      <w:r>
        <w:rPr>
          <w:spacing w:val="-85"/>
        </w:rPr>
        <w:t> </w:t>
      </w:r>
      <w:r>
        <w:rPr>
          <w:spacing w:val="-85"/>
        </w:rPr>
      </w:r>
      <w:r>
        <w:rPr>
          <w:spacing w:val="-1"/>
        </w:rPr>
        <w:t>机制、投资决策、股权管理、投资者关系管理等方面为主要内容的合规有效的制度体系。公司的内部控制</w:t>
      </w:r>
      <w:r>
        <w:rPr>
          <w:spacing w:val="-82"/>
        </w:rPr>
        <w:t> </w:t>
      </w:r>
      <w:r>
        <w:rPr>
          <w:spacing w:val="-82"/>
        </w:rPr>
      </w:r>
      <w:r>
        <w:rPr>
          <w:spacing w:val="-1"/>
        </w:rPr>
        <w:t>体系，涵盖了公司财务管理、战略管理、投资管理、人力资源管理、信息化管理、采购管理等方面，并建</w:t>
      </w:r>
      <w:r>
        <w:rPr>
          <w:spacing w:val="-85"/>
        </w:rPr>
        <w:t> </w:t>
      </w:r>
      <w:r>
        <w:rPr>
          <w:spacing w:val="-85"/>
        </w:rPr>
      </w:r>
      <w:r>
        <w:rPr>
          <w:spacing w:val="-1"/>
        </w:rPr>
        <w:t>立相应授权、检查和问责制度，对其运行情况进行持续检查和监督，及时进行修订完善。内部控制体系确</w:t>
      </w:r>
      <w:r>
        <w:rPr>
          <w:spacing w:val="-82"/>
        </w:rPr>
        <w:t> </w:t>
      </w:r>
      <w:r>
        <w:rPr>
          <w:spacing w:val="-82"/>
        </w:rPr>
      </w:r>
      <w:r>
        <w:rPr/>
        <w:t>保股东大会、董事会、监事会及其他各专门委员会、经理层的规范运作，有效防范经营决策及管理风险。 </w:t>
      </w:r>
      <w:r>
        <w:rPr>
          <w:spacing w:val="-1"/>
        </w:rPr>
        <w:t>公司内部控制建设符合有关法规和监管理部门的要求，符合当前公司经营管理需要。报告期内，公司不断</w:t>
      </w:r>
      <w:r>
        <w:rPr>
          <w:spacing w:val="-83"/>
        </w:rPr>
        <w:t> </w:t>
      </w:r>
      <w:r>
        <w:rPr>
          <w:spacing w:val="-83"/>
        </w:rPr>
      </w:r>
      <w:r>
        <w:rPr>
          <w:spacing w:val="-1"/>
        </w:rPr>
        <w:t>完善公司法人治理结构，修订补充内部控制制度，规范公司与控股股东之间的关系，加强对关联交易、对</w:t>
      </w:r>
      <w:r>
        <w:rPr>
          <w:spacing w:val="-82"/>
        </w:rPr>
        <w:t> </w:t>
      </w:r>
      <w:r>
        <w:rPr>
          <w:spacing w:val="-82"/>
        </w:rPr>
      </w:r>
      <w:r>
        <w:rPr/>
        <w:t>外担保、重大投资活动及募集资金使用的管控，对公司的生产经营起到了很大监督、控制和指导的作用， 有力地保障了公司经营管理的正常化和经营决策的科学化。</w:t>
      </w:r>
    </w:p>
    <w:p>
      <w:pPr>
        <w:spacing w:line="240" w:lineRule="auto" w:before="11"/>
        <w:rPr>
          <w:rFonts w:ascii="宋体" w:hAnsi="宋体" w:cs="宋体" w:eastAsia="宋体" w:hint="default"/>
          <w:sz w:val="18"/>
          <w:szCs w:val="18"/>
        </w:rPr>
      </w:pPr>
    </w:p>
    <w:p>
      <w:pPr>
        <w:pStyle w:val="Heading2"/>
        <w:spacing w:line="240" w:lineRule="auto" w:before="0"/>
        <w:ind w:right="102"/>
        <w:jc w:val="left"/>
        <w:rPr>
          <w:b w:val="0"/>
          <w:bCs w:val="0"/>
        </w:rPr>
      </w:pPr>
      <w:r>
        <w:rPr/>
        <w:t>二、董事会关于内部控制责任的声明</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153" w:right="210" w:firstLine="426"/>
        <w:jc w:val="both"/>
      </w:pPr>
      <w:r>
        <w:rPr>
          <w:spacing w:val="-1"/>
        </w:rPr>
        <w:t>公司董事会认为：公司已经建立起了一整套较为完善的内部控制体系，符合《公司法》等法律法规及</w:t>
      </w:r>
      <w:r>
        <w:rPr/>
        <w:t> </w:t>
      </w:r>
      <w:r>
        <w:rPr>
          <w:spacing w:val="-1"/>
        </w:rPr>
        <w:t>监管机构有关上市公司治理的相关规范性文件的要求。公司股东大会、董事会、监事会及高级管理人员均</w:t>
      </w:r>
      <w:r>
        <w:rPr>
          <w:spacing w:val="-83"/>
        </w:rPr>
        <w:t> </w:t>
      </w:r>
      <w:r>
        <w:rPr>
          <w:spacing w:val="-83"/>
        </w:rPr>
      </w:r>
      <w:r>
        <w:rPr>
          <w:spacing w:val="-1"/>
        </w:rPr>
        <w:t>能够按照《公司章程》和相关内部控制的要求履行职责，勤勉敬业；公司内部各部门及其工作人员亦按照</w:t>
      </w:r>
      <w:r>
        <w:rPr>
          <w:spacing w:val="-82"/>
        </w:rPr>
        <w:t> </w:t>
      </w:r>
      <w:r>
        <w:rPr>
          <w:spacing w:val="-82"/>
        </w:rPr>
      </w:r>
      <w:r>
        <w:rPr>
          <w:spacing w:val="-1"/>
        </w:rPr>
        <w:t>公司的内部控制，明确分工，互相配合，互相监督；其他方面内部控制也均得到了切实的贯彻实施，有效</w:t>
      </w:r>
      <w:r>
        <w:rPr>
          <w:spacing w:val="-83"/>
        </w:rPr>
        <w:t> </w:t>
      </w:r>
      <w:r>
        <w:rPr>
          <w:spacing w:val="-83"/>
        </w:rPr>
      </w:r>
      <w:r>
        <w:rPr/>
        <w:t>的保证了公司运行的依法有序，促进了公司业务的不断发展。</w:t>
      </w:r>
    </w:p>
    <w:p>
      <w:pPr>
        <w:pStyle w:val="BodyText"/>
        <w:spacing w:line="408" w:lineRule="auto"/>
        <w:ind w:left="153" w:right="90" w:firstLine="426"/>
        <w:jc w:val="left"/>
      </w:pPr>
      <w:r>
        <w:rPr>
          <w:spacing w:val="-3"/>
        </w:rPr>
        <w:t>公司现有内部控制基本能够适应公司管理的要求，能够对编制真实、公允的财务报表提供合理的保证，</w:t>
      </w:r>
      <w:r>
        <w:rPr/>
        <w:t> 能够对公司各项业务活动的健康运行及国家有关法律法规和单位内部规章制度的贯彻执行提供保证。公司 还需要不断关注国家新出台的法律法规和内部控制方面的具体规范，继续完善本公司内部控制体系，改进 内部控制具体制度和程序，加强员工内部控制培训，强调落实，促进公司更好更快地发展。</w:t>
      </w:r>
    </w:p>
    <w:p>
      <w:pPr>
        <w:pStyle w:val="BodyText"/>
        <w:spacing w:line="408" w:lineRule="auto"/>
        <w:ind w:left="153" w:right="102" w:firstLine="426"/>
        <w:jc w:val="left"/>
      </w:pPr>
      <w:r>
        <w:rPr/>
        <w:t>《北京中科金财科技股份有限公司关于</w:t>
      </w:r>
      <w:r>
        <w:rPr>
          <w:spacing w:val="-58"/>
        </w:rPr>
        <w:t> </w:t>
      </w:r>
      <w:r>
        <w:rPr/>
        <w:t>2012</w:t>
      </w:r>
      <w:r>
        <w:rPr>
          <w:spacing w:val="-57"/>
        </w:rPr>
        <w:t> </w:t>
      </w:r>
      <w:r>
        <w:rPr/>
        <w:t>年度内部控制的自我评价报告》刊登在</w:t>
      </w:r>
      <w:r>
        <w:rPr>
          <w:spacing w:val="-58"/>
        </w:rPr>
        <w:t> </w:t>
      </w:r>
      <w:r>
        <w:rPr/>
        <w:t>2013</w:t>
      </w:r>
      <w:r>
        <w:rPr>
          <w:spacing w:val="-57"/>
        </w:rPr>
        <w:t> </w:t>
      </w:r>
      <w:r>
        <w:rPr/>
        <w:t>年</w:t>
      </w:r>
      <w:r>
        <w:rPr>
          <w:spacing w:val="-59"/>
        </w:rPr>
        <w:t> </w:t>
      </w:r>
      <w:r>
        <w:rPr/>
        <w:t>4</w:t>
      </w:r>
      <w:r>
        <w:rPr>
          <w:spacing w:val="-58"/>
        </w:rPr>
        <w:t> </w:t>
      </w:r>
      <w:r>
        <w:rPr/>
        <w:t>月</w:t>
      </w:r>
      <w:r>
        <w:rPr>
          <w:spacing w:val="-58"/>
        </w:rPr>
        <w:t> </w:t>
      </w:r>
      <w:r>
        <w:rPr/>
        <w:t>18</w:t>
      </w:r>
      <w:r>
        <w:rPr/>
        <w:t> 日的巨潮资讯网</w:t>
      </w:r>
      <w:r>
        <w:rPr>
          <w:spacing w:val="-67"/>
        </w:rPr>
        <w:t> </w:t>
      </w:r>
      <w:hyperlink r:id="rId11">
        <w:r>
          <w:rPr/>
          <w:t>http://www.cninfo.com.cn</w:t>
        </w:r>
      </w:hyperlink>
      <w:r>
        <w:rPr>
          <w:spacing w:val="-66"/>
        </w:rPr>
        <w:t> </w:t>
      </w:r>
      <w:r>
        <w:rPr/>
        <w:t>上。</w:t>
      </w:r>
    </w:p>
    <w:p>
      <w:pPr>
        <w:spacing w:after="0" w:line="408" w:lineRule="auto"/>
        <w:jc w:val="left"/>
        <w:sectPr>
          <w:pgSz w:w="11910" w:h="16840"/>
          <w:pgMar w:header="747" w:footer="982" w:top="1060" w:bottom="1180" w:left="980" w:right="920"/>
        </w:sectPr>
      </w:pPr>
    </w:p>
    <w:p>
      <w:pPr>
        <w:spacing w:line="240" w:lineRule="auto" w:before="9"/>
        <w:rPr>
          <w:rFonts w:ascii="宋体" w:hAnsi="宋体" w:cs="宋体" w:eastAsia="宋体" w:hint="default"/>
          <w:sz w:val="23"/>
          <w:szCs w:val="23"/>
        </w:rPr>
      </w:pPr>
    </w:p>
    <w:p>
      <w:pPr>
        <w:pStyle w:val="Heading2"/>
        <w:spacing w:line="240" w:lineRule="auto"/>
        <w:ind w:right="102"/>
        <w:jc w:val="left"/>
        <w:rPr>
          <w:b w:val="0"/>
          <w:bCs w:val="0"/>
        </w:rPr>
      </w:pPr>
      <w:r>
        <w:rPr/>
        <w:t>三、建立财务报告内部控制的依据</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153" w:right="181" w:firstLine="423"/>
        <w:jc w:val="left"/>
      </w:pPr>
      <w:r>
        <w:rPr>
          <w:spacing w:val="-5"/>
        </w:rPr>
        <w:t>公司依据《企业内部控制基本规范》（财会〔2008〕7</w:t>
      </w:r>
      <w:r>
        <w:rPr>
          <w:spacing w:val="-40"/>
        </w:rPr>
        <w:t> </w:t>
      </w:r>
      <w:r>
        <w:rPr>
          <w:spacing w:val="-13"/>
        </w:rPr>
        <w:t>号）、《企业内部控制配套指引》（财会[2010]11</w:t>
      </w:r>
      <w:r>
        <w:rPr>
          <w:spacing w:val="-1"/>
        </w:rPr>
        <w:t> </w:t>
      </w:r>
      <w:r>
        <w:rPr>
          <w:spacing w:val="-17"/>
        </w:rPr>
        <w:t>号）、《中小企业板上市公司规范运作指引》、《会计法》、《企业会计准则》、《企业财务通则》等相关法律、</w:t>
      </w:r>
      <w:r>
        <w:rPr>
          <w:spacing w:val="-103"/>
        </w:rPr>
        <w:t> </w:t>
      </w:r>
      <w:r>
        <w:rPr>
          <w:spacing w:val="-103"/>
        </w:rPr>
      </w:r>
      <w:r>
        <w:rPr>
          <w:spacing w:val="-3"/>
        </w:rPr>
        <w:t>法规以及公司章程的规定，结合公司实际情况制定了《北京中科金财科技股份有限公司财务管理制度》，</w:t>
      </w:r>
      <w:r>
        <w:rPr>
          <w:spacing w:val="-72"/>
        </w:rPr>
        <w:t> </w:t>
      </w:r>
      <w:r>
        <w:rPr>
          <w:spacing w:val="-72"/>
        </w:rPr>
      </w:r>
      <w:r>
        <w:rPr>
          <w:spacing w:val="-1"/>
        </w:rPr>
        <w:t>对公司财务机构设置、财务核算规范、资金资产管理、收入费用核算、财务报告披露等方面做出了严格的</w:t>
      </w:r>
      <w:r>
        <w:rPr>
          <w:spacing w:val="-82"/>
        </w:rPr>
        <w:t> </w:t>
      </w:r>
      <w:r>
        <w:rPr>
          <w:spacing w:val="-82"/>
        </w:rPr>
      </w:r>
      <w:r>
        <w:rPr>
          <w:spacing w:val="-1"/>
        </w:rPr>
        <w:t>规定，对公司加强财务管理和内部控制，规范公司财务行为，维护股东、债权人及公司的合法权益起了重</w:t>
      </w:r>
      <w:r>
        <w:rPr>
          <w:spacing w:val="-82"/>
        </w:rPr>
        <w:t> </w:t>
      </w:r>
      <w:r>
        <w:rPr>
          <w:spacing w:val="-82"/>
        </w:rPr>
      </w:r>
      <w:r>
        <w:rPr/>
        <w:t>要作用。</w:t>
      </w:r>
    </w:p>
    <w:p>
      <w:pPr>
        <w:spacing w:line="240" w:lineRule="auto" w:before="11"/>
        <w:rPr>
          <w:rFonts w:ascii="宋体" w:hAnsi="宋体" w:cs="宋体" w:eastAsia="宋体" w:hint="default"/>
          <w:sz w:val="18"/>
          <w:szCs w:val="18"/>
        </w:rPr>
      </w:pPr>
    </w:p>
    <w:p>
      <w:pPr>
        <w:pStyle w:val="Heading2"/>
        <w:spacing w:line="240" w:lineRule="auto" w:before="0"/>
        <w:ind w:right="102"/>
        <w:jc w:val="left"/>
        <w:rPr>
          <w:b w:val="0"/>
          <w:bCs w:val="0"/>
        </w:rPr>
      </w:pPr>
      <w:r>
        <w:rPr/>
        <w:t>四、内部控制自我评价报告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34"/>
        <w:gridCol w:w="693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88"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3"/>
                <w:sz w:val="18"/>
                <w:szCs w:val="18"/>
              </w:rPr>
              <w:t> </w:t>
            </w:r>
            <w:hyperlink r:id="rId11">
              <w:r>
                <w:rPr>
                  <w:rFonts w:ascii="Times New Roman" w:hAnsi="Times New Roman" w:cs="Times New Roman" w:eastAsia="Times New Roman" w:hint="default"/>
                  <w:sz w:val="18"/>
                  <w:szCs w:val="18"/>
                </w:rPr>
                <w:t>http://www.cninfo.com.cn</w:t>
              </w:r>
            </w:hyperlink>
          </w:p>
        </w:tc>
      </w:tr>
    </w:tbl>
    <w:p>
      <w:pPr>
        <w:spacing w:line="240" w:lineRule="auto" w:before="2"/>
        <w:rPr>
          <w:rFonts w:ascii="宋体" w:hAnsi="宋体" w:cs="宋体" w:eastAsia="宋体" w:hint="default"/>
          <w:b/>
          <w:bCs/>
          <w:sz w:val="18"/>
          <w:szCs w:val="18"/>
        </w:rPr>
      </w:pPr>
    </w:p>
    <w:p>
      <w:pPr>
        <w:pStyle w:val="Heading2"/>
        <w:spacing w:line="240" w:lineRule="auto"/>
        <w:ind w:right="102"/>
        <w:jc w:val="left"/>
        <w:rPr>
          <w:b w:val="0"/>
          <w:bCs w:val="0"/>
        </w:rPr>
      </w:pPr>
      <w:r>
        <w:rPr/>
        <w:t>五、内部控制审计报告</w:t>
      </w:r>
      <w:r>
        <w:rPr>
          <w:b w:val="0"/>
          <w:bCs w:val="0"/>
        </w:rPr>
      </w:r>
    </w:p>
    <w:p>
      <w:pPr>
        <w:spacing w:line="240" w:lineRule="auto" w:before="9"/>
        <w:rPr>
          <w:rFonts w:ascii="宋体" w:hAnsi="宋体" w:cs="宋体" w:eastAsia="宋体" w:hint="default"/>
          <w:b/>
          <w:bCs/>
          <w:sz w:val="26"/>
          <w:szCs w:val="26"/>
        </w:rPr>
      </w:pPr>
    </w:p>
    <w:p>
      <w:pPr>
        <w:spacing w:before="0"/>
        <w:ind w:left="154"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50"/>
        <w:gridCol w:w="6917"/>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1" w:hanging="1"/>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日在所有重大方 面保持了与财务报表相关的有效的内部控制。</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3"/>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3"/>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3"/>
                <w:sz w:val="18"/>
                <w:szCs w:val="18"/>
              </w:rPr>
              <w:t> </w:t>
            </w:r>
            <w:hyperlink r:id="rId11">
              <w:r>
                <w:rPr>
                  <w:rFonts w:ascii="Times New Roman" w:hAnsi="Times New Roman" w:cs="Times New Roman" w:eastAsia="Times New Roman" w:hint="default"/>
                  <w:sz w:val="18"/>
                  <w:szCs w:val="18"/>
                </w:rPr>
                <w:t>http://www.cninfo.com.cn</w:t>
              </w:r>
            </w:hyperlink>
          </w:p>
        </w:tc>
      </w:tr>
    </w:tbl>
    <w:p>
      <w:pPr>
        <w:spacing w:before="51"/>
        <w:ind w:left="154" w:right="102"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line="338" w:lineRule="auto" w:before="117"/>
        <w:ind w:left="154" w:right="37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会计师事务所出具的内部控制审计报告与董事会的自我评价报告意见是否一致</w:t>
      </w:r>
    </w:p>
    <w:p>
      <w:pPr>
        <w:spacing w:before="43"/>
        <w:ind w:left="154"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before="0"/>
        <w:ind w:right="102"/>
        <w:jc w:val="left"/>
        <w:rPr>
          <w:b w:val="0"/>
          <w:bCs w:val="0"/>
        </w:rPr>
      </w:pPr>
      <w:r>
        <w:rPr/>
        <w:t>六、年度报告重大差错责任追究制度的建立与执行情况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01" w:firstLine="481"/>
        <w:jc w:val="left"/>
      </w:pPr>
      <w:r>
        <w:rPr>
          <w:spacing w:val="-2"/>
        </w:rPr>
        <w:t>本公司为进一步提高公司规范运作水平，加大年报信息披露责任人的问责力度，提高年报信息披露的</w:t>
      </w:r>
      <w:r>
        <w:rPr/>
        <w:t> </w:t>
      </w:r>
      <w:r>
        <w:rPr>
          <w:spacing w:val="-3"/>
        </w:rPr>
        <w:t>质量和透明度，增强年报信息披露的真实性、准确性、完整性和及时性，根据《中华人民共和国公司法》、</w:t>
      </w:r>
    </w:p>
    <w:p>
      <w:pPr>
        <w:pStyle w:val="BodyText"/>
        <w:spacing w:line="408" w:lineRule="auto"/>
        <w:ind w:right="174"/>
        <w:jc w:val="left"/>
      </w:pPr>
      <w:r>
        <w:rPr/>
        <w:t>《中华人民共和国证券法</w:t>
      </w:r>
      <w:r>
        <w:rPr>
          <w:spacing w:val="-105"/>
        </w:rPr>
        <w:t>》、</w:t>
      </w:r>
      <w:r>
        <w:rPr/>
        <w:t>《中</w:t>
      </w:r>
      <w:r>
        <w:rPr>
          <w:spacing w:val="-2"/>
        </w:rPr>
        <w:t>华</w:t>
      </w:r>
      <w:r>
        <w:rPr/>
        <w:t>人民共和国会计法</w:t>
      </w:r>
      <w:r>
        <w:rPr>
          <w:spacing w:val="-105"/>
        </w:rPr>
        <w:t>》</w:t>
      </w:r>
      <w:r>
        <w:rPr/>
        <w:t>、</w:t>
      </w:r>
      <w:r>
        <w:rPr>
          <w:spacing w:val="-2"/>
        </w:rPr>
        <w:t>中</w:t>
      </w:r>
      <w:r>
        <w:rPr/>
        <w:t>国证券监督管理委员会发布的《上市公司信息</w:t>
      </w:r>
      <w:r>
        <w:rPr/>
        <w:t> 披露管理办法</w:t>
      </w:r>
      <w:r>
        <w:rPr>
          <w:spacing w:val="-105"/>
        </w:rPr>
        <w:t>》、</w:t>
      </w:r>
      <w:r>
        <w:rPr/>
        <w:t>《深</w:t>
      </w:r>
      <w:r>
        <w:rPr>
          <w:spacing w:val="-2"/>
        </w:rPr>
        <w:t>圳</w:t>
      </w:r>
      <w:r>
        <w:rPr/>
        <w:t>证券交易所股票上市规则</w:t>
      </w:r>
      <w:r>
        <w:rPr>
          <w:spacing w:val="-105"/>
        </w:rPr>
        <w:t>》、</w:t>
      </w:r>
      <w:r>
        <w:rPr/>
        <w:t>《深</w:t>
      </w:r>
      <w:r>
        <w:rPr>
          <w:spacing w:val="-2"/>
        </w:rPr>
        <w:t>圳</w:t>
      </w:r>
      <w:r>
        <w:rPr/>
        <w:t>证券交易所中小企业板上市公司规范运作指引》</w:t>
      </w:r>
    </w:p>
    <w:p>
      <w:pPr>
        <w:spacing w:after="0" w:line="408"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4"/>
        <w:ind w:right="86"/>
        <w:jc w:val="left"/>
      </w:pPr>
      <w:r>
        <w:rPr>
          <w:spacing w:val="-5"/>
        </w:rPr>
        <w:t>等有关法律、法规和《北京中科金财科技股份有限公司章程》、《北京中科金财科技股份有限公司信息披露</w:t>
      </w:r>
      <w:r>
        <w:rPr/>
        <w:t> </w:t>
      </w:r>
      <w:r>
        <w:rPr>
          <w:spacing w:val="-7"/>
        </w:rPr>
        <w:t>管理制度》的有关规定，并结合本公司的实际情况，制定并发布了《年报信息披露重大差错责任追究制度》。</w:t>
      </w:r>
      <w:r>
        <w:rPr/>
        <w:t> 制度中对财务报告重大会计差错的认定及处理程序、其他年报信息披露重大差错的认定及处理程序、年报 信息披露重大差错的责任追究等进行了规定。</w:t>
      </w:r>
    </w:p>
    <w:p>
      <w:pPr>
        <w:pStyle w:val="BodyText"/>
        <w:spacing w:line="408" w:lineRule="auto"/>
        <w:ind w:right="170" w:firstLine="420"/>
        <w:jc w:val="left"/>
      </w:pPr>
      <w:r>
        <w:rPr/>
        <w:t>报告期内，公司严格按照上述制度执行，制度及流程运行状况良好，未发生年报重大会计差错更正、 重大遗漏信息补充等情形。</w:t>
      </w:r>
    </w:p>
    <w:p>
      <w:pPr>
        <w:spacing w:after="0" w:line="408"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421"/>
        <w:jc w:val="center"/>
        <w:rPr>
          <w:b w:val="0"/>
          <w:bCs w:val="0"/>
        </w:rPr>
      </w:pPr>
      <w:bookmarkStart w:name="_TOC_250001" w:id="10"/>
      <w:r>
        <w:rPr/>
        <w:t>第十节</w:t>
      </w:r>
      <w:r>
        <w:rPr>
          <w:spacing w:val="-5"/>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bl>
    <w:p>
      <w:pPr>
        <w:pStyle w:val="BodyText"/>
        <w:spacing w:line="240" w:lineRule="auto" w:before="63"/>
        <w:ind w:left="2422" w:right="2420"/>
        <w:jc w:val="center"/>
      </w:pPr>
      <w:r>
        <w:rPr/>
        <w:t>审计报告正文</w:t>
      </w:r>
    </w:p>
    <w:p>
      <w:pPr>
        <w:spacing w:line="240" w:lineRule="auto" w:before="1"/>
        <w:rPr>
          <w:rFonts w:ascii="宋体" w:hAnsi="宋体" w:cs="宋体" w:eastAsia="宋体" w:hint="default"/>
          <w:sz w:val="12"/>
          <w:szCs w:val="12"/>
        </w:rPr>
      </w:pPr>
    </w:p>
    <w:p>
      <w:pPr>
        <w:pStyle w:val="BodyText"/>
        <w:spacing w:line="408" w:lineRule="auto" w:before="35"/>
        <w:ind w:left="573" w:right="0" w:hanging="420"/>
        <w:jc w:val="left"/>
      </w:pPr>
      <w:r>
        <w:rPr/>
        <w:t>北京中科金财科技股份有限公司全体股东：</w:t>
      </w:r>
      <w:r>
        <w:rPr>
          <w:spacing w:val="-1"/>
        </w:rPr>
        <w:t> </w:t>
      </w:r>
      <w:r>
        <w:rPr>
          <w:spacing w:val="-2"/>
        </w:rPr>
        <w:t>我们审计了后附的北京中科金财科技股份有限公司（以下简称“贵公司”）财务报表，包括2012年12</w:t>
      </w:r>
      <w:r>
        <w:rPr/>
      </w:r>
    </w:p>
    <w:p>
      <w:pPr>
        <w:pStyle w:val="BodyText"/>
        <w:spacing w:line="408" w:lineRule="auto"/>
        <w:ind w:left="153" w:right="0"/>
        <w:jc w:val="left"/>
      </w:pPr>
      <w:r>
        <w:rPr>
          <w:spacing w:val="-1"/>
        </w:rPr>
        <w:t>月31日的资产负债表和合并资产负债表、2012年度的利润表和合并利润表、2012年度的现金流量表和合并</w:t>
      </w:r>
      <w:r>
        <w:rPr>
          <w:spacing w:val="-78"/>
        </w:rPr>
        <w:t> </w:t>
      </w:r>
      <w:r>
        <w:rPr>
          <w:spacing w:val="-78"/>
        </w:rPr>
      </w:r>
      <w:r>
        <w:rPr/>
        <w:t>现金流量表、2012年度的所有者权益变动表和合并所有者权益变动表以及财务报表附注。</w:t>
      </w:r>
      <w:r>
        <w:rPr/>
        <w:t> 一、管理层对财务报表的责任</w:t>
      </w:r>
    </w:p>
    <w:p>
      <w:pPr>
        <w:pStyle w:val="BodyText"/>
        <w:spacing w:line="408" w:lineRule="auto"/>
        <w:ind w:left="153" w:right="233" w:firstLine="420"/>
        <w:jc w:val="both"/>
      </w:pPr>
      <w:r>
        <w:rPr>
          <w:spacing w:val="-1"/>
        </w:rPr>
        <w:t>编制和公允列报财务报表是贵公司管理层的责任。这种责任包括：（1）按照企业会计准则的规定编 </w:t>
      </w:r>
      <w:r>
        <w:rPr/>
        <w:t>制财务报表，并使其实现公允反映；（2）设计、执行和维护必要的内部控制，以使财务报表不存在由于</w:t>
      </w:r>
      <w:r>
        <w:rPr/>
        <w:t> 舞弊或错误导致的重大错报。</w:t>
      </w:r>
    </w:p>
    <w:p>
      <w:pPr>
        <w:pStyle w:val="BodyText"/>
        <w:spacing w:line="408" w:lineRule="auto"/>
        <w:ind w:left="573" w:right="0" w:hanging="420"/>
        <w:jc w:val="left"/>
      </w:pPr>
      <w:r>
        <w:rPr/>
        <w:t>二、注册会计师的责任 </w:t>
      </w:r>
      <w:r>
        <w:rPr>
          <w:spacing w:val="-1"/>
        </w:rPr>
        <w:t>我们的责任是在执行审计工作的基础上对财务报表发表审计意见。我们按照中国注册会计师审计准则</w:t>
      </w:r>
    </w:p>
    <w:p>
      <w:pPr>
        <w:pStyle w:val="BodyText"/>
        <w:spacing w:line="408" w:lineRule="auto"/>
        <w:ind w:left="153" w:right="0"/>
        <w:jc w:val="left"/>
      </w:pPr>
      <w:r>
        <w:rPr>
          <w:spacing w:val="-1"/>
        </w:rPr>
        <w:t>的规定执行了审计工作。中国注册会计师审计准则要求我们遵守中国注册会计师职业道德守则，计划和执</w:t>
      </w:r>
      <w:r>
        <w:rPr>
          <w:spacing w:val="-81"/>
        </w:rPr>
        <w:t> </w:t>
      </w:r>
      <w:r>
        <w:rPr>
          <w:spacing w:val="-81"/>
        </w:rPr>
      </w:r>
      <w:r>
        <w:rPr/>
        <w:t>行审计工作以对财务报表是否不存在重大错报获取合理保证。</w:t>
      </w:r>
    </w:p>
    <w:p>
      <w:pPr>
        <w:pStyle w:val="BodyText"/>
        <w:spacing w:line="408" w:lineRule="auto"/>
        <w:ind w:left="153" w:right="151" w:firstLine="420"/>
        <w:jc w:val="both"/>
      </w:pPr>
      <w:r>
        <w:rPr>
          <w:spacing w:val="-1"/>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会计师考虑与财务报表编制和公允列报相关的内部控制，以设计恰当的审计程序，但目的并非对内部控制</w:t>
      </w:r>
      <w:r>
        <w:rPr>
          <w:spacing w:val="-81"/>
        </w:rPr>
        <w:t> </w:t>
      </w:r>
      <w:r>
        <w:rPr>
          <w:spacing w:val="-81"/>
        </w:rPr>
      </w:r>
      <w:r>
        <w:rPr>
          <w:spacing w:val="-1"/>
        </w:rPr>
        <w:t>的有效性发表意见。审计工作还包括评价管理层选用会计政策的恰当性和作出会计估计的合理性，以及评</w:t>
      </w:r>
      <w:r>
        <w:rPr>
          <w:spacing w:val="-81"/>
        </w:rPr>
        <w:t> </w:t>
      </w:r>
      <w:r>
        <w:rPr>
          <w:spacing w:val="-81"/>
        </w:rPr>
      </w:r>
      <w:r>
        <w:rPr/>
        <w:t>价财务报表的总体列报。</w:t>
      </w:r>
    </w:p>
    <w:p>
      <w:pPr>
        <w:pStyle w:val="BodyText"/>
        <w:spacing w:line="408" w:lineRule="auto"/>
        <w:ind w:left="153" w:right="1139" w:firstLine="420"/>
        <w:jc w:val="left"/>
      </w:pPr>
      <w:r>
        <w:rPr>
          <w:spacing w:val="-1"/>
        </w:rPr>
        <w:t>我们相信，我们获取的审计证据是充分、适当的，为发表审计意见提供了基础。 </w:t>
      </w:r>
      <w:r>
        <w:rPr/>
        <w:t>三、审计意见</w:t>
      </w:r>
    </w:p>
    <w:p>
      <w:pPr>
        <w:pStyle w:val="BodyText"/>
        <w:spacing w:line="408" w:lineRule="auto"/>
        <w:ind w:left="153" w:right="148" w:firstLine="420"/>
        <w:jc w:val="both"/>
      </w:pPr>
      <w:r>
        <w:rPr>
          <w:spacing w:val="-1"/>
        </w:rPr>
        <w:t>我们认为，贵公司财务报表在所有重大方面按照企业会计准则的规定编制，公允反映了贵公司2012年</w:t>
      </w:r>
      <w:r>
        <w:rPr/>
        <w:t> 12月31日的财务状况以及2012年度的经营成果和现金流量。</w:t>
      </w:r>
    </w:p>
    <w:p>
      <w:pPr>
        <w:spacing w:after="0" w:line="408" w:lineRule="auto"/>
        <w:jc w:val="both"/>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spacing w:line="508" w:lineRule="auto" w:before="26"/>
        <w:ind w:left="153" w:right="6411" w:firstLine="0"/>
        <w:jc w:val="left"/>
        <w:rPr>
          <w:rFonts w:ascii="宋体" w:hAnsi="宋体" w:cs="宋体" w:eastAsia="宋体" w:hint="default"/>
          <w:sz w:val="21"/>
          <w:szCs w:val="21"/>
        </w:rPr>
      </w:pPr>
      <w:r>
        <w:rPr>
          <w:rFonts w:ascii="宋体" w:hAnsi="宋体" w:cs="宋体" w:eastAsia="宋体" w:hint="default"/>
          <w:b/>
          <w:bCs/>
          <w:sz w:val="24"/>
          <w:szCs w:val="24"/>
        </w:rPr>
        <w:t>二、财务报表</w:t>
      </w:r>
      <w:r>
        <w:rPr>
          <w:rFonts w:ascii="宋体" w:hAnsi="宋体" w:cs="宋体" w:eastAsia="宋体" w:hint="default"/>
          <w:b/>
          <w:bCs/>
          <w:w w:val="99"/>
          <w:sz w:val="24"/>
          <w:szCs w:val="24"/>
        </w:rPr>
        <w:t> </w:t>
      </w:r>
      <w:r>
        <w:rPr>
          <w:rFonts w:ascii="宋体" w:hAnsi="宋体" w:cs="宋体" w:eastAsia="宋体" w:hint="default"/>
          <w:sz w:val="21"/>
          <w:szCs w:val="21"/>
        </w:rPr>
        <w:t>财务附注中报表的单位为：人民币元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编制单位：北京中科金财科技股份有限公司</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409,779,804.29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158,019,851.03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43,543,176.04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57,536,369.86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32,923,116.44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7,029,838.82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29,818,175.62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16,722,350.86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304,557,960.67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78,238,650.11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820,722,233.06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323,947,060.68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98,250,666.97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65,453,738.68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50,735,061.39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20,705,526.28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38,357,921.28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3,912,140.92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156,749.96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6,595,612.69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4,084,908.01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197,851,403.25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90,400,922.93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1,018,573,636.31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414,347,983.61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118,739,665.00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62,000,000.00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97,372,669.13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51,645,778.77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132,527,544.46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9,824,580.30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8,384,293.49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802,733.00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-21,760,903.64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9,378,919.73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7,882,562.81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2,932,217.12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9"/>
        <w:gridCol w:w="3317"/>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343,145,831.25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136,584,228.92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16,550,200.00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16,550,200.00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359,696,031.25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149,504,228.92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69,797,534.00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52,347,534.00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359,755,976.72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43,472,459.48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22,582,871.20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16,622,866.07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206,485,176.26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149,072,235.63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658,621,558.18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261,515,095.18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256,046.88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3,328,659.51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658,877,605.06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264,843,754.69</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1,018,573,636.31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414,347,983.61</w:t>
            </w:r>
          </w:p>
        </w:tc>
      </w:tr>
    </w:tbl>
    <w:p>
      <w:pPr>
        <w:spacing w:line="240" w:lineRule="auto" w:before="3"/>
        <w:rPr>
          <w:rFonts w:ascii="Times New Roman" w:hAnsi="Times New Roman" w:cs="Times New Roman" w:eastAsia="Times New Roman" w:hint="default"/>
          <w:sz w:val="23"/>
          <w:szCs w:val="23"/>
        </w:rPr>
      </w:pPr>
    </w:p>
    <w:p>
      <w:pPr>
        <w:tabs>
          <w:tab w:pos="3663" w:val="left" w:leader="none"/>
          <w:tab w:pos="789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法定代表人：朱烨东</w:t>
        <w:tab/>
        <w:t>主管会计工作负责人：赵学荣</w:t>
        <w:tab/>
        <w:t>会计机构负责人：张永</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编制单位：北京中科金财科技股份有限公司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3"/>
        <w:gridCol w:w="3302"/>
        <w:gridCol w:w="3289"/>
      </w:tblGrid>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89"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137" w:right="0"/>
              <w:jc w:val="left"/>
              <w:rPr>
                <w:rFonts w:ascii="Times New Roman" w:hAnsi="Times New Roman" w:cs="Times New Roman" w:eastAsia="Times New Roman" w:hint="default"/>
                <w:sz w:val="18"/>
                <w:szCs w:val="18"/>
              </w:rPr>
            </w:pPr>
            <w:r>
              <w:rPr>
                <w:rFonts w:ascii="Times New Roman"/>
                <w:sz w:val="18"/>
              </w:rPr>
              <w:t>330,440,092.13</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148,066,908.01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7"/>
        <w:gridCol w:w="3319"/>
        <w:gridCol w:w="3300"/>
      </w:tblGrid>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6,400,000.00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41,864,457.64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57,536,369.86</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28,849,349.77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6,973,072.15</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29,546,272.53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16,423,678.97</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304,556,540.67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78,060,078.08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735,356,712.74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313,460,107.07</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107,474,410.57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6,674,410.57</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96,128,533.17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63,589,234.51</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22,679,394.17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11,975,247.64</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34,128,647.57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3,912,140.92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156,749.96</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5,685,359.90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3,538,092.13</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270,008,486.30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85,933,734.81</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1,005,365,199.04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399,393,841.88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118,739,665.00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0"/>
      </w:tblGrid>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97,305,825.28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50,624,961.37</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132,437,544.46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9,494,580.30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7,464,718.41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649,235.17</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-22,431,822.17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8,635,727.15</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7,707,808.81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2,811,647.18</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341,223,739.79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132,216,151.17</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15,450,200.00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11,820,000.00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15,450,200.00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11,820,000.00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356,673,939.79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144,036,151.17</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69,797,534.00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52,347,534.00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359,724,650.52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43,441,133.28</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22,582,871.20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16,622,866.07</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196,586,203.53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142,946,157.36</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648,691,259.25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255,357,690.71</w:t>
            </w: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1,005,365,199.04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399,393,841.88</w:t>
            </w:r>
          </w:p>
        </w:tc>
      </w:tr>
    </w:tbl>
    <w:p>
      <w:pPr>
        <w:spacing w:line="240" w:lineRule="auto" w:before="3"/>
        <w:rPr>
          <w:rFonts w:ascii="Times New Roman" w:hAnsi="Times New Roman" w:cs="Times New Roman" w:eastAsia="Times New Roman" w:hint="default"/>
          <w:sz w:val="23"/>
          <w:szCs w:val="23"/>
        </w:rPr>
      </w:pPr>
    </w:p>
    <w:p>
      <w:pPr>
        <w:tabs>
          <w:tab w:pos="3663" w:val="left" w:leader="none"/>
          <w:tab w:pos="789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法定代表人：朱烨东</w:t>
        <w:tab/>
        <w:t>主管会计工作负责人：赵学荣</w:t>
        <w:tab/>
        <w:t>会计机构负责人：张永</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编制单位：北京中科金财科技股份有限公司</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521,676,656.99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458,893,487.69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521,676,656.99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458,893,487.69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469,592,110.36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409,471,882.05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288,296,990.59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293,000,939.95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4,102,369.29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5,289,874.42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39,538,464.65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13,668,998.84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137,328,900.26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91,708,611.56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-609,120.49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3,258,390.60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934,506.06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2,545,066.68</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52,084,546.63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49,421,605.64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17,044,401.75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14,739,552.25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64,386.26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64,386.26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36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69,128,948.38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64,096,771.63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8,828,615.25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7,390,344.20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60,300,333.13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56,706,427.43</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63,372,945.76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56,306,779.89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-3,072,612.63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399,647.54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60,300,333.13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56,706,427.43</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63,372,945.76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56,306,779.89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-3,072,612.63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399,647.54</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tabs>
          <w:tab w:pos="3663" w:val="left" w:leader="none"/>
          <w:tab w:pos="789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法定代表人：朱烨东</w:t>
        <w:tab/>
        <w:t>主管会计工作负责人：赵学荣</w:t>
        <w:tab/>
        <w:t>会计机构负责人：张永</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编制单位：北京中科金财科技股份有限公司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0"/>
      </w:tblGrid>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495,008,815.79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441,843,272.24</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287,868,258.31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291,410,015.41</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3,783,135.59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4,647,914.27</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37,119,324.83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12,744,149.21</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112,809,465.66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78,457,612.17</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-607,926.91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3,110,562.46</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842,182.40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2,569,081.03</w:t>
            </w: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0"/>
      </w:tblGrid>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53,194,375.91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48,903,937.69</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15,597,727.55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13,738,110.40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35,574.10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35,574.10</w:t>
            </w: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68,792,103.46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62,606,473.99</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9,192,052.16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7,475,381.37</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59,600,051.30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55,131,092.62</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59,600,051.30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55,131,092.62</w:t>
            </w:r>
          </w:p>
        </w:tc>
      </w:tr>
    </w:tbl>
    <w:p>
      <w:pPr>
        <w:spacing w:line="240" w:lineRule="auto" w:before="6"/>
        <w:rPr>
          <w:rFonts w:ascii="宋体" w:hAnsi="宋体" w:cs="宋体" w:eastAsia="宋体" w:hint="default"/>
          <w:sz w:val="20"/>
          <w:szCs w:val="20"/>
        </w:rPr>
      </w:pPr>
    </w:p>
    <w:p>
      <w:pPr>
        <w:tabs>
          <w:tab w:pos="3663" w:val="left" w:leader="none"/>
          <w:tab w:pos="789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法定代表人：朱烨东</w:t>
        <w:tab/>
        <w:t>主管会计工作负责人：赵学荣</w:t>
        <w:tab/>
        <w:t>会计机构负责人：张永</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编制单位：北京中科金财科技股份有限公司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743,576,050.56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466,346,144.33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14,358,867.56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11,244,262.46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70,449,935.99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52,836,802.52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828,384,854.11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530,427,209.31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582,036,044.59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300,857,515.73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70,327,665.14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50,435,447.94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43,574,750.70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28,192,545.13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142,321,058.52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86,496,827.60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838,259,518.95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465,982,336.40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-9,874,664.84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64,444,872.91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67,870.00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67,870.00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132,695,853.81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72,518,253.98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139,695,853.81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72,518,253.98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-139,695,853.81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-72,450,383.98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344,188,000.00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38"/>
        <w:gridCol w:w="3330"/>
        <w:gridCol w:w="3300"/>
      </w:tblGrid>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120,739,665.00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62,000,000.00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2,844,159.84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467,771,824.84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62,000,000.00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2,910,373.47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5,485,112.76</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5,924,482.76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4,600,000.00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72,834,856.23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60,085,112.76</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394,936,968.61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1,914,887.24</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245,366,449.96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-6,090,623.83</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156,319,601.03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162,410,224.86</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401,686,050.99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156,319,601.03</w:t>
            </w:r>
          </w:p>
        </w:tc>
      </w:tr>
    </w:tbl>
    <w:p>
      <w:pPr>
        <w:spacing w:line="240" w:lineRule="auto" w:before="3"/>
        <w:rPr>
          <w:rFonts w:ascii="Times New Roman" w:hAnsi="Times New Roman" w:cs="Times New Roman" w:eastAsia="Times New Roman" w:hint="default"/>
          <w:sz w:val="23"/>
          <w:szCs w:val="23"/>
        </w:rPr>
      </w:pPr>
    </w:p>
    <w:p>
      <w:pPr>
        <w:tabs>
          <w:tab w:pos="3663" w:val="left" w:leader="none"/>
          <w:tab w:pos="789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法定代表人：朱烨东</w:t>
        <w:tab/>
        <w:t>主管会计工作负责人：赵学荣</w:t>
        <w:tab/>
        <w:t>会计机构负责人：张永</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编制单位：北京中科金财科技股份有限公司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715,822,392.23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447,210,693.61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12,987,868.36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10,956,138.68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64,839,475.91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50,965,344.15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793,649,736.50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509,132,176.44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580,309,316.79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299,853,472.43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53,614,060.85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42,307,176.86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39,901,947.41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26,924,858.38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132,055,679.61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81,810,939.32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8"/>
        <w:gridCol w:w="3318"/>
        <w:gridCol w:w="3300"/>
      </w:tblGrid>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805,881,004.66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450,896,446.99</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-12,231,268.16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58,235,729.45</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61,270.00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61,270.00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101,040,312.96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71,701,737.98</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208,840,312.96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71,701,737.98</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-208,840,312.96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-71,640,467.98</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344,188,000.00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118,739,665.00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2,844,159.84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465,771,824.84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2,796,080.14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5,243,923.36</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5,924,482.76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4,600,000.00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68,720,562.90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54,843,923.36</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397,051,261.94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5,156,076.64</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175,979,680.82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-8,248,661.89</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146,366,658.01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154,615,319.90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322,346,338.83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146,366,658.01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7"/>
        <w:rPr>
          <w:rFonts w:ascii="Times New Roman" w:hAnsi="Times New Roman" w:cs="Times New Roman" w:eastAsia="Times New Roman" w:hint="default"/>
          <w:sz w:val="29"/>
          <w:szCs w:val="29"/>
        </w:rPr>
      </w:pPr>
    </w:p>
    <w:p>
      <w:pPr>
        <w:tabs>
          <w:tab w:pos="3663" w:val="left" w:leader="none"/>
          <w:tab w:pos="7893" w:val="left" w:leader="none"/>
        </w:tabs>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法定代表人：朱烨东</w:t>
        <w:tab/>
        <w:t>主管会计工作负责人：赵学荣</w:t>
        <w:tab/>
        <w:t>会计机构负责人：张永</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spacing w:line="357" w:lineRule="auto"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编制单位：北京中科金财科技股份有限公司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3575" w:space="5344"/>
            <w:col w:w="103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56"/>
        <w:gridCol w:w="684"/>
        <w:gridCol w:w="688"/>
        <w:gridCol w:w="686"/>
        <w:gridCol w:w="685"/>
        <w:gridCol w:w="684"/>
        <w:gridCol w:w="686"/>
        <w:gridCol w:w="686"/>
        <w:gridCol w:w="685"/>
        <w:gridCol w:w="817"/>
        <w:gridCol w:w="894"/>
      </w:tblGrid>
      <w:tr>
        <w:trPr>
          <w:trHeight w:val="402" w:hRule="exact"/>
        </w:trPr>
        <w:tc>
          <w:tcPr>
            <w:tcW w:w="2356" w:type="dxa"/>
            <w:vMerge w:val="restart"/>
            <w:tcBorders>
              <w:top w:val="single" w:sz="4" w:space="0" w:color="000000"/>
              <w:left w:val="single" w:sz="4" w:space="0" w:color="000000"/>
              <w:right w:val="single" w:sz="4" w:space="0" w:color="000000"/>
            </w:tcBorders>
            <w:shd w:val="clear" w:color="auto" w:fill="D3D3D3"/>
          </w:tcPr>
          <w:p>
            <w:pPr/>
          </w:p>
        </w:tc>
        <w:tc>
          <w:tcPr>
            <w:tcW w:w="719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59" w:hRule="exact"/>
        </w:trPr>
        <w:tc>
          <w:tcPr>
            <w:tcW w:w="2356" w:type="dxa"/>
            <w:vMerge/>
            <w:tcBorders>
              <w:left w:val="single" w:sz="4" w:space="0" w:color="000000"/>
              <w:bottom w:val="nil" w:sz="6" w:space="0" w:color="auto"/>
              <w:right w:val="single" w:sz="4" w:space="0" w:color="000000"/>
            </w:tcBorders>
            <w:shd w:val="clear" w:color="auto" w:fill="D3D3D3"/>
          </w:tcPr>
          <w:p>
            <w:pPr/>
          </w:p>
        </w:tc>
        <w:tc>
          <w:tcPr>
            <w:tcW w:w="5485"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tcBorders>
              <w:top w:val="single" w:sz="4" w:space="0" w:color="000000"/>
              <w:left w:val="single" w:sz="4" w:space="0" w:color="000000"/>
              <w:bottom w:val="nil" w:sz="6" w:space="0" w:color="auto"/>
              <w:right w:val="single" w:sz="4" w:space="0" w:color="000000"/>
            </w:tcBorders>
            <w:shd w:val="clear" w:color="auto" w:fill="D3D3D3"/>
          </w:tcPr>
          <w:p>
            <w:pPr/>
          </w:p>
        </w:tc>
        <w:tc>
          <w:tcPr>
            <w:tcW w:w="89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3" w:hRule="exact"/>
        </w:trPr>
        <w:tc>
          <w:tcPr>
            <w:tcW w:w="23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4"/>
              <w:ind w:left="67"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vMerge w:val="restart"/>
            <w:tcBorders>
              <w:top w:val="single" w:sz="4" w:space="0" w:color="000000"/>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4"/>
              <w:ind w:left="223"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4"/>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2" w:hRule="exact"/>
        </w:trPr>
        <w:tc>
          <w:tcPr>
            <w:tcW w:w="2356"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67" w:right="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tcBorders>
              <w:left w:val="single" w:sz="4" w:space="0" w:color="000000"/>
              <w:bottom w:val="nil" w:sz="6" w:space="0" w:color="auto"/>
              <w:right w:val="single" w:sz="4" w:space="0" w:color="000000"/>
            </w:tcBorders>
            <w:shd w:val="clear" w:color="auto" w:fill="D3D3D3"/>
          </w:tcPr>
          <w:p>
            <w:pPr/>
          </w:p>
        </w:tc>
        <w:tc>
          <w:tcPr>
            <w:tcW w:w="817" w:type="dxa"/>
            <w:vMerge/>
            <w:tcBorders>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352" w:hRule="exact"/>
        </w:trPr>
        <w:tc>
          <w:tcPr>
            <w:tcW w:w="2356" w:type="dxa"/>
            <w:vMerge w:val="restart"/>
            <w:tcBorders>
              <w:top w:val="nil" w:sz="6" w:space="0" w:color="auto"/>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bottom w:val="nil" w:sz="6" w:space="0" w:color="auto"/>
              <w:right w:val="single" w:sz="4" w:space="0" w:color="000000"/>
            </w:tcBorders>
            <w:shd w:val="clear" w:color="auto" w:fill="D3D3D3"/>
          </w:tcPr>
          <w:p>
            <w:pPr/>
          </w:p>
        </w:tc>
        <w:tc>
          <w:tcPr>
            <w:tcW w:w="894" w:type="dxa"/>
            <w:vMerge/>
            <w:tcBorders>
              <w:left w:val="single" w:sz="4" w:space="0" w:color="000000"/>
              <w:bottom w:val="nil" w:sz="6" w:space="0" w:color="auto"/>
              <w:right w:val="single" w:sz="4" w:space="0" w:color="000000"/>
            </w:tcBorders>
            <w:shd w:val="clear" w:color="auto" w:fill="D3D3D3"/>
          </w:tcPr>
          <w:p>
            <w:pPr/>
          </w:p>
        </w:tc>
      </w:tr>
      <w:tr>
        <w:trPr>
          <w:trHeight w:val="202" w:hRule="exact"/>
        </w:trPr>
        <w:tc>
          <w:tcPr>
            <w:tcW w:w="2356"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val="restart"/>
            <w:tcBorders>
              <w:top w:val="nil" w:sz="6" w:space="0" w:color="auto"/>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
        </w:tc>
        <w:tc>
          <w:tcPr>
            <w:tcW w:w="894" w:type="dxa"/>
            <w:vMerge w:val="restart"/>
            <w:tcBorders>
              <w:top w:val="nil" w:sz="6" w:space="0" w:color="auto"/>
              <w:left w:val="single" w:sz="4" w:space="0" w:color="000000"/>
              <w:right w:val="single" w:sz="4" w:space="0" w:color="000000"/>
            </w:tcBorders>
            <w:shd w:val="clear" w:color="auto" w:fill="D3D3D3"/>
          </w:tcPr>
          <w:p>
            <w:pPr/>
          </w:p>
        </w:tc>
      </w:tr>
      <w:tr>
        <w:trPr>
          <w:trHeight w:val="160" w:hRule="exact"/>
        </w:trPr>
        <w:tc>
          <w:tcPr>
            <w:tcW w:w="2356"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160"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52,347,</w:t>
            </w:r>
          </w:p>
          <w:p>
            <w:pPr>
              <w:pStyle w:val="TableParagraph"/>
              <w:spacing w:line="240" w:lineRule="auto" w:before="106"/>
              <w:ind w:left="150" w:right="0"/>
              <w:jc w:val="left"/>
              <w:rPr>
                <w:rFonts w:ascii="Times New Roman" w:hAnsi="Times New Roman" w:cs="Times New Roman" w:eastAsia="Times New Roman" w:hint="default"/>
                <w:sz w:val="18"/>
                <w:szCs w:val="18"/>
              </w:rPr>
            </w:pPr>
            <w:r>
              <w:rPr>
                <w:rFonts w:ascii="Times New Roman"/>
                <w:sz w:val="18"/>
              </w:rPr>
              <w:t>534.00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43,472,4</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59.48</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16,622,</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866.07</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149,072,</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235.63</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3,328,659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.51</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264,843,75</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4.69</w:t>
            </w:r>
          </w:p>
        </w:tc>
      </w:tr>
      <w:tr>
        <w:trPr>
          <w:trHeight w:val="393"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0"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52,347,</w:t>
            </w:r>
          </w:p>
          <w:p>
            <w:pPr>
              <w:pStyle w:val="TableParagraph"/>
              <w:spacing w:line="240" w:lineRule="auto" w:before="106"/>
              <w:ind w:left="150" w:right="0"/>
              <w:jc w:val="left"/>
              <w:rPr>
                <w:rFonts w:ascii="Times New Roman" w:hAnsi="Times New Roman" w:cs="Times New Roman" w:eastAsia="Times New Roman" w:hint="default"/>
                <w:sz w:val="18"/>
                <w:szCs w:val="18"/>
              </w:rPr>
            </w:pPr>
            <w:r>
              <w:rPr>
                <w:rFonts w:ascii="Times New Roman"/>
                <w:sz w:val="18"/>
              </w:rPr>
              <w:t>534.00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43,472,4</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59.48</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16,622,</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866.07</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149,072,</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235.63</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3,328,659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.51</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264,843,75</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4.69</w:t>
            </w:r>
          </w:p>
        </w:tc>
      </w:tr>
      <w:tr>
        <w:trPr>
          <w:trHeight w:val="393"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17,450,</w:t>
            </w:r>
          </w:p>
          <w:p>
            <w:pPr>
              <w:pStyle w:val="TableParagraph"/>
              <w:spacing w:line="240" w:lineRule="auto" w:before="106"/>
              <w:ind w:left="145"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316,283,</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517.24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5,960,0</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05.13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57,412,9</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40.63</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-3,072,61</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2.63</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394,033,85</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0.37</w:t>
            </w:r>
          </w:p>
        </w:tc>
      </w:tr>
      <w:tr>
        <w:trPr>
          <w:trHeight w:val="160"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63,372,9</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45.76</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-3,072,61</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2.63</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60,300,333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.13</w:t>
            </w:r>
          </w:p>
        </w:tc>
      </w:tr>
      <w:tr>
        <w:trPr>
          <w:trHeight w:val="393"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0"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63,372,9</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45.76</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-3,072,61</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2.63</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60,300,333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.13</w:t>
            </w:r>
          </w:p>
        </w:tc>
      </w:tr>
      <w:tr>
        <w:trPr>
          <w:trHeight w:val="393"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0"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17,450,</w:t>
            </w:r>
          </w:p>
          <w:p>
            <w:pPr>
              <w:pStyle w:val="TableParagraph"/>
              <w:spacing w:line="240" w:lineRule="auto" w:before="106"/>
              <w:ind w:left="150"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316,283,</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517.24</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333,733,51</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7.24</w:t>
            </w:r>
          </w:p>
        </w:tc>
      </w:tr>
      <w:tr>
        <w:trPr>
          <w:trHeight w:val="393"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0"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17,450,</w:t>
            </w:r>
          </w:p>
          <w:p>
            <w:pPr>
              <w:pStyle w:val="TableParagraph"/>
              <w:spacing w:line="240" w:lineRule="auto" w:before="106"/>
              <w:ind w:left="150"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316,283,</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517.24</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333,733,51</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7.24</w:t>
            </w:r>
          </w:p>
        </w:tc>
      </w:tr>
      <w:tr>
        <w:trPr>
          <w:trHeight w:val="393"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0"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5,960,0</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05.13</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-5,960,0</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05.13</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
        </w:tc>
      </w:tr>
      <w:tr>
        <w:trPr>
          <w:trHeight w:val="393"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0"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9"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5,960,0</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05.13</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-5,960,0</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05.13</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
        </w:tc>
      </w:tr>
      <w:tr>
        <w:trPr>
          <w:trHeight w:val="393"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4"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684"/>
        <w:gridCol w:w="686"/>
        <w:gridCol w:w="686"/>
        <w:gridCol w:w="685"/>
        <w:gridCol w:w="817"/>
        <w:gridCol w:w="894"/>
      </w:tblGrid>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69,797,</w:t>
            </w:r>
          </w:p>
          <w:p>
            <w:pPr>
              <w:pStyle w:val="TableParagraph"/>
              <w:spacing w:line="240" w:lineRule="auto" w:before="106"/>
              <w:ind w:left="157" w:right="0"/>
              <w:jc w:val="left"/>
              <w:rPr>
                <w:rFonts w:ascii="Times New Roman" w:hAnsi="Times New Roman" w:cs="Times New Roman" w:eastAsia="Times New Roman" w:hint="default"/>
                <w:sz w:val="18"/>
                <w:szCs w:val="18"/>
              </w:rPr>
            </w:pPr>
            <w:r>
              <w:rPr>
                <w:rFonts w:ascii="Times New Roman"/>
                <w:sz w:val="18"/>
              </w:rPr>
              <w:t>534.00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359,755,</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976.72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22,582,</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871.20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206,485,</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176.26</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256,046.8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658,877,60</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5.06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6"/>
        <w:gridCol w:w="688"/>
        <w:gridCol w:w="686"/>
        <w:gridCol w:w="685"/>
        <w:gridCol w:w="684"/>
        <w:gridCol w:w="686"/>
        <w:gridCol w:w="686"/>
        <w:gridCol w:w="685"/>
        <w:gridCol w:w="817"/>
        <w:gridCol w:w="894"/>
      </w:tblGrid>
      <w:tr>
        <w:trPr>
          <w:trHeight w:val="402" w:hRule="exact"/>
        </w:trPr>
        <w:tc>
          <w:tcPr>
            <w:tcW w:w="2344" w:type="dxa"/>
            <w:vMerge w:val="restart"/>
            <w:tcBorders>
              <w:top w:val="single" w:sz="4" w:space="0" w:color="000000"/>
              <w:left w:val="single" w:sz="4" w:space="0" w:color="000000"/>
              <w:right w:val="single" w:sz="4" w:space="0" w:color="000000"/>
            </w:tcBorders>
            <w:shd w:val="clear" w:color="auto" w:fill="D3D3D3"/>
          </w:tcPr>
          <w:p>
            <w:pPr/>
          </w:p>
        </w:tc>
        <w:tc>
          <w:tcPr>
            <w:tcW w:w="7208"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3D3D3"/>
          </w:tcPr>
          <w:p>
            <w:pPr/>
          </w:p>
        </w:tc>
        <w:tc>
          <w:tcPr>
            <w:tcW w:w="5497"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5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tcBorders>
              <w:top w:val="single" w:sz="4" w:space="0" w:color="000000"/>
              <w:left w:val="single" w:sz="4" w:space="0" w:color="000000"/>
              <w:bottom w:val="nil" w:sz="6" w:space="0" w:color="auto"/>
              <w:right w:val="single" w:sz="4" w:space="0" w:color="000000"/>
            </w:tcBorders>
            <w:shd w:val="clear" w:color="auto" w:fill="D3D3D3"/>
          </w:tcPr>
          <w:p>
            <w:pPr/>
          </w:p>
        </w:tc>
        <w:tc>
          <w:tcPr>
            <w:tcW w:w="89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79"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vMerge w:val="restart"/>
            <w:tcBorders>
              <w:top w:val="single" w:sz="4" w:space="0" w:color="000000"/>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3"/>
              <w:ind w:left="223"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3"/>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688"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67" w:right="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tcBorders>
              <w:left w:val="single" w:sz="4" w:space="0" w:color="000000"/>
              <w:bottom w:val="nil" w:sz="6" w:space="0" w:color="auto"/>
              <w:right w:val="single" w:sz="4" w:space="0" w:color="000000"/>
            </w:tcBorders>
            <w:shd w:val="clear" w:color="auto" w:fill="D3D3D3"/>
          </w:tcPr>
          <w:p>
            <w:pPr/>
          </w:p>
        </w:tc>
        <w:tc>
          <w:tcPr>
            <w:tcW w:w="817" w:type="dxa"/>
            <w:vMerge/>
            <w:tcBorders>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353" w:hRule="exact"/>
        </w:trPr>
        <w:tc>
          <w:tcPr>
            <w:tcW w:w="2344" w:type="dxa"/>
            <w:vMerge w:val="restart"/>
            <w:tcBorders>
              <w:top w:val="nil" w:sz="6" w:space="0" w:color="auto"/>
              <w:left w:val="single" w:sz="4" w:space="0" w:color="000000"/>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688"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bottom w:val="nil" w:sz="6" w:space="0" w:color="auto"/>
              <w:right w:val="single" w:sz="4" w:space="0" w:color="000000"/>
            </w:tcBorders>
            <w:shd w:val="clear" w:color="auto" w:fill="D3D3D3"/>
          </w:tcPr>
          <w:p>
            <w:pPr/>
          </w:p>
        </w:tc>
        <w:tc>
          <w:tcPr>
            <w:tcW w:w="894" w:type="dxa"/>
            <w:vMerge/>
            <w:tcBorders>
              <w:left w:val="single" w:sz="4" w:space="0" w:color="000000"/>
              <w:bottom w:val="nil" w:sz="6" w:space="0" w:color="auto"/>
              <w:right w:val="single" w:sz="4" w:space="0" w:color="000000"/>
            </w:tcBorders>
            <w:shd w:val="clear" w:color="auto" w:fill="D3D3D3"/>
          </w:tcPr>
          <w:p>
            <w:pPr/>
          </w:p>
        </w:tc>
      </w:tr>
      <w:tr>
        <w:trPr>
          <w:trHeight w:val="200" w:hRule="exact"/>
        </w:trPr>
        <w:tc>
          <w:tcPr>
            <w:tcW w:w="2344" w:type="dxa"/>
            <w:vMerge/>
            <w:tcBorders>
              <w:left w:val="single" w:sz="4" w:space="0" w:color="000000"/>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688"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val="restart"/>
            <w:tcBorders>
              <w:top w:val="nil" w:sz="6" w:space="0" w:color="auto"/>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
        </w:tc>
        <w:tc>
          <w:tcPr>
            <w:tcW w:w="894" w:type="dxa"/>
            <w:vMerge w:val="restart"/>
            <w:tcBorders>
              <w:top w:val="nil" w:sz="6" w:space="0" w:color="auto"/>
              <w:left w:val="single" w:sz="4" w:space="0" w:color="000000"/>
              <w:right w:val="single" w:sz="4" w:space="0" w:color="000000"/>
            </w:tcBorders>
            <w:shd w:val="clear" w:color="auto" w:fill="D3D3D3"/>
          </w:tcPr>
          <w:p>
            <w:pPr/>
          </w:p>
        </w:tc>
      </w:tr>
      <w:tr>
        <w:trPr>
          <w:trHeight w:val="160" w:hRule="exact"/>
        </w:trPr>
        <w:tc>
          <w:tcPr>
            <w:tcW w:w="2344" w:type="dxa"/>
            <w:vMerge/>
            <w:tcBorders>
              <w:left w:val="single" w:sz="4" w:space="0" w:color="000000"/>
              <w:bottom w:val="single" w:sz="4" w:space="0" w:color="000000"/>
              <w:right w:val="single" w:sz="4" w:space="0" w:color="000000"/>
            </w:tcBorders>
            <w:shd w:val="clear" w:color="auto" w:fill="D3D3D3"/>
          </w:tcPr>
          <w:p>
            <w:pPr/>
          </w:p>
        </w:tc>
        <w:tc>
          <w:tcPr>
            <w:tcW w:w="696" w:type="dxa"/>
            <w:vMerge/>
            <w:tcBorders>
              <w:left w:val="single" w:sz="4" w:space="0" w:color="000000"/>
              <w:bottom w:val="single" w:sz="4" w:space="0" w:color="000000"/>
              <w:right w:val="single" w:sz="4" w:space="0" w:color="000000"/>
            </w:tcBorders>
            <w:shd w:val="clear" w:color="auto" w:fill="D3D3D3"/>
          </w:tcPr>
          <w:p>
            <w:pPr/>
          </w:p>
        </w:tc>
        <w:tc>
          <w:tcPr>
            <w:tcW w:w="68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162"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9" w:space="0" w:color="D3D3D3"/>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52,347,</w:t>
            </w:r>
          </w:p>
          <w:p>
            <w:pPr>
              <w:pStyle w:val="TableParagraph"/>
              <w:spacing w:line="240" w:lineRule="auto" w:before="105"/>
              <w:ind w:left="162" w:right="0"/>
              <w:jc w:val="left"/>
              <w:rPr>
                <w:rFonts w:ascii="Times New Roman" w:hAnsi="Times New Roman" w:cs="Times New Roman" w:eastAsia="Times New Roman" w:hint="default"/>
                <w:sz w:val="18"/>
                <w:szCs w:val="18"/>
              </w:rPr>
            </w:pPr>
            <w:r>
              <w:rPr>
                <w:rFonts w:ascii="Times New Roman"/>
                <w:sz w:val="18"/>
              </w:rPr>
              <w:t>534.00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43,472,4</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59.48</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11,109,7</w:t>
            </w:r>
          </w:p>
          <w:p>
            <w:pPr>
              <w:pStyle w:val="TableParagraph"/>
              <w:spacing w:line="240" w:lineRule="auto" w:before="105"/>
              <w:ind w:left="245" w:right="0"/>
              <w:jc w:val="left"/>
              <w:rPr>
                <w:rFonts w:ascii="Times New Roman" w:hAnsi="Times New Roman" w:cs="Times New Roman" w:eastAsia="Times New Roman" w:hint="default"/>
                <w:sz w:val="18"/>
                <w:szCs w:val="18"/>
              </w:rPr>
            </w:pPr>
            <w:r>
              <w:rPr>
                <w:rFonts w:ascii="Times New Roman"/>
                <w:sz w:val="18"/>
              </w:rPr>
              <w:t>56.81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98,278,5</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65.00</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2,929,011.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97</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208,137,32</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7.26</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6"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1"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21"/>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2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9" w:space="0" w:color="D3D3D3"/>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52,347,</w:t>
            </w:r>
          </w:p>
          <w:p>
            <w:pPr>
              <w:pStyle w:val="TableParagraph"/>
              <w:spacing w:line="240" w:lineRule="auto" w:before="105"/>
              <w:ind w:left="162" w:right="0"/>
              <w:jc w:val="left"/>
              <w:rPr>
                <w:rFonts w:ascii="Times New Roman" w:hAnsi="Times New Roman" w:cs="Times New Roman" w:eastAsia="Times New Roman" w:hint="default"/>
                <w:sz w:val="18"/>
                <w:szCs w:val="18"/>
              </w:rPr>
            </w:pPr>
            <w:r>
              <w:rPr>
                <w:rFonts w:ascii="Times New Roman"/>
                <w:sz w:val="18"/>
              </w:rPr>
              <w:t>534.00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43,472,4</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59.48</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11,109,7</w:t>
            </w:r>
          </w:p>
          <w:p>
            <w:pPr>
              <w:pStyle w:val="TableParagraph"/>
              <w:spacing w:line="240" w:lineRule="auto" w:before="105"/>
              <w:ind w:left="245" w:right="0"/>
              <w:jc w:val="left"/>
              <w:rPr>
                <w:rFonts w:ascii="Times New Roman" w:hAnsi="Times New Roman" w:cs="Times New Roman" w:eastAsia="Times New Roman" w:hint="default"/>
                <w:sz w:val="18"/>
                <w:szCs w:val="18"/>
              </w:rPr>
            </w:pPr>
            <w:r>
              <w:rPr>
                <w:rFonts w:ascii="Times New Roman"/>
                <w:sz w:val="18"/>
              </w:rPr>
              <w:t>56.81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98,278,5</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65.00</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2,929,011.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97</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208,137,32</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7.26</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6"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 w:right="0"/>
              <w:jc w:val="center"/>
              <w:rPr>
                <w:rFonts w:ascii="Times New Roman" w:hAnsi="Times New Roman" w:cs="Times New Roman" w:eastAsia="Times New Roman" w:hint="default"/>
                <w:sz w:val="18"/>
                <w:szCs w:val="18"/>
              </w:rPr>
            </w:pPr>
            <w:r>
              <w:rPr>
                <w:rFonts w:ascii="Times New Roman"/>
                <w:sz w:val="18"/>
              </w:rPr>
              <w:t>5,513,1</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09.26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50,793,6</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70.63</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399,647.5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56,706,427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r>
      <w:tr>
        <w:trPr>
          <w:trHeight w:val="162"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9"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56,306,7</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79.89</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399,647.5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56,706,427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6"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684"/>
        <w:gridCol w:w="686"/>
        <w:gridCol w:w="686"/>
        <w:gridCol w:w="685"/>
        <w:gridCol w:w="817"/>
        <w:gridCol w:w="894"/>
      </w:tblGrid>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56,306,7</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79.89</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399,647.5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56,706,427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.43</w:t>
            </w: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5,513,1</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09.26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-5,513,1</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09.26</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5,513,1</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09.26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-5,513,1</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09.26</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52,347,</w:t>
            </w:r>
          </w:p>
          <w:p>
            <w:pPr>
              <w:pStyle w:val="TableParagraph"/>
              <w:spacing w:line="240" w:lineRule="auto" w:before="106"/>
              <w:ind w:left="157" w:right="0"/>
              <w:jc w:val="left"/>
              <w:rPr>
                <w:rFonts w:ascii="Times New Roman" w:hAnsi="Times New Roman" w:cs="Times New Roman" w:eastAsia="Times New Roman" w:hint="default"/>
                <w:sz w:val="18"/>
                <w:szCs w:val="18"/>
              </w:rPr>
            </w:pPr>
            <w:r>
              <w:rPr>
                <w:rFonts w:ascii="Times New Roman"/>
                <w:sz w:val="18"/>
              </w:rPr>
              <w:t>534.00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43,472,4</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59.48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16,622,</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866.07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149,072,</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235.63</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3,328,659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.51</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264,843,75</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4.69</w:t>
            </w:r>
          </w:p>
        </w:tc>
      </w:tr>
    </w:tbl>
    <w:p>
      <w:pPr>
        <w:spacing w:line="240" w:lineRule="auto" w:before="6"/>
        <w:rPr>
          <w:rFonts w:ascii="宋体" w:hAnsi="宋体" w:cs="宋体" w:eastAsia="宋体" w:hint="default"/>
          <w:sz w:val="20"/>
          <w:szCs w:val="20"/>
        </w:rPr>
      </w:pPr>
    </w:p>
    <w:p>
      <w:pPr>
        <w:tabs>
          <w:tab w:pos="3663" w:val="left" w:leader="none"/>
          <w:tab w:pos="789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法定代表人：朱烨东</w:t>
        <w:tab/>
        <w:t>主管会计工作负责人：赵学荣</w:t>
        <w:tab/>
        <w:t>会计机构负责人：张永</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spacing w:line="360" w:lineRule="auto"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编制单位：北京中科金财科技股份有限公司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3575" w:space="5344"/>
            <w:col w:w="103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76"/>
        <w:gridCol w:w="886"/>
        <w:gridCol w:w="884"/>
        <w:gridCol w:w="886"/>
        <w:gridCol w:w="886"/>
        <w:gridCol w:w="887"/>
        <w:gridCol w:w="886"/>
        <w:gridCol w:w="886"/>
        <w:gridCol w:w="881"/>
      </w:tblGrid>
      <w:tr>
        <w:trPr>
          <w:trHeight w:val="401" w:hRule="exact"/>
        </w:trPr>
        <w:tc>
          <w:tcPr>
            <w:tcW w:w="24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080"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403" w:hRule="exact"/>
        </w:trPr>
        <w:tc>
          <w:tcPr>
            <w:tcW w:w="2476" w:type="dxa"/>
            <w:vMerge/>
            <w:tcBorders>
              <w:left w:val="single" w:sz="4" w:space="0" w:color="000000"/>
              <w:bottom w:val="single" w:sz="4" w:space="0" w:color="000000"/>
              <w:right w:val="single" w:sz="4" w:space="0" w:color="000000"/>
            </w:tcBorders>
            <w:shd w:val="clear" w:color="auto" w:fill="D3D3D3"/>
          </w:tcPr>
          <w:p>
            <w:pP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7" w:right="0"/>
              <w:jc w:val="left"/>
              <w:rPr>
                <w:rFonts w:ascii="宋体" w:hAnsi="宋体" w:cs="宋体" w:eastAsia="宋体" w:hint="default"/>
                <w:sz w:val="18"/>
                <w:szCs w:val="18"/>
              </w:rPr>
            </w:pPr>
            <w:r>
              <w:rPr>
                <w:rFonts w:ascii="宋体" w:hAnsi="宋体" w:cs="宋体" w:eastAsia="宋体" w:hint="default"/>
                <w:sz w:val="18"/>
                <w:szCs w:val="18"/>
              </w:rPr>
              <w:t>实收资本</w:t>
            </w:r>
          </w:p>
        </w:tc>
        <w:tc>
          <w:tcPr>
            <w:tcW w:w="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7" w:right="0"/>
              <w:jc w:val="left"/>
              <w:rPr>
                <w:rFonts w:ascii="宋体" w:hAnsi="宋体" w:cs="宋体" w:eastAsia="宋体" w:hint="default"/>
                <w:sz w:val="18"/>
                <w:szCs w:val="18"/>
              </w:rPr>
            </w:pPr>
            <w:r>
              <w:rPr>
                <w:rFonts w:ascii="宋体" w:hAnsi="宋体" w:cs="宋体" w:eastAsia="宋体" w:hint="default"/>
                <w:sz w:val="18"/>
                <w:szCs w:val="18"/>
              </w:rPr>
              <w:t>一般风险</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8" w:right="0"/>
              <w:jc w:val="left"/>
              <w:rPr>
                <w:rFonts w:ascii="宋体" w:hAnsi="宋体" w:cs="宋体" w:eastAsia="宋体" w:hint="default"/>
                <w:sz w:val="18"/>
                <w:szCs w:val="18"/>
              </w:rPr>
            </w:pPr>
            <w:r>
              <w:rPr>
                <w:rFonts w:ascii="宋体" w:hAnsi="宋体" w:cs="宋体" w:eastAsia="宋体" w:hint="default"/>
                <w:sz w:val="18"/>
                <w:szCs w:val="18"/>
              </w:rPr>
              <w:t>未分配利</w:t>
            </w:r>
          </w:p>
        </w:tc>
        <w:tc>
          <w:tcPr>
            <w:tcW w:w="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80" w:right="0"/>
              <w:jc w:val="left"/>
              <w:rPr>
                <w:rFonts w:ascii="宋体" w:hAnsi="宋体" w:cs="宋体" w:eastAsia="宋体" w:hint="default"/>
                <w:sz w:val="18"/>
                <w:szCs w:val="18"/>
              </w:rPr>
            </w:pPr>
            <w:r>
              <w:rPr>
                <w:rFonts w:ascii="宋体" w:hAnsi="宋体" w:cs="宋体" w:eastAsia="宋体" w:hint="default"/>
                <w:sz w:val="18"/>
                <w:szCs w:val="18"/>
              </w:rPr>
              <w:t>所有者权</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80.779999pt;margin-top:627.929993pt;width:42.55pt;height:40.9pt;mso-position-horizontal-relative:page;mso-position-vertical-relative:page;z-index:-670552" coordorigin="3616,12559" coordsize="851,818">
            <v:group style="position:absolute;left:3627;top:12570;width:2;height:393" coordorigin="3627,12570" coordsize="2,393">
              <v:shape style="position:absolute;left:3627;top:12570;width:2;height:393" coordorigin="3627,12570" coordsize="0,393" path="m3627,12570l3627,12962e" filled="false" stroked="true" strokeweight="1.140pt" strokecolor="#ffffff">
                <v:path arrowok="t"/>
              </v:shape>
            </v:group>
            <v:group style="position:absolute;left:3638;top:12570;width:828;height:393" coordorigin="3638,12570" coordsize="828,393">
              <v:shape style="position:absolute;left:3638;top:12570;width:828;height:393" coordorigin="3638,12570" coordsize="828,393" path="m3638,12962l4466,12962,4466,12570,3638,12570,3638,12962xe" filled="true" fillcolor="#ffffff" stroked="false">
                <v:path arrowok="t"/>
                <v:fill type="solid"/>
              </v:shape>
            </v:group>
            <v:group style="position:absolute;left:3627;top:12972;width:2;height:393" coordorigin="3627,12972" coordsize="2,393">
              <v:shape style="position:absolute;left:3627;top:12972;width:2;height:393" coordorigin="3627,12972" coordsize="0,393" path="m3627,12972l3627,13364e" filled="false" stroked="true" strokeweight="1.140pt" strokecolor="#ffffff">
                <v:path arrowok="t"/>
              </v:shape>
            </v:group>
            <v:group style="position:absolute;left:3638;top:12972;width:828;height:393" coordorigin="3638,12972" coordsize="828,393">
              <v:shape style="position:absolute;left:3638;top:12972;width:828;height:393" coordorigin="3638,12972" coordsize="828,393" path="m3638,13364l4466,13364,4466,12972,3638,12972,3638,1336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453"/>
        <w:gridCol w:w="897"/>
        <w:gridCol w:w="884"/>
        <w:gridCol w:w="886"/>
        <w:gridCol w:w="886"/>
        <w:gridCol w:w="887"/>
        <w:gridCol w:w="886"/>
        <w:gridCol w:w="886"/>
        <w:gridCol w:w="893"/>
      </w:tblGrid>
      <w:tr>
        <w:trPr>
          <w:trHeight w:val="36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5" w:right="-49"/>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8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57"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润</w:t>
            </w:r>
          </w:p>
        </w:tc>
        <w:tc>
          <w:tcPr>
            <w:tcW w:w="8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70"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52,347,534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43,441,133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16,622,866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142,946,15</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7.36</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255,357,69</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0.71</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52,347,534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43,441,133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16,622,866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142,946,15</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7.36</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255,357,69</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0.71</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4"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89"/>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17,450,000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316,283,51</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7.24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5,960,005.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53,640,046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393,333,56</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8.54</w:t>
            </w: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59,600,051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59,600,051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59,600,051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59,600,051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17,450,000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316,283,51</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7.24</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333,733,51</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7.24</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17,450,000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316,283,51</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7.24</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333,733,51</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7.24</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4"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5,960,005.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13</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-5,960,005.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c>
          <w:tcPr>
            <w:tcW w:w="893" w:type="dxa"/>
            <w:vMerge w:val="restart"/>
            <w:tcBorders>
              <w:top w:val="single" w:sz="4" w:space="0" w:color="000000"/>
              <w:left w:val="single" w:sz="4" w:space="0" w:color="000000"/>
              <w:right w:val="single" w:sz="4" w:space="0" w:color="000000"/>
            </w:tcBorders>
          </w:tcPr>
          <w:p>
            <w:pP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5,960,005.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13</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-5,960,005.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c>
          <w:tcPr>
            <w:tcW w:w="893" w:type="dxa"/>
            <w:vMerge w:val="restart"/>
            <w:tcBorders>
              <w:top w:val="single" w:sz="4" w:space="0" w:color="000000"/>
              <w:left w:val="single" w:sz="4" w:space="0" w:color="000000"/>
              <w:right w:val="single" w:sz="4" w:space="0" w:color="000000"/>
            </w:tcBorders>
          </w:tcPr>
          <w:p>
            <w:pP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．资本公积转增资本（或股本</w:t>
            </w:r>
          </w:p>
        </w:tc>
        <w:tc>
          <w:tcPr>
            <w:tcW w:w="8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．盈余公积转增资本（或股本</w:t>
            </w:r>
          </w:p>
        </w:tc>
        <w:tc>
          <w:tcPr>
            <w:tcW w:w="8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81.679993pt;margin-top:727.950012pt;width:42.6pt;height:40.8pt;mso-position-horizontal-relative:page;mso-position-vertical-relative:page;z-index:-670528" coordorigin="3634,14559" coordsize="852,816">
            <v:group style="position:absolute;left:3645;top:14570;width:2;height:392" coordorigin="3645,14570" coordsize="2,392">
              <v:shape style="position:absolute;left:3645;top:14570;width:2;height:392" coordorigin="3645,14570" coordsize="0,392" path="m3645,14570l3645,14962e" filled="false" stroked="true" strokeweight="1.140pt" strokecolor="#ffffff">
                <v:path arrowok="t"/>
              </v:shape>
            </v:group>
            <v:group style="position:absolute;left:3656;top:14570;width:830;height:392" coordorigin="3656,14570" coordsize="830,392">
              <v:shape style="position:absolute;left:3656;top:14570;width:830;height:392" coordorigin="3656,14570" coordsize="830,392" path="m3656,14962l4486,14962,4486,14570,3656,14570,3656,14962xe" filled="true" fillcolor="#ffffff" stroked="false">
                <v:path arrowok="t"/>
                <v:fill type="solid"/>
              </v:shape>
            </v:group>
            <v:group style="position:absolute;left:3645;top:14972;width:2;height:392" coordorigin="3645,14972" coordsize="2,392">
              <v:shape style="position:absolute;left:3645;top:14972;width:2;height:392" coordorigin="3645,14972" coordsize="0,392" path="m3645,14972l3645,15364e" filled="false" stroked="true" strokeweight="1.140pt" strokecolor="#ffffff">
                <v:path arrowok="t"/>
              </v:shape>
            </v:group>
            <v:group style="position:absolute;left:3656;top:14972;width:830;height:392" coordorigin="3656,14972" coordsize="830,392">
              <v:shape style="position:absolute;left:3656;top:14972;width:830;height:392" coordorigin="3656,14972" coordsize="830,392" path="m3656,15364l4486,15364,4486,14972,3656,14972,3656,1536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76"/>
        <w:gridCol w:w="886"/>
        <w:gridCol w:w="884"/>
        <w:gridCol w:w="886"/>
        <w:gridCol w:w="886"/>
        <w:gridCol w:w="887"/>
        <w:gridCol w:w="886"/>
        <w:gridCol w:w="886"/>
        <w:gridCol w:w="893"/>
      </w:tblGrid>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69,797,534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359,724,65</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0.52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22,582,871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196,586,20</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3.53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648,691,25</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9.25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2"/>
        <w:gridCol w:w="897"/>
        <w:gridCol w:w="884"/>
        <w:gridCol w:w="886"/>
        <w:gridCol w:w="883"/>
        <w:gridCol w:w="884"/>
        <w:gridCol w:w="884"/>
        <w:gridCol w:w="883"/>
        <w:gridCol w:w="882"/>
      </w:tblGrid>
      <w:tr>
        <w:trPr>
          <w:trHeight w:val="40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7084"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1" w:hRule="exact"/>
        </w:trPr>
        <w:tc>
          <w:tcPr>
            <w:tcW w:w="247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4"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3" w:type="dxa"/>
            <w:tcBorders>
              <w:top w:val="single" w:sz="4" w:space="0" w:color="000000"/>
              <w:left w:val="single" w:sz="4" w:space="0" w:color="000000"/>
              <w:bottom w:val="nil" w:sz="6" w:space="0" w:color="auto"/>
              <w:right w:val="single" w:sz="4" w:space="0" w:color="000000"/>
            </w:tcBorders>
            <w:shd w:val="clear" w:color="auto" w:fill="D3D3D3"/>
          </w:tcPr>
          <w:p>
            <w:pP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46" w:right="74"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66" w:right="7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72" w:type="dxa"/>
            <w:vMerge/>
            <w:tcBorders>
              <w:left w:val="single" w:sz="4" w:space="0" w:color="000000"/>
              <w:bottom w:val="nil" w:sz="6" w:space="0" w:color="auto"/>
              <w:right w:val="single" w:sz="4" w:space="0" w:color="000000"/>
            </w:tcBorders>
            <w:shd w:val="clear" w:color="auto" w:fill="D3D3D3"/>
          </w:tcPr>
          <w:p>
            <w:pPr/>
          </w:p>
        </w:tc>
        <w:tc>
          <w:tcPr>
            <w:tcW w:w="897" w:type="dxa"/>
            <w:vMerge/>
            <w:tcBorders>
              <w:left w:val="single" w:sz="4" w:space="0" w:color="000000"/>
              <w:right w:val="single" w:sz="4" w:space="0" w:color="000000"/>
            </w:tcBorders>
            <w:shd w:val="clear" w:color="auto" w:fill="D3D3D3"/>
          </w:tcPr>
          <w:p>
            <w:pP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196" w:lineRule="exact" w:before="51"/>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4" w:lineRule="exact"/>
              <w:ind w:left="-143"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3D3D3"/>
          </w:tcPr>
          <w:p>
            <w:pPr/>
          </w:p>
        </w:tc>
        <w:tc>
          <w:tcPr>
            <w:tcW w:w="883" w:type="dxa"/>
            <w:vMerge/>
            <w:tcBorders>
              <w:left w:val="single" w:sz="4" w:space="0" w:color="000000"/>
              <w:right w:val="single" w:sz="4" w:space="0" w:color="000000"/>
            </w:tcBorders>
            <w:shd w:val="clear" w:color="auto" w:fill="D3D3D3"/>
          </w:tcPr>
          <w:p>
            <w:pPr/>
          </w:p>
        </w:tc>
        <w:tc>
          <w:tcPr>
            <w:tcW w:w="882" w:type="dxa"/>
            <w:vMerge/>
            <w:tcBorders>
              <w:left w:val="single" w:sz="4" w:space="0" w:color="000000"/>
              <w:right w:val="single" w:sz="4" w:space="0" w:color="000000"/>
            </w:tcBorders>
            <w:shd w:val="clear" w:color="auto" w:fill="D3D3D3"/>
          </w:tcPr>
          <w:p>
            <w:pPr/>
          </w:p>
        </w:tc>
      </w:tr>
      <w:tr>
        <w:trPr>
          <w:trHeight w:val="200" w:hRule="exact"/>
        </w:trPr>
        <w:tc>
          <w:tcPr>
            <w:tcW w:w="2472" w:type="dxa"/>
            <w:vMerge w:val="restart"/>
            <w:tcBorders>
              <w:top w:val="nil" w:sz="6" w:space="0" w:color="auto"/>
              <w:left w:val="single" w:sz="4" w:space="0" w:color="000000"/>
              <w:right w:val="single" w:sz="4" w:space="0" w:color="000000"/>
            </w:tcBorders>
            <w:shd w:val="clear" w:color="auto" w:fill="D3D3D3"/>
          </w:tcPr>
          <w:p>
            <w:pPr/>
          </w:p>
        </w:tc>
        <w:tc>
          <w:tcPr>
            <w:tcW w:w="897" w:type="dxa"/>
            <w:vMerge/>
            <w:tcBorders>
              <w:left w:val="single" w:sz="4" w:space="0" w:color="000000"/>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3" w:type="dxa"/>
            <w:vMerge/>
            <w:tcBorders>
              <w:left w:val="single" w:sz="4" w:space="0" w:color="000000"/>
              <w:bottom w:val="nil" w:sz="6" w:space="0" w:color="auto"/>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884" w:type="dxa"/>
            <w:vMerge/>
            <w:tcBorders>
              <w:left w:val="single" w:sz="4" w:space="0" w:color="000000"/>
              <w:right w:val="single" w:sz="4" w:space="0" w:color="000000"/>
            </w:tcBorders>
            <w:shd w:val="clear" w:color="auto" w:fill="D3D3D3"/>
          </w:tcPr>
          <w:p>
            <w:pPr/>
          </w:p>
        </w:tc>
        <w:tc>
          <w:tcPr>
            <w:tcW w:w="883" w:type="dxa"/>
            <w:vMerge/>
            <w:tcBorders>
              <w:left w:val="single" w:sz="4" w:space="0" w:color="000000"/>
              <w:right w:val="single" w:sz="4" w:space="0" w:color="000000"/>
            </w:tcBorders>
            <w:shd w:val="clear" w:color="auto" w:fill="D3D3D3"/>
          </w:tcPr>
          <w:p>
            <w:pPr/>
          </w:p>
        </w:tc>
        <w:tc>
          <w:tcPr>
            <w:tcW w:w="882" w:type="dxa"/>
            <w:vMerge/>
            <w:tcBorders>
              <w:left w:val="single" w:sz="4" w:space="0" w:color="000000"/>
              <w:right w:val="single" w:sz="4" w:space="0" w:color="000000"/>
            </w:tcBorders>
            <w:shd w:val="clear" w:color="auto" w:fill="D3D3D3"/>
          </w:tcPr>
          <w:p>
            <w:pPr/>
          </w:p>
        </w:tc>
      </w:tr>
      <w:tr>
        <w:trPr>
          <w:trHeight w:val="160" w:hRule="exact"/>
        </w:trPr>
        <w:tc>
          <w:tcPr>
            <w:tcW w:w="2472" w:type="dxa"/>
            <w:vMerge/>
            <w:tcBorders>
              <w:left w:val="single" w:sz="4" w:space="0" w:color="000000"/>
              <w:bottom w:val="single" w:sz="4" w:space="0" w:color="000000"/>
              <w:right w:val="single" w:sz="4" w:space="0" w:color="000000"/>
            </w:tcBorders>
            <w:shd w:val="clear" w:color="auto" w:fill="D3D3D3"/>
          </w:tcPr>
          <w:p>
            <w:pPr/>
          </w:p>
        </w:tc>
        <w:tc>
          <w:tcPr>
            <w:tcW w:w="897" w:type="dxa"/>
            <w:vMerge/>
            <w:tcBorders>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3" w:type="dxa"/>
            <w:tcBorders>
              <w:top w:val="nil" w:sz="6" w:space="0" w:color="auto"/>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3" w:type="dxa"/>
            <w:vMerge/>
            <w:tcBorders>
              <w:left w:val="single" w:sz="4" w:space="0" w:color="000000"/>
              <w:bottom w:val="single" w:sz="4" w:space="0" w:color="000000"/>
              <w:right w:val="single" w:sz="4" w:space="0" w:color="000000"/>
            </w:tcBorders>
            <w:shd w:val="clear" w:color="auto" w:fill="D3D3D3"/>
          </w:tcPr>
          <w:p>
            <w:pPr/>
          </w:p>
        </w:tc>
        <w:tc>
          <w:tcPr>
            <w:tcW w:w="882" w:type="dxa"/>
            <w:vMerge/>
            <w:tcBorders>
              <w:left w:val="single" w:sz="4" w:space="0" w:color="000000"/>
              <w:bottom w:val="single" w:sz="4" w:space="0" w:color="000000"/>
              <w:right w:val="single" w:sz="4" w:space="0" w:color="000000"/>
            </w:tcBorders>
            <w:shd w:val="clear" w:color="auto" w:fill="D3D3D3"/>
          </w:tcPr>
          <w:p>
            <w:pPr/>
          </w:p>
        </w:tc>
      </w:tr>
      <w:tr>
        <w:trPr>
          <w:trHeight w:val="16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52,347,534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43,441,133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11,109,756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93,328,174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200,226,59</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8.09</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52,347,534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43,441,133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11,109,756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93,328,174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200,226,59</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8.09</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714"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5,513,109.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49,617,983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55,131,092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r>
      <w:tr>
        <w:trPr>
          <w:trHeight w:val="16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55,131,092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55,131,092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55,131,092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55,131,092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11"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5,513,109.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-5,513,109.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w:t>
            </w:r>
          </w:p>
        </w:tc>
        <w:tc>
          <w:tcPr>
            <w:tcW w:w="882" w:type="dxa"/>
            <w:vMerge w:val="restart"/>
            <w:tcBorders>
              <w:top w:val="single" w:sz="4" w:space="0" w:color="000000"/>
              <w:left w:val="single" w:sz="4" w:space="0" w:color="000000"/>
              <w:right w:val="single" w:sz="4" w:space="0" w:color="000000"/>
            </w:tcBorders>
          </w:tcPr>
          <w:p>
            <w:pP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16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5,513,109.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-5,513,109.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w:t>
            </w:r>
          </w:p>
        </w:tc>
        <w:tc>
          <w:tcPr>
            <w:tcW w:w="882" w:type="dxa"/>
            <w:vMerge w:val="restart"/>
            <w:tcBorders>
              <w:top w:val="single" w:sz="4" w:space="0" w:color="000000"/>
              <w:left w:val="single" w:sz="4" w:space="0" w:color="000000"/>
              <w:right w:val="single" w:sz="4" w:space="0" w:color="000000"/>
            </w:tcBorders>
          </w:tcPr>
          <w:p>
            <w:pP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．资本公积转增资本（或股本</w:t>
            </w:r>
          </w:p>
        </w:tc>
        <w:tc>
          <w:tcPr>
            <w:tcW w:w="8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．盈余公积转增资本（或股本</w:t>
            </w:r>
          </w:p>
        </w:tc>
        <w:tc>
          <w:tcPr>
            <w:tcW w:w="8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886"/>
        <w:gridCol w:w="884"/>
        <w:gridCol w:w="886"/>
        <w:gridCol w:w="883"/>
        <w:gridCol w:w="884"/>
        <w:gridCol w:w="884"/>
        <w:gridCol w:w="883"/>
        <w:gridCol w:w="882"/>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52,347,534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43,441,133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16,622,866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.07</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142,946,15</w:t>
            </w:r>
          </w:p>
          <w:p>
            <w:pPr>
              <w:pStyle w:val="TableParagraph"/>
              <w:spacing w:line="240" w:lineRule="auto" w:before="106"/>
              <w:ind w:left="536" w:right="0"/>
              <w:jc w:val="left"/>
              <w:rPr>
                <w:rFonts w:ascii="Times New Roman" w:hAnsi="Times New Roman" w:cs="Times New Roman" w:eastAsia="Times New Roman" w:hint="default"/>
                <w:sz w:val="18"/>
                <w:szCs w:val="18"/>
              </w:rPr>
            </w:pPr>
            <w:r>
              <w:rPr>
                <w:rFonts w:ascii="Times New Roman"/>
                <w:sz w:val="18"/>
              </w:rPr>
              <w:t>7.36</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255,357,69</w:t>
            </w:r>
          </w:p>
          <w:p>
            <w:pPr>
              <w:pStyle w:val="TableParagraph"/>
              <w:spacing w:line="240" w:lineRule="auto" w:before="106"/>
              <w:ind w:left="535" w:right="0"/>
              <w:jc w:val="left"/>
              <w:rPr>
                <w:rFonts w:ascii="Times New Roman" w:hAnsi="Times New Roman" w:cs="Times New Roman" w:eastAsia="Times New Roman" w:hint="default"/>
                <w:sz w:val="18"/>
                <w:szCs w:val="18"/>
              </w:rPr>
            </w:pPr>
            <w:r>
              <w:rPr>
                <w:rFonts w:ascii="Times New Roman"/>
                <w:sz w:val="18"/>
              </w:rPr>
              <w:t>0.71</w:t>
            </w:r>
          </w:p>
        </w:tc>
      </w:tr>
    </w:tbl>
    <w:p>
      <w:pPr>
        <w:spacing w:line="240" w:lineRule="auto" w:before="6"/>
        <w:rPr>
          <w:rFonts w:ascii="宋体" w:hAnsi="宋体" w:cs="宋体" w:eastAsia="宋体" w:hint="default"/>
          <w:sz w:val="20"/>
          <w:szCs w:val="20"/>
        </w:rPr>
      </w:pPr>
    </w:p>
    <w:p>
      <w:pPr>
        <w:tabs>
          <w:tab w:pos="3663" w:val="left" w:leader="none"/>
          <w:tab w:pos="7893" w:val="left" w:leader="none"/>
        </w:tabs>
        <w:spacing w:before="44"/>
        <w:ind w:left="154" w:right="0" w:firstLine="0"/>
        <w:jc w:val="both"/>
        <w:rPr>
          <w:rFonts w:ascii="宋体" w:hAnsi="宋体" w:cs="宋体" w:eastAsia="宋体" w:hint="default"/>
          <w:sz w:val="18"/>
          <w:szCs w:val="18"/>
        </w:rPr>
      </w:pPr>
      <w:r>
        <w:rPr>
          <w:rFonts w:ascii="宋体" w:hAnsi="宋体" w:cs="宋体" w:eastAsia="宋体" w:hint="default"/>
          <w:sz w:val="18"/>
          <w:szCs w:val="18"/>
        </w:rPr>
        <w:t>法定代表人：朱烨东</w:t>
        <w:tab/>
        <w:t>主管会计工作负责人：赵学荣</w:t>
        <w:tab/>
        <w:t>会计机构负责人：张永</w:t>
      </w:r>
    </w:p>
    <w:p>
      <w:pPr>
        <w:spacing w:line="240" w:lineRule="auto" w:before="1"/>
        <w:rPr>
          <w:rFonts w:ascii="宋体" w:hAnsi="宋体" w:cs="宋体" w:eastAsia="宋体" w:hint="default"/>
          <w:sz w:val="25"/>
          <w:szCs w:val="25"/>
        </w:rPr>
      </w:pPr>
    </w:p>
    <w:p>
      <w:pPr>
        <w:pStyle w:val="Heading2"/>
        <w:spacing w:line="240" w:lineRule="auto" w:before="0"/>
        <w:ind w:right="0"/>
        <w:jc w:val="both"/>
        <w:rPr>
          <w:b w:val="0"/>
          <w:bCs w:val="0"/>
        </w:rPr>
      </w:pPr>
      <w:r>
        <w:rPr/>
        <w:t>三、公司基本情况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576" w:right="102" w:firstLine="1"/>
        <w:jc w:val="left"/>
      </w:pPr>
      <w:r>
        <w:rPr>
          <w:rFonts w:ascii="宋体" w:hAnsi="宋体" w:cs="宋体" w:eastAsia="宋体" w:hint="default"/>
          <w:b/>
          <w:bCs/>
        </w:rPr>
        <w:t>(一) 公司概况</w:t>
      </w:r>
      <w:r>
        <w:rPr>
          <w:rFonts w:ascii="宋体" w:hAnsi="宋体" w:cs="宋体" w:eastAsia="宋体" w:hint="default"/>
          <w:b/>
          <w:bCs/>
          <w:w w:val="99"/>
        </w:rPr>
        <w:t> </w:t>
      </w:r>
      <w:r>
        <w:rPr/>
        <w:t>北京中科金财科技股份有限公司（以下简称“本公司”或“公司”）系2012年2月28日在深圳证券交</w:t>
      </w:r>
    </w:p>
    <w:p>
      <w:pPr>
        <w:pStyle w:val="BodyText"/>
        <w:spacing w:line="408" w:lineRule="auto"/>
        <w:ind w:left="576" w:right="102" w:hanging="423"/>
        <w:jc w:val="left"/>
      </w:pPr>
      <w:r>
        <w:rPr>
          <w:spacing w:val="-1"/>
        </w:rPr>
        <w:t>易所挂牌上市的股份有限公司。公司企业法人营业执照注册号为：110108006333023 </w:t>
      </w:r>
      <w:r>
        <w:rPr/>
        <w:t>住所：北京市海淀区学院路51号楼首享科技大厦6层</w:t>
      </w:r>
    </w:p>
    <w:p>
      <w:pPr>
        <w:pStyle w:val="BodyText"/>
        <w:tabs>
          <w:tab w:pos="1835" w:val="left" w:leader="none"/>
        </w:tabs>
        <w:spacing w:line="408" w:lineRule="auto"/>
        <w:ind w:left="576" w:right="7011"/>
        <w:jc w:val="left"/>
      </w:pPr>
      <w:r>
        <w:rPr/>
        <w:t>法定代表人：朱烨东</w:t>
      </w:r>
      <w:r>
        <w:rPr>
          <w:spacing w:val="-1"/>
        </w:rPr>
        <w:t> 注册资本：</w:t>
        <w:tab/>
        <w:t>6979.7534元</w:t>
      </w:r>
      <w:r>
        <w:rPr/>
      </w:r>
    </w:p>
    <w:p>
      <w:pPr>
        <w:pStyle w:val="BodyText"/>
        <w:spacing w:line="408" w:lineRule="auto"/>
        <w:ind w:left="576" w:right="102"/>
        <w:jc w:val="left"/>
      </w:pPr>
      <w:r>
        <w:rPr/>
        <w:t>公司类型：股份有限公司（非上市、自然人投资或控股） </w:t>
      </w:r>
      <w:r>
        <w:rPr>
          <w:spacing w:val="-2"/>
        </w:rPr>
        <w:t>经营范围：建筑智能化工程设计与施工（工程设计资质证书有效期至2015年11月22日）；计算机软件</w:t>
      </w:r>
      <w:r>
        <w:rPr/>
      </w:r>
    </w:p>
    <w:p>
      <w:pPr>
        <w:pStyle w:val="BodyText"/>
        <w:spacing w:line="408" w:lineRule="auto"/>
        <w:ind w:left="153" w:right="209"/>
        <w:jc w:val="both"/>
      </w:pPr>
      <w:r>
        <w:rPr>
          <w:spacing w:val="-1"/>
        </w:rPr>
        <w:t>技术开发；计算机系统集成及服务；销售计算机及外部设备、电子产品；货物进出口、技术进出口、代理</w:t>
      </w:r>
      <w:r>
        <w:rPr>
          <w:spacing w:val="-83"/>
        </w:rPr>
        <w:t> </w:t>
      </w:r>
      <w:r>
        <w:rPr>
          <w:spacing w:val="-83"/>
        </w:rPr>
      </w:r>
      <w:r>
        <w:rPr/>
        <w:t>进出口；专业承包；计算机技术培训。</w:t>
      </w:r>
    </w:p>
    <w:p>
      <w:pPr>
        <w:pStyle w:val="BodyText"/>
        <w:spacing w:line="408" w:lineRule="auto"/>
        <w:ind w:left="576" w:right="102" w:firstLine="1"/>
        <w:jc w:val="left"/>
      </w:pPr>
      <w:r>
        <w:rPr>
          <w:rFonts w:ascii="宋体" w:hAnsi="宋体" w:cs="宋体" w:eastAsia="宋体" w:hint="default"/>
          <w:b/>
          <w:bCs/>
        </w:rPr>
        <w:t>(二) 历史沿革</w:t>
      </w:r>
      <w:r>
        <w:rPr>
          <w:rFonts w:ascii="宋体" w:hAnsi="宋体" w:cs="宋体" w:eastAsia="宋体" w:hint="default"/>
          <w:b/>
          <w:bCs/>
          <w:w w:val="99"/>
        </w:rPr>
        <w:t> </w:t>
      </w:r>
      <w:r>
        <w:rPr>
          <w:spacing w:val="3"/>
        </w:rPr>
        <w:t>北京中科金财科技有限公司系2003年12月10日由北京盛阳金财科技有限公司和自然人沈飒共同出资</w:t>
      </w:r>
      <w:r>
        <w:rPr/>
      </w:r>
    </w:p>
    <w:p>
      <w:pPr>
        <w:pStyle w:val="BodyText"/>
        <w:spacing w:line="408" w:lineRule="auto"/>
        <w:ind w:left="153" w:right="189"/>
        <w:jc w:val="both"/>
      </w:pPr>
      <w:r>
        <w:rPr/>
        <w:t>组建的有限责任公司，成立时注册资本为50万元。其中：北京盛阳金财科技有限公司以货币出资40万元， </w:t>
      </w:r>
      <w:r>
        <w:rPr>
          <w:spacing w:val="-1"/>
        </w:rPr>
        <w:t>占80%的股权；自然人沈飒以货币出资10万元，占20%的股权。该注册资本业经北京中仁信会计师事务所出</w:t>
      </w:r>
      <w:r>
        <w:rPr>
          <w:spacing w:val="-84"/>
        </w:rPr>
        <w:t> </w:t>
      </w:r>
      <w:r>
        <w:rPr>
          <w:spacing w:val="-84"/>
        </w:rPr>
      </w:r>
      <w:r>
        <w:rPr/>
        <w:t>具的“中仁信验字（2003）第1116号”验资报告验证。</w:t>
      </w:r>
    </w:p>
    <w:p>
      <w:pPr>
        <w:pStyle w:val="BodyText"/>
        <w:spacing w:line="408" w:lineRule="auto"/>
        <w:ind w:left="153" w:right="104" w:firstLine="422"/>
        <w:jc w:val="both"/>
      </w:pPr>
      <w:r>
        <w:rPr/>
        <w:t>2004年12月3日，北京中科金财科技有限公司增加注册资本150万元。经2004年11月30日北京中科金财 科技有限公司股东会决议通过，公司注册资本变更为200万元。北京盛阳金财科技有限公司将其持有的80% 股权全部转让予自然人沈飒，同时沈飒追加出资30万元；新增自然人股东蔡迦以货币出资46万元；新增自 </w:t>
      </w:r>
      <w:r>
        <w:rPr>
          <w:spacing w:val="-5"/>
        </w:rPr>
        <w:t>然人股东陈绪华以货币出资74万元，变更后公司股权结构为：沈飒持股40%、蔡迦持股23%、陈绪华持股37%。</w:t>
      </w:r>
    </w:p>
    <w:p>
      <w:pPr>
        <w:pStyle w:val="BodyText"/>
        <w:spacing w:line="240" w:lineRule="auto"/>
        <w:ind w:left="576" w:right="102"/>
        <w:jc w:val="left"/>
      </w:pPr>
      <w:r>
        <w:rPr/>
        <w:t>2006年1月17日，北京中科金财科技有限公司增加注册资本800万元。经2006年1月5日北京中科金财科</w:t>
      </w:r>
    </w:p>
    <w:p>
      <w:pPr>
        <w:spacing w:after="0" w:line="240"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4"/>
        <w:ind w:right="206"/>
        <w:jc w:val="both"/>
      </w:pPr>
      <w:r>
        <w:rPr>
          <w:spacing w:val="-1"/>
        </w:rPr>
        <w:t>技有限公司股东会决议通过，公司注册资本变更为1,000万元。北京中科金宏科技有限公司以货币出资800</w:t>
      </w:r>
      <w:r>
        <w:rPr>
          <w:spacing w:val="-79"/>
        </w:rPr>
        <w:t> </w:t>
      </w:r>
      <w:r>
        <w:rPr>
          <w:spacing w:val="-79"/>
        </w:rPr>
      </w:r>
      <w:r>
        <w:rPr/>
        <w:t>万元（实际控制人为沈飒），持有公司80%的股权；其他股东的出资额不变。此次增资业经北京天平会计</w:t>
      </w:r>
      <w:r>
        <w:rPr>
          <w:spacing w:val="-34"/>
        </w:rPr>
        <w:t> </w:t>
      </w:r>
      <w:r>
        <w:rPr>
          <w:spacing w:val="-34"/>
        </w:rPr>
      </w:r>
      <w:r>
        <w:rPr/>
        <w:t>师事务所有限责任公司2006年1月12日出具的“天平验资(2006)第2003号”验资报告验证。</w:t>
      </w:r>
    </w:p>
    <w:p>
      <w:pPr>
        <w:pStyle w:val="BodyText"/>
        <w:spacing w:line="408" w:lineRule="auto"/>
        <w:ind w:right="209" w:firstLine="422"/>
        <w:jc w:val="both"/>
      </w:pPr>
      <w:r>
        <w:rPr/>
        <w:t>2006年12月18日，北京中科金宏科技有限公司与自然人沈飒、蔡迦、陈绪华和李彤彤等4人签署股权 转让协议，协议约定：北京中科金宏科技有限公司将其持有的25.6%股权转让予沈飒、将其持有的14.72%</w:t>
      </w:r>
      <w:r>
        <w:rPr>
          <w:spacing w:val="-42"/>
        </w:rPr>
        <w:t> </w:t>
      </w:r>
      <w:r>
        <w:rPr>
          <w:spacing w:val="-42"/>
        </w:rPr>
      </w:r>
      <w:r>
        <w:rPr/>
        <w:t>股权转让予蔡迦、将其持有的23.68%股权转让予陈绪华、将其持有的16%股权转让予李彤彤；变更后的股</w:t>
      </w:r>
      <w:r>
        <w:rPr>
          <w:spacing w:val="-39"/>
        </w:rPr>
        <w:t> </w:t>
      </w:r>
      <w:r>
        <w:rPr>
          <w:spacing w:val="-39"/>
        </w:rPr>
      </w:r>
      <w:r>
        <w:rPr/>
        <w:t>权结构为：沈飒持股33.60%；陈绪华持股31.08%；蔡迦持股19.32%；李彤彤持股16%。</w:t>
      </w:r>
    </w:p>
    <w:p>
      <w:pPr>
        <w:pStyle w:val="BodyText"/>
        <w:spacing w:line="240" w:lineRule="auto"/>
        <w:ind w:left="576" w:right="102"/>
        <w:jc w:val="left"/>
      </w:pPr>
      <w:r>
        <w:rPr/>
        <w:t>2007年5月25日，股东陈绪华将其持有的公司5%的股权转让给沈飒。</w:t>
      </w:r>
    </w:p>
    <w:p>
      <w:pPr>
        <w:spacing w:line="240" w:lineRule="auto" w:before="10"/>
        <w:rPr>
          <w:rFonts w:ascii="宋体" w:hAnsi="宋体" w:cs="宋体" w:eastAsia="宋体" w:hint="default"/>
          <w:sz w:val="14"/>
          <w:szCs w:val="14"/>
        </w:rPr>
      </w:pPr>
    </w:p>
    <w:p>
      <w:pPr>
        <w:pStyle w:val="BodyText"/>
        <w:spacing w:line="408" w:lineRule="auto" w:before="0"/>
        <w:ind w:right="206" w:firstLine="422"/>
        <w:jc w:val="both"/>
      </w:pPr>
      <w:r>
        <w:rPr>
          <w:spacing w:val="-1"/>
        </w:rPr>
        <w:t>2007年5月30日，北京中科金财科技有限公司增加注册资本200万元，其中：自然人股东侯艾聪以货币</w:t>
      </w:r>
      <w:r>
        <w:rPr/>
        <w:t> </w:t>
      </w:r>
      <w:r>
        <w:rPr>
          <w:spacing w:val="-1"/>
        </w:rPr>
        <w:t>出资80万元；盖洪涛以货币出资60万元；沈飒以货币出资30万元；蔡迦以货币出资30万元。变更后的累计</w:t>
      </w:r>
      <w:r>
        <w:rPr>
          <w:spacing w:val="-80"/>
        </w:rPr>
        <w:t> </w:t>
      </w:r>
      <w:r>
        <w:rPr>
          <w:spacing w:val="-80"/>
        </w:rPr>
      </w:r>
      <w:r>
        <w:rPr>
          <w:spacing w:val="-1"/>
        </w:rPr>
        <w:t>注册资本为1,200万，其中：沈飒出资416万，占注册资本的34.67%；陈绪华出资260.80万，占注册资本的</w:t>
      </w:r>
      <w:r>
        <w:rPr>
          <w:spacing w:val="-75"/>
        </w:rPr>
        <w:t> </w:t>
      </w:r>
      <w:r>
        <w:rPr>
          <w:spacing w:val="-75"/>
        </w:rPr>
      </w:r>
      <w:r>
        <w:rPr/>
        <w:t>21.73%；蔡迦出资223.20万，占注册资本的18.60%；李彤彤出资160万，占注册资本的13.33%；侯艾聪出</w:t>
      </w:r>
      <w:r>
        <w:rPr>
          <w:spacing w:val="-45"/>
        </w:rPr>
        <w:t> </w:t>
      </w:r>
      <w:r>
        <w:rPr>
          <w:spacing w:val="-45"/>
        </w:rPr>
      </w:r>
      <w:r>
        <w:rPr>
          <w:spacing w:val="-1"/>
        </w:rPr>
        <w:t>资80万，占注册资本的6.67%；盖洪涛出资60万，占注册资本的5.00%。此次增资业经北京润鹏冀能会计师</w:t>
      </w:r>
      <w:r>
        <w:rPr>
          <w:spacing w:val="-81"/>
        </w:rPr>
        <w:t> </w:t>
      </w:r>
      <w:r>
        <w:rPr>
          <w:spacing w:val="-81"/>
        </w:rPr>
      </w:r>
      <w:r>
        <w:rPr/>
        <w:t>事务所有限责任公司2007年5月29日出具的“润鹏审字[2007]H2321号”验资报告验证。2007年5月30日，</w:t>
      </w:r>
      <w:r>
        <w:rPr>
          <w:spacing w:val="-42"/>
        </w:rPr>
        <w:t> </w:t>
      </w:r>
      <w:r>
        <w:rPr>
          <w:spacing w:val="-42"/>
        </w:rPr>
      </w:r>
      <w:r>
        <w:rPr/>
        <w:t>北京市工商行政管理局海淀分局为公司换发了企业法人营业执照。</w:t>
      </w:r>
    </w:p>
    <w:p>
      <w:pPr>
        <w:pStyle w:val="BodyText"/>
        <w:spacing w:line="408" w:lineRule="auto"/>
        <w:ind w:left="153" w:right="102" w:firstLine="422"/>
        <w:jc w:val="left"/>
      </w:pPr>
      <w:r>
        <w:rPr/>
        <w:t>2007年7月1日，根据公司2007年第一次股东会决议、发起人协议，公司股东沈飒、陈绪华、蔡迦、李 </w:t>
      </w:r>
      <w:r>
        <w:rPr>
          <w:spacing w:val="-1"/>
        </w:rPr>
        <w:t>彤彤、侯艾聪、盖洪涛等6名自然人作为发起人，依法将北京中科金财科技有限公司变更为股份有限公司。</w:t>
      </w:r>
      <w:r>
        <w:rPr>
          <w:spacing w:val="-84"/>
        </w:rPr>
        <w:t> </w:t>
      </w:r>
      <w:r>
        <w:rPr>
          <w:spacing w:val="-84"/>
        </w:rPr>
      </w:r>
      <w:r>
        <w:rPr/>
        <w:t>根据发起人协议和公司章程的规定，注册资本为人民币41,588,667.00元，以公司截至2007年5月31日止的</w:t>
      </w:r>
      <w:r>
        <w:rPr/>
        <w:t> </w:t>
      </w:r>
      <w:r>
        <w:rPr>
          <w:spacing w:val="8"/>
        </w:rPr>
        <w:t>净资产额41,588,667.28元作为折股依据，折合为股份有限公司股份41,588,667股。其中：沈飒持有</w:t>
      </w:r>
      <w:r>
        <w:rPr>
          <w:spacing w:val="-71"/>
        </w:rPr>
        <w:t> </w:t>
      </w:r>
      <w:r>
        <w:rPr>
          <w:spacing w:val="-71"/>
        </w:rPr>
      </w:r>
      <w:r>
        <w:rPr>
          <w:spacing w:val="-4"/>
        </w:rPr>
        <w:t>14,417,404股，占股本总额的34.67%；陈绪华持有9,038,604股，占股本总额的21.73%；蔡迦持有7,735,492</w:t>
      </w:r>
      <w:r>
        <w:rPr>
          <w:spacing w:val="-80"/>
        </w:rPr>
        <w:t> </w:t>
      </w:r>
      <w:r>
        <w:rPr>
          <w:spacing w:val="-80"/>
        </w:rPr>
      </w:r>
      <w:r>
        <w:rPr/>
        <w:t>股，占股本总额的18.60%；李彤彤持有5,545,156股，占股本总额的13.33%；侯艾聪持有2,772,578股，占</w:t>
      </w:r>
      <w:r>
        <w:rPr/>
        <w:t> 股本总额的6.67%；盖洪涛持有2,079,433股，占股本总额的5.00%。余额0.28元计入公司资本公积。此次</w:t>
      </w:r>
      <w:r>
        <w:rPr>
          <w:spacing w:val="-45"/>
        </w:rPr>
        <w:t> </w:t>
      </w:r>
      <w:r>
        <w:rPr>
          <w:spacing w:val="-45"/>
        </w:rPr>
      </w:r>
      <w:r>
        <w:rPr>
          <w:spacing w:val="2"/>
        </w:rPr>
        <w:t>净资产折股业经天华中兴会计师事务所有限公司2007年7月8日“天华中兴验字[2007]第1205－01号”验</w:t>
      </w:r>
      <w:r>
        <w:rPr>
          <w:spacing w:val="-59"/>
        </w:rPr>
        <w:t> </w:t>
      </w:r>
      <w:r>
        <w:rPr>
          <w:spacing w:val="-59"/>
        </w:rPr>
      </w:r>
      <w:r>
        <w:rPr>
          <w:spacing w:val="-1"/>
        </w:rPr>
        <w:t>资报告验证。北京市工商行政管理局于2007年7月26日向公司核发了变更后的企业法人营业执照（注册号：</w:t>
      </w:r>
      <w:r>
        <w:rPr>
          <w:spacing w:val="-81"/>
        </w:rPr>
        <w:t> </w:t>
      </w:r>
      <w:r>
        <w:rPr>
          <w:spacing w:val="-81"/>
        </w:rPr>
      </w:r>
      <w:r>
        <w:rPr/>
        <w:t>110108006333023）。</w:t>
      </w:r>
    </w:p>
    <w:p>
      <w:pPr>
        <w:pStyle w:val="BodyText"/>
        <w:spacing w:line="408" w:lineRule="auto"/>
        <w:ind w:left="153" w:right="102" w:firstLine="422"/>
        <w:jc w:val="left"/>
      </w:pPr>
      <w:r>
        <w:rPr/>
        <w:t>2010年2月8日，根据公司第一届董事会第十五次会议及2010年度第一次临时股东大会分别审议通过， </w:t>
      </w:r>
      <w:r>
        <w:rPr>
          <w:spacing w:val="-3"/>
        </w:rPr>
        <w:t>公司增加股本4,000,000.00元，全部由天津达晨创富股权投资基金中心（有限合伙）（以下简称“达晨”）</w:t>
      </w:r>
      <w:r>
        <w:rPr>
          <w:spacing w:val="-78"/>
        </w:rPr>
        <w:t> </w:t>
      </w:r>
      <w:r>
        <w:rPr>
          <w:spacing w:val="-78"/>
        </w:rPr>
      </w:r>
      <w:r>
        <w:rPr/>
        <w:t>以货币资金缴足。变更后的注册资本为45,588,667.00元，变更后的股权结构为：沈飒持有14,417,404.00</w:t>
      </w:r>
      <w:r>
        <w:rPr/>
        <w:t> </w:t>
      </w:r>
      <w:r>
        <w:rPr>
          <w:spacing w:val="-5"/>
        </w:rPr>
        <w:t>股，占股本总额的31.63%；陈绪华持有9,038,604.00股，占股本总额的19.83%；蔡迦持有7,735,492.00</w:t>
      </w:r>
      <w:r>
        <w:rPr>
          <w:spacing w:val="29"/>
        </w:rPr>
        <w:t> </w:t>
      </w:r>
      <w:r>
        <w:rPr/>
        <w:t>股，</w:t>
      </w:r>
      <w:r>
        <w:rPr>
          <w:spacing w:val="-91"/>
        </w:rPr>
        <w:t> </w:t>
      </w:r>
      <w:r>
        <w:rPr>
          <w:spacing w:val="-91"/>
        </w:rPr>
      </w:r>
      <w:r>
        <w:rPr/>
        <w:t>占股本总额的16.97%；李彤彤持有5,545,156.00 </w:t>
      </w:r>
      <w:r>
        <w:rPr>
          <w:spacing w:val="-3"/>
        </w:rPr>
        <w:t>股，占股本总额的12.16%；侯艾聪持有2,772,578.00</w:t>
      </w:r>
      <w:r>
        <w:rPr>
          <w:spacing w:val="-51"/>
        </w:rPr>
        <w:t> </w:t>
      </w:r>
      <w:r>
        <w:rPr/>
        <w:t>股，</w:t>
      </w:r>
    </w:p>
    <w:p>
      <w:pPr>
        <w:spacing w:after="0" w:line="408"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4"/>
        <w:ind w:right="210"/>
        <w:jc w:val="both"/>
      </w:pPr>
      <w:r>
        <w:rPr/>
        <w:t>占股本总额的6.08%；盖洪涛持有2,079,433.00 股，占股本总额的4.56%；达晨持有4,000,000.00</w:t>
      </w:r>
      <w:r>
        <w:rPr>
          <w:spacing w:val="-60"/>
        </w:rPr>
        <w:t> </w:t>
      </w:r>
      <w:r>
        <w:rPr/>
        <w:t>股，占</w:t>
      </w:r>
      <w:r>
        <w:rPr/>
        <w:t> </w:t>
      </w:r>
      <w:r>
        <w:rPr>
          <w:spacing w:val="-1"/>
        </w:rPr>
        <w:t>股本总额的8.77%。此次增资产生资本溢价32,000,000.00元，全部计公司资本公积金。此次增资业经立信</w:t>
      </w:r>
      <w:r>
        <w:rPr>
          <w:spacing w:val="-78"/>
        </w:rPr>
        <w:t> </w:t>
      </w:r>
      <w:r>
        <w:rPr>
          <w:spacing w:val="-78"/>
        </w:rPr>
      </w:r>
      <w:r>
        <w:rPr/>
        <w:t>会计师事务所有限公司2010年3月15日出具的“信会师报字（2010）第80462号”验资报告验证。</w:t>
      </w:r>
    </w:p>
    <w:p>
      <w:pPr>
        <w:pStyle w:val="BodyText"/>
        <w:spacing w:line="408" w:lineRule="auto"/>
        <w:ind w:right="93" w:firstLine="422"/>
        <w:jc w:val="left"/>
      </w:pPr>
      <w:r>
        <w:rPr/>
        <w:t>2010年7月1日，根据公司第一届董事会第十六次会议及2009年度股东大会分别审议通过，公司增加股 本2,000,000.00元，全部由天津常春藤一期股权投资中心（有限合伙）（以下简称“常春藤”）以货币资 金缴足。变更后的注册资本为47,588,667.00元，变更后的股权结构为：沈飒持有14,417,404.00股，占股 本总额的30.296%；陈绪华持有9,038,604.00股，占股本总额的18.993%；蔡迦持有7,735,492.00 </w:t>
      </w:r>
      <w:r>
        <w:rPr>
          <w:spacing w:val="2"/>
        </w:rPr>
        <w:t>股，占</w:t>
      </w:r>
      <w:r>
        <w:rPr>
          <w:spacing w:val="-55"/>
        </w:rPr>
        <w:t> </w:t>
      </w:r>
      <w:r>
        <w:rPr>
          <w:spacing w:val="-55"/>
        </w:rPr>
      </w:r>
      <w:r>
        <w:rPr/>
        <w:t>股本总额的16.255%；李彤彤持有5,545,156.00 </w:t>
      </w:r>
      <w:r>
        <w:rPr>
          <w:spacing w:val="-3"/>
        </w:rPr>
        <w:t>股，占股本总额的11.652%；侯艾聪持有2,772,578.00</w:t>
      </w:r>
      <w:r>
        <w:rPr>
          <w:spacing w:val="-34"/>
        </w:rPr>
        <w:t> </w:t>
      </w:r>
      <w:r>
        <w:rPr/>
        <w:t>股，</w:t>
      </w:r>
      <w:r>
        <w:rPr/>
        <w:t> 占股本总额的5.826%；盖洪涛持有2,079,433.00 股，占股本总额的4.370%；达晨持有4,000,000.00</w:t>
      </w:r>
      <w:r>
        <w:rPr>
          <w:spacing w:val="-3"/>
        </w:rPr>
        <w:t> </w:t>
      </w:r>
      <w:r>
        <w:rPr/>
        <w:t>股，</w:t>
      </w:r>
      <w:r>
        <w:rPr>
          <w:spacing w:val="1"/>
        </w:rPr>
        <w:t> </w:t>
      </w:r>
      <w:r>
        <w:rPr>
          <w:spacing w:val="12"/>
        </w:rPr>
        <w:t>占股本总额的8.405%；常春藤持有</w:t>
      </w:r>
      <w:r>
        <w:rPr>
          <w:spacing w:val="-86"/>
        </w:rPr>
        <w:t> </w:t>
      </w:r>
      <w:r>
        <w:rPr>
          <w:spacing w:val="10"/>
        </w:rPr>
        <w:t>2,000,000.00股，占股本总额的4.203%。此次增资产生资本溢价</w:t>
      </w:r>
      <w:r>
        <w:rPr>
          <w:spacing w:val="-102"/>
        </w:rPr>
        <w:t> </w:t>
      </w:r>
      <w:r>
        <w:rPr>
          <w:spacing w:val="-102"/>
        </w:rPr>
      </w:r>
      <w:r>
        <w:rPr/>
        <w:t>16,200,000.00元，全部计入公司资本公积金。此次增资业经立信会计师事务所有限公司2010年7月8日出</w:t>
      </w:r>
      <w:r>
        <w:rPr>
          <w:spacing w:val="-42"/>
        </w:rPr>
        <w:t> </w:t>
      </w:r>
      <w:r>
        <w:rPr>
          <w:spacing w:val="-42"/>
        </w:rPr>
      </w:r>
      <w:r>
        <w:rPr/>
        <w:t>具的“信会师报字（2010）第80779号”验资报告验证。</w:t>
      </w:r>
    </w:p>
    <w:p>
      <w:pPr>
        <w:pStyle w:val="BodyText"/>
        <w:spacing w:line="408" w:lineRule="auto"/>
        <w:ind w:right="208" w:firstLine="422"/>
        <w:jc w:val="both"/>
      </w:pPr>
      <w:r>
        <w:rPr/>
        <w:t>2010年6月19日，根据公司第一届董事会第十六次会议及2009年度股东大会会议决议、股东侯艾聪与 </w:t>
      </w:r>
      <w:r>
        <w:rPr>
          <w:spacing w:val="-1"/>
        </w:rPr>
        <w:t>常春藤、上海力鼎投资管理有限公司（以下简称“力鼎投资”）、深圳市孚威创业投资有限公司（以下简</w:t>
      </w:r>
      <w:r>
        <w:rPr>
          <w:spacing w:val="-83"/>
        </w:rPr>
        <w:t> </w:t>
      </w:r>
      <w:r>
        <w:rPr>
          <w:spacing w:val="-83"/>
        </w:rPr>
      </w:r>
      <w:r>
        <w:rPr>
          <w:spacing w:val="-1"/>
        </w:rPr>
        <w:t>称“孚威创投”）签署的《股份转让合同》，侯艾聪将其持有的本公司5.826%股份（277.2578万股）予以</w:t>
      </w:r>
      <w:r>
        <w:rPr>
          <w:spacing w:val="-78"/>
        </w:rPr>
        <w:t> </w:t>
      </w:r>
      <w:r>
        <w:rPr>
          <w:spacing w:val="-78"/>
        </w:rPr>
      </w:r>
      <w:r>
        <w:rPr>
          <w:spacing w:val="-4"/>
        </w:rPr>
        <w:t>转让，转让后的股权结构为：沈飒持有14,417,404.00股，占股本总额的30.296%；陈绪华持有9,038,604.00</w:t>
      </w:r>
      <w:r>
        <w:rPr>
          <w:spacing w:val="-1"/>
        </w:rPr>
        <w:t> </w:t>
      </w:r>
      <w:r>
        <w:rPr>
          <w:spacing w:val="-3"/>
        </w:rPr>
        <w:t>股，占股本总额的18.993%；蔡迦持有7,735,492.00 股，占股本总额的16.255%；李彤彤持有5,545,156.00</w:t>
      </w:r>
      <w:r>
        <w:rPr>
          <w:spacing w:val="-76"/>
        </w:rPr>
        <w:t> </w:t>
      </w:r>
      <w:r>
        <w:rPr>
          <w:spacing w:val="-76"/>
        </w:rPr>
      </w:r>
      <w:r>
        <w:rPr/>
        <w:t>股，占股本总额的11.652%；盖洪涛持有2,079,433.00</w:t>
      </w:r>
      <w:r>
        <w:rPr>
          <w:spacing w:val="-26"/>
        </w:rPr>
        <w:t> </w:t>
      </w:r>
      <w:r>
        <w:rPr/>
        <w:t>股，占股本总额的4.370%；达晨持有4,000,000.00</w:t>
      </w:r>
      <w:r>
        <w:rPr/>
        <w:t> </w:t>
      </w:r>
      <w:r>
        <w:rPr>
          <w:spacing w:val="-1"/>
        </w:rPr>
        <w:t>股，占股本总额的8.405%；常春藤持有3,500,000.00股，占股本总额的7.355%；力鼎投资持有972,578.00</w:t>
      </w:r>
      <w:r>
        <w:rPr>
          <w:spacing w:val="-102"/>
        </w:rPr>
        <w:t> </w:t>
      </w:r>
      <w:r>
        <w:rPr>
          <w:spacing w:val="-102"/>
        </w:rPr>
      </w:r>
      <w:r>
        <w:rPr/>
        <w:t>股，占股本总额的2.044%；孚威创投持有300,000.00</w:t>
      </w:r>
      <w:r>
        <w:rPr>
          <w:spacing w:val="48"/>
        </w:rPr>
        <w:t> </w:t>
      </w:r>
      <w:r>
        <w:rPr/>
        <w:t>股，占股本总额的0.630%。相关的股权转让手续已</w:t>
      </w:r>
      <w:r>
        <w:rPr>
          <w:spacing w:val="-92"/>
        </w:rPr>
        <w:t> </w:t>
      </w:r>
      <w:r>
        <w:rPr>
          <w:spacing w:val="-92"/>
        </w:rPr>
      </w:r>
      <w:r>
        <w:rPr/>
        <w:t>于2010年7月21日经北京市工商行政管理局核准变更完毕。</w:t>
      </w:r>
    </w:p>
    <w:p>
      <w:pPr>
        <w:pStyle w:val="BodyText"/>
        <w:spacing w:line="408" w:lineRule="auto"/>
        <w:ind w:right="204" w:firstLine="422"/>
        <w:jc w:val="both"/>
      </w:pPr>
      <w:r>
        <w:rPr/>
        <w:t>2010年8月20日，根据公司第二届董事会第二次会议及2010年度第二次临时股东大会会议决议，公司</w:t>
      </w:r>
      <w:r>
        <w:rPr>
          <w:spacing w:val="2"/>
        </w:rPr>
        <w:t> </w:t>
      </w:r>
      <w:r>
        <w:rPr/>
        <w:t>增加注册资本人民币4,758,867.00元，按每10股转增1股的比例，以资本公积向全体股东按各股东持股比</w:t>
      </w:r>
      <w:r>
        <w:rPr>
          <w:spacing w:val="-38"/>
        </w:rPr>
        <w:t> </w:t>
      </w:r>
      <w:r>
        <w:rPr>
          <w:spacing w:val="-38"/>
        </w:rPr>
      </w:r>
      <w:r>
        <w:rPr>
          <w:spacing w:val="-2"/>
        </w:rPr>
        <w:t>例同比转增，转增股份总额4,758,867.00股，每股面值1.00元，即增加股本4,758,867.00元。增资后的股</w:t>
      </w:r>
      <w:r>
        <w:rPr>
          <w:spacing w:val="-59"/>
        </w:rPr>
        <w:t> </w:t>
      </w:r>
      <w:r>
        <w:rPr>
          <w:spacing w:val="-59"/>
        </w:rPr>
      </w:r>
      <w:r>
        <w:rPr>
          <w:spacing w:val="-1"/>
        </w:rPr>
        <w:t>权结构为：沈飒持有15,859,144.00股，占股本总额的30.296%；陈绪华持有9,942,465.00股，占股本总额</w:t>
      </w:r>
      <w:r>
        <w:rPr>
          <w:spacing w:val="-100"/>
        </w:rPr>
        <w:t> </w:t>
      </w:r>
      <w:r>
        <w:rPr>
          <w:spacing w:val="-100"/>
        </w:rPr>
      </w:r>
      <w:r>
        <w:rPr>
          <w:spacing w:val="-1"/>
        </w:rPr>
        <w:t>的18.993%；蔡迦持有8,509,041.00股，占股本总额的16.255%；李彤彤持有6,099,672.00股，占股本总额</w:t>
      </w:r>
      <w:r>
        <w:rPr>
          <w:spacing w:val="-98"/>
        </w:rPr>
        <w:t> </w:t>
      </w:r>
      <w:r>
        <w:rPr>
          <w:spacing w:val="-98"/>
        </w:rPr>
      </w:r>
      <w:r>
        <w:rPr/>
        <w:t>的11.652%；盖洪涛持有2,287,376.00股，占股本总额的4.370%；达晨持有4,400,000.00股，占股本总额</w:t>
      </w:r>
      <w:r>
        <w:rPr>
          <w:spacing w:val="-48"/>
        </w:rPr>
        <w:t> </w:t>
      </w:r>
      <w:r>
        <w:rPr>
          <w:spacing w:val="-48"/>
        </w:rPr>
      </w:r>
      <w:r>
        <w:rPr>
          <w:spacing w:val="-1"/>
        </w:rPr>
        <w:t>的8.405%；常春藤持有3,850,000.00股，占股本总额的7.355%；力鼎投资持有1,069,836.00股，占股本总</w:t>
      </w:r>
      <w:r>
        <w:rPr>
          <w:spacing w:val="-90"/>
        </w:rPr>
        <w:t> </w:t>
      </w:r>
      <w:r>
        <w:rPr>
          <w:spacing w:val="-90"/>
        </w:rPr>
      </w:r>
      <w:r>
        <w:rPr>
          <w:spacing w:val="-2"/>
        </w:rPr>
        <w:t>额的2.044%；孚威创投持有330,000.00股，占股本总额的0.630%。此次增资业经立信会计师事务所有限公</w:t>
      </w:r>
      <w:r>
        <w:rPr>
          <w:spacing w:val="-66"/>
        </w:rPr>
        <w:t> </w:t>
      </w:r>
      <w:r>
        <w:rPr>
          <w:spacing w:val="-66"/>
        </w:rPr>
      </w:r>
      <w:r>
        <w:rPr/>
        <w:t>司2010年9月9日出具的“信会师报字（2010）第80847号”验资报告验证。</w:t>
      </w:r>
    </w:p>
    <w:p>
      <w:pPr>
        <w:spacing w:after="0" w:line="408" w:lineRule="auto"/>
        <w:jc w:val="both"/>
        <w:sectPr>
          <w:footerReference w:type="default" r:id="rId18"/>
          <w:pgSz w:w="11910" w:h="16840"/>
          <w:pgMar w:footer="982" w:header="747" w:top="1060" w:bottom="1180" w:left="980" w:right="920"/>
          <w:pgNumType w:start="78"/>
        </w:sectPr>
      </w:pPr>
    </w:p>
    <w:p>
      <w:pPr>
        <w:spacing w:line="240" w:lineRule="auto" w:before="0"/>
        <w:rPr>
          <w:rFonts w:ascii="宋体" w:hAnsi="宋体" w:cs="宋体" w:eastAsia="宋体" w:hint="default"/>
          <w:sz w:val="20"/>
          <w:szCs w:val="20"/>
        </w:rPr>
      </w:pPr>
    </w:p>
    <w:p>
      <w:pPr>
        <w:pStyle w:val="BodyText"/>
        <w:spacing w:line="408" w:lineRule="auto" w:before="174"/>
        <w:ind w:right="125" w:firstLine="422"/>
        <w:jc w:val="both"/>
      </w:pPr>
      <w:r>
        <w:rPr/>
        <w:t>2012年2月，根据公司2011年度第一次临时股东大会决议及修改后的公司章程，经中国证券监督管理 委员会证监许可（2012）152号文《关于核准北京中科金财科技股份有限公司首次公开发行股票的批复》</w:t>
      </w:r>
      <w:r>
        <w:rPr>
          <w:spacing w:val="-38"/>
        </w:rPr>
        <w:t> </w:t>
      </w:r>
      <w:r>
        <w:rPr>
          <w:spacing w:val="-38"/>
        </w:rPr>
      </w:r>
      <w:r>
        <w:rPr>
          <w:spacing w:val="-1"/>
        </w:rPr>
        <w:t>核准，公司向社会公开发行人民币普通股股票1,745.00万股，发行方式为采用网下向询价对象询价配售与</w:t>
      </w:r>
      <w:r>
        <w:rPr>
          <w:spacing w:val="-79"/>
        </w:rPr>
        <w:t> </w:t>
      </w:r>
      <w:r>
        <w:rPr>
          <w:spacing w:val="-79"/>
        </w:rPr>
      </w:r>
      <w:r>
        <w:rPr>
          <w:spacing w:val="22"/>
        </w:rPr>
        <w:t>网上资金申购发行相结合的方式，每股发行价格为人民币</w:t>
      </w:r>
      <w:r>
        <w:rPr>
          <w:spacing w:val="-81"/>
        </w:rPr>
        <w:t> </w:t>
      </w:r>
      <w:r>
        <w:rPr/>
        <w:t>22.00</w:t>
      </w:r>
      <w:r>
        <w:rPr>
          <w:spacing w:val="-80"/>
        </w:rPr>
        <w:t> </w:t>
      </w:r>
      <w:r>
        <w:rPr>
          <w:spacing w:val="21"/>
        </w:rPr>
        <w:t>元，变更后的注册资本为人民币</w:t>
      </w:r>
      <w:r>
        <w:rPr>
          <w:spacing w:val="-103"/>
        </w:rPr>
        <w:t> </w:t>
      </w:r>
      <w:r>
        <w:rPr/>
        <w:t>69,797,534.00元。实际募集股款为人民币333,733,517.24元高于新增注册资本的316,283,517.24元计入</w:t>
      </w:r>
      <w:r>
        <w:rPr>
          <w:spacing w:val="-50"/>
        </w:rPr>
        <w:t> </w:t>
      </w:r>
      <w:r>
        <w:rPr>
          <w:spacing w:val="-50"/>
        </w:rPr>
      </w:r>
      <w:r>
        <w:rPr>
          <w:spacing w:val="16"/>
        </w:rPr>
        <w:t>资本公积。</w:t>
      </w:r>
      <w:r>
        <w:rPr>
          <w:spacing w:val="-83"/>
        </w:rPr>
        <w:t> </w:t>
      </w:r>
      <w:r>
        <w:rPr>
          <w:spacing w:val="18"/>
        </w:rPr>
        <w:t>增资后的股权结构为：</w:t>
      </w:r>
      <w:r>
        <w:rPr>
          <w:spacing w:val="-83"/>
        </w:rPr>
        <w:t> </w:t>
      </w:r>
      <w:r>
        <w:rPr>
          <w:spacing w:val="15"/>
        </w:rPr>
        <w:t>沈飒持有</w:t>
      </w:r>
      <w:r>
        <w:rPr>
          <w:spacing w:val="-84"/>
        </w:rPr>
        <w:t> </w:t>
      </w:r>
      <w:r>
        <w:rPr/>
        <w:t>15,859,144.00</w:t>
      </w:r>
      <w:r>
        <w:rPr>
          <w:spacing w:val="-86"/>
        </w:rPr>
        <w:t> </w:t>
      </w:r>
      <w:r>
        <w:rPr>
          <w:spacing w:val="10"/>
        </w:rPr>
        <w:t>股，</w:t>
      </w:r>
      <w:r>
        <w:rPr>
          <w:spacing w:val="-84"/>
        </w:rPr>
        <w:t> </w:t>
      </w:r>
      <w:r>
        <w:rPr>
          <w:spacing w:val="17"/>
        </w:rPr>
        <w:t>占股本总额的</w:t>
      </w:r>
      <w:r>
        <w:rPr>
          <w:spacing w:val="-84"/>
        </w:rPr>
        <w:t> </w:t>
      </w:r>
      <w:r>
        <w:rPr>
          <w:spacing w:val="2"/>
        </w:rPr>
        <w:t>22.72%；</w:t>
      </w:r>
      <w:r>
        <w:rPr>
          <w:spacing w:val="-84"/>
        </w:rPr>
        <w:t> </w:t>
      </w:r>
      <w:r>
        <w:rPr>
          <w:spacing w:val="16"/>
        </w:rPr>
        <w:t>陈绪华持有</w:t>
      </w:r>
      <w:r>
        <w:rPr>
          <w:spacing w:val="-103"/>
        </w:rPr>
        <w:t> </w:t>
      </w:r>
      <w:r>
        <w:rPr>
          <w:spacing w:val="2"/>
        </w:rPr>
        <w:t>9,942,465.00股，占股本总额的14.25%；蔡迦持有8,509,041.00股，占股本总额的12.19%；李彤彤持有</w:t>
      </w:r>
    </w:p>
    <w:p>
      <w:pPr>
        <w:pStyle w:val="BodyText"/>
        <w:spacing w:line="240" w:lineRule="auto"/>
        <w:ind w:right="0"/>
        <w:jc w:val="both"/>
      </w:pPr>
      <w:r>
        <w:rPr>
          <w:spacing w:val="6"/>
        </w:rPr>
        <w:t>6,099,672.00股，占股本总额的8.74%；盖洪涛持有2,287,376.00股，占股本总额的3.28%；达晨持有</w:t>
      </w:r>
      <w:r>
        <w:rPr/>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t>4,400,000.00股，占股本总额的6.30%；常春藤持有3,850,000.00股，占股本总额的5.52%；力鼎投资持有</w:t>
      </w:r>
    </w:p>
    <w:p>
      <w:pPr>
        <w:spacing w:line="240" w:lineRule="auto" w:before="10"/>
        <w:rPr>
          <w:rFonts w:ascii="宋体" w:hAnsi="宋体" w:cs="宋体" w:eastAsia="宋体" w:hint="default"/>
          <w:sz w:val="14"/>
          <w:szCs w:val="14"/>
        </w:rPr>
      </w:pPr>
    </w:p>
    <w:p>
      <w:pPr>
        <w:pStyle w:val="BodyText"/>
        <w:spacing w:line="408" w:lineRule="auto" w:before="0"/>
        <w:ind w:right="147"/>
        <w:jc w:val="both"/>
      </w:pPr>
      <w:r>
        <w:rPr>
          <w:spacing w:val="-1"/>
        </w:rPr>
        <w:t>1,069,836.00股，占股本总额的1.53%；孚威创投持有330,000.00股，占股本总额的0.47%；社会公众股股</w:t>
      </w:r>
      <w:r>
        <w:rPr>
          <w:spacing w:val="-96"/>
        </w:rPr>
        <w:t> </w:t>
      </w:r>
      <w:r>
        <w:rPr>
          <w:spacing w:val="-96"/>
        </w:rPr>
      </w:r>
      <w:r>
        <w:rPr/>
        <w:t>东持有17,450,000.00股，占股本总额的25.00%。此次增资业经立信会计师事务所（特殊普通合伙）2012</w:t>
      </w:r>
      <w:r>
        <w:rPr>
          <w:spacing w:val="-45"/>
        </w:rPr>
        <w:t> </w:t>
      </w:r>
      <w:r>
        <w:rPr>
          <w:spacing w:val="-45"/>
        </w:rPr>
      </w:r>
      <w:r>
        <w:rPr/>
        <w:t>年2月23日出具的“信会师报字（2012）第210034号”验资报告验证。</w:t>
      </w:r>
    </w:p>
    <w:p>
      <w:pPr>
        <w:pStyle w:val="BodyText"/>
        <w:spacing w:line="240" w:lineRule="auto"/>
        <w:ind w:left="576" w:right="0"/>
        <w:jc w:val="left"/>
      </w:pPr>
      <w:r>
        <w:rPr/>
        <w:t>股份公司成立日至2012年12月31日，无其他股权变动事宜。</w:t>
      </w:r>
    </w:p>
    <w:p>
      <w:pPr>
        <w:spacing w:line="240" w:lineRule="auto" w:before="0"/>
        <w:rPr>
          <w:rFonts w:ascii="宋体" w:hAnsi="宋体" w:cs="宋体" w:eastAsia="宋体" w:hint="default"/>
          <w:sz w:val="20"/>
          <w:szCs w:val="20"/>
        </w:rPr>
      </w:pPr>
    </w:p>
    <w:p>
      <w:pPr>
        <w:pStyle w:val="Heading2"/>
        <w:spacing w:line="240" w:lineRule="auto" w:before="131"/>
        <w:ind w:right="0"/>
        <w:jc w:val="both"/>
        <w:rPr>
          <w:b w:val="0"/>
          <w:bCs w:val="0"/>
        </w:rPr>
      </w:pPr>
      <w:r>
        <w:rPr/>
        <w:t>四、公司主要会计政策、会计估计和前期差错</w:t>
      </w:r>
      <w:r>
        <w:rPr>
          <w:b w:val="0"/>
          <w:bCs w:val="0"/>
        </w:rPr>
      </w:r>
    </w:p>
    <w:p>
      <w:pPr>
        <w:spacing w:line="690" w:lineRule="exact" w:before="15"/>
        <w:ind w:left="577" w:right="212" w:hanging="42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b/>
          <w:bCs/>
          <w:w w:val="99"/>
          <w:sz w:val="21"/>
          <w:szCs w:val="21"/>
        </w:rPr>
        <w:t> </w:t>
      </w:r>
      <w:r>
        <w:rPr>
          <w:rFonts w:ascii="宋体" w:hAnsi="宋体" w:cs="宋体" w:eastAsia="宋体" w:hint="default"/>
          <w:sz w:val="21"/>
          <w:szCs w:val="21"/>
        </w:rPr>
        <w:t>公司以持续经营为基础，根据实际发生的交易和事项，按照财政部于2006年2月15日颁布的《企业会</w:t>
      </w:r>
    </w:p>
    <w:p>
      <w:pPr>
        <w:pStyle w:val="BodyText"/>
        <w:spacing w:line="408" w:lineRule="auto" w:before="84"/>
        <w:ind w:right="150"/>
        <w:jc w:val="both"/>
      </w:pPr>
      <w:r>
        <w:rPr>
          <w:spacing w:val="-1"/>
        </w:rPr>
        <w:t>计准则——基本准则》和38项具体会计准则、其后颁布的企业会计准则应用指南、企业会计准则解释及其</w:t>
      </w:r>
      <w:r>
        <w:rPr>
          <w:spacing w:val="-84"/>
        </w:rPr>
        <w:t> </w:t>
      </w:r>
      <w:r>
        <w:rPr>
          <w:spacing w:val="-84"/>
        </w:rPr>
      </w:r>
      <w:r>
        <w:rPr>
          <w:spacing w:val="-1"/>
        </w:rPr>
        <w:t>他相关规定(以下合称“企业会计准则”)、以及中国证券监督管理委员会《公开发行证券的公司信息披露</w:t>
      </w:r>
      <w:r>
        <w:rPr>
          <w:spacing w:val="-82"/>
        </w:rPr>
        <w:t> </w:t>
      </w:r>
      <w:r>
        <w:rPr>
          <w:spacing w:val="-82"/>
        </w:rPr>
      </w:r>
      <w:r>
        <w:rPr/>
        <w:t>编报规则第15</w:t>
      </w:r>
      <w:r>
        <w:rPr>
          <w:spacing w:val="-6"/>
        </w:rPr>
        <w:t> </w:t>
      </w:r>
      <w:r>
        <w:rPr/>
        <w:t>号——财务报告的一般规定》(2010年修订)的披露规定编制财务报表。</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0" w:firstLine="423"/>
        <w:jc w:val="left"/>
      </w:pPr>
      <w:r>
        <w:rPr>
          <w:spacing w:val="-1"/>
        </w:rPr>
        <w:t>公司所编制的财务报表符合企业会计准则的要求，真实、完整地反映了报告期公司的财务状况、经营</w:t>
      </w:r>
      <w:r>
        <w:rPr/>
        <w:t> 成果、现金流量等有关信息。</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0"/>
        <w:jc w:val="left"/>
      </w:pPr>
      <w:r>
        <w:rPr/>
        <w:t>本公司自每年公历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8"/>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0"/>
        <w:jc w:val="left"/>
      </w:pPr>
      <w:r>
        <w:rPr/>
        <w:t>本公司以人民币为记账本位币。</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102"/>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690" w:lineRule="exact" w:before="15"/>
        <w:ind w:left="577" w:right="102" w:hanging="42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本公司在企业合并中取得的资产和负债，按照合并日在被合并方的账面价值计量。被合并各方采用的</w:t>
      </w:r>
    </w:p>
    <w:p>
      <w:pPr>
        <w:pStyle w:val="BodyText"/>
        <w:spacing w:line="408" w:lineRule="auto" w:before="84"/>
        <w:ind w:right="102"/>
        <w:jc w:val="left"/>
      </w:pPr>
      <w:r>
        <w:rPr>
          <w:spacing w:val="-1"/>
        </w:rPr>
        <w:t>会计政策与本公司不一致的，本公司在合并日按照本公司会计政策进行调整，在此基础上按照调整后的账</w:t>
      </w:r>
      <w:r>
        <w:rPr>
          <w:spacing w:val="-81"/>
        </w:rPr>
        <w:t> </w:t>
      </w:r>
      <w:r>
        <w:rPr>
          <w:spacing w:val="-81"/>
        </w:rPr>
      </w:r>
      <w:r>
        <w:rPr/>
        <w:t>面价值确认。</w:t>
      </w:r>
    </w:p>
    <w:p>
      <w:pPr>
        <w:pStyle w:val="BodyText"/>
        <w:spacing w:line="408" w:lineRule="auto"/>
        <w:ind w:right="211" w:firstLine="423"/>
        <w:jc w:val="both"/>
      </w:pPr>
      <w:r>
        <w:rPr>
          <w:spacing w:val="-1"/>
        </w:rPr>
        <w:t>在合并中取得的净资产账面价值与支付的合并对价账面价值（或发行股份面值总额）的差额，调整资</w:t>
      </w:r>
      <w:r>
        <w:rPr/>
        <w:t> 本公积中的股本溢价，资本公积中的股本溢价不足冲减的，调整留存收益。</w:t>
      </w:r>
    </w:p>
    <w:p>
      <w:pPr>
        <w:pStyle w:val="BodyText"/>
        <w:spacing w:line="408" w:lineRule="auto"/>
        <w:ind w:right="211" w:firstLine="423"/>
        <w:jc w:val="both"/>
      </w:pPr>
      <w:r>
        <w:rPr>
          <w:spacing w:val="-1"/>
        </w:rPr>
        <w:t>本公司为进行企业合并而发生的各项直接相关费用，包括为进行企业合并而支付的审计费用、评估费</w:t>
      </w:r>
      <w:r>
        <w:rPr/>
        <w:t> 用、法律服务费等，于发生时计入当期损益。</w:t>
      </w:r>
    </w:p>
    <w:p>
      <w:pPr>
        <w:pStyle w:val="BodyText"/>
        <w:spacing w:line="408" w:lineRule="auto"/>
        <w:ind w:right="92" w:firstLine="423"/>
        <w:jc w:val="left"/>
      </w:pPr>
      <w:r>
        <w:rPr>
          <w:spacing w:val="-3"/>
        </w:rPr>
        <w:t>企业合并中发行权益性证券发生的手续费、佣金等，抵减权益性证券溢价收入，溢价收入不足冲减的，</w:t>
      </w:r>
      <w:r>
        <w:rPr/>
        <w:t> 冲减留存收益。</w:t>
      </w:r>
    </w:p>
    <w:p>
      <w:pPr>
        <w:spacing w:line="240" w:lineRule="auto" w:before="8"/>
        <w:rPr>
          <w:rFonts w:ascii="宋体" w:hAnsi="宋体" w:cs="宋体" w:eastAsia="宋体" w:hint="default"/>
          <w:sz w:val="20"/>
          <w:szCs w:val="20"/>
        </w:rPr>
      </w:pPr>
    </w:p>
    <w:p>
      <w:pPr>
        <w:pStyle w:val="Heading3"/>
        <w:spacing w:line="240" w:lineRule="auto"/>
        <w:ind w:right="102"/>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211" w:firstLine="423"/>
        <w:jc w:val="both"/>
      </w:pPr>
      <w:r>
        <w:rPr>
          <w:spacing w:val="-1"/>
        </w:rPr>
        <w:t>本公司在购买日对作为企业合并对价付出的资产、发生或承担的负债按照公允价值计量。公允价值与</w:t>
      </w:r>
      <w:r>
        <w:rPr/>
        <w:t> 其账面价值的差额，计入当期损益。</w:t>
      </w:r>
    </w:p>
    <w:p>
      <w:pPr>
        <w:pStyle w:val="BodyText"/>
        <w:spacing w:line="408" w:lineRule="auto"/>
        <w:ind w:right="211" w:firstLine="423"/>
        <w:jc w:val="both"/>
      </w:pPr>
      <w:r>
        <w:rPr>
          <w:spacing w:val="-1"/>
        </w:rPr>
        <w:t>本公司在购买日对合并成本进行分配，确认所取得的被购买方各项可辨认资产、负债及或有负债的公</w:t>
      </w:r>
      <w:r>
        <w:rPr/>
        <w:t> 允价值。</w:t>
      </w:r>
    </w:p>
    <w:p>
      <w:pPr>
        <w:pStyle w:val="BodyText"/>
        <w:spacing w:line="408" w:lineRule="auto"/>
        <w:ind w:right="211" w:firstLine="423"/>
        <w:jc w:val="both"/>
      </w:pPr>
      <w:r>
        <w:rPr>
          <w:spacing w:val="-1"/>
        </w:rPr>
        <w:t>本公司对合并成本大于合并中取得的被购买方可辨认净资产公允价值份额的差额，确认为商誉；合并</w:t>
      </w:r>
      <w:r>
        <w:rPr/>
        <w:t> 成本小于合并中取得的被购买方可辨认净资产公允价值份额的差额，经复核后，计入当期损益。</w:t>
      </w:r>
    </w:p>
    <w:p>
      <w:pPr>
        <w:pStyle w:val="BodyText"/>
        <w:spacing w:line="408" w:lineRule="auto"/>
        <w:ind w:right="209" w:firstLine="423"/>
        <w:jc w:val="both"/>
      </w:pPr>
      <w:r>
        <w:rPr>
          <w:spacing w:val="-1"/>
        </w:rPr>
        <w:t>企业合并中取得的被购买方除无形资产外的其他各项资产（不仅限于被购买方原已确认的资产），其</w:t>
      </w:r>
      <w:r>
        <w:rPr/>
        <w:t> </w:t>
      </w:r>
      <w:r>
        <w:rPr>
          <w:spacing w:val="-1"/>
        </w:rPr>
        <w:t>所带来的经济利益很可能流入本公司且公允价值能够可靠计量的，单独确认并按公允价值计量；公允价值</w:t>
      </w:r>
      <w:r>
        <w:rPr>
          <w:spacing w:val="-81"/>
        </w:rPr>
        <w:t> </w:t>
      </w:r>
      <w:r>
        <w:rPr>
          <w:spacing w:val="-81"/>
        </w:rPr>
      </w:r>
      <w:r>
        <w:rPr>
          <w:spacing w:val="-1"/>
        </w:rPr>
        <w:t>能够可靠计量的无形资产，单独确认为无形资产并按公允价值计量；取得的被购买方除或有负债以外的其</w:t>
      </w:r>
      <w:r>
        <w:rPr>
          <w:spacing w:val="-81"/>
        </w:rPr>
        <w:t> </w:t>
      </w:r>
      <w:r>
        <w:rPr>
          <w:spacing w:val="-81"/>
        </w:rPr>
      </w:r>
      <w:r>
        <w:rPr>
          <w:spacing w:val="-1"/>
        </w:rPr>
        <w:t>他各项负债，履行有关义务很可能导致经济利益流出本公司且公允价值能够可靠计量的，单独确认并按照</w:t>
      </w:r>
      <w:r>
        <w:rPr>
          <w:spacing w:val="-81"/>
        </w:rPr>
        <w:t> </w:t>
      </w:r>
      <w:r>
        <w:rPr>
          <w:spacing w:val="-81"/>
        </w:rPr>
      </w:r>
      <w:r>
        <w:rPr>
          <w:spacing w:val="-1"/>
        </w:rPr>
        <w:t>公允价值计量；取得的被购买方或有负债，其公允价值能可靠计量的，单独确认为负债并按照公允价值计</w:t>
      </w:r>
      <w:r>
        <w:rPr>
          <w:spacing w:val="-83"/>
        </w:rPr>
        <w:t> </w:t>
      </w:r>
      <w:r>
        <w:rPr>
          <w:spacing w:val="-83"/>
        </w:rPr>
      </w:r>
      <w:r>
        <w:rPr/>
        <w:t>量。</w:t>
      </w:r>
    </w:p>
    <w:p>
      <w:pPr>
        <w:pStyle w:val="BodyText"/>
        <w:spacing w:line="408" w:lineRule="auto"/>
        <w:ind w:right="209" w:firstLine="423"/>
        <w:jc w:val="both"/>
      </w:pPr>
      <w:r>
        <w:rPr>
          <w:spacing w:val="-1"/>
        </w:rPr>
        <w:t>本公司在企业合并中取得的被购买方的可抵扣暂时性差异，在购买日不符合递延所得税资产确认条件</w:t>
      </w:r>
      <w:r>
        <w:rPr/>
        <w:t> </w:t>
      </w:r>
      <w:r>
        <w:rPr>
          <w:spacing w:val="-1"/>
        </w:rPr>
        <w:t>的，不予以确认。购买日后12个月内，如取得新的或进一步的信息表明购买日的相关情况已经存在，预期</w:t>
      </w:r>
      <w:r>
        <w:rPr>
          <w:spacing w:val="-83"/>
        </w:rPr>
        <w:t> </w:t>
      </w:r>
      <w:r>
        <w:rPr>
          <w:spacing w:val="-83"/>
        </w:rPr>
      </w:r>
      <w:r>
        <w:rPr>
          <w:spacing w:val="-1"/>
        </w:rPr>
        <w:t>被购买方在购买日可抵扣暂时性差异带来的经济利益能够实现的，确认相关的递延所得税资产，同时减少</w:t>
      </w:r>
      <w:r>
        <w:rPr>
          <w:spacing w:val="-81"/>
        </w:rPr>
        <w:t> </w:t>
      </w:r>
      <w:r>
        <w:rPr>
          <w:spacing w:val="-81"/>
        </w:rPr>
      </w:r>
      <w:r>
        <w:rPr>
          <w:spacing w:val="-1"/>
        </w:rPr>
        <w:t>商誉，商誉不足冲减的，差额部分确认为当期损益；除上述情况以外，确认与企业合并相关的递延所得税</w:t>
      </w:r>
    </w:p>
    <w:p>
      <w:pPr>
        <w:spacing w:after="0" w:line="408" w:lineRule="auto"/>
        <w:jc w:val="both"/>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4"/>
        <w:ind w:left="577" w:right="0" w:hanging="424"/>
        <w:jc w:val="left"/>
      </w:pPr>
      <w:r>
        <w:rPr/>
        <w:t>资产，计入当期损益。 </w:t>
      </w:r>
      <w:r>
        <w:rPr>
          <w:spacing w:val="-1"/>
        </w:rPr>
        <w:t>非同一控制下企业合并，购买方为企业合并发生的审计、法律服务、评估咨询等中介费用以及其他相</w:t>
      </w:r>
    </w:p>
    <w:p>
      <w:pPr>
        <w:pStyle w:val="BodyText"/>
        <w:spacing w:line="408" w:lineRule="auto"/>
        <w:ind w:right="151"/>
        <w:jc w:val="both"/>
      </w:pPr>
      <w:r>
        <w:rPr>
          <w:spacing w:val="-1"/>
        </w:rPr>
        <w:t>关管理费用，应当于发生时计入当期损益；购买方作为合并对价发行的权益性证券或债务性证券的交易费</w:t>
      </w:r>
      <w:r>
        <w:rPr>
          <w:spacing w:val="-81"/>
        </w:rPr>
        <w:t> </w:t>
      </w:r>
      <w:r>
        <w:rPr>
          <w:spacing w:val="-81"/>
        </w:rPr>
      </w:r>
      <w:r>
        <w:rPr/>
        <w:t>用，应当计入权益性证券或债务性证券的初始确认金额。</w:t>
      </w:r>
    </w:p>
    <w:p>
      <w:pPr>
        <w:spacing w:line="240" w:lineRule="auto" w:before="8"/>
        <w:rPr>
          <w:rFonts w:ascii="宋体" w:hAnsi="宋体" w:cs="宋体" w:eastAsia="宋体" w:hint="default"/>
          <w:sz w:val="20"/>
          <w:szCs w:val="20"/>
        </w:rPr>
      </w:pPr>
    </w:p>
    <w:p>
      <w:pPr>
        <w:pStyle w:val="Heading3"/>
        <w:spacing w:line="240" w:lineRule="auto"/>
        <w:ind w:left="153"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95" w:right="133"/>
        <w:jc w:val="left"/>
      </w:pPr>
      <w:r>
        <w:rPr/>
        <w:t>本公司合并财务报表的合并范围以控制为基础确定，所有子公司均纳入合并财务报表。 </w:t>
      </w:r>
      <w:r>
        <w:rPr>
          <w:spacing w:val="-1"/>
        </w:rPr>
        <w:t>所有纳入合并财务报表合并范围的子公司所采用的会计政策、会计期间与本公司一致，如子公司采用</w:t>
      </w:r>
    </w:p>
    <w:p>
      <w:pPr>
        <w:pStyle w:val="BodyText"/>
        <w:spacing w:line="408" w:lineRule="auto"/>
        <w:ind w:left="153" w:right="151"/>
        <w:jc w:val="both"/>
      </w:pPr>
      <w:r>
        <w:rPr>
          <w:spacing w:val="-1"/>
        </w:rPr>
        <w:t>的会计政策、会计期间与本公司不一致的，在编制合并财务报表时，按本公司的会计政策、会计期间进行</w:t>
      </w:r>
      <w:r>
        <w:rPr>
          <w:spacing w:val="-82"/>
        </w:rPr>
        <w:t> </w:t>
      </w:r>
      <w:r>
        <w:rPr>
          <w:spacing w:val="-82"/>
        </w:rPr>
      </w:r>
      <w:r>
        <w:rPr>
          <w:spacing w:val="-1"/>
        </w:rPr>
        <w:t>必要的调整。对于非同一控制下企业合并取得的子公司，以购买日可辨认净资产公允价值为基础对其财务</w:t>
      </w:r>
      <w:r>
        <w:rPr>
          <w:spacing w:val="-81"/>
        </w:rPr>
        <w:t> </w:t>
      </w:r>
      <w:r>
        <w:rPr>
          <w:spacing w:val="-81"/>
        </w:rPr>
      </w:r>
      <w:r>
        <w:rPr>
          <w:spacing w:val="-1"/>
        </w:rPr>
        <w:t>报表进行调整。合并财务报表以本公司及子公司的财务报表为基础，根据其他有关资料，按照权益法调整</w:t>
      </w:r>
      <w:r>
        <w:rPr>
          <w:spacing w:val="-83"/>
        </w:rPr>
        <w:t> </w:t>
      </w:r>
      <w:r>
        <w:rPr>
          <w:spacing w:val="-83"/>
        </w:rPr>
      </w:r>
      <w:r>
        <w:rPr/>
        <w:t>对子公司的长期股权投资后，由本公司编制。</w:t>
      </w:r>
    </w:p>
    <w:p>
      <w:pPr>
        <w:pStyle w:val="BodyText"/>
        <w:spacing w:line="408" w:lineRule="auto"/>
        <w:ind w:left="153" w:right="150" w:firstLine="441"/>
        <w:jc w:val="both"/>
      </w:pPr>
      <w:r>
        <w:rPr>
          <w:spacing w:val="-1"/>
        </w:rPr>
        <w:t>合并财务报表时抵销本公司与各子公司、各子公司相互之间发生的内部交易对合并资产负债表、合并</w:t>
      </w:r>
      <w:r>
        <w:rPr/>
        <w:t> 利润表、合并现金流量表、合并所有者权益变动表的影响。</w:t>
      </w:r>
    </w:p>
    <w:p>
      <w:pPr>
        <w:pStyle w:val="BodyText"/>
        <w:spacing w:line="408" w:lineRule="auto"/>
        <w:ind w:left="153" w:right="150" w:firstLine="336"/>
        <w:jc w:val="both"/>
      </w:pPr>
      <w:r>
        <w:rPr/>
        <w:t>子公司少数股东应占的权益和损益分别在合并资产负债表中所有者权益项目下和合并利润表中净利润</w:t>
      </w:r>
      <w:r>
        <w:rPr>
          <w:spacing w:val="1"/>
        </w:rPr>
        <w:t> </w:t>
      </w:r>
      <w:r>
        <w:rPr>
          <w:spacing w:val="-1"/>
        </w:rPr>
        <w:t>项目下单独列示。子公司少数股东分担的当期亏损超过了少数股东在该子公司期初所有者权益中所享有份</w:t>
      </w:r>
      <w:r>
        <w:rPr>
          <w:spacing w:val="-81"/>
        </w:rPr>
        <w:t> </w:t>
      </w:r>
      <w:r>
        <w:rPr>
          <w:spacing w:val="-81"/>
        </w:rPr>
      </w:r>
      <w:r>
        <w:rPr/>
        <w:t>额而形成的余额，冲减少数股东权益。</w:t>
      </w:r>
    </w:p>
    <w:p>
      <w:pPr>
        <w:pStyle w:val="BodyText"/>
        <w:spacing w:line="408" w:lineRule="auto"/>
        <w:ind w:left="153" w:right="151" w:firstLine="336"/>
        <w:jc w:val="both"/>
      </w:pPr>
      <w:r>
        <w:rPr/>
        <w:t>在报告期内，若因同一控制下企业合并增加子公司的，则调整合并资产负债表的期初数；将子公司合</w:t>
      </w:r>
      <w:r>
        <w:rPr>
          <w:spacing w:val="1"/>
        </w:rPr>
        <w:t> </w:t>
      </w:r>
      <w:r>
        <w:rPr>
          <w:spacing w:val="-1"/>
        </w:rPr>
        <w:t>并当期期初至报告期末的收入、费用、利润纳入合并利润表；将子公司合并当期期初至报告期末的现金流</w:t>
      </w:r>
      <w:r>
        <w:rPr>
          <w:spacing w:val="-83"/>
        </w:rPr>
        <w:t> </w:t>
      </w:r>
      <w:r>
        <w:rPr>
          <w:spacing w:val="-83"/>
        </w:rPr>
      </w:r>
      <w:r>
        <w:rPr>
          <w:spacing w:val="-1"/>
        </w:rPr>
        <w:t>量纳入合并现金流量表，同时对比较报表的相关项目进行调整，视同合并后的报告主体在以前期间一直存</w:t>
      </w:r>
      <w:r>
        <w:rPr>
          <w:spacing w:val="-81"/>
        </w:rPr>
        <w:t> </w:t>
      </w:r>
      <w:r>
        <w:rPr>
          <w:spacing w:val="-81"/>
        </w:rPr>
      </w:r>
      <w:r>
        <w:rPr/>
        <w:t>在。</w:t>
      </w:r>
    </w:p>
    <w:p>
      <w:pPr>
        <w:pStyle w:val="BodyText"/>
        <w:spacing w:line="408" w:lineRule="auto"/>
        <w:ind w:left="153" w:right="151" w:firstLine="441"/>
        <w:jc w:val="both"/>
      </w:pPr>
      <w:r>
        <w:rPr>
          <w:spacing w:val="-2"/>
        </w:rPr>
        <w:t>在报告期内，若因非同一控制下企业合并增加子公司的，则不调整合并资产负债表期初数；将子公司</w:t>
      </w:r>
      <w:r>
        <w:rPr/>
        <w:t> </w:t>
      </w:r>
      <w:r>
        <w:rPr>
          <w:spacing w:val="-1"/>
        </w:rPr>
        <w:t>自购买日至报告期末的收入、费用、利润纳入合并利润表；该子公司自购买日至报告期末的现金流量纳入</w:t>
      </w:r>
      <w:r>
        <w:rPr>
          <w:spacing w:val="-83"/>
        </w:rPr>
        <w:t> </w:t>
      </w:r>
      <w:r>
        <w:rPr>
          <w:spacing w:val="-83"/>
        </w:rPr>
      </w:r>
      <w:r>
        <w:rPr>
          <w:spacing w:val="-1"/>
        </w:rPr>
        <w:t>合并现金流量表。通过多次交易分步实现非同一控制下企业合并时，对于购买日之前持有的被购买方的股</w:t>
      </w:r>
      <w:r>
        <w:rPr>
          <w:spacing w:val="-81"/>
        </w:rPr>
        <w:t> </w:t>
      </w:r>
      <w:r>
        <w:rPr>
          <w:spacing w:val="-81"/>
        </w:rPr>
      </w:r>
      <w:r>
        <w:rPr>
          <w:spacing w:val="-1"/>
        </w:rPr>
        <w:t>权，本公司按照该股权在购买日的公允价值进行重新计量，公允价值与其账面价值的差额计入当期投资收</w:t>
      </w:r>
      <w:r>
        <w:rPr>
          <w:spacing w:val="-81"/>
        </w:rPr>
        <w:t> </w:t>
      </w:r>
      <w:r>
        <w:rPr>
          <w:spacing w:val="-81"/>
        </w:rPr>
      </w:r>
      <w:r>
        <w:rPr>
          <w:spacing w:val="-1"/>
        </w:rPr>
        <w:t>益。购买日之前持有的被购买方的股权涉及其他综合收益的，与其相关的其他综合收益转为购买日所属当</w:t>
      </w:r>
      <w:r>
        <w:rPr>
          <w:spacing w:val="-81"/>
        </w:rPr>
        <w:t> </w:t>
      </w:r>
      <w:r>
        <w:rPr>
          <w:spacing w:val="-81"/>
        </w:rPr>
      </w:r>
      <w:r>
        <w:rPr/>
        <w:t>期投资收益。</w:t>
      </w:r>
    </w:p>
    <w:p>
      <w:pPr>
        <w:pStyle w:val="BodyText"/>
        <w:spacing w:line="240" w:lineRule="auto"/>
        <w:ind w:left="595" w:right="0"/>
        <w:jc w:val="left"/>
      </w:pPr>
      <w:r>
        <w:rPr/>
        <w:t>在报告期内，本公司处置子公司，则该子公司期初至处置日的收入、费用、利润纳入合并利润表；该</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4"/>
        <w:ind w:right="151"/>
        <w:jc w:val="both"/>
      </w:pPr>
      <w:r>
        <w:rPr>
          <w:spacing w:val="-1"/>
        </w:rPr>
        <w:t>子公司期初至处置日的现金流量纳入合并现金流量表。因处置部分股权投资或其他原因丧失了对原有子公</w:t>
      </w:r>
      <w:r>
        <w:rPr>
          <w:spacing w:val="-81"/>
        </w:rPr>
        <w:t> </w:t>
      </w:r>
      <w:r>
        <w:rPr>
          <w:spacing w:val="-81"/>
        </w:rPr>
      </w:r>
      <w:r>
        <w:rPr>
          <w:spacing w:val="-1"/>
        </w:rPr>
        <w:t>司控制权时，对于处置后的剩余股权投资，本公司按照其在丧失控制权日的公允价值进行重新计量。处置</w:t>
      </w:r>
      <w:r>
        <w:rPr>
          <w:spacing w:val="-83"/>
        </w:rPr>
        <w:t> </w:t>
      </w:r>
      <w:r>
        <w:rPr>
          <w:spacing w:val="-83"/>
        </w:rPr>
      </w:r>
      <w:r>
        <w:rPr>
          <w:spacing w:val="-1"/>
        </w:rPr>
        <w:t>股权取得的对价与剩余股权公允价值之和，减去按原持股比例计算应享有原有子公司自购买日开始持续计</w:t>
      </w:r>
      <w:r>
        <w:rPr>
          <w:spacing w:val="-81"/>
        </w:rPr>
        <w:t> </w:t>
      </w:r>
      <w:r>
        <w:rPr>
          <w:spacing w:val="-81"/>
        </w:rPr>
      </w:r>
      <w:r>
        <w:rPr>
          <w:spacing w:val="-1"/>
        </w:rPr>
        <w:t>算的净资产的份额之间的差额，计入丧失控制权当期的投资收益。与原有子公司股权投资相关的其他综合</w:t>
      </w:r>
      <w:r>
        <w:rPr>
          <w:spacing w:val="-81"/>
        </w:rPr>
        <w:t> </w:t>
      </w:r>
      <w:r>
        <w:rPr>
          <w:spacing w:val="-81"/>
        </w:rPr>
      </w:r>
      <w:r>
        <w:rPr/>
        <w:t>收益，在丧失控制权时转为当期投资收益。</w:t>
      </w:r>
    </w:p>
    <w:p>
      <w:pPr>
        <w:pStyle w:val="BodyText"/>
        <w:spacing w:line="408" w:lineRule="auto"/>
        <w:ind w:right="142" w:firstLine="441"/>
        <w:jc w:val="both"/>
      </w:pPr>
      <w:r>
        <w:rPr>
          <w:spacing w:val="3"/>
        </w:rPr>
        <w:t>本公司因购买少数股权新取得的长期股权投资与按照新增持股比例计算应享有子公司的可辨认净资</w:t>
      </w:r>
      <w:r>
        <w:rPr>
          <w:spacing w:val="4"/>
        </w:rPr>
        <w:t> </w:t>
      </w:r>
      <w:r>
        <w:rPr>
          <w:spacing w:val="-1"/>
        </w:rPr>
        <w:t>产份额之间的差额，以及在不丧失控制权的情况下因部分处置对子公司的股权投资而取得的处置价款与处</w:t>
      </w:r>
      <w:r>
        <w:rPr>
          <w:spacing w:val="-81"/>
        </w:rPr>
        <w:t> </w:t>
      </w:r>
      <w:r>
        <w:rPr>
          <w:spacing w:val="-81"/>
        </w:rPr>
      </w:r>
      <w:r>
        <w:rPr>
          <w:spacing w:val="3"/>
        </w:rPr>
        <w:t>置长期股权投资相对应享有子公司净资产份额的差额，均调整合并资产负债表中的资本公积中的股本溢</w:t>
      </w:r>
      <w:r>
        <w:rPr>
          <w:spacing w:val="-78"/>
        </w:rPr>
        <w:t> </w:t>
      </w:r>
      <w:r>
        <w:rPr>
          <w:spacing w:val="-78"/>
        </w:rPr>
      </w:r>
      <w:r>
        <w:rPr/>
        <w:t>价，资本公积中的股本溢价不足冲减的，调整留存收益。</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0" w:firstLine="336"/>
        <w:jc w:val="left"/>
      </w:pPr>
      <w:r>
        <w:rPr/>
        <w:t>在编制现金流量表时，将本公司库存现金以及可以随时用于支付的存款确认为现金。将同时具备期限 短（从购买日起三个月内到期）、流动性强、易于转换为已知现金、价值变动风险很小四个条件的投资， 确定为现金等价物。</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7" w:right="0"/>
        <w:jc w:val="left"/>
      </w:pPr>
      <w:r>
        <w:rPr/>
        <w:t>外币业务采用交易发生日的即期汇率作为折算汇率将外币金额折合成人民币记账。 </w:t>
      </w:r>
      <w:r>
        <w:rPr>
          <w:spacing w:val="-1"/>
        </w:rPr>
        <w:t>外币货币性项目余额按资产负债表日即期汇率折算，由此产生的汇兑差额，除属于与购建符合资本化</w:t>
      </w:r>
    </w:p>
    <w:p>
      <w:pPr>
        <w:pStyle w:val="BodyText"/>
        <w:spacing w:line="408" w:lineRule="auto"/>
        <w:ind w:right="149"/>
        <w:jc w:val="both"/>
      </w:pPr>
      <w:r>
        <w:rPr>
          <w:spacing w:val="-1"/>
        </w:rPr>
        <w:t>条件的资产相关的外币专门借款产生的汇兑差额按照借款费用资本化的原则处理外，均计入当期损益。以</w:t>
      </w:r>
      <w:r>
        <w:rPr>
          <w:spacing w:val="-81"/>
        </w:rPr>
        <w:t> </w:t>
      </w:r>
      <w:r>
        <w:rPr>
          <w:spacing w:val="-81"/>
        </w:rPr>
      </w:r>
      <w:r>
        <w:rPr>
          <w:spacing w:val="-1"/>
        </w:rPr>
        <w:t>历史成本计量的外币非货币性项目，仍采用交易发生日的即期汇率折算，不改变其记账本位币金额。以公</w:t>
      </w:r>
      <w:r>
        <w:rPr>
          <w:spacing w:val="-83"/>
        </w:rPr>
        <w:t> </w:t>
      </w:r>
      <w:r>
        <w:rPr>
          <w:spacing w:val="-83"/>
        </w:rPr>
      </w:r>
      <w:r>
        <w:rPr>
          <w:spacing w:val="-1"/>
        </w:rPr>
        <w:t>允价值计量的外币非货币性项目，采用公允价值确定日的即期汇率折算，由此产生的汇兑差额计入当期损</w:t>
      </w:r>
      <w:r>
        <w:rPr>
          <w:spacing w:val="-81"/>
        </w:rPr>
        <w:t> </w:t>
      </w:r>
      <w:r>
        <w:rPr>
          <w:spacing w:val="-81"/>
        </w:rPr>
      </w:r>
      <w:r>
        <w:rPr/>
        <w:t>益或资本公积。</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51" w:firstLine="441"/>
        <w:jc w:val="both"/>
      </w:pPr>
      <w:r>
        <w:rPr>
          <w:spacing w:val="-1"/>
        </w:rPr>
        <w:t>资产负债表中的资产和负债项目，采用资产负债表日的即期汇率折算；所有者权益项目除“未分配利</w:t>
      </w:r>
      <w:r>
        <w:rPr/>
        <w:t> </w:t>
      </w:r>
      <w:r>
        <w:rPr>
          <w:spacing w:val="-1"/>
        </w:rPr>
        <w:t>润”项目外，其他项目采用发生时的即期汇率折算。利润表中的收入和费用项目，采用交易发生日的即期</w:t>
      </w:r>
      <w:r>
        <w:rPr>
          <w:spacing w:val="-83"/>
        </w:rPr>
        <w:t> </w:t>
      </w:r>
      <w:r>
        <w:rPr>
          <w:spacing w:val="-83"/>
        </w:rPr>
      </w:r>
      <w:r>
        <w:rPr/>
        <w:t>汇率折算。按照上述折算产生的外币财务报表折算差额，在资产负债表所有者权益项目下单独列示。</w:t>
      </w:r>
    </w:p>
    <w:p>
      <w:pPr>
        <w:pStyle w:val="BodyText"/>
        <w:spacing w:line="240" w:lineRule="auto"/>
        <w:ind w:left="574" w:right="0"/>
        <w:jc w:val="left"/>
      </w:pPr>
      <w:r>
        <w:rPr/>
        <w:t>处置境外经营时，将资产负债表中所有者权益项目下列示的、与该境外经营相关的外币财务报表折算</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4"/>
        <w:ind w:right="102"/>
        <w:jc w:val="left"/>
      </w:pPr>
      <w:r>
        <w:rPr>
          <w:spacing w:val="-1"/>
        </w:rPr>
        <w:t>差额，自所有者权益项目转入处置当期损益；部分处置境外经营的，按处置的比例计算处置部分的外币财</w:t>
      </w:r>
      <w:r>
        <w:rPr>
          <w:spacing w:val="-83"/>
        </w:rPr>
        <w:t> </w:t>
      </w:r>
      <w:r>
        <w:rPr>
          <w:spacing w:val="-83"/>
        </w:rPr>
      </w:r>
      <w:r>
        <w:rPr/>
        <w:t>务报表折算差额，转入处置当期损益。</w:t>
      </w:r>
    </w:p>
    <w:p>
      <w:pPr>
        <w:spacing w:line="240" w:lineRule="auto" w:before="8"/>
        <w:rPr>
          <w:rFonts w:ascii="宋体" w:hAnsi="宋体" w:cs="宋体" w:eastAsia="宋体" w:hint="default"/>
          <w:sz w:val="20"/>
          <w:szCs w:val="20"/>
        </w:rPr>
      </w:pPr>
    </w:p>
    <w:p>
      <w:pPr>
        <w:spacing w:line="506" w:lineRule="auto" w:before="0"/>
        <w:ind w:left="490" w:right="5084" w:hanging="33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b/>
          <w:bCs/>
          <w:spacing w:val="1"/>
          <w:w w:val="99"/>
          <w:sz w:val="21"/>
          <w:szCs w:val="21"/>
        </w:rPr>
        <w:t> </w:t>
      </w:r>
      <w:r>
        <w:rPr>
          <w:rFonts w:ascii="宋体" w:hAnsi="宋体" w:cs="宋体" w:eastAsia="宋体" w:hint="default"/>
          <w:sz w:val="21"/>
          <w:szCs w:val="21"/>
        </w:rPr>
        <w:t>金融工具包括金融资产、金融负债和权益工具。</w:t>
      </w:r>
    </w:p>
    <w:p>
      <w:pPr>
        <w:pStyle w:val="Heading3"/>
        <w:spacing w:line="240" w:lineRule="auto" w:before="105"/>
        <w:ind w:left="153" w:right="102"/>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210" w:firstLine="336"/>
        <w:jc w:val="both"/>
      </w:pPr>
      <w:r>
        <w:rPr/>
        <w:t>管理层按照取得持有金融资产和承担金融负债的目的，将其划分为：以公允价值计量且其变动计入当</w:t>
      </w:r>
      <w:r>
        <w:rPr>
          <w:spacing w:val="1"/>
        </w:rPr>
        <w:t> </w:t>
      </w:r>
      <w:r>
        <w:rPr>
          <w:spacing w:val="-1"/>
        </w:rPr>
        <w:t>期损益的金融资产或金融负债，包括交易性金融资产或金融负债；持有至到期投资；应收款项；可供出售</w:t>
      </w:r>
      <w:r>
        <w:rPr>
          <w:spacing w:val="-82"/>
        </w:rPr>
        <w:t> </w:t>
      </w:r>
      <w:r>
        <w:rPr>
          <w:spacing w:val="-82"/>
        </w:rPr>
      </w:r>
      <w:r>
        <w:rPr/>
        <w:t>金融资产；其他金融负债等。</w:t>
      </w:r>
    </w:p>
    <w:p>
      <w:pPr>
        <w:spacing w:line="240" w:lineRule="auto" w:before="8"/>
        <w:rPr>
          <w:rFonts w:ascii="宋体" w:hAnsi="宋体" w:cs="宋体" w:eastAsia="宋体" w:hint="default"/>
          <w:sz w:val="20"/>
          <w:szCs w:val="20"/>
        </w:rPr>
      </w:pPr>
    </w:p>
    <w:p>
      <w:pPr>
        <w:pStyle w:val="Heading3"/>
        <w:spacing w:line="240" w:lineRule="auto"/>
        <w:ind w:right="102"/>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4" w:right="102" w:hanging="1"/>
        <w:jc w:val="left"/>
      </w:pPr>
      <w:r>
        <w:rPr/>
        <w:t>①以公允价值计量且其变动计入当期损益的金融资产（金融负债） </w:t>
      </w:r>
      <w:r>
        <w:rPr>
          <w:spacing w:val="-1"/>
        </w:rPr>
        <w:t>取得时以公允价值（扣除已宣告但尚未发放的现金股利或已到付息期但尚未领取的债券利息）作为初</w:t>
      </w:r>
    </w:p>
    <w:p>
      <w:pPr>
        <w:pStyle w:val="BodyText"/>
        <w:spacing w:line="408" w:lineRule="auto"/>
        <w:ind w:left="574" w:right="590" w:hanging="421"/>
        <w:jc w:val="left"/>
      </w:pPr>
      <w:r>
        <w:rPr/>
        <w:t>始确认金额，相关的交易费用计入当期损益。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408" w:lineRule="auto"/>
        <w:ind w:left="574" w:right="95"/>
        <w:jc w:val="left"/>
      </w:pPr>
      <w:r>
        <w:rPr/>
        <w:t>②持有至到期投资 </w:t>
      </w:r>
      <w:r>
        <w:rPr>
          <w:spacing w:val="-3"/>
        </w:rPr>
        <w:t>取得时按公允价值（扣除已到付息期但尚未领取的债券利息）和相关交易费用之和作为初始确认金额。</w:t>
      </w:r>
      <w:r>
        <w:rPr>
          <w:spacing w:val="-100"/>
        </w:rPr>
        <w:t> </w:t>
      </w:r>
      <w:r>
        <w:rPr>
          <w:spacing w:val="-100"/>
        </w:rPr>
      </w:r>
      <w:r>
        <w:rPr/>
        <w:t>持有期间按照摊余成本和实际利率计算确认利息收入，计入投资收益。实际利率在取得时确定，在该</w:t>
      </w:r>
    </w:p>
    <w:p>
      <w:pPr>
        <w:pStyle w:val="BodyText"/>
        <w:spacing w:line="408" w:lineRule="auto"/>
        <w:ind w:left="574" w:right="3110" w:hanging="421"/>
        <w:jc w:val="left"/>
      </w:pPr>
      <w:r>
        <w:rPr/>
        <w:t>预期存续期间或适用的更短期间内保持不变。 处置时，将所取得价款与该投资账面价值之间的差额计入投资收益。</w:t>
      </w:r>
    </w:p>
    <w:p>
      <w:pPr>
        <w:pStyle w:val="BodyText"/>
        <w:spacing w:line="408" w:lineRule="auto"/>
        <w:ind w:left="574" w:right="102"/>
        <w:jc w:val="left"/>
      </w:pPr>
      <w:r>
        <w:rPr/>
        <w:t>③应收款项 </w:t>
      </w:r>
      <w:r>
        <w:rPr>
          <w:spacing w:val="-1"/>
        </w:rPr>
        <w:t>公司对外销售商品或提供劳务形成的应收债权，以及公司持有的其他企业的不包括在活跃市场上有报</w:t>
      </w:r>
    </w:p>
    <w:p>
      <w:pPr>
        <w:pStyle w:val="BodyText"/>
        <w:spacing w:line="408" w:lineRule="auto"/>
        <w:ind w:right="102"/>
        <w:jc w:val="left"/>
      </w:pPr>
      <w:r>
        <w:rPr>
          <w:spacing w:val="-1"/>
        </w:rPr>
        <w:t>价的债务工具的债权，包括应收账款、其他应收款等，以向购货方应收的合同或协议价款作为初始确认金</w:t>
      </w:r>
      <w:r>
        <w:rPr>
          <w:spacing w:val="-83"/>
        </w:rPr>
        <w:t> </w:t>
      </w:r>
      <w:r>
        <w:rPr>
          <w:spacing w:val="-83"/>
        </w:rPr>
      </w:r>
      <w:r>
        <w:rPr/>
        <w:t>额；具有融资性质的，按其现值进行初始确认。</w:t>
      </w:r>
    </w:p>
    <w:p>
      <w:pPr>
        <w:pStyle w:val="BodyText"/>
        <w:spacing w:line="240" w:lineRule="auto"/>
        <w:ind w:left="574" w:right="102"/>
        <w:jc w:val="left"/>
      </w:pPr>
      <w:r>
        <w:rPr/>
        <w:t>收回或处置时，将取得的价款与该应收款项账面价值之间的差额计入当期损益。</w:t>
      </w:r>
    </w:p>
    <w:p>
      <w:pPr>
        <w:spacing w:line="240" w:lineRule="auto" w:before="10"/>
        <w:rPr>
          <w:rFonts w:ascii="宋体" w:hAnsi="宋体" w:cs="宋体" w:eastAsia="宋体" w:hint="default"/>
          <w:sz w:val="14"/>
          <w:szCs w:val="14"/>
        </w:rPr>
      </w:pPr>
    </w:p>
    <w:p>
      <w:pPr>
        <w:pStyle w:val="BodyText"/>
        <w:spacing w:line="408" w:lineRule="auto" w:before="0"/>
        <w:ind w:left="574" w:right="102"/>
        <w:jc w:val="left"/>
      </w:pPr>
      <w:r>
        <w:rPr/>
        <w:t>④可供出售金融资产 </w:t>
      </w:r>
      <w:r>
        <w:rPr>
          <w:spacing w:val="-1"/>
        </w:rPr>
        <w:t>取得时按公允价值（扣除已宣告但尚未发放的现金股利或已到付息期但尚未领取的债券利息）和相关</w:t>
      </w:r>
    </w:p>
    <w:p>
      <w:pPr>
        <w:pStyle w:val="BodyText"/>
        <w:spacing w:line="240" w:lineRule="auto"/>
        <w:ind w:right="102"/>
        <w:jc w:val="left"/>
      </w:pPr>
      <w:r>
        <w:rPr/>
        <w:t>交易费用之和作为初始确认金额。</w:t>
      </w:r>
    </w:p>
    <w:p>
      <w:pPr>
        <w:spacing w:after="0" w:line="240"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4"/>
        <w:ind w:right="150" w:firstLine="420"/>
        <w:jc w:val="both"/>
      </w:pPr>
      <w:r>
        <w:rPr>
          <w:spacing w:val="-1"/>
        </w:rPr>
        <w:t>持有期间将取得的利息或现金股利确认为投资收益。期末以公允价值计量且将公允价值变动计入资本</w:t>
      </w:r>
      <w:r>
        <w:rPr/>
        <w:t> 公积（其他资本公积）。</w:t>
      </w:r>
    </w:p>
    <w:p>
      <w:pPr>
        <w:pStyle w:val="BodyText"/>
        <w:spacing w:line="408" w:lineRule="auto"/>
        <w:ind w:right="151" w:firstLine="420"/>
        <w:jc w:val="both"/>
      </w:pPr>
      <w:r>
        <w:rPr>
          <w:spacing w:val="-1"/>
        </w:rPr>
        <w:t>处置时，将取得的价款与该金融资产账面价值之间的差额，计入投资损益；同时，将原直接计入所有</w:t>
      </w:r>
      <w:r>
        <w:rPr/>
        <w:t> 者权益的公允价值变动累计额对应处置部分的金额转出，计入投资损益。</w:t>
      </w:r>
    </w:p>
    <w:p>
      <w:pPr>
        <w:pStyle w:val="BodyText"/>
        <w:spacing w:line="408" w:lineRule="auto"/>
        <w:ind w:left="574" w:right="1580"/>
        <w:jc w:val="left"/>
      </w:pPr>
      <w:r>
        <w:rPr/>
        <w:t>⑤其他金融负债 按其公允价值和相关交易费用之和作为初始确认金额。采用摊余成本进行后续计量。</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3" w:right="150" w:firstLine="441"/>
        <w:jc w:val="both"/>
      </w:pPr>
      <w:r>
        <w:rPr>
          <w:spacing w:val="-1"/>
        </w:rPr>
        <w:t>公司发生金融资产转移时，如已将金融资产所有权上几乎所有的风险和报酬转移给转入方，则终止确</w:t>
      </w:r>
      <w:r>
        <w:rPr/>
        <w:t> 认该金融资产；如保留了金融资产所有权上几乎所有的风险和报酬的，则不终止确认该金融资产。</w:t>
      </w:r>
    </w:p>
    <w:p>
      <w:pPr>
        <w:pStyle w:val="BodyText"/>
        <w:spacing w:line="408" w:lineRule="auto"/>
        <w:ind w:left="153" w:right="151" w:firstLine="420"/>
        <w:jc w:val="both"/>
      </w:pPr>
      <w:r>
        <w:rPr>
          <w:spacing w:val="-1"/>
        </w:rPr>
        <w:t>在判断金融资产转移是否满足上述金融资产终止确认条件时，采用实质重于形式的原则。公司将金融</w:t>
      </w:r>
      <w:r>
        <w:rPr/>
        <w:t> </w:t>
      </w: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pStyle w:val="BodyText"/>
        <w:spacing w:line="240" w:lineRule="auto"/>
        <w:ind w:left="574" w:right="0"/>
        <w:jc w:val="left"/>
      </w:pPr>
      <w:r>
        <w:rPr/>
        <w:t>①所转移金融资产的账面价值；</w:t>
      </w:r>
    </w:p>
    <w:p>
      <w:pPr>
        <w:spacing w:line="240" w:lineRule="auto" w:before="10"/>
        <w:rPr>
          <w:rFonts w:ascii="宋体" w:hAnsi="宋体" w:cs="宋体" w:eastAsia="宋体" w:hint="default"/>
          <w:sz w:val="14"/>
          <w:szCs w:val="14"/>
        </w:rPr>
      </w:pPr>
    </w:p>
    <w:p>
      <w:pPr>
        <w:pStyle w:val="BodyText"/>
        <w:spacing w:line="408" w:lineRule="auto" w:before="0"/>
        <w:ind w:left="153" w:right="150" w:firstLine="420"/>
        <w:jc w:val="both"/>
      </w:pPr>
      <w:r>
        <w:rPr>
          <w:spacing w:val="-1"/>
        </w:rPr>
        <w:t>②因转移而收到的对价，与原直接计入所有者权益的公允价值变动累计额（涉及转移的金融资产为可</w:t>
      </w:r>
      <w:r>
        <w:rPr/>
        <w:t> 供出售金融资产的情形）之和。</w:t>
      </w:r>
    </w:p>
    <w:p>
      <w:pPr>
        <w:pStyle w:val="BodyText"/>
        <w:spacing w:line="408" w:lineRule="auto"/>
        <w:ind w:left="153" w:right="150" w:firstLine="420"/>
        <w:jc w:val="both"/>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pStyle w:val="BodyText"/>
        <w:spacing w:line="240" w:lineRule="auto"/>
        <w:ind w:left="574" w:right="0"/>
        <w:jc w:val="left"/>
      </w:pPr>
      <w:r>
        <w:rPr/>
        <w:t>①终止确认部分的账面价值；</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t>②终止确认部分的对价，与原直接计入所有者权益的公允价值变动累计额中对应终止确认部分的金额</w:t>
      </w:r>
    </w:p>
    <w:p>
      <w:pPr>
        <w:spacing w:line="240" w:lineRule="auto" w:before="10"/>
        <w:rPr>
          <w:rFonts w:ascii="宋体" w:hAnsi="宋体" w:cs="宋体" w:eastAsia="宋体" w:hint="default"/>
          <w:sz w:val="14"/>
          <w:szCs w:val="14"/>
        </w:rPr>
      </w:pPr>
    </w:p>
    <w:p>
      <w:pPr>
        <w:pStyle w:val="BodyText"/>
        <w:spacing w:line="408" w:lineRule="auto" w:before="0"/>
        <w:ind w:left="574" w:right="320" w:hanging="421"/>
        <w:jc w:val="left"/>
      </w:pPr>
      <w:r>
        <w:rPr/>
        <w:t>（涉及转移的金融资产为可供出售金融资产的情形）之和。 金融资产转移不满足终止确认条件的，继续确认该金融资产，所收到的对价确认为一项金融负债。</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3" w:right="151" w:firstLine="441"/>
        <w:jc w:val="both"/>
      </w:pPr>
      <w:r>
        <w:rPr>
          <w:spacing w:val="-1"/>
        </w:rPr>
        <w:t>金融负债的现时义务全部或部分已经解除的，则终止确认该金融负债或其一部分；本公司若与债权人</w:t>
      </w:r>
      <w:r>
        <w:rPr/>
        <w:t> </w:t>
      </w:r>
      <w:r>
        <w:rPr>
          <w:spacing w:val="-1"/>
        </w:rPr>
        <w:t>签定协议，以承担新金融负债方式替换现存金融负债，且新金融负债与现存金融负债的合同条款实质上不</w:t>
      </w:r>
      <w:r>
        <w:rPr>
          <w:spacing w:val="-81"/>
        </w:rPr>
        <w:t> </w:t>
      </w:r>
      <w:r>
        <w:rPr>
          <w:spacing w:val="-81"/>
        </w:rPr>
      </w:r>
      <w:r>
        <w:rPr/>
        <w:t>同的，则终止确认现存金融负债，并同时确认新金融负债。</w:t>
      </w:r>
    </w:p>
    <w:p>
      <w:pPr>
        <w:pStyle w:val="BodyText"/>
        <w:spacing w:line="408" w:lineRule="auto"/>
        <w:ind w:left="153" w:right="150" w:firstLine="441"/>
        <w:jc w:val="both"/>
      </w:pPr>
      <w:r>
        <w:rPr>
          <w:spacing w:val="-1"/>
        </w:rPr>
        <w:t>对现存金融负债全部或部分合同条款作出实质性修改的，则终止确认现存金融负债或其一部分，同时</w:t>
      </w:r>
      <w:r>
        <w:rPr/>
        <w:t> 将修改条款后的金融负债确认为一项新金融负债。</w:t>
      </w:r>
    </w:p>
    <w:p>
      <w:pPr>
        <w:pStyle w:val="BodyText"/>
        <w:spacing w:line="240" w:lineRule="auto"/>
        <w:ind w:left="595" w:right="0"/>
        <w:jc w:val="left"/>
      </w:pPr>
      <w:r>
        <w:rPr/>
        <w:t>金融负债全部或部分终止确认时，终止确认的金融负债账面价值与支付对价（包括转出的非现金资产</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4"/>
        <w:ind w:left="595" w:right="133" w:hanging="442"/>
        <w:jc w:val="left"/>
      </w:pPr>
      <w:r>
        <w:rPr/>
        <w:t>或承担的新金融负债）之间的差额，计入当期损益。 </w:t>
      </w:r>
      <w:r>
        <w:rPr>
          <w:spacing w:val="-1"/>
        </w:rPr>
        <w:t>本公司若回购部分金融负债的，在回购日按照继续确认部分与终止确认部分的相对公允价值，将该金</w:t>
      </w:r>
    </w:p>
    <w:p>
      <w:pPr>
        <w:pStyle w:val="BodyText"/>
        <w:spacing w:line="408" w:lineRule="auto"/>
        <w:ind w:left="153" w:right="0"/>
        <w:jc w:val="left"/>
      </w:pPr>
      <w:r>
        <w:rPr>
          <w:spacing w:val="-1"/>
        </w:rPr>
        <w:t>融负债整体的账面价值进行分配。分配给终止确认部分的账面价值与支付的对价（包括转出的非现金资产</w:t>
      </w:r>
      <w:r>
        <w:rPr>
          <w:spacing w:val="-81"/>
        </w:rPr>
        <w:t> </w:t>
      </w:r>
      <w:r>
        <w:rPr>
          <w:spacing w:val="-81"/>
        </w:rPr>
      </w:r>
      <w:r>
        <w:rPr/>
        <w:t>或承担的新金融负债）之间的差额，计入当期损益。</w:t>
      </w:r>
    </w:p>
    <w:p>
      <w:pPr>
        <w:spacing w:line="240" w:lineRule="auto" w:before="8"/>
        <w:rPr>
          <w:rFonts w:ascii="宋体" w:hAnsi="宋体" w:cs="宋体" w:eastAsia="宋体" w:hint="default"/>
          <w:sz w:val="20"/>
          <w:szCs w:val="20"/>
        </w:rPr>
      </w:pPr>
    </w:p>
    <w:p>
      <w:pPr>
        <w:spacing w:line="506" w:lineRule="auto" w:before="0"/>
        <w:ind w:left="490" w:right="1874" w:hanging="337"/>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99"/>
          <w:sz w:val="21"/>
          <w:szCs w:val="21"/>
        </w:rPr>
        <w:t> </w:t>
      </w:r>
      <w:r>
        <w:rPr>
          <w:rFonts w:ascii="宋体" w:hAnsi="宋体" w:cs="宋体" w:eastAsia="宋体" w:hint="default"/>
          <w:sz w:val="21"/>
          <w:szCs w:val="21"/>
        </w:rPr>
        <w:t>本公司采用公允价值计量的金融资产和金融负债全部直接参考活跃市场中的报价。</w:t>
      </w:r>
    </w:p>
    <w:p>
      <w:pPr>
        <w:pStyle w:val="Heading3"/>
        <w:spacing w:line="240" w:lineRule="auto" w:before="105"/>
        <w:ind w:right="0"/>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214" w:right="0" w:firstLine="441"/>
        <w:jc w:val="left"/>
      </w:pPr>
      <w:r>
        <w:rPr>
          <w:spacing w:val="-3"/>
        </w:rPr>
        <w:t>除以公允价值计量且其变动计入当期损益的金融资产外，本公司于资产负债表日对金融资产的账面价</w:t>
      </w:r>
      <w:r>
        <w:rPr/>
        <w:t> 值进行检查，如果有客观证据表明某项金融资产发生减值的，计提减值准备。</w:t>
      </w:r>
    </w:p>
    <w:p>
      <w:pPr>
        <w:pStyle w:val="BodyText"/>
        <w:spacing w:line="408" w:lineRule="auto"/>
        <w:ind w:left="574" w:right="0"/>
        <w:jc w:val="left"/>
      </w:pPr>
      <w:r>
        <w:rPr/>
        <w:t>①可供出售金融资产的减值准备： </w:t>
      </w:r>
      <w:r>
        <w:rPr>
          <w:spacing w:val="-1"/>
        </w:rPr>
        <w:t>期末如果可供出售金融资产的公允价值发生严重下降，或在综合考虑各种相关因素后，预期这种下降</w:t>
      </w:r>
    </w:p>
    <w:p>
      <w:pPr>
        <w:pStyle w:val="BodyText"/>
        <w:spacing w:line="408" w:lineRule="auto"/>
        <w:ind w:right="0"/>
        <w:jc w:val="left"/>
      </w:pPr>
      <w:r>
        <w:rPr>
          <w:spacing w:val="-1"/>
        </w:rPr>
        <w:t>趋势属于非暂时性的，就认定其已发生减值，将原直接计入所有者权益的公允价值下降形成的累计损失一</w:t>
      </w:r>
      <w:r>
        <w:rPr>
          <w:spacing w:val="-81"/>
        </w:rPr>
        <w:t> </w:t>
      </w:r>
      <w:r>
        <w:rPr>
          <w:spacing w:val="-81"/>
        </w:rPr>
      </w:r>
      <w:r>
        <w:rPr/>
        <w:t>并转出，确认减值损失。</w:t>
      </w:r>
    </w:p>
    <w:p>
      <w:pPr>
        <w:pStyle w:val="BodyText"/>
        <w:spacing w:line="408" w:lineRule="auto"/>
        <w:ind w:right="0" w:firstLine="420"/>
        <w:jc w:val="left"/>
      </w:pPr>
      <w:r>
        <w:rPr>
          <w:spacing w:val="-1"/>
        </w:rPr>
        <w:t>对于已确认减值损失的可供出售债务工具，在随后的会计期间公允价值已上升且客观上与确认原减值</w:t>
      </w:r>
      <w:r>
        <w:rPr/>
        <w:t> 损失确认后发生的事项有关的，原确认的减值损失予以转回，计入当期损益。</w:t>
      </w:r>
    </w:p>
    <w:p>
      <w:pPr>
        <w:pStyle w:val="BodyText"/>
        <w:spacing w:line="240" w:lineRule="auto"/>
        <w:ind w:left="574" w:right="0"/>
        <w:jc w:val="left"/>
      </w:pPr>
      <w:r>
        <w:rPr/>
        <w:t>可供出售权益工具投资发生的减值损失，不得通过损益转回。</w:t>
      </w:r>
    </w:p>
    <w:p>
      <w:pPr>
        <w:spacing w:line="240" w:lineRule="auto" w:before="10"/>
        <w:rPr>
          <w:rFonts w:ascii="宋体" w:hAnsi="宋体" w:cs="宋体" w:eastAsia="宋体" w:hint="default"/>
          <w:sz w:val="14"/>
          <w:szCs w:val="14"/>
        </w:rPr>
      </w:pPr>
    </w:p>
    <w:p>
      <w:pPr>
        <w:pStyle w:val="BodyText"/>
        <w:spacing w:line="408" w:lineRule="auto" w:before="0"/>
        <w:ind w:left="574" w:right="2840"/>
        <w:jc w:val="left"/>
      </w:pPr>
      <w:r>
        <w:rPr/>
        <w:t>②持有至到期投资的减值准备： 持有至到期投资减值损失的计量比照应收款项减值损失计量方法处理。</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5"/>
          <w:szCs w:val="25"/>
        </w:rPr>
      </w:pPr>
    </w:p>
    <w:p>
      <w:pPr>
        <w:spacing w:before="44"/>
        <w:ind w:left="0" w:right="157" w:firstLine="0"/>
        <w:jc w:val="right"/>
        <w:rPr>
          <w:rFonts w:ascii="宋体" w:hAnsi="宋体" w:cs="宋体" w:eastAsia="宋体" w:hint="default"/>
          <w:sz w:val="18"/>
          <w:szCs w:val="18"/>
        </w:rPr>
      </w:pPr>
      <w:r>
        <w:rPr/>
        <w:pict>
          <v:shape style="position:absolute;margin-left:56.459999pt;margin-top:-52.147984pt;width:479.1pt;height:103.1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055"/>
                    <w:gridCol w:w="4513"/>
                  </w:tblGrid>
                  <w:tr>
                    <w:trPr>
                      <w:trHeight w:val="402" w:hRule="exact"/>
                    </w:trPr>
                    <w:tc>
                      <w:tcPr>
                        <w:tcW w:w="5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应收款项余额前五名的款项。</w:t>
                        </w:r>
                      </w:p>
                    </w:tc>
                  </w:tr>
                  <w:tr>
                    <w:trPr>
                      <w:trHeight w:val="358" w:hRule="exact"/>
                    </w:trPr>
                    <w:tc>
                      <w:tcPr>
                        <w:tcW w:w="5055" w:type="dxa"/>
                        <w:tcBorders>
                          <w:top w:val="single" w:sz="4" w:space="0" w:color="000000"/>
                          <w:left w:val="single" w:sz="4" w:space="0" w:color="000000"/>
                          <w:bottom w:val="nil" w:sz="6" w:space="0" w:color="auto"/>
                          <w:right w:val="single" w:sz="4" w:space="0" w:color="000000"/>
                        </w:tcBorders>
                        <w:shd w:val="clear" w:color="auto" w:fill="D3D3D3"/>
                      </w:tcPr>
                      <w:p>
                        <w:pPr/>
                      </w:p>
                    </w:tc>
                    <w:tc>
                      <w:tcPr>
                        <w:tcW w:w="45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pacing w:val="-2"/>
                            <w:sz w:val="18"/>
                            <w:szCs w:val="18"/>
                          </w:rPr>
                          <w:t>期末对于单项金额重大的应收款项单独进行减值测试。如</w:t>
                        </w:r>
                      </w:p>
                    </w:tc>
                  </w:tr>
                  <w:tr>
                    <w:trPr>
                      <w:trHeight w:val="311" w:hRule="exact"/>
                    </w:trPr>
                    <w:tc>
                      <w:tcPr>
                        <w:tcW w:w="5055" w:type="dxa"/>
                        <w:tcBorders>
                          <w:top w:val="nil" w:sz="6" w:space="0" w:color="auto"/>
                          <w:left w:val="single" w:sz="4" w:space="0" w:color="000000"/>
                          <w:bottom w:val="nil" w:sz="6" w:space="0" w:color="auto"/>
                          <w:right w:val="single" w:sz="4" w:space="0" w:color="000000"/>
                        </w:tcBorders>
                        <w:shd w:val="clear" w:color="auto" w:fill="D3D3D3"/>
                      </w:tcPr>
                      <w:p>
                        <w:pPr/>
                      </w:p>
                    </w:tc>
                    <w:tc>
                      <w:tcPr>
                        <w:tcW w:w="45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有客观证据表明其发生了减值的，根据其未来现金流量现</w:t>
                        </w:r>
                      </w:p>
                    </w:tc>
                  </w:tr>
                  <w:tr>
                    <w:trPr>
                      <w:trHeight w:val="313" w:hRule="exact"/>
                    </w:trPr>
                    <w:tc>
                      <w:tcPr>
                        <w:tcW w:w="50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值低于其账面价值的差额，确认减值损失，计提坏账准备</w:t>
                        </w:r>
                      </w:p>
                    </w:tc>
                  </w:tr>
                  <w:tr>
                    <w:trPr>
                      <w:trHeight w:val="312" w:hRule="exact"/>
                    </w:trPr>
                    <w:tc>
                      <w:tcPr>
                        <w:tcW w:w="5055" w:type="dxa"/>
                        <w:tcBorders>
                          <w:top w:val="nil" w:sz="6" w:space="0" w:color="auto"/>
                          <w:left w:val="single" w:sz="4" w:space="0" w:color="000000"/>
                          <w:bottom w:val="nil" w:sz="6" w:space="0" w:color="auto"/>
                          <w:right w:val="single" w:sz="4" w:space="0" w:color="000000"/>
                        </w:tcBorders>
                        <w:shd w:val="clear" w:color="auto" w:fill="D3D3D3"/>
                      </w:tcPr>
                      <w:p>
                        <w:pPr/>
                      </w:p>
                    </w:tc>
                    <w:tc>
                      <w:tcPr>
                        <w:tcW w:w="45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单独测试未发生减值的应收款项，将其归入相应组合计提</w:t>
                        </w:r>
                      </w:p>
                    </w:tc>
                  </w:tr>
                  <w:tr>
                    <w:trPr>
                      <w:trHeight w:val="357" w:hRule="exact"/>
                    </w:trPr>
                    <w:tc>
                      <w:tcPr>
                        <w:tcW w:w="5055" w:type="dxa"/>
                        <w:tcBorders>
                          <w:top w:val="nil" w:sz="6" w:space="0" w:color="auto"/>
                          <w:left w:val="single" w:sz="4" w:space="0" w:color="000000"/>
                          <w:bottom w:val="single" w:sz="4" w:space="0" w:color="000000"/>
                          <w:right w:val="single" w:sz="4" w:space="0" w:color="000000"/>
                        </w:tcBorders>
                        <w:shd w:val="clear" w:color="auto" w:fill="D3D3D3"/>
                      </w:tcPr>
                      <w:p>
                        <w:pPr/>
                      </w:p>
                    </w:tc>
                    <w:tc>
                      <w:tcPr>
                        <w:tcW w:w="45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9"/>
        <w:gridCol w:w="2186"/>
        <w:gridCol w:w="4782"/>
      </w:tblGrid>
      <w:tr>
        <w:trPr>
          <w:trHeight w:val="714"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17" w:right="97"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未单独计提坏账准备的应收款项</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上市费用（待从发行溢价中扣除）</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76"/>
        <w:gridCol w:w="2987"/>
        <w:gridCol w:w="3994"/>
      </w:tblGrid>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3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6"/>
        <w:ind w:left="154" w:right="67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before="44"/>
        <w:ind w:left="0" w:right="159" w:firstLine="0"/>
        <w:jc w:val="right"/>
        <w:rPr>
          <w:rFonts w:ascii="宋体" w:hAnsi="宋体" w:cs="宋体" w:eastAsia="宋体" w:hint="default"/>
          <w:sz w:val="18"/>
          <w:szCs w:val="18"/>
        </w:rPr>
      </w:pPr>
      <w:r>
        <w:rPr/>
        <w:pict>
          <v:shape style="position:absolute;margin-left:56.459999pt;margin-top:-36.517963pt;width:479.1pt;height:87.5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30"/>
                    <w:gridCol w:w="5638"/>
                  </w:tblGrid>
                  <w:tr>
                    <w:trPr>
                      <w:trHeight w:val="401" w:hRule="exact"/>
                    </w:trPr>
                    <w:tc>
                      <w:tcPr>
                        <w:tcW w:w="3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6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方法说明</w:t>
                        </w:r>
                      </w:p>
                    </w:tc>
                  </w:tr>
                  <w:tr>
                    <w:trPr>
                      <w:trHeight w:val="1339" w:hRule="exact"/>
                    </w:trPr>
                    <w:tc>
                      <w:tcPr>
                        <w:tcW w:w="3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563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公司发生与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首发上市申报相关的中介服务费，具体包括审计费、律 </w:t>
                        </w:r>
                        <w:r>
                          <w:rPr>
                            <w:rFonts w:ascii="宋体" w:hAnsi="宋体" w:cs="宋体" w:eastAsia="宋体" w:hint="default"/>
                            <w:spacing w:val="-3"/>
                            <w:sz w:val="18"/>
                            <w:szCs w:val="18"/>
                          </w:rPr>
                          <w:t>师费、券商报酬等。上述费用发生是公司将其暂放在其他应收款中核算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待上市后从发行溢价款中扣除，对该部分应收款项计提坏账准备的比例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6"/>
        <w:gridCol w:w="6241"/>
      </w:tblGrid>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4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除单项金额重大的应收款项外，均为单项金额不重大的应收款项</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4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8"/>
        <w:rPr>
          <w:rFonts w:ascii="宋体" w:hAnsi="宋体" w:cs="宋体" w:eastAsia="宋体" w:hint="default"/>
          <w:b/>
          <w:bCs/>
          <w:sz w:val="24"/>
          <w:szCs w:val="24"/>
        </w:rPr>
      </w:pPr>
    </w:p>
    <w:p>
      <w:pPr>
        <w:spacing w:line="506" w:lineRule="auto" w:before="0"/>
        <w:ind w:left="154" w:right="494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本公司存货分为库存商品、发出商品、周转材料等。</w:t>
      </w:r>
    </w:p>
    <w:p>
      <w:pPr>
        <w:spacing w:line="506" w:lineRule="auto" w:before="104"/>
        <w:ind w:left="154" w:right="734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计价方法：个别认定法</w:t>
      </w:r>
    </w:p>
    <w:p>
      <w:pPr>
        <w:spacing w:after="0" w:line="506" w:lineRule="auto"/>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95" w:right="0"/>
        <w:jc w:val="left"/>
      </w:pPr>
      <w:r>
        <w:rPr/>
        <w:t>期末对存货进行全面清查后，按存货的成本与可变现净值孰低提取或调整存货跌价准备。 </w:t>
      </w:r>
      <w:r>
        <w:rPr>
          <w:spacing w:val="-2"/>
        </w:rPr>
        <w:t>产成品、库存商品和用于出售的材料等直接用于出售的商品存货，在正常生产经营过程中，以该存货</w:t>
      </w:r>
    </w:p>
    <w:p>
      <w:pPr>
        <w:pStyle w:val="BodyText"/>
        <w:spacing w:line="408" w:lineRule="auto"/>
        <w:ind w:left="153" w:right="151"/>
        <w:jc w:val="both"/>
      </w:pPr>
      <w:r>
        <w:rPr>
          <w:spacing w:val="-1"/>
        </w:rPr>
        <w:t>的估计售价减去估计的销售费用和相关税费后的金额，确定其可变现净值；需要经过加工的材料存货，在</w:t>
      </w:r>
      <w:r>
        <w:rPr>
          <w:spacing w:val="-83"/>
        </w:rPr>
        <w:t> </w:t>
      </w:r>
      <w:r>
        <w:rPr>
          <w:spacing w:val="-83"/>
        </w:rPr>
      </w:r>
      <w:r>
        <w:rPr>
          <w:spacing w:val="-1"/>
        </w:rPr>
        <w:t>正常生产经营过程中，以所生产的产成品的估计售价减去至完工时估计将要发生的成本、估计的销售费用</w:t>
      </w:r>
      <w:r>
        <w:rPr>
          <w:spacing w:val="-81"/>
        </w:rPr>
        <w:t> </w:t>
      </w:r>
      <w:r>
        <w:rPr>
          <w:spacing w:val="-81"/>
        </w:rPr>
      </w:r>
      <w:r>
        <w:rPr>
          <w:spacing w:val="-1"/>
        </w:rPr>
        <w:t>和相关税费后的金额，确定其可变现净值；为执行销售合同或者劳务合同而持有的存货，其可变现净值以</w:t>
      </w:r>
      <w:r>
        <w:rPr>
          <w:spacing w:val="-83"/>
        </w:rPr>
        <w:t> </w:t>
      </w:r>
      <w:r>
        <w:rPr>
          <w:spacing w:val="-83"/>
        </w:rPr>
      </w:r>
      <w:r>
        <w:rPr>
          <w:spacing w:val="-1"/>
        </w:rPr>
        <w:t>合同价格为基础计算，若持有存货的数量多于销售合同订购数量的，超出部分的存货的可变现净值以一般</w:t>
      </w:r>
      <w:r>
        <w:rPr>
          <w:spacing w:val="-81"/>
        </w:rPr>
        <w:t> </w:t>
      </w:r>
      <w:r>
        <w:rPr>
          <w:spacing w:val="-81"/>
        </w:rPr>
      </w:r>
      <w:r>
        <w:rPr/>
        <w:t>销售价格为基础计算。</w:t>
      </w:r>
    </w:p>
    <w:p>
      <w:pPr>
        <w:pStyle w:val="BodyText"/>
        <w:spacing w:line="408" w:lineRule="auto"/>
        <w:ind w:left="153" w:right="150" w:firstLine="441"/>
        <w:jc w:val="both"/>
      </w:pPr>
      <w:r>
        <w:rPr>
          <w:spacing w:val="-2"/>
        </w:rPr>
        <w:t>期末按照单个存货项目计提存货跌价准备；但对于数量繁多、单价较低的存货，按照存货类别计提存</w:t>
      </w:r>
      <w:r>
        <w:rPr/>
        <w:t> </w:t>
      </w:r>
      <w:r>
        <w:rPr>
          <w:spacing w:val="-1"/>
        </w:rPr>
        <w:t>货跌价准备；与在同一地区生产和销售的产品系列相关、具有相同或类似最终用途或目的，且难以与其他</w:t>
      </w:r>
      <w:r>
        <w:rPr>
          <w:spacing w:val="-83"/>
        </w:rPr>
        <w:t> </w:t>
      </w:r>
      <w:r>
        <w:rPr>
          <w:spacing w:val="-83"/>
        </w:rPr>
      </w:r>
      <w:r>
        <w:rPr/>
        <w:t>项目分开计量的存货，则合并计提存货跌价准备。</w:t>
      </w:r>
    </w:p>
    <w:p>
      <w:pPr>
        <w:pStyle w:val="BodyText"/>
        <w:spacing w:line="408" w:lineRule="auto"/>
        <w:ind w:left="153" w:right="150" w:firstLine="441"/>
        <w:jc w:val="both"/>
      </w:pPr>
      <w:r>
        <w:rPr>
          <w:spacing w:val="-1"/>
        </w:rPr>
        <w:t>以前减记存货价值的影响因素已经消失的，减记的金额予以恢复，并在原已计提的存货跌价准备金额</w:t>
      </w:r>
      <w:r>
        <w:rPr/>
        <w:t> 内转回，转回的金额计入当期损益。</w:t>
      </w:r>
    </w:p>
    <w:p>
      <w:pPr>
        <w:spacing w:line="240" w:lineRule="auto" w:before="8"/>
        <w:rPr>
          <w:rFonts w:ascii="宋体" w:hAnsi="宋体" w:cs="宋体" w:eastAsia="宋体" w:hint="default"/>
          <w:sz w:val="20"/>
          <w:szCs w:val="20"/>
        </w:rPr>
      </w:pPr>
    </w:p>
    <w:p>
      <w:pPr>
        <w:spacing w:line="506" w:lineRule="auto" w:before="0"/>
        <w:ind w:left="154" w:right="7670" w:hanging="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spacing w:val="1"/>
          <w:w w:val="99"/>
          <w:sz w:val="21"/>
          <w:szCs w:val="21"/>
        </w:rPr>
        <w:t> </w:t>
      </w:r>
      <w:r>
        <w:rPr>
          <w:rFonts w:ascii="宋体" w:hAnsi="宋体" w:cs="宋体" w:eastAsia="宋体" w:hint="default"/>
          <w:sz w:val="21"/>
          <w:szCs w:val="21"/>
        </w:rPr>
        <w:t>盘存制度：永续盘存制</w:t>
      </w:r>
    </w:p>
    <w:p>
      <w:pPr>
        <w:pStyle w:val="Heading3"/>
        <w:spacing w:line="240" w:lineRule="auto" w:before="103"/>
        <w:ind w:right="0"/>
        <w:jc w:val="both"/>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77" w:right="7877"/>
        <w:jc w:val="left"/>
      </w:pPr>
      <w:r>
        <w:rPr/>
        <w:t>低值易耗品 摊销方法：其他</w:t>
      </w:r>
    </w:p>
    <w:p>
      <w:pPr>
        <w:pStyle w:val="BodyText"/>
        <w:spacing w:line="240" w:lineRule="auto"/>
        <w:ind w:left="577" w:right="0"/>
        <w:jc w:val="left"/>
      </w:pPr>
      <w:r>
        <w:rPr/>
        <w:t>（1）低值易耗品采用一次转销法。</w:t>
      </w:r>
    </w:p>
    <w:p>
      <w:pPr>
        <w:spacing w:line="240" w:lineRule="auto" w:before="10"/>
        <w:rPr>
          <w:rFonts w:ascii="宋体" w:hAnsi="宋体" w:cs="宋体" w:eastAsia="宋体" w:hint="default"/>
          <w:sz w:val="14"/>
          <w:szCs w:val="14"/>
        </w:rPr>
      </w:pPr>
    </w:p>
    <w:p>
      <w:pPr>
        <w:pStyle w:val="BodyText"/>
        <w:spacing w:line="408" w:lineRule="auto" w:before="0"/>
        <w:ind w:right="150" w:firstLine="423"/>
        <w:jc w:val="both"/>
      </w:pPr>
      <w:r>
        <w:rPr>
          <w:spacing w:val="-1"/>
        </w:rPr>
        <w:t>（2）周转材料采用五五摊销法，在领用或出借周转材料（备品备件）时先摊销其成本的50%，在报废</w:t>
      </w:r>
      <w:r>
        <w:rPr/>
        <w:t> 时再摊销其成本的50%。</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49" w:firstLine="423"/>
        <w:jc w:val="both"/>
      </w:pPr>
      <w:r>
        <w:rPr>
          <w:spacing w:val="-1"/>
        </w:rPr>
        <w:t>①企业合并形成的长期股权投资同一控制下的企业合并：公司以支付现金、转让非现金资产或承担债</w:t>
      </w:r>
      <w:r>
        <w:rPr/>
        <w:t> </w:t>
      </w:r>
      <w:r>
        <w:rPr>
          <w:spacing w:val="-1"/>
        </w:rPr>
        <w:t>务方式以及以发行权益性证券作为合并对价的，在合并日按照取得被合并方所有者权益账面价值的份额作</w:t>
      </w:r>
      <w:r>
        <w:rPr>
          <w:spacing w:val="-81"/>
        </w:rPr>
        <w:t> </w:t>
      </w:r>
      <w:r>
        <w:rPr>
          <w:spacing w:val="-81"/>
        </w:rPr>
      </w:r>
      <w:r>
        <w:rPr>
          <w:spacing w:val="-1"/>
        </w:rPr>
        <w:t>为长期股权投资的初始投资成本。长期股权投资初始投资成本与支付合并对价之间的差额，调整资本公积</w:t>
      </w:r>
    </w:p>
    <w:p>
      <w:pPr>
        <w:spacing w:after="0" w:line="408"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4"/>
        <w:ind w:right="188"/>
        <w:jc w:val="both"/>
      </w:pPr>
      <w:r>
        <w:rPr>
          <w:spacing w:val="-1"/>
        </w:rPr>
        <w:t>中的股本溢价；资本公积中的股本溢价不足冲减的，调整留存收益。合并发生的各项直接相关费用，包括</w:t>
      </w:r>
      <w:r>
        <w:rPr>
          <w:spacing w:val="-82"/>
        </w:rPr>
        <w:t> </w:t>
      </w:r>
      <w:r>
        <w:rPr>
          <w:spacing w:val="-82"/>
        </w:rPr>
      </w:r>
      <w:r>
        <w:rPr>
          <w:spacing w:val="-1"/>
        </w:rPr>
        <w:t>为进行合并而支付的审计费用、评估费用、法律服务费用等，于发生时计入当期损益。非同一控制下的企</w:t>
      </w:r>
      <w:r>
        <w:rPr>
          <w:spacing w:val="-82"/>
        </w:rPr>
        <w:t> </w:t>
      </w:r>
      <w:r>
        <w:rPr>
          <w:spacing w:val="-82"/>
        </w:rPr>
      </w:r>
      <w:r>
        <w:rPr>
          <w:spacing w:val="-1"/>
        </w:rPr>
        <w:t>业合并：公司按照购买日确定的合并成本作为长期股权投资的初始投资成本。合并成本为购买日购买方为</w:t>
      </w:r>
      <w:r>
        <w:rPr>
          <w:spacing w:val="-81"/>
        </w:rPr>
        <w:t> </w:t>
      </w:r>
      <w:r>
        <w:rPr>
          <w:spacing w:val="-81"/>
        </w:rPr>
      </w:r>
      <w:r>
        <w:rPr>
          <w:spacing w:val="-1"/>
        </w:rPr>
        <w:t>取得对被购买方的控制权而付出的资产、发生或承担的负债以及发行的权益性证券的公允价值。购买方为</w:t>
      </w:r>
      <w:r>
        <w:rPr>
          <w:spacing w:val="-81"/>
        </w:rPr>
        <w:t> </w:t>
      </w:r>
      <w:r>
        <w:rPr>
          <w:spacing w:val="-81"/>
        </w:rPr>
      </w:r>
      <w:r>
        <w:rPr/>
        <w:t>企业合并而发生的审计、法律服务、评估咨询等中介费用以及其他相关管理费用于发生时计入当期损益； </w:t>
      </w:r>
      <w:r>
        <w:rPr>
          <w:spacing w:val="-1"/>
        </w:rPr>
        <w:t>购买方作为合并对价发行的权益性证券或债务性证券的交易费用，计入权益性证券或债务性证券的初始确</w:t>
      </w:r>
      <w:r>
        <w:rPr>
          <w:spacing w:val="-81"/>
        </w:rPr>
        <w:t> </w:t>
      </w:r>
      <w:r>
        <w:rPr>
          <w:spacing w:val="-81"/>
        </w:rPr>
      </w:r>
      <w:r>
        <w:rPr>
          <w:spacing w:val="-1"/>
        </w:rPr>
        <w:t>认金额。通过多次交易分步实现的非同一控制下企业合并，以购买日之前所持被购买方的股权投资的账面</w:t>
      </w:r>
      <w:r>
        <w:rPr>
          <w:spacing w:val="-81"/>
        </w:rPr>
        <w:t> </w:t>
      </w:r>
      <w:r>
        <w:rPr>
          <w:spacing w:val="-81"/>
        </w:rPr>
      </w:r>
      <w:r>
        <w:rPr>
          <w:spacing w:val="-1"/>
        </w:rPr>
        <w:t>价值与购买日新增投资成本之和，作为该项投资的初始投资成本。本公司将合并协议约定的或有对价作为</w:t>
      </w:r>
      <w:r>
        <w:rPr>
          <w:spacing w:val="-81"/>
        </w:rPr>
        <w:t> </w:t>
      </w:r>
      <w:r>
        <w:rPr>
          <w:spacing w:val="-81"/>
        </w:rPr>
      </w:r>
      <w:r>
        <w:rPr/>
        <w:t>企业合并转移对价的一部分，按照其在购买日的公允价值计入企业合并成本。</w:t>
      </w:r>
    </w:p>
    <w:p>
      <w:pPr>
        <w:pStyle w:val="BodyText"/>
        <w:spacing w:line="408" w:lineRule="auto"/>
        <w:ind w:right="102" w:firstLine="423"/>
        <w:jc w:val="left"/>
      </w:pPr>
      <w:r>
        <w:rPr>
          <w:spacing w:val="-1"/>
        </w:rPr>
        <w:t>②其他方式取得的长期股权投资以支付现金方式取得的长期股权投资，按照实际支付的购买价款作为</w:t>
      </w:r>
      <w:r>
        <w:rPr/>
        <w:t> </w:t>
      </w:r>
      <w:r>
        <w:rPr>
          <w:spacing w:val="-1"/>
        </w:rPr>
        <w:t>初始投资成本。以发行权益性证券取得的长期股权投资，按照发行权益性证券的公允价值作为初始投资成</w:t>
      </w:r>
      <w:r>
        <w:rPr>
          <w:spacing w:val="-81"/>
        </w:rPr>
        <w:t> </w:t>
      </w:r>
      <w:r>
        <w:rPr>
          <w:spacing w:val="-81"/>
        </w:rPr>
      </w:r>
      <w:r>
        <w:rPr>
          <w:spacing w:val="-1"/>
        </w:rPr>
        <w:t>本。投资者投入的长期股权投资，按照投资合同或协议约定的价值（扣除已宣告但尚未发放的现金股利或</w:t>
      </w:r>
      <w:r>
        <w:rPr>
          <w:spacing w:val="-83"/>
        </w:rPr>
        <w:t> </w:t>
      </w:r>
      <w:r>
        <w:rPr>
          <w:spacing w:val="-83"/>
        </w:rPr>
      </w:r>
      <w:r>
        <w:rPr/>
        <w:t>利润）作为初始投资成本，但合同或协议约定价值不公允的除外。</w:t>
      </w:r>
      <w:r>
        <w:rPr>
          <w:spacing w:val="-2"/>
        </w:rPr>
        <w:t> </w:t>
      </w:r>
      <w:r>
        <w:rPr/>
        <w:t>在非货币性资产交换具备商业实质和</w:t>
      </w:r>
      <w:r>
        <w:rPr/>
        <w:t> </w:t>
      </w:r>
      <w:r>
        <w:rPr>
          <w:spacing w:val="-1"/>
        </w:rPr>
        <w:t>换入资产或换出资产的公允价值能够可靠计量的前提下，非货币性资产交换换入的长期股权投资以换出资</w:t>
      </w:r>
      <w:r>
        <w:rPr>
          <w:spacing w:val="-81"/>
        </w:rPr>
        <w:t> </w:t>
      </w:r>
      <w:r>
        <w:rPr>
          <w:spacing w:val="-81"/>
        </w:rPr>
      </w:r>
      <w:r>
        <w:rPr>
          <w:spacing w:val="-1"/>
        </w:rPr>
        <w:t>产的公允价值为基础确定其初始投资成本，除非有确凿证据表明换入资产的公允价值更加可靠；不满足上</w:t>
      </w:r>
      <w:r>
        <w:rPr>
          <w:spacing w:val="-81"/>
        </w:rPr>
        <w:t> </w:t>
      </w:r>
      <w:r>
        <w:rPr>
          <w:spacing w:val="-81"/>
        </w:rPr>
      </w:r>
      <w:r>
        <w:rPr>
          <w:spacing w:val="-1"/>
        </w:rPr>
        <w:t>述前提的非货币性资产交换，以换出资产的账面价值和应支付的相关税费作为换入长期股权投资的初始投</w:t>
      </w:r>
      <w:r>
        <w:rPr>
          <w:spacing w:val="-81"/>
        </w:rPr>
        <w:t> </w:t>
      </w:r>
      <w:r>
        <w:rPr>
          <w:spacing w:val="-81"/>
        </w:rPr>
      </w:r>
      <w:r>
        <w:rPr/>
        <w:t>资成本。通过债务重组取得的长期股权投资，其初始投资成本按照公允价值为基础确定。</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01" w:firstLine="423"/>
        <w:jc w:val="left"/>
      </w:pPr>
      <w:r>
        <w:rPr/>
        <w:t>①后续计量公司对子公司的长期股权投资，采用成本法核算，编制合并财务报表时按照权益法进行调 整。对被投资单位不具有共同控制或重大影响，并且在活跃市场中没有报价、公允价值不能可靠计量的长 </w:t>
      </w:r>
      <w:r>
        <w:rPr>
          <w:spacing w:val="-3"/>
        </w:rPr>
        <w:t>期股权投资，采用成本法核算。对被投资单位具有共同控制或重大影响的长期股权投资，采用权益法核算。</w:t>
      </w:r>
      <w:r>
        <w:rPr>
          <w:spacing w:val="-90"/>
        </w:rPr>
        <w:t> </w:t>
      </w:r>
      <w:r>
        <w:rPr>
          <w:spacing w:val="-90"/>
        </w:rPr>
      </w:r>
      <w:r>
        <w:rPr/>
        <w:t>初始投资成本大于投资时应享有被投资单位可辨认净资产公允价值份额的差额，不调整长期股权投资的初</w:t>
      </w:r>
      <w:r>
        <w:rPr/>
        <w:t> 始投资成本；初始投资成本小于投资时应享有被投资单位可辨认净资产公允价值份额的差额，计入当期损 益。被投资单位除净损益以外所有者权益其他变动的处理：对于被投资单位除净损益以外所有者权益的其 他变动，在持股比例不变的情况下，公司按照持股比例计算应享有或承担的部分，调整长期股权投资的账 </w:t>
      </w:r>
      <w:r>
        <w:rPr>
          <w:spacing w:val="-5"/>
        </w:rPr>
        <w:t>面价值，同时增加或减少资本公积（其他资本公积）。</w:t>
      </w:r>
    </w:p>
    <w:p>
      <w:pPr>
        <w:pStyle w:val="BodyText"/>
        <w:spacing w:line="408" w:lineRule="auto"/>
        <w:ind w:right="209" w:firstLine="423"/>
        <w:jc w:val="both"/>
      </w:pPr>
      <w:r>
        <w:rPr>
          <w:spacing w:val="-1"/>
        </w:rPr>
        <w:t>②损益确认成本法下，除取得投资时实际支付的价款或对价中包含的已宣告但尚未发放的现金股利或</w:t>
      </w:r>
      <w:r>
        <w:rPr/>
        <w:t> </w:t>
      </w:r>
      <w:r>
        <w:rPr>
          <w:spacing w:val="-1"/>
        </w:rPr>
        <w:t>利润外，公司按照享有被投资单位宣告发放的现金股利或利润确认投资收益。权益法下，在被投资单位账</w:t>
      </w:r>
      <w:r>
        <w:rPr>
          <w:spacing w:val="-83"/>
        </w:rPr>
        <w:t> </w:t>
      </w:r>
      <w:r>
        <w:rPr>
          <w:spacing w:val="-83"/>
        </w:rPr>
      </w:r>
      <w:r>
        <w:rPr>
          <w:spacing w:val="-1"/>
        </w:rPr>
        <w:t>面净利润的基础上考虑：被投资单位与本公司采用的会计政策及会计期间不一致，按本公司的会计政策及</w:t>
      </w:r>
    </w:p>
    <w:p>
      <w:pPr>
        <w:spacing w:after="0" w:line="408" w:lineRule="auto"/>
        <w:jc w:val="both"/>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4"/>
        <w:ind w:right="101"/>
        <w:jc w:val="left"/>
      </w:pPr>
      <w:r>
        <w:rPr/>
        <w:t>会计期间对被投资单位财务报表进行调整；以取得投资时被投资单位固定资产、无形资产的公允价值为基 础计提的折旧额或摊销额以及有关资产减值准备金额等对被投资单位净利润的影响；对本公司与联营企业 及合营企业之间发生的未实现内部交易予以抵销等事项的适当调整后，确认应享有或应负担被投资单位的 净利润或净亏损。在公司确认应分担被投资单位发生的亏损时，按照以下顺序进行处理：首先，冲减长期 股权投资的账面价值。其次，长期股权投资的账面价值不足以冲减的，以其他实质上构成对被投资单位净 </w:t>
      </w:r>
      <w:r>
        <w:rPr>
          <w:spacing w:val="-3"/>
        </w:rPr>
        <w:t>投资的长期权益账面价值为限继续确认投资损失，冲减长期应收项目等的账面价值。最后，经过上述处理，</w:t>
      </w:r>
      <w:r>
        <w:rPr>
          <w:spacing w:val="-90"/>
        </w:rPr>
        <w:t> </w:t>
      </w:r>
      <w:r>
        <w:rPr>
          <w:spacing w:val="-90"/>
        </w:rPr>
      </w:r>
      <w:r>
        <w:rPr/>
        <w:t>按照投资合同或协议约定企业仍承担额外义务的，按预计承担的义务确认预计负债，计入当期投资损失。 被投资单位以后期间实现盈利的，公司在扣除未确认的亏损分担额后，按与上述相反的顺序处理，减记已</w:t>
      </w:r>
      <w:r>
        <w:rPr/>
        <w:t> 确认预计负债的账面余额、恢复其他实质上构成对被投资单位净投资的长期权益及长期股权投资的账面价 值，同时确认投资收益。在持有投资期间，被投资单位能够提供合并财务报表的，应当以合并财务报表中 的净利润和其他权益变动为基础进行核算。</w:t>
      </w:r>
    </w:p>
    <w:p>
      <w:pPr>
        <w:spacing w:line="240" w:lineRule="auto" w:before="8"/>
        <w:rPr>
          <w:rFonts w:ascii="宋体" w:hAnsi="宋体" w:cs="宋体" w:eastAsia="宋体" w:hint="default"/>
          <w:sz w:val="20"/>
          <w:szCs w:val="20"/>
        </w:rPr>
      </w:pPr>
    </w:p>
    <w:p>
      <w:pPr>
        <w:pStyle w:val="Heading3"/>
        <w:spacing w:line="240" w:lineRule="auto"/>
        <w:ind w:right="102"/>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209" w:firstLine="423"/>
        <w:jc w:val="both"/>
      </w:pPr>
      <w:r>
        <w:rPr>
          <w:spacing w:val="-1"/>
        </w:rPr>
        <w:t>共同控制，是指按照合同约定对某项经济活动所共有的控制，仅在与该项经济活动相关的重要财务和</w:t>
      </w:r>
      <w:r>
        <w:rPr/>
        <w:t> </w:t>
      </w:r>
      <w:r>
        <w:rPr>
          <w:spacing w:val="-1"/>
        </w:rPr>
        <w:t>经营决策需要分享控制权的投资方一致同意时存在。投资企业与其他方对被投资单位实施共同控制的，被</w:t>
      </w:r>
      <w:r>
        <w:rPr>
          <w:spacing w:val="-81"/>
        </w:rPr>
        <w:t> </w:t>
      </w:r>
      <w:r>
        <w:rPr>
          <w:spacing w:val="-81"/>
        </w:rPr>
      </w:r>
      <w:r>
        <w:rPr>
          <w:spacing w:val="-1"/>
        </w:rPr>
        <w:t>投资单位为其合营企业。重大影响，是指对一个企业的财务和经营决策有参与决策的权力，但并不能够控</w:t>
      </w:r>
      <w:r>
        <w:rPr>
          <w:spacing w:val="-83"/>
        </w:rPr>
        <w:t> </w:t>
      </w:r>
      <w:r>
        <w:rPr>
          <w:spacing w:val="-83"/>
        </w:rPr>
      </w:r>
      <w:r>
        <w:rPr>
          <w:spacing w:val="-1"/>
        </w:rPr>
        <w:t>制或者与其他方一起共同控制这些政策的制定。投资企业能够对被投资单位施加重大影响的，被投资单位</w:t>
      </w:r>
      <w:r>
        <w:rPr>
          <w:spacing w:val="-81"/>
        </w:rPr>
        <w:t> </w:t>
      </w:r>
      <w:r>
        <w:rPr>
          <w:spacing w:val="-81"/>
        </w:rPr>
      </w:r>
      <w:r>
        <w:rPr/>
        <w:t>为其联营企业。</w:t>
      </w:r>
    </w:p>
    <w:p>
      <w:pPr>
        <w:spacing w:line="240" w:lineRule="auto" w:before="8"/>
        <w:rPr>
          <w:rFonts w:ascii="宋体" w:hAnsi="宋体" w:cs="宋体" w:eastAsia="宋体" w:hint="default"/>
          <w:sz w:val="20"/>
          <w:szCs w:val="20"/>
        </w:rPr>
      </w:pPr>
    </w:p>
    <w:p>
      <w:pPr>
        <w:pStyle w:val="Heading3"/>
        <w:spacing w:line="240" w:lineRule="auto"/>
        <w:ind w:right="102"/>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211" w:firstLine="423"/>
        <w:jc w:val="both"/>
      </w:pPr>
      <w:r>
        <w:rPr>
          <w:spacing w:val="-1"/>
        </w:rPr>
        <w:t>重大影响以下的、在活跃市场中没有报价、公允价值不能可靠计量的长期股权投资，其减值损失是根</w:t>
      </w:r>
      <w:r>
        <w:rPr/>
        <w:t> 据其账面价值与按类似金融资产当时市场收益率对未来现金流量折现确定的现值之间的差额进行确定。</w:t>
      </w:r>
    </w:p>
    <w:p>
      <w:pPr>
        <w:pStyle w:val="BodyText"/>
        <w:spacing w:line="408" w:lineRule="auto"/>
        <w:ind w:right="209" w:firstLine="423"/>
        <w:jc w:val="both"/>
      </w:pPr>
      <w:r>
        <w:rPr>
          <w:spacing w:val="3"/>
        </w:rPr>
        <w:t>除因企业合并形成的商誉以外的存在减值迹象的其他长期股权投资，如果可收回金额的计量结果表</w:t>
      </w:r>
      <w:r>
        <w:rPr/>
        <w:t> 明，该长期股权投资的可收回金额低于其账面价值的，将差额确认为减值损失。</w:t>
      </w:r>
    </w:p>
    <w:p>
      <w:pPr>
        <w:pStyle w:val="BodyText"/>
        <w:spacing w:line="240" w:lineRule="auto"/>
        <w:ind w:left="577" w:right="102"/>
        <w:jc w:val="left"/>
      </w:pPr>
      <w:r>
        <w:rPr/>
        <w:t>长期股权投资减值损失一经确认，不再转回。</w:t>
      </w:r>
    </w:p>
    <w:p>
      <w:pPr>
        <w:spacing w:line="240" w:lineRule="auto" w:before="0"/>
        <w:rPr>
          <w:rFonts w:ascii="宋体" w:hAnsi="宋体" w:cs="宋体" w:eastAsia="宋体" w:hint="default"/>
          <w:sz w:val="20"/>
          <w:szCs w:val="20"/>
        </w:rPr>
      </w:pPr>
    </w:p>
    <w:p>
      <w:pPr>
        <w:pStyle w:val="Heading3"/>
        <w:spacing w:line="240" w:lineRule="auto" w:before="154"/>
        <w:ind w:right="102"/>
        <w:jc w:val="left"/>
        <w:rPr>
          <w:b w:val="0"/>
          <w:bCs w:val="0"/>
        </w:rPr>
      </w:pPr>
      <w:r>
        <w:rPr>
          <w:rFonts w:ascii="Times New Roman" w:hAnsi="Times New Roman" w:cs="Times New Roman" w:eastAsia="Times New Roman" w:hint="default"/>
        </w:rPr>
        <w:t>13</w:t>
      </w:r>
      <w:r>
        <w:rPr/>
        <w:t>、固定资产</w:t>
      </w:r>
      <w:r>
        <w:rPr>
          <w:b w:val="0"/>
          <w:bCs w:val="0"/>
        </w:rPr>
      </w:r>
    </w:p>
    <w:p>
      <w:pPr>
        <w:spacing w:line="240" w:lineRule="auto" w:before="8"/>
        <w:rPr>
          <w:rFonts w:ascii="宋体" w:hAnsi="宋体" w:cs="宋体" w:eastAsia="宋体" w:hint="default"/>
          <w:b/>
          <w:bCs/>
          <w:sz w:val="24"/>
          <w:szCs w:val="24"/>
        </w:rPr>
      </w:pPr>
    </w:p>
    <w:p>
      <w:pPr>
        <w:spacing w:line="568" w:lineRule="auto" w:before="0"/>
        <w:ind w:left="577" w:right="102" w:hanging="42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b/>
          <w:bCs/>
          <w:w w:val="99"/>
          <w:sz w:val="21"/>
          <w:szCs w:val="21"/>
        </w:rPr>
        <w:t> </w:t>
      </w:r>
      <w:r>
        <w:rPr>
          <w:rFonts w:ascii="宋体" w:hAnsi="宋体" w:cs="宋体" w:eastAsia="宋体" w:hint="default"/>
          <w:spacing w:val="-1"/>
          <w:sz w:val="21"/>
          <w:szCs w:val="21"/>
        </w:rPr>
        <w:t>固定资产指为生产商品、提供劳务、出租或经营管理而持有，并且使用寿命超过一个会计年度的有形</w:t>
      </w:r>
    </w:p>
    <w:p>
      <w:pPr>
        <w:spacing w:after="0" w:line="568" w:lineRule="auto"/>
        <w:jc w:val="left"/>
        <w:rPr>
          <w:rFonts w:ascii="宋体" w:hAnsi="宋体" w:cs="宋体" w:eastAsia="宋体" w:hint="default"/>
          <w:sz w:val="21"/>
          <w:szCs w:val="21"/>
        </w:rPr>
        <w:sectPr>
          <w:footerReference w:type="default" r:id="rId19"/>
          <w:pgSz w:w="11910" w:h="16840"/>
          <w:pgMar w:footer="982" w:header="747" w:top="1060" w:bottom="1180" w:left="980" w:right="920"/>
          <w:pgNumType w:start="89"/>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资产。固定资产在同时满足下列条件时予以确认：</w:t>
      </w:r>
    </w:p>
    <w:p>
      <w:pPr>
        <w:spacing w:line="240" w:lineRule="auto" w:before="10"/>
        <w:rPr>
          <w:rFonts w:ascii="宋体" w:hAnsi="宋体" w:cs="宋体" w:eastAsia="宋体" w:hint="default"/>
          <w:sz w:val="14"/>
          <w:szCs w:val="14"/>
        </w:rPr>
      </w:pPr>
    </w:p>
    <w:p>
      <w:pPr>
        <w:pStyle w:val="BodyText"/>
        <w:spacing w:line="240" w:lineRule="auto" w:before="0"/>
        <w:ind w:left="577" w:right="0"/>
        <w:jc w:val="left"/>
      </w:pPr>
      <w:r>
        <w:rPr/>
        <w:t>①与该固定资产有关的经济利益很可能流入企业；</w:t>
      </w:r>
    </w:p>
    <w:p>
      <w:pPr>
        <w:spacing w:line="240" w:lineRule="auto" w:before="10"/>
        <w:rPr>
          <w:rFonts w:ascii="宋体" w:hAnsi="宋体" w:cs="宋体" w:eastAsia="宋体" w:hint="default"/>
          <w:sz w:val="14"/>
          <w:szCs w:val="14"/>
        </w:rPr>
      </w:pPr>
    </w:p>
    <w:p>
      <w:pPr>
        <w:pStyle w:val="BodyText"/>
        <w:spacing w:line="240" w:lineRule="auto" w:before="0"/>
        <w:ind w:left="577" w:right="0"/>
        <w:jc w:val="left"/>
      </w:pPr>
      <w:r>
        <w:rPr/>
        <w:t>②该固定资产的成本能够可靠地计量。</w:t>
      </w:r>
    </w:p>
    <w:p>
      <w:pPr>
        <w:spacing w:line="670" w:lineRule="atLeast" w:before="37"/>
        <w:ind w:left="577" w:right="0" w:hanging="42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）各类固定资产的折旧方法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固定资产折旧采用年限平均法分类计提，根据固定资产类别、预计使用寿命和预计净残值率确定折旧</w:t>
      </w:r>
    </w:p>
    <w:p>
      <w:pPr>
        <w:spacing w:line="240" w:lineRule="auto" w:before="10"/>
        <w:rPr>
          <w:rFonts w:ascii="宋体" w:hAnsi="宋体" w:cs="宋体" w:eastAsia="宋体" w:hint="default"/>
          <w:sz w:val="14"/>
          <w:szCs w:val="14"/>
        </w:rPr>
      </w:pPr>
    </w:p>
    <w:p>
      <w:pPr>
        <w:pStyle w:val="BodyText"/>
        <w:spacing w:line="408" w:lineRule="auto" w:before="0"/>
        <w:ind w:right="0"/>
        <w:jc w:val="left"/>
      </w:pPr>
      <w:r>
        <w:rPr>
          <w:spacing w:val="-1"/>
        </w:rPr>
        <w:t>率。如固定资产各组成部分的使用寿命不同或者以不同方式为企业提供经济利益，则选择不同折旧率或折</w:t>
      </w:r>
      <w:r>
        <w:rPr>
          <w:spacing w:val="-81"/>
        </w:rPr>
        <w:t> </w:t>
      </w:r>
      <w:r>
        <w:rPr>
          <w:spacing w:val="-81"/>
        </w:rPr>
      </w:r>
      <w:r>
        <w:rPr/>
        <w:t>旧方法，分别计提折旧。</w:t>
      </w:r>
    </w:p>
    <w:p>
      <w:pPr>
        <w:pStyle w:val="BodyText"/>
        <w:spacing w:line="408" w:lineRule="auto"/>
        <w:ind w:right="149" w:firstLine="423"/>
        <w:jc w:val="both"/>
      </w:pPr>
      <w:r>
        <w:rPr>
          <w:spacing w:val="-1"/>
        </w:rPr>
        <w:t>融资租赁方式租入的固定资产，能合理确定租赁期届满时将会取得租赁资产所有权的，在租赁资产尚</w:t>
      </w:r>
      <w:r>
        <w:rPr/>
        <w:t> </w:t>
      </w:r>
      <w:r>
        <w:rPr>
          <w:spacing w:val="-1"/>
        </w:rPr>
        <w:t>可使用年限内计提折旧；无法合理确定租赁期届满时能够取得租赁资产所有权的，在租赁期与租赁资产尚</w:t>
      </w:r>
      <w:r>
        <w:rPr>
          <w:spacing w:val="-81"/>
        </w:rPr>
        <w:t> </w:t>
      </w:r>
      <w:r>
        <w:rPr>
          <w:spacing w:val="-81"/>
        </w:rPr>
      </w:r>
      <w:r>
        <w:rPr/>
        <w:t>可使用年限两者中较短的期间内计提折旧。</w:t>
      </w:r>
    </w:p>
    <w:p>
      <w:pPr>
        <w:spacing w:line="240" w:lineRule="auto" w:before="7"/>
        <w:rPr>
          <w:rFonts w:ascii="宋体" w:hAnsi="宋体" w:cs="宋体" w:eastAsia="宋体" w:hint="default"/>
          <w:sz w:val="22"/>
          <w:szCs w:val="22"/>
        </w:rPr>
      </w:pPr>
    </w:p>
    <w:tbl>
      <w:tblPr>
        <w:tblW w:w="0" w:type="auto"/>
        <w:jc w:val="left"/>
        <w:tblInd w:w="160" w:type="dxa"/>
        <w:tblLayout w:type="fixed"/>
        <w:tblCellMar>
          <w:top w:w="0" w:type="dxa"/>
          <w:left w:w="0" w:type="dxa"/>
          <w:bottom w:w="0" w:type="dxa"/>
          <w:right w:w="0" w:type="dxa"/>
        </w:tblCellMar>
        <w:tblLook w:val="01E0"/>
      </w:tblPr>
      <w:tblGrid>
        <w:gridCol w:w="2494"/>
        <w:gridCol w:w="2117"/>
        <w:gridCol w:w="2220"/>
        <w:gridCol w:w="2725"/>
      </w:tblGrid>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）固定资产的减值测试方法、减值准备计提方法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95" w:right="133"/>
        <w:jc w:val="left"/>
      </w:pPr>
      <w:r>
        <w:rPr/>
        <w:t>公司在每期末判断固定资产是否存在可能发生减值的迹象。 </w:t>
      </w:r>
      <w:r>
        <w:rPr>
          <w:spacing w:val="-1"/>
        </w:rPr>
        <w:t>固定资产存在减值迹象的，估计其可收回金额。可收回金额根据固定资产的公允价值减去处置费用后</w:t>
      </w:r>
    </w:p>
    <w:p>
      <w:pPr>
        <w:pStyle w:val="BodyText"/>
        <w:spacing w:line="408" w:lineRule="auto"/>
        <w:ind w:left="595" w:right="133" w:hanging="442"/>
        <w:jc w:val="left"/>
      </w:pPr>
      <w:r>
        <w:rPr/>
        <w:t>的净额与固定资产预计未来现金流量的现值两者之间较高者确定。 </w:t>
      </w:r>
      <w:r>
        <w:rPr>
          <w:spacing w:val="-1"/>
        </w:rPr>
        <w:t>当固定资产的可收回金额低于其账面价值的，将固定资产的账面价值减记至可收回金额，减记的金额</w:t>
      </w:r>
    </w:p>
    <w:p>
      <w:pPr>
        <w:pStyle w:val="BodyText"/>
        <w:spacing w:line="408" w:lineRule="auto"/>
        <w:ind w:left="595" w:right="133" w:hanging="442"/>
        <w:jc w:val="left"/>
      </w:pPr>
      <w:r>
        <w:rPr/>
        <w:t>确认为固定资产减值损失，计入当期损益，同时计提相应的固定资产减值准备。 </w:t>
      </w:r>
      <w:r>
        <w:rPr>
          <w:spacing w:val="-1"/>
        </w:rPr>
        <w:t>固定资产减值损失确认后，减值固定资产的折旧在未来期间作相应调整，以使该固定资产在剩余使用</w:t>
      </w:r>
    </w:p>
    <w:p>
      <w:pPr>
        <w:pStyle w:val="BodyText"/>
        <w:spacing w:line="408" w:lineRule="auto"/>
        <w:ind w:left="595" w:right="133" w:hanging="442"/>
        <w:jc w:val="left"/>
      </w:pPr>
      <w:r>
        <w:rPr/>
        <w:t>寿命内，系统地分摊调整后的固定资产账面价值（扣除预计净残值）。 固定资产的减值损失一经确认，在以后会计期间不再转回。 </w:t>
      </w:r>
      <w:r>
        <w:rPr>
          <w:spacing w:val="-1"/>
        </w:rPr>
        <w:t>有迹象表明一项固定资产可能发生减值的，企业以单项固定资产为基础估计其可收回金额。企业难以</w:t>
      </w:r>
    </w:p>
    <w:p>
      <w:pPr>
        <w:pStyle w:val="BodyText"/>
        <w:spacing w:line="240" w:lineRule="auto"/>
        <w:ind w:right="0"/>
        <w:jc w:val="left"/>
      </w:pPr>
      <w:r>
        <w:rPr/>
        <w:t>对单项固定资产的可收回金额进行估计的，以该固定资产所属的资产组为基础确定资产组的可收回金额。</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14</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7" w:right="0"/>
        <w:jc w:val="left"/>
      </w:pPr>
      <w:r>
        <w:rPr/>
        <w:t>①公司取得无形资产时按成本进行初始计量； </w:t>
      </w:r>
      <w:r>
        <w:rPr>
          <w:spacing w:val="-1"/>
        </w:rPr>
        <w:t>外购无形资产的成本，包括购买价款、相关税费以及直接归属于使该项资产达到预定用途所发生的其</w:t>
      </w:r>
    </w:p>
    <w:p>
      <w:pPr>
        <w:pStyle w:val="BodyText"/>
        <w:spacing w:line="408" w:lineRule="auto"/>
        <w:ind w:right="0"/>
        <w:jc w:val="left"/>
      </w:pPr>
      <w:r>
        <w:rPr>
          <w:spacing w:val="-1"/>
        </w:rPr>
        <w:t>他支出。购买无形资产的价款超过正常信用条件延期支付，实质上具有融资性质的，无形资产的成本以购</w:t>
      </w:r>
      <w:r>
        <w:rPr>
          <w:spacing w:val="-83"/>
        </w:rPr>
        <w:t> </w:t>
      </w:r>
      <w:r>
        <w:rPr>
          <w:spacing w:val="-83"/>
        </w:rPr>
      </w:r>
      <w:r>
        <w:rPr/>
        <w:t>买价款的现值为基础确定。</w:t>
      </w:r>
    </w:p>
    <w:p>
      <w:pPr>
        <w:pStyle w:val="BodyText"/>
        <w:spacing w:line="408" w:lineRule="auto"/>
        <w:ind w:right="151" w:firstLine="423"/>
        <w:jc w:val="both"/>
      </w:pPr>
      <w:r>
        <w:rPr>
          <w:spacing w:val="-1"/>
        </w:rPr>
        <w:t>债务重组取得债务人用以抵债的无形资产，以该无形资产的公允价值为基础确定其入账价值，并将重</w:t>
      </w:r>
      <w:r>
        <w:rPr/>
        <w:t> 组债务的账面价值与该用以抵债的无形资产公允价值之间的差额，计入当期损益；</w:t>
      </w:r>
    </w:p>
    <w:p>
      <w:pPr>
        <w:pStyle w:val="BodyText"/>
        <w:spacing w:line="408" w:lineRule="auto"/>
        <w:ind w:right="151" w:firstLine="423"/>
        <w:jc w:val="both"/>
      </w:pPr>
      <w:r>
        <w:rPr>
          <w:spacing w:val="-1"/>
        </w:rPr>
        <w:t>在非货币性资产交换具备商业实质且换入资产或换出资产的公允价值能够可靠计量的前提下，非货币</w:t>
      </w:r>
      <w:r>
        <w:rPr/>
        <w:t> </w:t>
      </w:r>
      <w:r>
        <w:rPr>
          <w:spacing w:val="-1"/>
        </w:rPr>
        <w:t>性资产交换换入的无形资产以换出资产的公允价值为基础确定其入账价值，除非有确凿证据表明换入资产</w:t>
      </w:r>
      <w:r>
        <w:rPr>
          <w:spacing w:val="-81"/>
        </w:rPr>
        <w:t> </w:t>
      </w:r>
      <w:r>
        <w:rPr>
          <w:spacing w:val="-81"/>
        </w:rPr>
      </w:r>
      <w:r>
        <w:rPr>
          <w:spacing w:val="-1"/>
        </w:rPr>
        <w:t>的公允价值更加可靠；不满足上述前提的非货币性资产交换，以换出资产的账面价值和应支付的相关税费</w:t>
      </w:r>
      <w:r>
        <w:rPr>
          <w:spacing w:val="-81"/>
        </w:rPr>
        <w:t> </w:t>
      </w:r>
      <w:r>
        <w:rPr>
          <w:spacing w:val="-81"/>
        </w:rPr>
      </w:r>
      <w:r>
        <w:rPr/>
        <w:t>作为换入无形资产的成本，不确认损益。</w:t>
      </w:r>
    </w:p>
    <w:p>
      <w:pPr>
        <w:pStyle w:val="BodyText"/>
        <w:spacing w:line="408" w:lineRule="auto"/>
        <w:ind w:right="151" w:firstLine="423"/>
        <w:jc w:val="both"/>
      </w:pPr>
      <w:r>
        <w:rPr>
          <w:spacing w:val="-1"/>
        </w:rPr>
        <w:t>以同一控制下的企业吸收合并方式取得的无形资产按被合并方的账面价值确定其入账价值；以非同一</w:t>
      </w:r>
      <w:r>
        <w:rPr/>
        <w:t> 控制下的企业吸收合并方式取得的无形资产按公允价值确定其入账价值。</w:t>
      </w:r>
    </w:p>
    <w:p>
      <w:pPr>
        <w:pStyle w:val="BodyText"/>
        <w:spacing w:line="408" w:lineRule="auto"/>
        <w:ind w:right="148" w:firstLine="423"/>
        <w:jc w:val="both"/>
      </w:pPr>
      <w:r>
        <w:rPr>
          <w:spacing w:val="-1"/>
        </w:rPr>
        <w:t>内部自行开发的无形资产，其成本包括：开发该无形资产时耗用的材料、劳务成本、注册费、在开发</w:t>
      </w:r>
      <w:r>
        <w:rPr/>
        <w:t> </w:t>
      </w:r>
      <w:r>
        <w:rPr>
          <w:spacing w:val="-1"/>
        </w:rPr>
        <w:t>过程中使用的其他专利权和特许权的摊销以及满足资本化条件的利息费用，以及为使该无形资产达到预定</w:t>
      </w:r>
      <w:r>
        <w:rPr>
          <w:spacing w:val="-81"/>
        </w:rPr>
        <w:t> </w:t>
      </w:r>
      <w:r>
        <w:rPr>
          <w:spacing w:val="-81"/>
        </w:rPr>
      </w:r>
      <w:r>
        <w:rPr/>
        <w:t>用途前所发生的其他直接费用。</w:t>
      </w:r>
    </w:p>
    <w:p>
      <w:pPr>
        <w:pStyle w:val="BodyText"/>
        <w:spacing w:line="408" w:lineRule="auto"/>
        <w:ind w:left="577" w:right="5567"/>
        <w:jc w:val="left"/>
      </w:pPr>
      <w:r>
        <w:rPr/>
        <w:t>②后续计量 在取得无形资产时分析判断其使用寿命。</w:t>
      </w:r>
    </w:p>
    <w:p>
      <w:pPr>
        <w:pStyle w:val="BodyText"/>
        <w:spacing w:line="408" w:lineRule="auto"/>
        <w:ind w:right="151" w:firstLine="423"/>
        <w:jc w:val="both"/>
      </w:pPr>
      <w:r>
        <w:rPr>
          <w:spacing w:val="-1"/>
        </w:rPr>
        <w:t>对于使用寿命有限的无形资产，在为企业带来经济利益的期限内按直线法摊销；无法预见无形资产为</w:t>
      </w:r>
      <w:r>
        <w:rPr/>
        <w:t> 企业带来经济利益期限的，视为使用寿命不确定的无形资产，不予摊销。</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0"/>
        <w:gridCol w:w="2215"/>
        <w:gridCol w:w="5072"/>
      </w:tblGrid>
      <w:tr>
        <w:trPr>
          <w:trHeight w:val="402" w:hRule="exact"/>
        </w:trPr>
        <w:tc>
          <w:tcPr>
            <w:tcW w:w="2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行业惯例</w:t>
            </w: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土地使用权证</w:t>
            </w: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行业惯例</w:t>
            </w: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行业惯例</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490" w:right="3764"/>
        <w:jc w:val="left"/>
      </w:pPr>
      <w:r>
        <w:rPr/>
        <w:t>每期末，对使用寿命不确定的无形资产的使用寿命进行复核。 经复核，该类无形资产的使用寿命仍为不确定。</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95" w:right="0"/>
        <w:jc w:val="left"/>
      </w:pPr>
      <w:r>
        <w:rPr/>
        <w:t>对于使用寿命确定的无形资产，如有明显减值迹象的，期末进行减值测试。 对于使用寿命不确定的无形资产，每期末进行减值测试。 </w:t>
      </w:r>
      <w:r>
        <w:rPr>
          <w:spacing w:val="-2"/>
        </w:rPr>
        <w:t>对无形资产进行减值测试，估计其可收回金额。有迹象表明一项无形资产可能发生减值的，公司以单</w:t>
      </w:r>
    </w:p>
    <w:p>
      <w:pPr>
        <w:pStyle w:val="BodyText"/>
        <w:spacing w:line="408" w:lineRule="auto"/>
        <w:ind w:right="0"/>
        <w:jc w:val="left"/>
      </w:pPr>
      <w:r>
        <w:rPr>
          <w:spacing w:val="-1"/>
        </w:rPr>
        <w:t>项无形资产为基础估计其可收回金额。公司难以对单项资产的可收回金额进行估计的，以该无形资产所属</w:t>
      </w:r>
      <w:r>
        <w:rPr>
          <w:spacing w:val="-81"/>
        </w:rPr>
        <w:t> </w:t>
      </w:r>
      <w:r>
        <w:rPr>
          <w:spacing w:val="-81"/>
        </w:rPr>
      </w:r>
      <w:r>
        <w:rPr/>
        <w:t>的资产组为基础确定无形资产组的可收回金额。</w:t>
      </w:r>
    </w:p>
    <w:p>
      <w:pPr>
        <w:pStyle w:val="BodyText"/>
        <w:spacing w:line="408" w:lineRule="auto"/>
        <w:ind w:right="0" w:firstLine="441"/>
        <w:jc w:val="left"/>
      </w:pPr>
      <w:r>
        <w:rPr>
          <w:spacing w:val="3"/>
        </w:rPr>
        <w:t>可收回金额根据无形资产的公允价值减去处置费用后的净额与无形资产预计未来现金流量的现值两</w:t>
      </w:r>
      <w:r>
        <w:rPr>
          <w:spacing w:val="4"/>
        </w:rPr>
        <w:t> </w:t>
      </w:r>
      <w:r>
        <w:rPr/>
        <w:t>者之间较高者确定。</w:t>
      </w:r>
    </w:p>
    <w:p>
      <w:pPr>
        <w:pStyle w:val="BodyText"/>
        <w:spacing w:line="408" w:lineRule="auto"/>
        <w:ind w:right="133" w:firstLine="441"/>
        <w:jc w:val="left"/>
      </w:pPr>
      <w:r>
        <w:rPr>
          <w:spacing w:val="-1"/>
        </w:rPr>
        <w:t>当无形资产的可收回金额低于其账面价值的，将无形资产的账面价值减记至可收回金额，减记的金额</w:t>
      </w:r>
      <w:r>
        <w:rPr/>
        <w:t> 确认为无形资产减值损失，计入当期损益，同时计提相应的无形资产减值准备。</w:t>
      </w:r>
    </w:p>
    <w:p>
      <w:pPr>
        <w:pStyle w:val="BodyText"/>
        <w:spacing w:line="408" w:lineRule="auto"/>
        <w:ind w:right="133" w:firstLine="441"/>
        <w:jc w:val="left"/>
      </w:pPr>
      <w:r>
        <w:rPr>
          <w:spacing w:val="-1"/>
        </w:rPr>
        <w:t>无形资产减值损失确认后，减值无形资产的折耗或者摊销费用在未来期间作相应调整，以使该无形资</w:t>
      </w:r>
      <w:r>
        <w:rPr/>
        <w:t> 产在剩余使用寿命内，系统地分摊调整后的无形资产账面价值（扣除预计净残值）。</w:t>
      </w:r>
    </w:p>
    <w:p>
      <w:pPr>
        <w:pStyle w:val="BodyText"/>
        <w:spacing w:line="240" w:lineRule="auto"/>
        <w:ind w:left="595" w:right="0"/>
        <w:jc w:val="left"/>
      </w:pPr>
      <w:r>
        <w:rPr/>
        <w:t>无形资产的减值损失一经确认，在以后会计期间不再转回。</w:t>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95" w:right="0"/>
        <w:jc w:val="left"/>
      </w:pPr>
      <w:r>
        <w:rPr/>
        <w:t>公司内部研究开发项目的支出分为研究阶段支出和开发阶段支出。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w:t>
      </w:r>
    </w:p>
    <w:p>
      <w:pPr>
        <w:pStyle w:val="BodyText"/>
        <w:spacing w:line="240" w:lineRule="auto"/>
        <w:ind w:right="0"/>
        <w:jc w:val="left"/>
      </w:pPr>
      <w:r>
        <w:rPr/>
        <w:t>的或具有实质性改进的材料、装置、产品等活动的阶段。</w:t>
      </w:r>
    </w:p>
    <w:p>
      <w:pPr>
        <w:spacing w:line="670" w:lineRule="atLeast" w:before="37"/>
        <w:ind w:left="595" w:right="2399" w:hanging="44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）内部研究开发项目支出的核算</w:t>
      </w:r>
      <w:r>
        <w:rPr>
          <w:rFonts w:ascii="宋体" w:hAnsi="宋体" w:cs="宋体" w:eastAsia="宋体" w:hint="default"/>
          <w:b/>
          <w:bCs/>
          <w:w w:val="99"/>
          <w:sz w:val="21"/>
          <w:szCs w:val="21"/>
        </w:rPr>
        <w:t> </w:t>
      </w:r>
      <w:r>
        <w:rPr>
          <w:rFonts w:ascii="宋体" w:hAnsi="宋体" w:cs="宋体" w:eastAsia="宋体" w:hint="default"/>
          <w:sz w:val="21"/>
          <w:szCs w:val="21"/>
        </w:rPr>
        <w:t>内部研究开发项目开发阶段的支出，同时满足下列条件时确认为无形资产：</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t>①完成该无形资产以使其能够使用或出售在技术上具有可行性；</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t>②具有完成该无形资产并使用或出售的意图；</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t>③无形资产产生经济利益的方式，包括能够证明运用该无形资产生产的产品存在市场或无形资产自身</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240" w:lineRule="auto" w:before="174"/>
        <w:ind w:right="102"/>
        <w:jc w:val="left"/>
      </w:pPr>
      <w:r>
        <w:rPr/>
        <w:t>存在市场，无形资产将在内部使用的，能够证明其有用性；</w:t>
      </w:r>
    </w:p>
    <w:p>
      <w:pPr>
        <w:spacing w:line="240" w:lineRule="auto" w:before="10"/>
        <w:rPr>
          <w:rFonts w:ascii="宋体" w:hAnsi="宋体" w:cs="宋体" w:eastAsia="宋体" w:hint="default"/>
          <w:sz w:val="14"/>
          <w:szCs w:val="14"/>
        </w:rPr>
      </w:pPr>
    </w:p>
    <w:p>
      <w:pPr>
        <w:pStyle w:val="BodyText"/>
        <w:spacing w:line="408" w:lineRule="auto" w:before="0"/>
        <w:ind w:right="102" w:firstLine="420"/>
        <w:jc w:val="left"/>
      </w:pPr>
      <w:r>
        <w:rPr>
          <w:spacing w:val="-1"/>
        </w:rPr>
        <w:t>④有足够的技术、财务资源和其他资源支持，以完成该无形资产的开发，并有能力使用或出售该无形</w:t>
      </w:r>
      <w:r>
        <w:rPr/>
        <w:t> 资产；</w:t>
      </w:r>
    </w:p>
    <w:p>
      <w:pPr>
        <w:pStyle w:val="BodyText"/>
        <w:spacing w:line="408" w:lineRule="auto"/>
        <w:ind w:left="574" w:right="102"/>
        <w:jc w:val="left"/>
      </w:pPr>
      <w:r>
        <w:rPr/>
        <w:t>⑤归属于该无形资产开发阶段的支出能够可靠地计量。 </w:t>
      </w:r>
      <w:r>
        <w:rPr>
          <w:spacing w:val="-1"/>
        </w:rPr>
        <w:t>开发阶段的支出，若不满足上列条件的，于发生时计入当期损益。研究阶段的支出，在发生时计入当</w:t>
      </w:r>
    </w:p>
    <w:p>
      <w:pPr>
        <w:pStyle w:val="BodyText"/>
        <w:spacing w:line="240" w:lineRule="auto"/>
        <w:ind w:right="102"/>
        <w:jc w:val="left"/>
      </w:pPr>
      <w:r>
        <w:rPr/>
        <w:t>期损益。</w:t>
      </w:r>
    </w:p>
    <w:p>
      <w:pPr>
        <w:spacing w:line="240" w:lineRule="auto" w:before="0"/>
        <w:rPr>
          <w:rFonts w:ascii="宋体" w:hAnsi="宋体" w:cs="宋体" w:eastAsia="宋体" w:hint="default"/>
          <w:sz w:val="20"/>
          <w:szCs w:val="20"/>
        </w:rPr>
      </w:pPr>
    </w:p>
    <w:p>
      <w:pPr>
        <w:pStyle w:val="Heading3"/>
        <w:spacing w:line="240" w:lineRule="auto" w:before="154"/>
        <w:ind w:right="102"/>
        <w:jc w:val="left"/>
        <w:rPr>
          <w:b w:val="0"/>
          <w:bCs w:val="0"/>
        </w:rPr>
      </w:pPr>
      <w:r>
        <w:rPr>
          <w:rFonts w:ascii="Times New Roman" w:hAnsi="Times New Roman" w:cs="Times New Roman" w:eastAsia="Times New Roman" w:hint="default"/>
        </w:rPr>
        <w:t>15</w:t>
      </w:r>
      <w:r>
        <w:rPr/>
        <w:t>、长期待摊费用</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3" w:right="1641"/>
        <w:jc w:val="left"/>
      </w:pPr>
      <w:r>
        <w:rPr/>
        <w:t>长期待摊费用为已经发生但应由本期和以后各期负担的分摊期限在一年以上的各项费用。 1、摊销方法</w:t>
      </w:r>
    </w:p>
    <w:p>
      <w:pPr>
        <w:pStyle w:val="BodyText"/>
        <w:spacing w:line="408" w:lineRule="auto"/>
        <w:ind w:left="153" w:right="6681"/>
        <w:jc w:val="left"/>
      </w:pPr>
      <w:r>
        <w:rPr/>
        <w:t>长期待摊费用在受益期内平均摊销 2、摊销年限</w:t>
      </w:r>
    </w:p>
    <w:p>
      <w:pPr>
        <w:pStyle w:val="BodyText"/>
        <w:spacing w:line="240" w:lineRule="auto"/>
        <w:ind w:left="153" w:right="102"/>
        <w:jc w:val="left"/>
      </w:pPr>
      <w:r>
        <w:rPr/>
        <w:t>装修费按照预计可使用年限和剩余租赁期限孰短原则确认摊销年限。</w:t>
      </w:r>
    </w:p>
    <w:p>
      <w:pPr>
        <w:spacing w:line="240" w:lineRule="auto" w:before="0"/>
        <w:rPr>
          <w:rFonts w:ascii="宋体" w:hAnsi="宋体" w:cs="宋体" w:eastAsia="宋体" w:hint="default"/>
          <w:sz w:val="20"/>
          <w:szCs w:val="20"/>
        </w:rPr>
      </w:pPr>
    </w:p>
    <w:p>
      <w:pPr>
        <w:pStyle w:val="Heading3"/>
        <w:spacing w:line="240" w:lineRule="auto" w:before="154"/>
        <w:ind w:left="153" w:right="102"/>
        <w:jc w:val="left"/>
        <w:rPr>
          <w:b w:val="0"/>
          <w:bCs w:val="0"/>
        </w:rPr>
      </w:pPr>
      <w:r>
        <w:rPr>
          <w:rFonts w:ascii="Times New Roman" w:hAnsi="Times New Roman" w:cs="Times New Roman" w:eastAsia="Times New Roman" w:hint="default"/>
        </w:rPr>
        <w:t>16</w:t>
      </w:r>
      <w:r>
        <w:rPr/>
        <w:t>、收入</w:t>
      </w:r>
      <w:r>
        <w:rPr>
          <w:b w:val="0"/>
          <w:bCs w:val="0"/>
        </w:rPr>
      </w:r>
    </w:p>
    <w:p>
      <w:pPr>
        <w:spacing w:line="690" w:lineRule="exact" w:before="15"/>
        <w:ind w:left="577" w:right="102" w:hanging="42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公司已将商品所有权上的主要风险和报酬转移给购买方；公司既没有保留与所有权相联系的继续管理</w:t>
      </w:r>
    </w:p>
    <w:p>
      <w:pPr>
        <w:pStyle w:val="BodyText"/>
        <w:spacing w:line="410" w:lineRule="auto" w:before="84"/>
        <w:ind w:right="101"/>
        <w:jc w:val="left"/>
      </w:pPr>
      <w:r>
        <w:rPr>
          <w:spacing w:val="-3"/>
        </w:rPr>
        <w:t>权，也没有对已售出的商品实施有效控制；收入的金额能够可靠地计量；相关的经济利益很可能流入企业；</w:t>
      </w:r>
      <w:r>
        <w:rPr>
          <w:spacing w:val="-90"/>
        </w:rPr>
        <w:t> </w:t>
      </w:r>
      <w:r>
        <w:rPr>
          <w:spacing w:val="-90"/>
        </w:rPr>
      </w:r>
      <w:r>
        <w:rPr/>
        <w:t>相关的已发生或将发生的成本能够可靠地计量时，确认商品销售收入实现。</w:t>
      </w:r>
    </w:p>
    <w:p>
      <w:pPr>
        <w:spacing w:line="240" w:lineRule="auto" w:before="3"/>
        <w:rPr>
          <w:rFonts w:ascii="宋体" w:hAnsi="宋体" w:cs="宋体" w:eastAsia="宋体" w:hint="default"/>
          <w:sz w:val="20"/>
          <w:szCs w:val="20"/>
        </w:rPr>
      </w:pPr>
    </w:p>
    <w:p>
      <w:pPr>
        <w:pStyle w:val="Heading3"/>
        <w:spacing w:line="240" w:lineRule="auto"/>
        <w:ind w:right="102"/>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02" w:firstLine="423"/>
        <w:jc w:val="left"/>
      </w:pPr>
      <w:r>
        <w:rPr>
          <w:spacing w:val="-1"/>
        </w:rPr>
        <w:t>与交易相关的经济利益很可能流入企业，收入的金额能够可靠地计量时。分别下列情况确定让渡资产</w:t>
      </w:r>
      <w:r>
        <w:rPr/>
        <w:t> 使用权收入金额：</w:t>
      </w:r>
    </w:p>
    <w:p>
      <w:pPr>
        <w:pStyle w:val="BodyText"/>
        <w:spacing w:line="240" w:lineRule="auto"/>
        <w:ind w:left="577" w:right="102"/>
        <w:jc w:val="left"/>
      </w:pPr>
      <w:r>
        <w:rPr/>
        <w:t>（1）利息收入金额，按照他人使用本企业货币资金的时间和实际利率计算确定。</w:t>
      </w:r>
    </w:p>
    <w:p>
      <w:pPr>
        <w:spacing w:line="240" w:lineRule="auto" w:before="10"/>
        <w:rPr>
          <w:rFonts w:ascii="宋体" w:hAnsi="宋体" w:cs="宋体" w:eastAsia="宋体" w:hint="default"/>
          <w:sz w:val="14"/>
          <w:szCs w:val="14"/>
        </w:rPr>
      </w:pPr>
    </w:p>
    <w:p>
      <w:pPr>
        <w:pStyle w:val="BodyText"/>
        <w:spacing w:line="240" w:lineRule="auto" w:before="0"/>
        <w:ind w:left="577" w:right="102"/>
        <w:jc w:val="left"/>
      </w:pPr>
      <w:r>
        <w:rPr/>
        <w:t>（2）使用费收入金额，按照有关合同或协议约定的收费时间和方法计算确定。</w:t>
      </w:r>
    </w:p>
    <w:p>
      <w:pPr>
        <w:spacing w:line="670" w:lineRule="atLeast" w:before="37"/>
        <w:ind w:left="616" w:right="102" w:hanging="463"/>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）按完工百分比法确认提供劳务的收入和建造合同收入时，确定合同完工进度的依据和方法</w:t>
      </w:r>
      <w:r>
        <w:rPr>
          <w:rFonts w:ascii="宋体" w:hAnsi="宋体" w:cs="宋体" w:eastAsia="宋体" w:hint="default"/>
          <w:b/>
          <w:bCs/>
          <w:w w:val="99"/>
          <w:sz w:val="21"/>
          <w:szCs w:val="21"/>
        </w:rPr>
        <w:t> </w:t>
      </w:r>
      <w:r>
        <w:rPr>
          <w:rFonts w:ascii="宋体" w:hAnsi="宋体" w:cs="宋体" w:eastAsia="宋体" w:hint="default"/>
          <w:spacing w:val="-2"/>
          <w:sz w:val="21"/>
          <w:szCs w:val="21"/>
        </w:rPr>
        <w:t>在资产负债表日提供劳务交易的结果能够可靠估计的，采用完工百分比法确认提供劳务收入。提供劳</w:t>
      </w:r>
    </w:p>
    <w:p>
      <w:pPr>
        <w:spacing w:line="240" w:lineRule="auto" w:before="10"/>
        <w:rPr>
          <w:rFonts w:ascii="宋体" w:hAnsi="宋体" w:cs="宋体" w:eastAsia="宋体" w:hint="default"/>
          <w:sz w:val="14"/>
          <w:szCs w:val="14"/>
        </w:rPr>
      </w:pPr>
    </w:p>
    <w:p>
      <w:pPr>
        <w:pStyle w:val="BodyText"/>
        <w:spacing w:line="240" w:lineRule="auto" w:before="0"/>
        <w:ind w:right="102"/>
        <w:jc w:val="left"/>
      </w:pPr>
      <w:r>
        <w:rPr/>
        <w:t>务交易的完工进度，依据已完工作的测量确定。</w:t>
      </w:r>
    </w:p>
    <w:p>
      <w:pPr>
        <w:spacing w:after="0" w:line="240"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4"/>
        <w:ind w:left="153" w:right="150" w:firstLine="420"/>
        <w:jc w:val="both"/>
      </w:pPr>
      <w:r>
        <w:rPr>
          <w:spacing w:val="-1"/>
        </w:rPr>
        <w:t>按照已收或应收的合同或协议价款确定提供劳务收入总额，但已收或应收的合同或协议价款不公允的</w:t>
      </w:r>
      <w:r>
        <w:rPr/>
        <w:t> </w:t>
      </w:r>
      <w:r>
        <w:rPr>
          <w:spacing w:val="-1"/>
        </w:rPr>
        <w:t>除外。资产负债表日按照提供劳务收入总额乘以完工进度扣除以前会计期间累计已确认提供劳务收入后的</w:t>
      </w:r>
      <w:r>
        <w:rPr>
          <w:spacing w:val="-81"/>
        </w:rPr>
        <w:t> </w:t>
      </w:r>
      <w:r>
        <w:rPr>
          <w:spacing w:val="-81"/>
        </w:rPr>
      </w:r>
      <w:r>
        <w:rPr/>
        <w:t>金额，确认当期提供劳务收入；同时，按照提供劳务估计总成本乘以完工进度扣除以前</w:t>
      </w:r>
      <w:r>
        <w:rPr>
          <w:spacing w:val="54"/>
        </w:rPr>
        <w:t> </w:t>
      </w:r>
      <w:r>
        <w:rPr/>
        <w:t>会计期间累</w:t>
      </w:r>
      <w:r>
        <w:rPr>
          <w:spacing w:val="-103"/>
        </w:rPr>
        <w:t> </w:t>
      </w:r>
      <w:r>
        <w:rPr>
          <w:spacing w:val="-103"/>
        </w:rPr>
      </w:r>
      <w:r>
        <w:rPr/>
        <w:t>计已确认劳务成本后的金额，结转当期劳务成本。</w:t>
      </w:r>
    </w:p>
    <w:p>
      <w:pPr>
        <w:pStyle w:val="BodyText"/>
        <w:spacing w:line="240" w:lineRule="auto"/>
        <w:ind w:left="574" w:right="0"/>
        <w:jc w:val="left"/>
      </w:pPr>
      <w:r>
        <w:rPr/>
        <w:t>在资产负债表日提供劳务交易结果不能够可靠估计的，分别下列情况处理：</w:t>
      </w:r>
    </w:p>
    <w:p>
      <w:pPr>
        <w:spacing w:line="240" w:lineRule="auto" w:before="10"/>
        <w:rPr>
          <w:rFonts w:ascii="宋体" w:hAnsi="宋体" w:cs="宋体" w:eastAsia="宋体" w:hint="default"/>
          <w:sz w:val="14"/>
          <w:szCs w:val="14"/>
        </w:rPr>
      </w:pPr>
    </w:p>
    <w:p>
      <w:pPr>
        <w:pStyle w:val="BodyText"/>
        <w:spacing w:line="408" w:lineRule="auto" w:before="0"/>
        <w:ind w:left="153" w:right="147" w:firstLine="421"/>
        <w:jc w:val="both"/>
      </w:pPr>
      <w:r>
        <w:rPr/>
        <w:t>（1）已经发生的劳务成本预计能够得到补偿的，按照已经发生的劳务成本金额确认提供劳务收入，</w:t>
      </w:r>
      <w:r>
        <w:rPr>
          <w:spacing w:val="2"/>
        </w:rPr>
        <w:t> </w:t>
      </w:r>
      <w:r>
        <w:rPr/>
        <w:t>并按相同金额结转劳务成本。</w:t>
      </w:r>
    </w:p>
    <w:p>
      <w:pPr>
        <w:pStyle w:val="BodyText"/>
        <w:spacing w:line="408" w:lineRule="auto"/>
        <w:ind w:left="153" w:right="147" w:firstLine="421"/>
        <w:jc w:val="both"/>
      </w:pPr>
      <w:r>
        <w:rPr/>
        <w:t>（2）已经发生的劳务成本预计不能够得到补偿的，将已经发生的劳务成本计入当期损益，不确认提</w:t>
      </w:r>
      <w:r>
        <w:rPr>
          <w:spacing w:val="2"/>
        </w:rPr>
        <w:t> </w:t>
      </w:r>
      <w:r>
        <w:rPr/>
        <w:t>供劳务收入。</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r>
        <w:rPr>
          <w:rFonts w:ascii="Times New Roman" w:hAnsi="Times New Roman" w:cs="Times New Roman" w:eastAsia="Times New Roman" w:hint="default"/>
        </w:rPr>
        <w:t>17</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3" w:right="151" w:firstLine="423"/>
        <w:jc w:val="both"/>
      </w:pPr>
      <w:r>
        <w:rPr>
          <w:spacing w:val="-1"/>
        </w:rPr>
        <w:t>政府补助，是本公司从政府无偿取得的货币性资产与非货币性资产。分为与资产相关的政府补助和与</w:t>
      </w:r>
      <w:r>
        <w:rPr/>
        <w:t> 收益相关的政府补助。</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51" w:firstLine="441"/>
        <w:jc w:val="both"/>
      </w:pPr>
      <w:r>
        <w:rPr>
          <w:spacing w:val="-2"/>
        </w:rPr>
        <w:t>与购建固定资产、无形资产等长期资产相关的政府补助，确认为递延收益，按照所建造或购买的资产</w:t>
      </w:r>
      <w:r>
        <w:rPr/>
        <w:t> 使用年限分期计入营业外收入；</w:t>
      </w:r>
    </w:p>
    <w:p>
      <w:pPr>
        <w:pStyle w:val="BodyText"/>
        <w:spacing w:line="408" w:lineRule="auto"/>
        <w:ind w:right="149" w:firstLine="441"/>
        <w:jc w:val="both"/>
      </w:pPr>
      <w:r>
        <w:rPr>
          <w:spacing w:val="-2"/>
        </w:rPr>
        <w:t>与收益相关的政府补助，用于补偿企业以后期间的相关费用或损失的，取得时确认为递延收益，在确</w:t>
      </w:r>
      <w:r>
        <w:rPr/>
        <w:t> </w:t>
      </w:r>
      <w:r>
        <w:rPr>
          <w:spacing w:val="-1"/>
        </w:rPr>
        <w:t>认相关费用的期间计入当期营业外收入；用于补偿企业已发生的相关费用或损失的，取得时直接计入当期</w:t>
      </w:r>
      <w:r>
        <w:rPr>
          <w:spacing w:val="-81"/>
        </w:rPr>
        <w:t> </w:t>
      </w:r>
      <w:r>
        <w:rPr>
          <w:spacing w:val="-81"/>
        </w:rPr>
      </w:r>
      <w:r>
        <w:rPr/>
        <w:t>营业外收入。</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18</w:t>
      </w:r>
      <w:r>
        <w:rPr/>
        <w:t>、递延所得税资产和递延所得税负债</w:t>
      </w:r>
      <w:r>
        <w:rPr>
          <w:b w:val="0"/>
          <w:bCs w:val="0"/>
        </w:rPr>
      </w:r>
    </w:p>
    <w:p>
      <w:pPr>
        <w:spacing w:line="690" w:lineRule="exact" w:before="15"/>
        <w:ind w:left="577" w:right="0" w:hanging="42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对于可抵扣暂时性差异确认递延所得税资产，以未来期间很可能取得的用来抵扣可抵扣暂时性差异的</w:t>
      </w:r>
    </w:p>
    <w:p>
      <w:pPr>
        <w:pStyle w:val="BodyText"/>
        <w:spacing w:line="240" w:lineRule="auto" w:before="86"/>
        <w:ind w:right="0"/>
        <w:jc w:val="left"/>
      </w:pPr>
      <w:r>
        <w:rPr/>
        <w:t>应纳税所得额为限。</w:t>
      </w:r>
    </w:p>
    <w:p>
      <w:pPr>
        <w:spacing w:line="240" w:lineRule="auto" w:before="0"/>
        <w:rPr>
          <w:rFonts w:ascii="宋体" w:hAnsi="宋体" w:cs="宋体" w:eastAsia="宋体" w:hint="default"/>
          <w:sz w:val="20"/>
          <w:szCs w:val="20"/>
        </w:rPr>
      </w:pPr>
    </w:p>
    <w:p>
      <w:pPr>
        <w:spacing w:line="506" w:lineRule="auto" w:before="153"/>
        <w:ind w:left="577" w:right="3467" w:hanging="42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spacing w:val="1"/>
          <w:w w:val="99"/>
          <w:sz w:val="21"/>
          <w:szCs w:val="21"/>
        </w:rPr>
        <w:t> </w:t>
      </w:r>
      <w:r>
        <w:rPr>
          <w:rFonts w:ascii="宋体" w:hAnsi="宋体" w:cs="宋体" w:eastAsia="宋体" w:hint="default"/>
          <w:sz w:val="21"/>
          <w:szCs w:val="21"/>
        </w:rPr>
        <w:t>对于应纳税暂时性差异，除特殊情况外，确认递延所得税负债。</w:t>
      </w:r>
    </w:p>
    <w:p>
      <w:pPr>
        <w:spacing w:after="0" w:line="506" w:lineRule="auto"/>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102"/>
        <w:jc w:val="left"/>
        <w:rPr>
          <w:b w:val="0"/>
          <w:bCs w:val="0"/>
        </w:rPr>
      </w:pPr>
      <w:r>
        <w:rPr>
          <w:rFonts w:ascii="Times New Roman" w:hAnsi="Times New Roman" w:cs="Times New Roman" w:eastAsia="Times New Roman" w:hint="default"/>
        </w:rPr>
        <w:t>19</w:t>
      </w:r>
      <w:r>
        <w:rPr/>
        <w:t>、经营租赁、融资租赁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2"/>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210" w:firstLine="336"/>
        <w:jc w:val="both"/>
      </w:pPr>
      <w:r>
        <w:rPr/>
        <w:t>①公司租入资产所支付的租赁费，在不扣除免租期的整个租赁期内，按直线法进行分摊，计入当期费</w:t>
      </w:r>
      <w:r>
        <w:rPr>
          <w:spacing w:val="1"/>
        </w:rPr>
        <w:t> </w:t>
      </w:r>
      <w:r>
        <w:rPr/>
        <w:t>用。公司支付的与租赁交易相关的初始直接费用，计入当期费用。</w:t>
      </w:r>
    </w:p>
    <w:p>
      <w:pPr>
        <w:pStyle w:val="BodyText"/>
        <w:spacing w:line="408" w:lineRule="auto"/>
        <w:ind w:right="210" w:firstLine="420"/>
        <w:jc w:val="both"/>
      </w:pPr>
      <w:r>
        <w:rPr>
          <w:spacing w:val="-1"/>
        </w:rPr>
        <w:t>资产出租方承担了应由公司承担的与租赁相关的费用时，公司将该部分费用从租金总额中扣除，按扣</w:t>
      </w:r>
      <w:r>
        <w:rPr/>
        <w:t> 除后的租金费用在租赁期内分摊，计入当期费用。</w:t>
      </w:r>
    </w:p>
    <w:p>
      <w:pPr>
        <w:pStyle w:val="BodyText"/>
        <w:spacing w:line="408" w:lineRule="auto"/>
        <w:ind w:right="210" w:firstLine="420"/>
        <w:jc w:val="both"/>
      </w:pPr>
      <w:r>
        <w:rPr>
          <w:spacing w:val="-1"/>
        </w:rPr>
        <w:t>②公司出租资产所收取的租赁费，在不扣除免租期的整个租赁期内，按直线法进行分摊，确认为租赁</w:t>
      </w:r>
      <w:r>
        <w:rPr/>
        <w:t> 收入。公司支付的与租赁交易相关的初</w:t>
      </w:r>
      <w:r>
        <w:rPr>
          <w:spacing w:val="80"/>
        </w:rPr>
        <w:t> </w:t>
      </w:r>
      <w:r>
        <w:rPr/>
        <w:t>始直接费用，计入当期费用；如金额较大的，则予以资本化，在</w:t>
      </w:r>
      <w:r>
        <w:rPr/>
        <w:t> 整个租赁期间内按照与租赁收入确认相同的基础分期计入当期收益。</w:t>
      </w:r>
    </w:p>
    <w:p>
      <w:pPr>
        <w:pStyle w:val="BodyText"/>
        <w:spacing w:line="408" w:lineRule="auto"/>
        <w:ind w:right="210" w:firstLine="420"/>
        <w:jc w:val="both"/>
      </w:pPr>
      <w:r>
        <w:rPr>
          <w:spacing w:val="-1"/>
        </w:rPr>
        <w:t>公司承担了应由承租方承担的与租赁相关的费用时，公司将该部分费用从租金收入总额中扣除，按扣</w:t>
      </w:r>
      <w:r>
        <w:rPr/>
        <w:t> 除后的租金费用在租赁期内分配。</w:t>
      </w:r>
    </w:p>
    <w:p>
      <w:pPr>
        <w:spacing w:line="240" w:lineRule="auto" w:before="8"/>
        <w:rPr>
          <w:rFonts w:ascii="宋体" w:hAnsi="宋体" w:cs="宋体" w:eastAsia="宋体" w:hint="default"/>
          <w:sz w:val="20"/>
          <w:szCs w:val="20"/>
        </w:rPr>
      </w:pPr>
    </w:p>
    <w:p>
      <w:pPr>
        <w:pStyle w:val="Heading3"/>
        <w:spacing w:line="240" w:lineRule="auto"/>
        <w:ind w:right="102"/>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209" w:firstLine="336"/>
        <w:jc w:val="both"/>
      </w:pPr>
      <w:r>
        <w:rPr/>
        <w:t>①融资租入资产：公司在承租开始日，将租赁资产公允价值与最低租赁付款额现值两者中较低者作为</w:t>
      </w:r>
      <w:r>
        <w:rPr>
          <w:spacing w:val="1"/>
        </w:rPr>
        <w:t> </w:t>
      </w:r>
      <w:r>
        <w:rPr>
          <w:spacing w:val="-1"/>
        </w:rPr>
        <w:t>租入资产的入账价值，将最低租赁付款额作为长期应付款的入账价值，其差额作为未确认的融资费用。公</w:t>
      </w:r>
      <w:r>
        <w:rPr>
          <w:spacing w:val="-83"/>
        </w:rPr>
        <w:t> </w:t>
      </w:r>
      <w:r>
        <w:rPr>
          <w:spacing w:val="-83"/>
        </w:rPr>
      </w:r>
      <w:r>
        <w:rPr>
          <w:spacing w:val="-1"/>
        </w:rPr>
        <w:t>司采用实际利率法对未确认的融资费用，在资产租赁期间内摊销，计入财务费用。公司发生的初始直接费</w:t>
      </w:r>
      <w:r>
        <w:rPr>
          <w:spacing w:val="-83"/>
        </w:rPr>
        <w:t> </w:t>
      </w:r>
      <w:r>
        <w:rPr>
          <w:spacing w:val="-83"/>
        </w:rPr>
      </w:r>
      <w:r>
        <w:rPr/>
        <w:t>用，计入租入资产价值。</w:t>
      </w:r>
    </w:p>
    <w:p>
      <w:pPr>
        <w:pStyle w:val="BodyText"/>
        <w:spacing w:line="408" w:lineRule="auto"/>
        <w:ind w:right="101" w:firstLine="420"/>
        <w:jc w:val="left"/>
      </w:pPr>
      <w:r>
        <w:rPr/>
        <w:t>②融资租出资产：公司在租赁开始日，将应收融资租赁款，未担保余值之和与其现值的差额确认为未 </w:t>
      </w:r>
      <w:r>
        <w:rPr>
          <w:spacing w:val="-3"/>
        </w:rPr>
        <w:t>实现融资收益，在将来收到租金的各期间内确认为租赁收入。公司发生的与出租交易相关的初始直接费用，</w:t>
      </w:r>
      <w:r>
        <w:rPr>
          <w:spacing w:val="-92"/>
        </w:rPr>
        <w:t> </w:t>
      </w:r>
      <w:r>
        <w:rPr>
          <w:spacing w:val="-92"/>
        </w:rPr>
      </w:r>
      <w:r>
        <w:rPr/>
        <w:t>计入应收融资租赁款的初始计量中，并减少租赁期内确认的收益金额。</w:t>
      </w:r>
    </w:p>
    <w:p>
      <w:pPr>
        <w:spacing w:line="240" w:lineRule="auto" w:before="8"/>
        <w:rPr>
          <w:rFonts w:ascii="宋体" w:hAnsi="宋体" w:cs="宋体" w:eastAsia="宋体" w:hint="default"/>
          <w:sz w:val="20"/>
          <w:szCs w:val="20"/>
        </w:rPr>
      </w:pPr>
    </w:p>
    <w:p>
      <w:pPr>
        <w:pStyle w:val="Heading3"/>
        <w:spacing w:line="240" w:lineRule="auto"/>
        <w:ind w:right="102"/>
        <w:jc w:val="left"/>
        <w:rPr>
          <w:b w:val="0"/>
          <w:bCs w:val="0"/>
        </w:rPr>
      </w:pPr>
      <w:r>
        <w:rPr>
          <w:rFonts w:ascii="Times New Roman" w:hAnsi="Times New Roman" w:cs="Times New Roman" w:eastAsia="Times New Roman" w:hint="default"/>
        </w:rPr>
        <w:t>20</w:t>
      </w:r>
      <w:r>
        <w:rPr/>
        <w:t>、主要会计政策、会计估计的变更</w:t>
      </w:r>
      <w:r>
        <w:rPr>
          <w:b w:val="0"/>
          <w:bCs w:val="0"/>
        </w:rPr>
      </w:r>
    </w:p>
    <w:p>
      <w:pPr>
        <w:spacing w:line="240" w:lineRule="auto" w:before="8"/>
        <w:rPr>
          <w:rFonts w:ascii="宋体" w:hAnsi="宋体" w:cs="宋体" w:eastAsia="宋体" w:hint="default"/>
          <w:b/>
          <w:bCs/>
          <w:sz w:val="26"/>
          <w:szCs w:val="26"/>
        </w:rPr>
      </w:pPr>
    </w:p>
    <w:p>
      <w:pPr>
        <w:spacing w:before="0"/>
        <w:ind w:left="154" w:right="102"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本报告期主要会计政策、会计估计是否变更</w:t>
      </w:r>
    </w:p>
    <w:p>
      <w:pPr>
        <w:spacing w:before="117"/>
        <w:ind w:left="153"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right="102"/>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9"/>
        <w:rPr>
          <w:rFonts w:ascii="宋体" w:hAnsi="宋体" w:cs="宋体" w:eastAsia="宋体" w:hint="default"/>
          <w:b/>
          <w:bCs/>
          <w:sz w:val="26"/>
          <w:szCs w:val="26"/>
        </w:rPr>
      </w:pPr>
    </w:p>
    <w:p>
      <w:pPr>
        <w:spacing w:before="0"/>
        <w:ind w:left="154" w:right="102"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本报告期主要会计政策是否变更</w:t>
      </w:r>
    </w:p>
    <w:p>
      <w:pPr>
        <w:spacing w:before="116"/>
        <w:ind w:left="153"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本报告期主要会计估计是否变更</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21</w:t>
      </w:r>
      <w:r>
        <w:rPr/>
        <w:t>、前期会计差错更正</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本报告期是否发现前期会计差错</w:t>
      </w:r>
    </w:p>
    <w:p>
      <w:pPr>
        <w:spacing w:line="338" w:lineRule="auto" w:before="117"/>
        <w:ind w:left="154" w:right="70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本报告期，未发现前期会计差错。</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本报告期是否发现采用追溯重述法的前期会计差错</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本报告期是否发现采用未来适用法的前期会计差错</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before="0"/>
        <w:ind w:right="0"/>
        <w:jc w:val="left"/>
        <w:rPr>
          <w:b w:val="0"/>
          <w:bCs w:val="0"/>
        </w:rPr>
      </w:pPr>
      <w:r>
        <w:rPr/>
        <w:t>五、税项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503"/>
        <w:gridCol w:w="3026"/>
        <w:gridCol w:w="3026"/>
      </w:tblGrid>
      <w:tr>
        <w:trPr>
          <w:trHeight w:val="402" w:hRule="exact"/>
        </w:trPr>
        <w:tc>
          <w:tcPr>
            <w:tcW w:w="35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税种</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503" w:type="dxa"/>
            <w:tcBorders>
              <w:top w:val="single" w:sz="4" w:space="0" w:color="000000"/>
              <w:left w:val="single" w:sz="4" w:space="0" w:color="000000"/>
              <w:bottom w:val="nil" w:sz="6" w:space="0" w:color="auto"/>
              <w:right w:val="single" w:sz="4" w:space="0" w:color="000000"/>
            </w:tcBorders>
            <w:shd w:val="clear" w:color="auto" w:fill="D3D3D3"/>
          </w:tcPr>
          <w:p>
            <w:pPr/>
          </w:p>
        </w:tc>
        <w:tc>
          <w:tcPr>
            <w:tcW w:w="3026" w:type="dxa"/>
            <w:vMerge w:val="restart"/>
            <w:tcBorders>
              <w:top w:val="single" w:sz="4" w:space="0" w:color="000000"/>
              <w:left w:val="single" w:sz="9" w:space="0" w:color="D3D3D3"/>
              <w:right w:val="single" w:sz="4" w:space="0" w:color="000000"/>
            </w:tcBorders>
          </w:tcPr>
          <w:p>
            <w:pPr>
              <w:pStyle w:val="TableParagraph"/>
              <w:spacing w:line="319" w:lineRule="auto" w:before="51"/>
              <w:ind w:left="16" w:right="113"/>
              <w:jc w:val="left"/>
              <w:rPr>
                <w:rFonts w:ascii="宋体" w:hAnsi="宋体" w:cs="宋体" w:eastAsia="宋体" w:hint="default"/>
                <w:sz w:val="18"/>
                <w:szCs w:val="18"/>
              </w:rPr>
            </w:pPr>
            <w:r>
              <w:rPr>
                <w:rFonts w:ascii="宋体" w:hAnsi="宋体" w:cs="宋体" w:eastAsia="宋体" w:hint="default"/>
                <w:sz w:val="18"/>
                <w:szCs w:val="18"/>
              </w:rPr>
              <w:t>当期销项税额抵减可以抵扣的进项税 额后的余额</w:t>
            </w:r>
          </w:p>
        </w:tc>
        <w:tc>
          <w:tcPr>
            <w:tcW w:w="302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2" w:hRule="exact"/>
        </w:trPr>
        <w:tc>
          <w:tcPr>
            <w:tcW w:w="350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6" w:type="dxa"/>
            <w:vMerge/>
            <w:tcBorders>
              <w:left w:val="single" w:sz="9" w:space="0" w:color="D3D3D3"/>
              <w:right w:val="single" w:sz="4" w:space="0" w:color="000000"/>
            </w:tcBorders>
          </w:tcPr>
          <w:p>
            <w:pPr/>
          </w:p>
        </w:tc>
        <w:tc>
          <w:tcPr>
            <w:tcW w:w="3026" w:type="dxa"/>
            <w:vMerge/>
            <w:tcBorders>
              <w:left w:val="single" w:sz="4" w:space="0" w:color="000000"/>
              <w:right w:val="single" w:sz="4" w:space="0" w:color="000000"/>
            </w:tcBorders>
          </w:tcPr>
          <w:p>
            <w:pPr/>
          </w:p>
        </w:tc>
      </w:tr>
      <w:tr>
        <w:trPr>
          <w:trHeight w:val="161" w:hRule="exact"/>
        </w:trPr>
        <w:tc>
          <w:tcPr>
            <w:tcW w:w="3503" w:type="dxa"/>
            <w:tcBorders>
              <w:top w:val="nil" w:sz="6" w:space="0" w:color="auto"/>
              <w:left w:val="single" w:sz="4" w:space="0" w:color="000000"/>
              <w:bottom w:val="single" w:sz="4" w:space="0" w:color="000000"/>
              <w:right w:val="single" w:sz="4" w:space="0" w:color="000000"/>
            </w:tcBorders>
            <w:shd w:val="clear" w:color="auto" w:fill="D3D3D3"/>
          </w:tcPr>
          <w:p>
            <w:pPr/>
          </w:p>
        </w:tc>
        <w:tc>
          <w:tcPr>
            <w:tcW w:w="3026" w:type="dxa"/>
            <w:vMerge/>
            <w:tcBorders>
              <w:left w:val="single" w:sz="9" w:space="0" w:color="D3D3D3"/>
              <w:bottom w:val="single" w:sz="4" w:space="0" w:color="000000"/>
              <w:right w:val="single" w:sz="4" w:space="0" w:color="000000"/>
            </w:tcBorders>
          </w:tcPr>
          <w:p>
            <w:pPr/>
          </w:p>
        </w:tc>
        <w:tc>
          <w:tcPr>
            <w:tcW w:w="3026" w:type="dxa"/>
            <w:vMerge/>
            <w:tcBorders>
              <w:left w:val="single" w:sz="4" w:space="0" w:color="000000"/>
              <w:bottom w:val="single" w:sz="4" w:space="0" w:color="000000"/>
              <w:right w:val="single" w:sz="4" w:space="0" w:color="000000"/>
            </w:tcBorders>
          </w:tcPr>
          <w:p>
            <w:pPr/>
          </w:p>
        </w:tc>
      </w:tr>
      <w:tr>
        <w:trPr>
          <w:trHeight w:val="161" w:hRule="exact"/>
        </w:trPr>
        <w:tc>
          <w:tcPr>
            <w:tcW w:w="3503" w:type="dxa"/>
            <w:tcBorders>
              <w:top w:val="single" w:sz="4" w:space="0" w:color="000000"/>
              <w:left w:val="single" w:sz="4" w:space="0" w:color="000000"/>
              <w:bottom w:val="nil" w:sz="6" w:space="0" w:color="auto"/>
              <w:right w:val="single" w:sz="4" w:space="0" w:color="000000"/>
            </w:tcBorders>
            <w:shd w:val="clear" w:color="auto" w:fill="D3D3D3"/>
          </w:tcPr>
          <w:p>
            <w:pPr/>
          </w:p>
        </w:tc>
        <w:tc>
          <w:tcPr>
            <w:tcW w:w="3026" w:type="dxa"/>
            <w:vMerge w:val="restart"/>
            <w:tcBorders>
              <w:top w:val="single" w:sz="4" w:space="0" w:color="000000"/>
              <w:left w:val="single" w:sz="9" w:space="0" w:color="D3D3D3"/>
              <w:right w:val="single" w:sz="4" w:space="0" w:color="000000"/>
            </w:tcBorders>
          </w:tcPr>
          <w:p>
            <w:pPr>
              <w:pStyle w:val="TableParagraph"/>
              <w:spacing w:line="319" w:lineRule="auto" w:before="51"/>
              <w:ind w:left="16" w:right="23"/>
              <w:jc w:val="left"/>
              <w:rPr>
                <w:rFonts w:ascii="宋体" w:hAnsi="宋体" w:cs="宋体" w:eastAsia="宋体" w:hint="default"/>
                <w:sz w:val="18"/>
                <w:szCs w:val="18"/>
              </w:rPr>
            </w:pPr>
            <w:r>
              <w:rPr>
                <w:rFonts w:ascii="宋体" w:hAnsi="宋体" w:cs="宋体" w:eastAsia="宋体" w:hint="default"/>
                <w:spacing w:val="-6"/>
                <w:sz w:val="18"/>
                <w:szCs w:val="18"/>
              </w:rPr>
              <w:t>当期提供应税劳务、转让无形资产或销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售不动产所取得的营业额</w:t>
            </w:r>
          </w:p>
        </w:tc>
        <w:tc>
          <w:tcPr>
            <w:tcW w:w="302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2" w:hRule="exact"/>
        </w:trPr>
        <w:tc>
          <w:tcPr>
            <w:tcW w:w="350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6" w:type="dxa"/>
            <w:vMerge/>
            <w:tcBorders>
              <w:left w:val="single" w:sz="9" w:space="0" w:color="D3D3D3"/>
              <w:right w:val="single" w:sz="4" w:space="0" w:color="000000"/>
            </w:tcBorders>
          </w:tcPr>
          <w:p>
            <w:pPr/>
          </w:p>
        </w:tc>
        <w:tc>
          <w:tcPr>
            <w:tcW w:w="3026" w:type="dxa"/>
            <w:vMerge/>
            <w:tcBorders>
              <w:left w:val="single" w:sz="4" w:space="0" w:color="000000"/>
              <w:right w:val="single" w:sz="4" w:space="0" w:color="000000"/>
            </w:tcBorders>
          </w:tcPr>
          <w:p>
            <w:pPr/>
          </w:p>
        </w:tc>
      </w:tr>
      <w:tr>
        <w:trPr>
          <w:trHeight w:val="161" w:hRule="exact"/>
        </w:trPr>
        <w:tc>
          <w:tcPr>
            <w:tcW w:w="3503" w:type="dxa"/>
            <w:tcBorders>
              <w:top w:val="nil" w:sz="6" w:space="0" w:color="auto"/>
              <w:left w:val="single" w:sz="4" w:space="0" w:color="000000"/>
              <w:bottom w:val="single" w:sz="4" w:space="0" w:color="000000"/>
              <w:right w:val="single" w:sz="4" w:space="0" w:color="000000"/>
            </w:tcBorders>
            <w:shd w:val="clear" w:color="auto" w:fill="D3D3D3"/>
          </w:tcPr>
          <w:p>
            <w:pPr/>
          </w:p>
        </w:tc>
        <w:tc>
          <w:tcPr>
            <w:tcW w:w="3026" w:type="dxa"/>
            <w:vMerge/>
            <w:tcBorders>
              <w:left w:val="single" w:sz="9" w:space="0" w:color="D3D3D3"/>
              <w:bottom w:val="single" w:sz="4" w:space="0" w:color="000000"/>
              <w:right w:val="single" w:sz="4" w:space="0" w:color="000000"/>
            </w:tcBorders>
          </w:tcPr>
          <w:p>
            <w:pPr/>
          </w:p>
        </w:tc>
        <w:tc>
          <w:tcPr>
            <w:tcW w:w="3026" w:type="dxa"/>
            <w:vMerge/>
            <w:tcBorders>
              <w:left w:val="single" w:sz="4" w:space="0" w:color="000000"/>
              <w:bottom w:val="single" w:sz="4" w:space="0" w:color="000000"/>
              <w:right w:val="single" w:sz="4" w:space="0" w:color="000000"/>
            </w:tcBorders>
          </w:tcPr>
          <w:p>
            <w:pPr/>
          </w:p>
        </w:tc>
      </w:tr>
      <w:tr>
        <w:trPr>
          <w:trHeight w:val="402" w:hRule="exact"/>
        </w:trPr>
        <w:tc>
          <w:tcPr>
            <w:tcW w:w="35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应缴流转税额税额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5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应缴流转税额税额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应缴流转税额税额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8"/>
        <w:rPr>
          <w:rFonts w:ascii="宋体" w:hAnsi="宋体" w:cs="宋体" w:eastAsia="宋体" w:hint="default"/>
          <w:b/>
          <w:bCs/>
          <w:sz w:val="24"/>
          <w:szCs w:val="24"/>
        </w:rPr>
      </w:pPr>
    </w:p>
    <w:p>
      <w:pPr>
        <w:pStyle w:val="BodyText"/>
        <w:spacing w:line="321" w:lineRule="auto" w:before="0"/>
        <w:ind w:left="595" w:right="0" w:hanging="83"/>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）企业所得税减免</w:t>
      </w:r>
      <w:r>
        <w:rPr>
          <w:rFonts w:ascii="宋体" w:hAnsi="宋体" w:cs="宋体" w:eastAsia="宋体" w:hint="default"/>
          <w:b/>
          <w:bCs/>
          <w:w w:val="99"/>
        </w:rPr>
        <w:t> </w:t>
      </w:r>
      <w:r>
        <w:rPr/>
        <w:t>根据国家税务总局公告2011年第4号，公司2011年度被重新认定为高新技术企业，2012年度公司仍按</w:t>
      </w:r>
    </w:p>
    <w:p>
      <w:pPr>
        <w:pStyle w:val="BodyText"/>
        <w:spacing w:line="408" w:lineRule="auto" w:before="122"/>
        <w:ind w:left="575" w:right="0" w:hanging="422"/>
        <w:jc w:val="left"/>
      </w:pPr>
      <w:r>
        <w:rPr/>
        <w:t>15%缴纳企业所得税。 根据国家税务总局公告2011年第4号，公司2011年度被重新认定为高新技术企业，2012年度公司仍按</w:t>
      </w:r>
    </w:p>
    <w:p>
      <w:pPr>
        <w:spacing w:after="0" w:line="408"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240" w:lineRule="auto" w:before="174"/>
        <w:ind w:right="260"/>
        <w:jc w:val="left"/>
      </w:pPr>
      <w:r>
        <w:rPr/>
        <w:t>15%缴纳企业所得税。</w:t>
      </w:r>
    </w:p>
    <w:p>
      <w:pPr>
        <w:pStyle w:val="BodyText"/>
        <w:spacing w:line="321" w:lineRule="auto" w:before="115"/>
        <w:ind w:left="595" w:right="260" w:hanging="83"/>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）增值税退税</w:t>
      </w:r>
      <w:r>
        <w:rPr>
          <w:rFonts w:ascii="宋体" w:hAnsi="宋体" w:cs="宋体" w:eastAsia="宋体" w:hint="default"/>
          <w:b/>
          <w:bCs/>
          <w:spacing w:val="1"/>
          <w:w w:val="99"/>
        </w:rPr>
        <w:t> </w:t>
      </w:r>
      <w:r>
        <w:rPr>
          <w:spacing w:val="-1"/>
        </w:rPr>
        <w:t>2011年1月18日，国务院颁发《进一步鼓励软件产业和集成电路产业发展的若干政策》（国发[2011]4</w:t>
      </w:r>
    </w:p>
    <w:p>
      <w:pPr>
        <w:pStyle w:val="BodyText"/>
        <w:spacing w:line="408" w:lineRule="auto" w:before="122"/>
        <w:ind w:left="574" w:right="260" w:hanging="420"/>
        <w:jc w:val="left"/>
      </w:pPr>
      <w:r>
        <w:rPr/>
        <w:t>号），规定明确了“继续实施软件增值税优惠政策”。 2011年10月14日，财政部发布了《关于软件产品增值税政策的通知》（财税[2011]100号）明确了增</w:t>
      </w:r>
    </w:p>
    <w:p>
      <w:pPr>
        <w:pStyle w:val="BodyText"/>
        <w:spacing w:line="408" w:lineRule="auto"/>
        <w:ind w:right="260"/>
        <w:jc w:val="left"/>
      </w:pPr>
      <w:r>
        <w:rPr/>
        <w:t>值税一般纳税人销售其自行开发生产的软件产品，按17%税率征收增值税后，对其增值税实际税负超过3%</w:t>
      </w:r>
      <w:r>
        <w:rPr>
          <w:spacing w:val="-37"/>
        </w:rPr>
        <w:t> </w:t>
      </w:r>
      <w:r>
        <w:rPr>
          <w:spacing w:val="-37"/>
        </w:rPr>
      </w:r>
      <w:r>
        <w:rPr/>
        <w:t>的部分实行即征即退政策。</w:t>
      </w:r>
    </w:p>
    <w:p>
      <w:pPr>
        <w:pStyle w:val="Heading3"/>
        <w:spacing w:line="259" w:lineRule="exact"/>
        <w:ind w:left="512" w:right="260"/>
        <w:jc w:val="left"/>
        <w:rPr>
          <w:b w:val="0"/>
          <w:bCs w:val="0"/>
        </w:rPr>
      </w:pPr>
      <w:r>
        <w:rPr/>
        <w:t>（</w:t>
      </w:r>
      <w:r>
        <w:rPr>
          <w:rFonts w:ascii="Times New Roman" w:hAnsi="Times New Roman" w:cs="Times New Roman" w:eastAsia="Times New Roman" w:hint="default"/>
        </w:rPr>
        <w:t>3</w:t>
      </w:r>
      <w:r>
        <w:rPr/>
        <w:t>）营业税减免</w:t>
      </w:r>
      <w:r>
        <w:rPr>
          <w:b w:val="0"/>
          <w:bCs w:val="0"/>
        </w:rPr>
      </w:r>
    </w:p>
    <w:p>
      <w:pPr>
        <w:pStyle w:val="BodyText"/>
        <w:spacing w:line="408" w:lineRule="auto" w:before="99"/>
        <w:ind w:right="268" w:firstLine="441"/>
        <w:jc w:val="both"/>
      </w:pPr>
      <w:r>
        <w:rPr/>
        <w:t>根据《财政部、国家税务总局关于贯彻落实&lt;中共中央国务院关于加强技术创新，发展高科技，实现</w:t>
      </w:r>
      <w:r>
        <w:rPr>
          <w:spacing w:val="1"/>
        </w:rPr>
        <w:t> </w:t>
      </w:r>
      <w:r>
        <w:rPr>
          <w:spacing w:val="-1"/>
        </w:rPr>
        <w:t>产业化的决定&gt;有关税收问题的通知》（财税字[1999]273号）的规定，本公司从事技术转让、技术开发业</w:t>
      </w:r>
      <w:r>
        <w:rPr>
          <w:spacing w:val="-82"/>
        </w:rPr>
        <w:t> </w:t>
      </w:r>
      <w:r>
        <w:rPr>
          <w:spacing w:val="-82"/>
        </w:rPr>
      </w:r>
      <w:r>
        <w:rPr/>
        <w:t>务和与之相关的技术咨询、技术服务业务取得的收入，免征营业税。</w:t>
      </w:r>
    </w:p>
    <w:p>
      <w:pPr>
        <w:spacing w:line="240" w:lineRule="auto" w:before="11"/>
        <w:rPr>
          <w:rFonts w:ascii="宋体" w:hAnsi="宋体" w:cs="宋体" w:eastAsia="宋体" w:hint="default"/>
          <w:sz w:val="18"/>
          <w:szCs w:val="18"/>
        </w:rPr>
      </w:pPr>
    </w:p>
    <w:p>
      <w:pPr>
        <w:pStyle w:val="Heading2"/>
        <w:spacing w:line="240" w:lineRule="auto" w:before="0"/>
        <w:ind w:right="260"/>
        <w:jc w:val="left"/>
        <w:rPr>
          <w:b w:val="0"/>
          <w:bCs w:val="0"/>
        </w:rPr>
      </w:pPr>
      <w:r>
        <w:rPr/>
        <w:t>六、企业合并及合并财务报表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60"/>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350" w:firstLine="423"/>
        <w:jc w:val="both"/>
      </w:pPr>
      <w:r>
        <w:rPr/>
        <w:t>北京中科金财电子商务有限公司为母公司持有97%股份的控股子公司，注册地在北京，法定代表人是 朱烨东。</w:t>
      </w:r>
    </w:p>
    <w:p>
      <w:pPr>
        <w:pStyle w:val="BodyText"/>
        <w:spacing w:line="408" w:lineRule="auto"/>
        <w:ind w:left="577" w:right="0"/>
        <w:jc w:val="left"/>
      </w:pPr>
      <w:r>
        <w:rPr/>
        <w:t>公司的经营范围： </w:t>
      </w:r>
      <w:r>
        <w:rPr>
          <w:spacing w:val="-8"/>
        </w:rPr>
        <w:t>许可经营项目：互联网信息服务业务（除新闻、出版、教育、医疗保健、药品、医疗器械以外的内容）；</w:t>
      </w:r>
    </w:p>
    <w:p>
      <w:pPr>
        <w:pStyle w:val="BodyText"/>
        <w:spacing w:line="408" w:lineRule="auto"/>
        <w:ind w:left="577" w:right="227" w:hanging="424"/>
        <w:jc w:val="left"/>
      </w:pPr>
      <w:r>
        <w:rPr/>
        <w:t>第二类增值电信业务中的呼叫中心业务和信息服务业务（不含固定网电话信息服务和互联网信息服务）。 一般经营项目：技术开发、技术咨询；计算机系统服务；销售计算机、软件及辅助设备、电子产品；</w:t>
      </w:r>
    </w:p>
    <w:p>
      <w:pPr>
        <w:pStyle w:val="BodyText"/>
        <w:spacing w:line="240" w:lineRule="auto"/>
        <w:ind w:right="260"/>
        <w:jc w:val="left"/>
      </w:pPr>
      <w:r>
        <w:rPr/>
        <w:t>货物进出口；技术进出口；代理进出口；专业承包。（未取得行政许可的项目除外）</w:t>
      </w:r>
    </w:p>
    <w:p>
      <w:pPr>
        <w:spacing w:line="240" w:lineRule="auto" w:before="0"/>
        <w:rPr>
          <w:rFonts w:ascii="宋体" w:hAnsi="宋体" w:cs="宋体" w:eastAsia="宋体" w:hint="default"/>
          <w:sz w:val="20"/>
          <w:szCs w:val="20"/>
        </w:rPr>
      </w:pPr>
    </w:p>
    <w:p>
      <w:pPr>
        <w:pStyle w:val="Heading3"/>
        <w:spacing w:line="240" w:lineRule="auto" w:before="154"/>
        <w:ind w:right="260"/>
        <w:jc w:val="left"/>
        <w:rPr>
          <w:b w:val="0"/>
          <w:bCs w:val="0"/>
        </w:rPr>
      </w:pPr>
      <w:r>
        <w:rPr/>
        <w:t>（</w:t>
      </w:r>
      <w:r>
        <w:rPr>
          <w:rFonts w:ascii="Times New Roman" w:hAnsi="Times New Roman" w:cs="Times New Roman" w:eastAsia="Times New Roman" w:hint="default"/>
        </w:rPr>
        <w:t>1</w:t>
      </w:r>
      <w:r>
        <w:rPr/>
        <w:t>）非同一控制下企业合并取得的子公司</w:t>
      </w:r>
      <w:r>
        <w:rPr>
          <w:b w:val="0"/>
          <w:bCs w:val="0"/>
        </w:rPr>
      </w:r>
    </w:p>
    <w:p>
      <w:pPr>
        <w:spacing w:line="240" w:lineRule="auto" w:before="8"/>
        <w:rPr>
          <w:rFonts w:ascii="宋体" w:hAnsi="宋体" w:cs="宋体" w:eastAsia="宋体" w:hint="default"/>
          <w:b/>
          <w:bCs/>
          <w:sz w:val="26"/>
          <w:szCs w:val="26"/>
        </w:rPr>
      </w:pPr>
    </w:p>
    <w:p>
      <w:pPr>
        <w:spacing w:before="0"/>
        <w:ind w:left="0" w:right="27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2112"/>
        <w:gridCol w:w="991"/>
        <w:gridCol w:w="709"/>
        <w:gridCol w:w="708"/>
        <w:gridCol w:w="851"/>
        <w:gridCol w:w="992"/>
      </w:tblGrid>
      <w:tr>
        <w:trPr>
          <w:trHeight w:val="713" w:hRule="exact"/>
        </w:trPr>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45"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21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10" w:right="38" w:hanging="270"/>
              <w:jc w:val="left"/>
              <w:rPr>
                <w:rFonts w:ascii="宋体" w:hAnsi="宋体" w:cs="宋体" w:eastAsia="宋体" w:hint="default"/>
                <w:sz w:val="18"/>
                <w:szCs w:val="18"/>
              </w:rPr>
            </w:pPr>
            <w:r>
              <w:rPr>
                <w:rFonts w:ascii="宋体" w:hAnsi="宋体" w:cs="宋体" w:eastAsia="宋体" w:hint="default"/>
                <w:sz w:val="18"/>
                <w:szCs w:val="18"/>
              </w:rPr>
              <w:t>期末实际投 资额</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23" w:right="78" w:hanging="45"/>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firstLine="44"/>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40" w:right="59" w:hanging="180"/>
              <w:jc w:val="left"/>
              <w:rPr>
                <w:rFonts w:ascii="宋体" w:hAnsi="宋体" w:cs="宋体" w:eastAsia="宋体" w:hint="default"/>
                <w:sz w:val="18"/>
                <w:szCs w:val="18"/>
              </w:rPr>
            </w:pPr>
            <w:r>
              <w:rPr>
                <w:rFonts w:ascii="宋体" w:hAnsi="宋体" w:cs="宋体" w:eastAsia="宋体" w:hint="default"/>
                <w:sz w:val="18"/>
                <w:szCs w:val="18"/>
              </w:rPr>
              <w:t>是否合并 报表</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00" w:right="41"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r>
      <w:tr>
        <w:trPr>
          <w:trHeight w:val="368"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主要从</w:t>
            </w:r>
          </w:p>
        </w:tc>
        <w:tc>
          <w:tcPr>
            <w:tcW w:w="684" w:type="dxa"/>
            <w:tcBorders>
              <w:top w:val="single" w:sz="4" w:space="0" w:color="000000"/>
              <w:left w:val="single" w:sz="4" w:space="0" w:color="000000"/>
              <w:bottom w:val="nil" w:sz="6" w:space="0" w:color="auto"/>
              <w:right w:val="single" w:sz="4" w:space="0" w:color="000000"/>
            </w:tcBorders>
          </w:tcPr>
          <w:p>
            <w:pPr/>
          </w:p>
        </w:tc>
        <w:tc>
          <w:tcPr>
            <w:tcW w:w="2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1"/>
              <w:ind w:right="74"/>
              <w:jc w:val="center"/>
              <w:rPr>
                <w:rFonts w:ascii="宋体" w:hAnsi="宋体" w:cs="宋体" w:eastAsia="宋体" w:hint="default"/>
                <w:sz w:val="18"/>
                <w:szCs w:val="18"/>
              </w:rPr>
            </w:pPr>
            <w:r>
              <w:rPr>
                <w:rFonts w:ascii="宋体" w:hAnsi="宋体" w:cs="宋体" w:eastAsia="宋体" w:hint="default"/>
                <w:sz w:val="18"/>
                <w:szCs w:val="18"/>
              </w:rPr>
              <w:t>许可经营项目：互联网信</w:t>
            </w:r>
          </w:p>
        </w:tc>
        <w:tc>
          <w:tcPr>
            <w:tcW w:w="99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北京中</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事移动</w:t>
            </w:r>
          </w:p>
        </w:tc>
        <w:tc>
          <w:tcPr>
            <w:tcW w:w="684" w:type="dxa"/>
            <w:tcBorders>
              <w:top w:val="nil" w:sz="6" w:space="0" w:color="auto"/>
              <w:left w:val="single" w:sz="4" w:space="0" w:color="000000"/>
              <w:bottom w:val="nil" w:sz="6" w:space="0" w:color="auto"/>
              <w:right w:val="single" w:sz="4" w:space="0" w:color="000000"/>
            </w:tcBorders>
          </w:tcPr>
          <w:p>
            <w:pPr/>
          </w:p>
        </w:tc>
        <w:tc>
          <w:tcPr>
            <w:tcW w:w="2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74"/>
              <w:jc w:val="center"/>
              <w:rPr>
                <w:rFonts w:ascii="宋体" w:hAnsi="宋体" w:cs="宋体" w:eastAsia="宋体" w:hint="default"/>
                <w:sz w:val="18"/>
                <w:szCs w:val="18"/>
              </w:rPr>
            </w:pPr>
            <w:r>
              <w:rPr>
                <w:rFonts w:ascii="宋体" w:hAnsi="宋体" w:cs="宋体" w:eastAsia="宋体" w:hint="default"/>
                <w:sz w:val="18"/>
                <w:szCs w:val="18"/>
              </w:rPr>
              <w:t>息服务业务（除新闻、出</w:t>
            </w:r>
          </w:p>
        </w:tc>
        <w:tc>
          <w:tcPr>
            <w:tcW w:w="99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科金财 电子商 务有限</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2" w:right="108"/>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支付及 移动电 子商务</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2112"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3"/>
              <w:jc w:val="left"/>
              <w:rPr>
                <w:rFonts w:ascii="宋体" w:hAnsi="宋体" w:cs="宋体" w:eastAsia="宋体" w:hint="default"/>
                <w:sz w:val="18"/>
                <w:szCs w:val="18"/>
              </w:rPr>
            </w:pPr>
            <w:r>
              <w:rPr>
                <w:rFonts w:ascii="宋体" w:hAnsi="宋体" w:cs="宋体" w:eastAsia="宋体" w:hint="default"/>
                <w:sz w:val="18"/>
                <w:szCs w:val="18"/>
              </w:rPr>
              <w:t>版、教育、医疗保健、药 品、医疗器械以外的内 </w:t>
            </w:r>
            <w:r>
              <w:rPr>
                <w:rFonts w:ascii="宋体" w:hAnsi="宋体" w:cs="宋体" w:eastAsia="宋体" w:hint="default"/>
                <w:spacing w:val="-9"/>
                <w:sz w:val="18"/>
                <w:szCs w:val="18"/>
              </w:rPr>
              <w:t>容）；第二类增值电信业务</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97%</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344" w:right="0"/>
              <w:jc w:val="left"/>
              <w:rPr>
                <w:rFonts w:ascii="Times New Roman" w:hAnsi="Times New Roman" w:cs="Times New Roman" w:eastAsia="Times New Roman" w:hint="default"/>
                <w:sz w:val="18"/>
                <w:szCs w:val="18"/>
              </w:rPr>
            </w:pPr>
            <w:r>
              <w:rPr>
                <w:rFonts w:ascii="Times New Roman"/>
                <w:sz w:val="18"/>
              </w:rPr>
              <w:t>97%</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256,046.88</w:t>
            </w: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业务及</w:t>
            </w:r>
          </w:p>
        </w:tc>
        <w:tc>
          <w:tcPr>
            <w:tcW w:w="684" w:type="dxa"/>
            <w:tcBorders>
              <w:top w:val="nil" w:sz="6" w:space="0" w:color="auto"/>
              <w:left w:val="single" w:sz="4" w:space="0" w:color="000000"/>
              <w:bottom w:val="nil" w:sz="6" w:space="0" w:color="auto"/>
              <w:right w:val="single" w:sz="4" w:space="0" w:color="000000"/>
            </w:tcBorders>
          </w:tcPr>
          <w:p>
            <w:pPr/>
          </w:p>
        </w:tc>
        <w:tc>
          <w:tcPr>
            <w:tcW w:w="2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74"/>
              <w:jc w:val="center"/>
              <w:rPr>
                <w:rFonts w:ascii="宋体" w:hAnsi="宋体" w:cs="宋体" w:eastAsia="宋体" w:hint="default"/>
                <w:sz w:val="18"/>
                <w:szCs w:val="18"/>
              </w:rPr>
            </w:pPr>
            <w:r>
              <w:rPr>
                <w:rFonts w:ascii="宋体" w:hAnsi="宋体" w:cs="宋体" w:eastAsia="宋体" w:hint="default"/>
                <w:sz w:val="18"/>
                <w:szCs w:val="18"/>
              </w:rPr>
              <w:t>中的呼叫中心业务和信息</w:t>
            </w:r>
          </w:p>
        </w:tc>
        <w:tc>
          <w:tcPr>
            <w:tcW w:w="99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r>
      <w:tr>
        <w:trPr>
          <w:trHeight w:val="34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84" w:type="dxa"/>
            <w:tcBorders>
              <w:top w:val="nil" w:sz="6" w:space="0" w:color="auto"/>
              <w:left w:val="single" w:sz="4" w:space="0" w:color="000000"/>
              <w:bottom w:val="single" w:sz="4" w:space="0" w:color="000000"/>
              <w:right w:val="single" w:sz="4" w:space="0" w:color="000000"/>
            </w:tcBorders>
          </w:tcPr>
          <w:p>
            <w:pPr/>
          </w:p>
        </w:tc>
        <w:tc>
          <w:tcPr>
            <w:tcW w:w="2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right="74"/>
              <w:jc w:val="center"/>
              <w:rPr>
                <w:rFonts w:ascii="宋体" w:hAnsi="宋体" w:cs="宋体" w:eastAsia="宋体" w:hint="default"/>
                <w:sz w:val="18"/>
                <w:szCs w:val="18"/>
              </w:rPr>
            </w:pPr>
            <w:r>
              <w:rPr>
                <w:rFonts w:ascii="宋体" w:hAnsi="宋体" w:cs="宋体" w:eastAsia="宋体" w:hint="default"/>
                <w:sz w:val="18"/>
                <w:szCs w:val="18"/>
              </w:rPr>
              <w:t>服务业务（不含固定网电</w:t>
            </w:r>
          </w:p>
        </w:tc>
        <w:tc>
          <w:tcPr>
            <w:tcW w:w="99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86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2112"/>
        <w:gridCol w:w="991"/>
        <w:gridCol w:w="709"/>
        <w:gridCol w:w="708"/>
        <w:gridCol w:w="851"/>
        <w:gridCol w:w="992"/>
      </w:tblGrid>
      <w:tr>
        <w:trPr>
          <w:trHeight w:val="318" w:hRule="exact"/>
        </w:trPr>
        <w:tc>
          <w:tcPr>
            <w:tcW w:w="685"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2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话信息服务和互联网信息</w:t>
            </w:r>
          </w:p>
        </w:tc>
        <w:tc>
          <w:tcPr>
            <w:tcW w:w="991" w:type="dxa"/>
            <w:vMerge w:val="restart"/>
            <w:tcBorders>
              <w:top w:val="single" w:sz="4" w:space="0" w:color="000000"/>
              <w:left w:val="single" w:sz="4" w:space="0" w:color="000000"/>
              <w:right w:val="single" w:sz="4" w:space="0" w:color="000000"/>
            </w:tcBorders>
          </w:tcPr>
          <w:p>
            <w:pPr>
              <w:pStyle w:val="TableParagraph"/>
              <w:spacing w:line="3200" w:lineRule="exact"/>
              <w:ind w:right="-51"/>
              <w:jc w:val="left"/>
              <w:rPr>
                <w:rFonts w:ascii="宋体" w:hAnsi="宋体" w:cs="宋体" w:eastAsia="宋体" w:hint="default"/>
                <w:sz w:val="20"/>
                <w:szCs w:val="20"/>
              </w:rPr>
            </w:pPr>
            <w:r>
              <w:rPr>
                <w:rFonts w:ascii="宋体" w:hAnsi="宋体" w:cs="宋体" w:eastAsia="宋体" w:hint="default"/>
                <w:position w:val="-63"/>
                <w:sz w:val="20"/>
                <w:szCs w:val="20"/>
              </w:rPr>
              <w:pict>
                <v:group style="width:49.1pt;height:160.050pt;mso-position-horizontal-relative:char;mso-position-vertical-relative:line" coordorigin="0,0" coordsize="982,3201">
                  <v:group style="position:absolute;left:0;top:0;width:982;height:3201" coordorigin="0,0" coordsize="982,3201">
                    <v:shape style="position:absolute;left:0;top:0;width:982;height:3201" coordorigin="0,0" coordsize="982,3201" path="m0,3200l982,3200,982,0,0,0,0,3200xe" filled="true" fillcolor="#ffffff" stroked="false">
                      <v:path arrowok="t"/>
                      <v:fill type="solid"/>
                    </v:shape>
                  </v:group>
                </v:group>
              </w:pict>
            </w:r>
            <w:r>
              <w:rPr>
                <w:rFonts w:ascii="宋体" w:hAnsi="宋体" w:cs="宋体" w:eastAsia="宋体" w:hint="default"/>
                <w:position w:val="-63"/>
                <w:sz w:val="20"/>
                <w:szCs w:val="20"/>
              </w:rPr>
            </w:r>
          </w:p>
        </w:tc>
        <w:tc>
          <w:tcPr>
            <w:tcW w:w="709"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r>
      <w:tr>
        <w:trPr>
          <w:trHeight w:val="33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2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服务</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99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3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2112"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一般经营项目：</w:t>
            </w:r>
          </w:p>
        </w:tc>
        <w:tc>
          <w:tcPr>
            <w:tcW w:w="99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2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技术咨询；计算机系统服</w:t>
            </w:r>
          </w:p>
        </w:tc>
        <w:tc>
          <w:tcPr>
            <w:tcW w:w="99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2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务；销售计算机、软件及</w:t>
            </w:r>
          </w:p>
        </w:tc>
        <w:tc>
          <w:tcPr>
            <w:tcW w:w="99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2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辅助设备、电子产品；货</w:t>
            </w:r>
          </w:p>
        </w:tc>
        <w:tc>
          <w:tcPr>
            <w:tcW w:w="99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2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物进出口；技术进出口；</w:t>
            </w:r>
          </w:p>
        </w:tc>
        <w:tc>
          <w:tcPr>
            <w:tcW w:w="99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2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代理进出口；专业承包。</w:t>
            </w:r>
          </w:p>
        </w:tc>
        <w:tc>
          <w:tcPr>
            <w:tcW w:w="99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13"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2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（未取得行政许可的项目</w:t>
            </w:r>
          </w:p>
        </w:tc>
        <w:tc>
          <w:tcPr>
            <w:tcW w:w="991"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356" w:hRule="exact"/>
        </w:trPr>
        <w:tc>
          <w:tcPr>
            <w:tcW w:w="685"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2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除外）</w:t>
            </w:r>
          </w:p>
        </w:tc>
        <w:tc>
          <w:tcPr>
            <w:tcW w:w="991"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line="520" w:lineRule="auto" w:before="35"/>
        <w:ind w:left="154" w:right="2120" w:hanging="1"/>
        <w:jc w:val="left"/>
        <w:rPr>
          <w:rFonts w:ascii="宋体" w:hAnsi="宋体" w:cs="宋体" w:eastAsia="宋体" w:hint="default"/>
          <w:sz w:val="21"/>
          <w:szCs w:val="21"/>
        </w:rPr>
      </w:pPr>
      <w:r>
        <w:rPr/>
        <w:pict>
          <v:shape style="position:absolute;margin-left:291.239990pt;margin-top:-173.066025pt;width:91.3pt;height:160.050pt;mso-position-horizontal-relative:page;mso-position-vertical-relative:paragraph;z-index:-67043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技术开发、</w:t>
                  </w:r>
                </w:p>
              </w:txbxContent>
            </v:textbox>
            <w10:wrap type="none"/>
          </v:shape>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、特殊目的主体或通过受托经营或承租等方式形成控制权的经营实体</w:t>
      </w:r>
      <w:r>
        <w:rPr>
          <w:rFonts w:ascii="宋体" w:hAnsi="宋体" w:cs="宋体" w:eastAsia="宋体" w:hint="default"/>
          <w:b/>
          <w:bCs/>
          <w:w w:val="99"/>
          <w:sz w:val="21"/>
          <w:szCs w:val="21"/>
        </w:rPr>
        <w:t> </w:t>
      </w:r>
      <w:r>
        <w:rPr>
          <w:rFonts w:ascii="宋体" w:hAnsi="宋体" w:cs="宋体" w:eastAsia="宋体" w:hint="default"/>
          <w:sz w:val="21"/>
          <w:szCs w:val="21"/>
        </w:rPr>
        <w:t>报告期，公司无特殊目的主体或通过受托经营或承租等方式形成控制权的经营实体。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、合并范围发生变更的说明</w:t>
      </w:r>
      <w:r>
        <w:rPr>
          <w:rFonts w:ascii="宋体" w:hAnsi="宋体" w:cs="宋体" w:eastAsia="宋体" w:hint="default"/>
          <w:sz w:val="21"/>
          <w:szCs w:val="21"/>
        </w:rPr>
      </w:r>
    </w:p>
    <w:p>
      <w:pPr>
        <w:spacing w:before="76"/>
        <w:ind w:left="154" w:right="260" w:firstLine="0"/>
        <w:jc w:val="left"/>
        <w:rPr>
          <w:rFonts w:ascii="宋体" w:hAnsi="宋体" w:cs="宋体" w:eastAsia="宋体" w:hint="default"/>
          <w:sz w:val="18"/>
          <w:szCs w:val="18"/>
        </w:rPr>
      </w:pPr>
      <w:r>
        <w:rPr>
          <w:rFonts w:ascii="宋体" w:hAnsi="宋体" w:cs="宋体" w:eastAsia="宋体" w:hint="default"/>
          <w:sz w:val="18"/>
          <w:szCs w:val="18"/>
        </w:rPr>
        <w:t>合并报表范围发生变更说明</w:t>
      </w:r>
    </w:p>
    <w:p>
      <w:pPr>
        <w:spacing w:before="117"/>
        <w:ind w:left="153" w:right="2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line="520" w:lineRule="auto" w:before="0"/>
        <w:ind w:left="154" w:right="3250"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、报告期内新纳入合并范围的主体和报告期内不再纳入合并范围的主体</w:t>
      </w:r>
      <w:r>
        <w:rPr>
          <w:rFonts w:ascii="宋体" w:hAnsi="宋体" w:cs="宋体" w:eastAsia="宋体" w:hint="default"/>
          <w:b/>
          <w:bCs/>
          <w:w w:val="99"/>
          <w:sz w:val="21"/>
          <w:szCs w:val="21"/>
        </w:rPr>
        <w:t> </w:t>
      </w:r>
      <w:r>
        <w:rPr>
          <w:rFonts w:ascii="宋体" w:hAnsi="宋体" w:cs="宋体" w:eastAsia="宋体" w:hint="default"/>
          <w:sz w:val="21"/>
          <w:szCs w:val="21"/>
        </w:rPr>
        <w:t>报告期，无新纳入合并范围的主体和本期不再纳入合并范围的主体。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、报告期内发生的同一控制下企业合并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t>报告期，未发生同一控制下企业合并。 </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、报告期内发生的非同一控制下企业合并</w:t>
      </w:r>
      <w:r>
        <w:rPr>
          <w:rFonts w:ascii="宋体" w:hAnsi="宋体" w:cs="宋体" w:eastAsia="宋体" w:hint="default"/>
          <w:b/>
          <w:bCs/>
          <w:spacing w:val="1"/>
          <w:w w:val="99"/>
          <w:sz w:val="21"/>
          <w:szCs w:val="21"/>
        </w:rPr>
        <w:t> </w:t>
      </w:r>
      <w:r>
        <w:rPr>
          <w:rFonts w:ascii="宋体" w:hAnsi="宋体" w:cs="宋体" w:eastAsia="宋体" w:hint="default"/>
          <w:sz w:val="21"/>
          <w:szCs w:val="21"/>
        </w:rPr>
        <w:t>报告期，未发生非同一控制下企业合并。 </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、报告期内出售丧失控制权的股权而减少子公司</w:t>
      </w:r>
      <w:r>
        <w:rPr>
          <w:rFonts w:ascii="宋体" w:hAnsi="宋体" w:cs="宋体" w:eastAsia="宋体" w:hint="default"/>
          <w:b/>
          <w:bCs/>
          <w:w w:val="99"/>
          <w:sz w:val="21"/>
          <w:szCs w:val="21"/>
        </w:rPr>
        <w:t> </w:t>
      </w:r>
      <w:r>
        <w:rPr>
          <w:rFonts w:ascii="宋体" w:hAnsi="宋体" w:cs="宋体" w:eastAsia="宋体" w:hint="default"/>
          <w:sz w:val="21"/>
          <w:szCs w:val="21"/>
        </w:rPr>
        <w:t>报告期，公司无出售丧失控制权的股权而减少子公司。 </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、报告期内发生的反向购买</w:t>
      </w:r>
      <w:r>
        <w:rPr>
          <w:rFonts w:ascii="宋体" w:hAnsi="宋体" w:cs="宋体" w:eastAsia="宋体" w:hint="default"/>
          <w:sz w:val="21"/>
          <w:szCs w:val="21"/>
        </w:rPr>
      </w:r>
    </w:p>
    <w:p>
      <w:pPr>
        <w:spacing w:line="520" w:lineRule="auto" w:before="49"/>
        <w:ind w:left="154" w:right="6530" w:firstLine="0"/>
        <w:jc w:val="left"/>
        <w:rPr>
          <w:rFonts w:ascii="宋体" w:hAnsi="宋体" w:cs="宋体" w:eastAsia="宋体" w:hint="default"/>
          <w:sz w:val="21"/>
          <w:szCs w:val="21"/>
        </w:rPr>
      </w:pPr>
      <w:r>
        <w:rPr>
          <w:rFonts w:ascii="宋体" w:hAnsi="宋体" w:cs="宋体" w:eastAsia="宋体" w:hint="default"/>
          <w:sz w:val="21"/>
          <w:szCs w:val="21"/>
        </w:rPr>
        <w:t>报告期，公司未发生反向收购事宜。 </w:t>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、本报告期发生的吸收合并</w:t>
      </w:r>
      <w:r>
        <w:rPr>
          <w:rFonts w:ascii="宋体" w:hAnsi="宋体" w:cs="宋体" w:eastAsia="宋体" w:hint="default"/>
          <w:b/>
          <w:bCs/>
          <w:w w:val="99"/>
          <w:sz w:val="21"/>
          <w:szCs w:val="21"/>
        </w:rPr>
        <w:t> </w:t>
      </w:r>
      <w:r>
        <w:rPr>
          <w:rFonts w:ascii="宋体" w:hAnsi="宋体" w:cs="宋体" w:eastAsia="宋体" w:hint="default"/>
          <w:sz w:val="21"/>
          <w:szCs w:val="21"/>
        </w:rPr>
        <w:t>报告期，公司未发生吸收合并事宜。</w:t>
      </w:r>
    </w:p>
    <w:p>
      <w:pPr>
        <w:spacing w:after="0" w:line="520" w:lineRule="auto"/>
        <w:jc w:val="left"/>
        <w:rPr>
          <w:rFonts w:ascii="宋体" w:hAnsi="宋体" w:cs="宋体" w:eastAsia="宋体" w:hint="default"/>
          <w:sz w:val="21"/>
          <w:szCs w:val="21"/>
        </w:rPr>
        <w:sectPr>
          <w:pgSz w:w="11910" w:h="16840"/>
          <w:pgMar w:header="747" w:footer="982" w:top="1060" w:bottom="1180" w:left="980" w:right="860"/>
        </w:sectPr>
      </w:pPr>
    </w:p>
    <w:p>
      <w:pPr>
        <w:spacing w:line="240" w:lineRule="auto" w:before="9"/>
        <w:rPr>
          <w:rFonts w:ascii="宋体" w:hAnsi="宋体" w:cs="宋体" w:eastAsia="宋体" w:hint="default"/>
          <w:sz w:val="23"/>
          <w:szCs w:val="23"/>
        </w:rPr>
      </w:pPr>
    </w:p>
    <w:p>
      <w:pPr>
        <w:pStyle w:val="Heading2"/>
        <w:spacing w:line="240" w:lineRule="auto"/>
        <w:ind w:right="0"/>
        <w:jc w:val="left"/>
        <w:rPr>
          <w:b w:val="0"/>
          <w:bCs w:val="0"/>
        </w:rPr>
      </w:pPr>
      <w:r>
        <w:rPr/>
        <w:t>七、合并财务报表主要项目注释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0"/>
        <w:gridCol w:w="1327"/>
        <w:gridCol w:w="935"/>
        <w:gridCol w:w="1474"/>
        <w:gridCol w:w="1312"/>
        <w:gridCol w:w="934"/>
        <w:gridCol w:w="1605"/>
      </w:tblGrid>
      <w:tr>
        <w:trPr>
          <w:trHeight w:val="207" w:hRule="exact"/>
        </w:trPr>
        <w:tc>
          <w:tcPr>
            <w:tcW w:w="1970" w:type="dxa"/>
            <w:tcBorders>
              <w:top w:val="single" w:sz="4" w:space="0" w:color="000000"/>
              <w:left w:val="single" w:sz="4" w:space="0" w:color="000000"/>
              <w:bottom w:val="nil" w:sz="6" w:space="0" w:color="auto"/>
              <w:right w:val="single" w:sz="4" w:space="0" w:color="000000"/>
            </w:tcBorders>
            <w:shd w:val="clear" w:color="auto" w:fill="D3D3D3"/>
          </w:tcPr>
          <w:p>
            <w:pPr/>
          </w:p>
        </w:tc>
        <w:tc>
          <w:tcPr>
            <w:tcW w:w="373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5" w:hRule="exact"/>
        </w:trPr>
        <w:tc>
          <w:tcPr>
            <w:tcW w:w="197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35" w:type="dxa"/>
            <w:gridSpan w:val="3"/>
            <w:vMerge/>
            <w:tcBorders>
              <w:left w:val="single" w:sz="4" w:space="0" w:color="000000"/>
              <w:bottom w:val="single" w:sz="4" w:space="0" w:color="000000"/>
              <w:right w:val="single" w:sz="4" w:space="0" w:color="000000"/>
            </w:tcBorders>
            <w:shd w:val="clear" w:color="auto" w:fill="D3D3D3"/>
          </w:tcPr>
          <w:p>
            <w:pPr/>
          </w:p>
        </w:tc>
        <w:tc>
          <w:tcPr>
            <w:tcW w:w="3851"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970" w:type="dxa"/>
            <w:vMerge/>
            <w:tcBorders>
              <w:left w:val="single" w:sz="4" w:space="0" w:color="000000"/>
              <w:bottom w:val="nil" w:sz="6" w:space="0" w:color="auto"/>
              <w:right w:val="single" w:sz="4" w:space="0" w:color="000000"/>
            </w:tcBorders>
            <w:shd w:val="clear" w:color="auto" w:fill="D3D3D3"/>
          </w:tcPr>
          <w:p>
            <w:pPr/>
          </w:p>
        </w:tc>
        <w:tc>
          <w:tcPr>
            <w:tcW w:w="13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3"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06"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87"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04"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0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5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5" w:hRule="exact"/>
        </w:trPr>
        <w:tc>
          <w:tcPr>
            <w:tcW w:w="1970"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7" w:type="dxa"/>
            <w:vMerge/>
            <w:tcBorders>
              <w:left w:val="single" w:sz="4" w:space="0" w:color="000000"/>
              <w:bottom w:val="single" w:sz="4" w:space="0" w:color="000000"/>
              <w:right w:val="single" w:sz="4" w:space="0" w:color="000000"/>
            </w:tcBorders>
            <w:shd w:val="clear" w:color="auto" w:fill="D3D3D3"/>
          </w:tcPr>
          <w:p>
            <w:pPr/>
          </w:p>
        </w:tc>
        <w:tc>
          <w:tcPr>
            <w:tcW w:w="935" w:type="dxa"/>
            <w:vMerge/>
            <w:tcBorders>
              <w:left w:val="single" w:sz="4" w:space="0" w:color="000000"/>
              <w:bottom w:val="single" w:sz="4" w:space="0" w:color="000000"/>
              <w:right w:val="single" w:sz="4" w:space="0" w:color="000000"/>
            </w:tcBorders>
            <w:shd w:val="clear" w:color="auto" w:fill="D3D3D3"/>
          </w:tcPr>
          <w:p>
            <w:pPr/>
          </w:p>
        </w:tc>
        <w:tc>
          <w:tcPr>
            <w:tcW w:w="1474" w:type="dxa"/>
            <w:vMerge/>
            <w:tcBorders>
              <w:left w:val="single" w:sz="4" w:space="0" w:color="000000"/>
              <w:bottom w:val="single" w:sz="4" w:space="0" w:color="000000"/>
              <w:right w:val="single" w:sz="4" w:space="0" w:color="000000"/>
            </w:tcBorders>
            <w:shd w:val="clear" w:color="auto" w:fill="D3D3D3"/>
          </w:tcPr>
          <w:p>
            <w:pPr/>
          </w:p>
        </w:tc>
        <w:tc>
          <w:tcPr>
            <w:tcW w:w="1312" w:type="dxa"/>
            <w:vMerge/>
            <w:tcBorders>
              <w:left w:val="single" w:sz="4" w:space="0" w:color="000000"/>
              <w:bottom w:val="single" w:sz="4" w:space="0" w:color="000000"/>
              <w:right w:val="single" w:sz="4" w:space="0" w:color="000000"/>
            </w:tcBorders>
            <w:shd w:val="clear" w:color="auto" w:fill="D3D3D3"/>
          </w:tcPr>
          <w:p>
            <w:pPr/>
          </w:p>
        </w:tc>
        <w:tc>
          <w:tcPr>
            <w:tcW w:w="934" w:type="dxa"/>
            <w:vMerge/>
            <w:tcBorders>
              <w:left w:val="single" w:sz="4" w:space="0" w:color="000000"/>
              <w:bottom w:val="single" w:sz="4" w:space="0" w:color="000000"/>
              <w:right w:val="single" w:sz="4" w:space="0" w:color="000000"/>
            </w:tcBorders>
            <w:shd w:val="clear" w:color="auto" w:fill="D3D3D3"/>
          </w:tcPr>
          <w:p>
            <w:pPr/>
          </w:p>
        </w:tc>
        <w:tc>
          <w:tcPr>
            <w:tcW w:w="160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0"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7"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153,936.99</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5"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304,480.90</w:t>
            </w:r>
          </w:p>
        </w:tc>
      </w:tr>
      <w:tr>
        <w:trPr>
          <w:trHeight w:val="402" w:hRule="exact"/>
        </w:trPr>
        <w:tc>
          <w:tcPr>
            <w:tcW w:w="1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0"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7"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153,936.99</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5"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304,480.90</w:t>
            </w:r>
          </w:p>
        </w:tc>
      </w:tr>
      <w:tr>
        <w:trPr>
          <w:trHeight w:val="402" w:hRule="exact"/>
        </w:trPr>
        <w:tc>
          <w:tcPr>
            <w:tcW w:w="1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0"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7"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399,467,364.70</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5"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155,305,120.13</w:t>
            </w:r>
          </w:p>
        </w:tc>
      </w:tr>
      <w:tr>
        <w:trPr>
          <w:trHeight w:val="402" w:hRule="exact"/>
        </w:trPr>
        <w:tc>
          <w:tcPr>
            <w:tcW w:w="1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0"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7"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399,467,364.70</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5"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155,305,120.13</w:t>
            </w:r>
          </w:p>
        </w:tc>
      </w:tr>
      <w:tr>
        <w:trPr>
          <w:trHeight w:val="402" w:hRule="exact"/>
        </w:trPr>
        <w:tc>
          <w:tcPr>
            <w:tcW w:w="1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0"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7"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10,158,502.60</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5"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2,410,250.00</w:t>
            </w:r>
          </w:p>
        </w:tc>
      </w:tr>
      <w:tr>
        <w:trPr>
          <w:trHeight w:val="402" w:hRule="exact"/>
        </w:trPr>
        <w:tc>
          <w:tcPr>
            <w:tcW w:w="1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0"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7"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10,158,502.60</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5"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2,410,250.00</w:t>
            </w:r>
          </w:p>
        </w:tc>
      </w:tr>
      <w:tr>
        <w:trPr>
          <w:trHeight w:val="403" w:hRule="exact"/>
        </w:trPr>
        <w:tc>
          <w:tcPr>
            <w:tcW w:w="1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0"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7"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409,779,804.29</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5"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158,019,851.03</w:t>
            </w:r>
          </w:p>
        </w:tc>
      </w:tr>
    </w:tbl>
    <w:p>
      <w:pPr>
        <w:pStyle w:val="BodyText"/>
        <w:spacing w:line="408" w:lineRule="auto" w:before="63"/>
        <w:ind w:right="1370"/>
        <w:jc w:val="left"/>
      </w:pPr>
      <w:r>
        <w:rPr/>
        <w:t>如有因抵押、质押或冻结等对使用有限制、存放在境外、有潜在回收风险的款项应单独说明 1、截止2012年12月31日，不存在抵押、冻结或存放在境外、或有潜在回收风险的款项。</w:t>
      </w:r>
    </w:p>
    <w:p>
      <w:pPr>
        <w:pStyle w:val="BodyText"/>
        <w:spacing w:line="240" w:lineRule="auto"/>
        <w:ind w:right="0"/>
        <w:jc w:val="left"/>
      </w:pPr>
      <w:r>
        <w:rPr/>
        <w:t>2、截止2012年12月31日，公司银行存款中定期存款金额为96,467,101.79元，其中定期存款利息</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1,467,101.79元，三个月定期存款本金为6,500.00万元，六个月定期存款本金为3,000.00万元。</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3、截止2012年12月31日，公司受限货币资金明细如下：</w:t>
      </w:r>
    </w:p>
    <w:p>
      <w:pPr>
        <w:spacing w:line="240" w:lineRule="auto" w:before="12"/>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2310"/>
        <w:gridCol w:w="2194"/>
        <w:gridCol w:w="4025"/>
      </w:tblGrid>
      <w:tr>
        <w:trPr>
          <w:trHeight w:val="355" w:hRule="exact"/>
        </w:trPr>
        <w:tc>
          <w:tcPr>
            <w:tcW w:w="23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left="683" w:right="0"/>
              <w:jc w:val="left"/>
              <w:rPr>
                <w:rFonts w:ascii="Times New Roman" w:hAnsi="Times New Roman" w:cs="Times New Roman" w:eastAsia="Times New Roman" w:hint="default"/>
                <w:sz w:val="18"/>
                <w:szCs w:val="18"/>
              </w:rPr>
            </w:pPr>
            <w:r>
              <w:rPr>
                <w:rFonts w:ascii="Times New Roman"/>
                <w:b/>
                <w:sz w:val="18"/>
              </w:rPr>
              <w:t>2012.12.31</w:t>
            </w:r>
            <w:r>
              <w:rPr>
                <w:rFonts w:ascii="Times New Roman"/>
                <w:sz w:val="18"/>
              </w:rPr>
            </w:r>
          </w:p>
        </w:tc>
        <w:tc>
          <w:tcPr>
            <w:tcW w:w="402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
              <w:ind w:right="5"/>
              <w:jc w:val="center"/>
              <w:rPr>
                <w:rFonts w:ascii="宋体" w:hAnsi="宋体" w:cs="宋体" w:eastAsia="宋体" w:hint="default"/>
                <w:sz w:val="20"/>
                <w:szCs w:val="20"/>
              </w:rPr>
            </w:pPr>
            <w:r>
              <w:rPr>
                <w:rFonts w:ascii="宋体" w:hAnsi="宋体" w:cs="宋体" w:eastAsia="宋体" w:hint="default"/>
                <w:sz w:val="20"/>
                <w:szCs w:val="20"/>
              </w:rPr>
              <w:t>备注</w:t>
            </w:r>
          </w:p>
        </w:tc>
      </w:tr>
      <w:tr>
        <w:trPr>
          <w:trHeight w:val="352" w:hRule="exact"/>
        </w:trPr>
        <w:tc>
          <w:tcPr>
            <w:tcW w:w="23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2,064,749.30</w:t>
            </w:r>
          </w:p>
        </w:tc>
        <w:tc>
          <w:tcPr>
            <w:tcW w:w="4025" w:type="dxa"/>
            <w:tcBorders>
              <w:top w:val="single" w:sz="12" w:space="0" w:color="000000"/>
              <w:left w:val="single" w:sz="6" w:space="0" w:color="000000"/>
              <w:bottom w:val="single" w:sz="12" w:space="0" w:color="000000"/>
              <w:right w:val="nil" w:sz="6" w:space="0" w:color="auto"/>
            </w:tcBorders>
          </w:tcPr>
          <w:p>
            <w:pPr>
              <w:pStyle w:val="TableParagraph"/>
              <w:spacing w:line="271" w:lineRule="exact"/>
              <w:ind w:left="2" w:right="0"/>
              <w:jc w:val="left"/>
              <w:rPr>
                <w:rFonts w:ascii="宋体" w:hAnsi="宋体" w:cs="宋体" w:eastAsia="宋体" w:hint="default"/>
                <w:sz w:val="20"/>
                <w:szCs w:val="20"/>
              </w:rPr>
            </w:pPr>
            <w:r>
              <w:rPr>
                <w:rFonts w:ascii="宋体" w:hAnsi="宋体" w:cs="宋体" w:eastAsia="宋体" w:hint="default"/>
                <w:sz w:val="20"/>
                <w:szCs w:val="20"/>
              </w:rPr>
              <w:t>自</w:t>
            </w: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日起三个月内可变现</w:t>
            </w:r>
          </w:p>
        </w:tc>
      </w:tr>
      <w:tr>
        <w:trPr>
          <w:trHeight w:val="665" w:hRule="exact"/>
        </w:trPr>
        <w:tc>
          <w:tcPr>
            <w:tcW w:w="23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8,093,753.30</w:t>
            </w:r>
          </w:p>
        </w:tc>
        <w:tc>
          <w:tcPr>
            <w:tcW w:w="4025" w:type="dxa"/>
            <w:tcBorders>
              <w:top w:val="single" w:sz="12" w:space="0" w:color="000000"/>
              <w:left w:val="single" w:sz="6" w:space="0" w:color="000000"/>
              <w:bottom w:val="single" w:sz="12" w:space="0" w:color="000000"/>
              <w:right w:val="nil" w:sz="6" w:space="0" w:color="auto"/>
            </w:tcBorders>
          </w:tcPr>
          <w:p>
            <w:pPr>
              <w:pStyle w:val="TableParagraph"/>
              <w:spacing w:line="285" w:lineRule="auto"/>
              <w:ind w:left="2" w:right="53"/>
              <w:jc w:val="left"/>
              <w:rPr>
                <w:rFonts w:ascii="宋体" w:hAnsi="宋体" w:cs="宋体" w:eastAsia="宋体" w:hint="default"/>
                <w:sz w:val="18"/>
                <w:szCs w:val="18"/>
              </w:rPr>
            </w:pPr>
            <w:r>
              <w:rPr>
                <w:rFonts w:ascii="宋体" w:hAnsi="宋体" w:cs="宋体" w:eastAsia="宋体" w:hint="default"/>
                <w:spacing w:val="-1"/>
                <w:sz w:val="20"/>
                <w:szCs w:val="20"/>
              </w:rPr>
              <w:t>自</w:t>
            </w:r>
            <w:r>
              <w:rPr>
                <w:rFonts w:ascii="Times New Roman" w:hAnsi="Times New Roman" w:cs="Times New Roman" w:eastAsia="Times New Roman" w:hint="default"/>
                <w:spacing w:val="-1"/>
                <w:sz w:val="20"/>
                <w:szCs w:val="20"/>
              </w:rPr>
              <w:t>2012</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12</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31</w:t>
            </w:r>
            <w:r>
              <w:rPr>
                <w:rFonts w:ascii="宋体" w:hAnsi="宋体" w:cs="宋体" w:eastAsia="宋体" w:hint="default"/>
                <w:spacing w:val="-1"/>
                <w:sz w:val="20"/>
                <w:szCs w:val="20"/>
              </w:rPr>
              <w:t>日起三个月内不可变现，</w:t>
            </w:r>
            <w:r>
              <w:rPr>
                <w:rFonts w:ascii="宋体" w:hAnsi="宋体" w:cs="宋体" w:eastAsia="宋体" w:hint="default"/>
                <w:spacing w:val="-1"/>
                <w:sz w:val="18"/>
                <w:szCs w:val="18"/>
              </w:rPr>
              <w:t>受限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期间最晚至</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52" w:hRule="exact"/>
        </w:trPr>
        <w:tc>
          <w:tcPr>
            <w:tcW w:w="23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4"/>
              <w:ind w:right="1"/>
              <w:jc w:val="right"/>
              <w:rPr>
                <w:rFonts w:ascii="Times New Roman" w:hAnsi="Times New Roman" w:cs="Times New Roman" w:eastAsia="Times New Roman" w:hint="default"/>
                <w:sz w:val="18"/>
                <w:szCs w:val="18"/>
              </w:rPr>
            </w:pPr>
            <w:r>
              <w:rPr>
                <w:rFonts w:ascii="Times New Roman"/>
                <w:b/>
                <w:spacing w:val="-1"/>
                <w:sz w:val="18"/>
              </w:rPr>
              <w:t>10,158,502.60</w:t>
            </w:r>
            <w:r>
              <w:rPr>
                <w:rFonts w:ascii="Times New Roman"/>
                <w:spacing w:val="-1"/>
                <w:sz w:val="18"/>
              </w:rPr>
            </w:r>
          </w:p>
        </w:tc>
        <w:tc>
          <w:tcPr>
            <w:tcW w:w="4025" w:type="dxa"/>
            <w:tcBorders>
              <w:top w:val="single" w:sz="12" w:space="0" w:color="000000"/>
              <w:left w:val="single" w:sz="6" w:space="0" w:color="000000"/>
              <w:bottom w:val="single" w:sz="12" w:space="0" w:color="000000"/>
              <w:right w:val="nil" w:sz="6" w:space="0" w:color="auto"/>
            </w:tcBorders>
          </w:tcPr>
          <w:p>
            <w:pPr/>
          </w:p>
        </w:tc>
      </w:tr>
    </w:tbl>
    <w:p>
      <w:pPr>
        <w:pStyle w:val="BodyText"/>
        <w:spacing w:line="240" w:lineRule="auto" w:before="63"/>
        <w:ind w:right="0"/>
        <w:jc w:val="left"/>
      </w:pPr>
      <w:r>
        <w:rPr/>
        <w:t>4、截止2012年12月31日，货币资金较年初增长159.32%，主要系募集资金到位、短期借款增加等所致。</w:t>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88"/>
        <w:gridCol w:w="2658"/>
        <w:gridCol w:w="2922"/>
      </w:tblGrid>
      <w:tr>
        <w:trPr>
          <w:trHeight w:val="401"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6,400,000.00</w:t>
            </w:r>
          </w:p>
        </w:tc>
      </w:tr>
      <w:tr>
        <w:trPr>
          <w:trHeight w:val="403"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0"/>
        <w:gridCol w:w="929"/>
        <w:gridCol w:w="929"/>
        <w:gridCol w:w="929"/>
        <w:gridCol w:w="930"/>
        <w:gridCol w:w="797"/>
        <w:gridCol w:w="930"/>
        <w:gridCol w:w="1062"/>
        <w:gridCol w:w="1064"/>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single" w:sz="4" w:space="0" w:color="000000"/>
              <w:right w:val="single" w:sz="4" w:space="0" w:color="000000"/>
            </w:tcBorders>
            <w:shd w:val="clear" w:color="auto" w:fill="D3D3D3"/>
          </w:tcPr>
          <w:p>
            <w:pP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46,324,789.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2,781,613.2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60,603,81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4.90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3,067,445.04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5.06%</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46,324,789.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2,781,613.2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60,603,81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4.90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3,067,445.04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5.06%</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46,324,789.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24</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2,781,613.2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60,603,81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4.90</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3,067,445.04</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20"/>
          <w:pgSz w:w="11910" w:h="16840"/>
          <w:pgMar w:footer="982" w:header="747" w:top="1060" w:bottom="1180" w:left="980" w:right="980"/>
        </w:sectPr>
      </w:pPr>
    </w:p>
    <w:p>
      <w:pPr>
        <w:spacing w:line="357" w:lineRule="auto" w:before="51"/>
        <w:ind w:left="153" w:right="-19"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line="338" w:lineRule="auto" w:before="29"/>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5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115" w:space="471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60"/>
        <w:gridCol w:w="1600"/>
        <w:gridCol w:w="929"/>
        <w:gridCol w:w="1727"/>
        <w:gridCol w:w="1462"/>
        <w:gridCol w:w="929"/>
        <w:gridCol w:w="1462"/>
      </w:tblGrid>
      <w:tr>
        <w:trPr>
          <w:trHeight w:val="402" w:hRule="exact"/>
        </w:trPr>
        <w:tc>
          <w:tcPr>
            <w:tcW w:w="14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460" w:type="dxa"/>
            <w:vMerge/>
            <w:tcBorders>
              <w:left w:val="single" w:sz="4" w:space="0" w:color="000000"/>
              <w:right w:val="single" w:sz="4" w:space="0" w:color="000000"/>
            </w:tcBorders>
            <w:shd w:val="clear" w:color="auto" w:fill="D3D3D3"/>
          </w:tcPr>
          <w:p>
            <w:pP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460" w:type="dxa"/>
            <w:vMerge/>
            <w:tcBorders>
              <w:left w:val="single" w:sz="4" w:space="0" w:color="000000"/>
              <w:bottom w:val="single" w:sz="4" w:space="0" w:color="000000"/>
              <w:right w:val="single" w:sz="4" w:space="0" w:color="000000"/>
            </w:tcBorders>
            <w:shd w:val="clear" w:color="auto" w:fill="D3D3D3"/>
          </w:tcPr>
          <w:p>
            <w:pPr/>
          </w:p>
        </w:tc>
        <w:tc>
          <w:tcPr>
            <w:tcW w:w="1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7"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37,951,986.33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81.93%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1,897,599.32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60,000,728.99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99.03%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3,000,036.45</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37,951,986.33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81.93%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1,897,599.32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60,000,728.99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99.03%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3,000,036.45</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7,905,467.00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790,546.70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585,335.91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58,533.59</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467,335.91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93,467.18</w:t>
            </w:r>
          </w:p>
        </w:tc>
        <w:tc>
          <w:tcPr>
            <w:tcW w:w="146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00" w:type="dxa"/>
            <w:tcBorders>
              <w:top w:val="single" w:sz="4" w:space="0" w:color="000000"/>
              <w:left w:val="single" w:sz="10" w:space="0" w:color="D3D3D3"/>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17,750.00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8,875.00</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0" w:space="0" w:color="D3D3D3"/>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17,750.00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8,875.00</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46,324,789.24</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2,781,613.20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60,603,814.90</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3,067,445.04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54" w:right="59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期末单项金额虽不重大但单项计提坏账准备的应收账款</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）应收账款中金额前五名单位情况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中国人寿保险股份有限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18,624,092.80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40.2%</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陕西通信信息技术有限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14.57%</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北京网信未来信息技术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唐山中厚板材有限公司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东华软件股份公司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2,985,280.00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36,200,372.80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2"/>
        <w:gridCol w:w="1058"/>
        <w:gridCol w:w="792"/>
        <w:gridCol w:w="1057"/>
        <w:gridCol w:w="794"/>
        <w:gridCol w:w="1058"/>
        <w:gridCol w:w="925"/>
        <w:gridCol w:w="1190"/>
        <w:gridCol w:w="791"/>
      </w:tblGrid>
      <w:tr>
        <w:trPr>
          <w:trHeight w:val="402" w:hRule="exact"/>
        </w:trPr>
        <w:tc>
          <w:tcPr>
            <w:tcW w:w="19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02" w:type="dxa"/>
            <w:vMerge/>
            <w:tcBorders>
              <w:left w:val="single" w:sz="4" w:space="0" w:color="000000"/>
              <w:right w:val="single" w:sz="4" w:space="0" w:color="000000"/>
            </w:tcBorders>
            <w:shd w:val="clear" w:color="auto" w:fill="D3D3D3"/>
          </w:tcPr>
          <w:p>
            <w:pP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902" w:type="dxa"/>
            <w:vMerge/>
            <w:tcBorders>
              <w:left w:val="single" w:sz="4" w:space="0" w:color="000000"/>
              <w:bottom w:val="single" w:sz="4" w:space="0" w:color="000000"/>
              <w:right w:val="single" w:sz="4" w:space="0" w:color="000000"/>
            </w:tcBorders>
            <w:shd w:val="clear" w:color="auto" w:fill="D3D3D3"/>
          </w:tcPr>
          <w:p>
            <w:pP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3"/>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32,072,887.4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2,254,711.83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12,996,724.7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73.19%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1,034,373.93</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7.96%</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05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4,760,000.00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26.81%</w:t>
            </w:r>
          </w:p>
        </w:tc>
        <w:tc>
          <w:tcPr>
            <w:tcW w:w="1190"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32,072,887.4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2,254,711.83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17,756,724.7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1,034,373.93</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5.83%</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32,072,887.4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2,254,711.83</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17,756,724.7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1,034,373.93</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360" w:lineRule="auto" w:before="51"/>
        <w:ind w:left="153" w:right="5631"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line="338" w:lineRule="auto" w:before="26"/>
        <w:ind w:left="154" w:right="5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组合中，采用账龄分析法计提坏账准备的其他应收款</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footerReference w:type="default" r:id="rId21"/>
          <w:pgSz w:w="11910" w:h="16840"/>
          <w:pgMar w:footer="982" w:header="747" w:top="1060" w:bottom="1180" w:left="980" w:right="980"/>
          <w:pgNumType w:start="101"/>
        </w:sectPr>
      </w:pPr>
    </w:p>
    <w:p>
      <w:pPr>
        <w:spacing w:line="240" w:lineRule="auto" w:before="13"/>
        <w:rPr>
          <w:rFonts w:ascii="宋体" w:hAnsi="宋体" w:cs="宋体" w:eastAsia="宋体" w:hint="default"/>
          <w:sz w:val="25"/>
          <w:szCs w:val="25"/>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1"/>
        <w:gridCol w:w="1846"/>
        <w:gridCol w:w="659"/>
        <w:gridCol w:w="1447"/>
        <w:gridCol w:w="1450"/>
        <w:gridCol w:w="656"/>
        <w:gridCol w:w="1668"/>
      </w:tblGrid>
      <w:tr>
        <w:trPr>
          <w:trHeight w:val="402" w:hRule="exact"/>
        </w:trPr>
        <w:tc>
          <w:tcPr>
            <w:tcW w:w="18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5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1" w:type="dxa"/>
            <w:vMerge/>
            <w:tcBorders>
              <w:left w:val="single" w:sz="4" w:space="0" w:color="000000"/>
              <w:right w:val="single" w:sz="4" w:space="0" w:color="000000"/>
            </w:tcBorders>
            <w:shd w:val="clear" w:color="auto" w:fill="D3D3D3"/>
          </w:tcPr>
          <w:p>
            <w:pPr/>
          </w:p>
        </w:tc>
        <w:tc>
          <w:tcPr>
            <w:tcW w:w="250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841" w:type="dxa"/>
            <w:vMerge/>
            <w:tcBorders>
              <w:left w:val="single" w:sz="4" w:space="0" w:color="000000"/>
              <w:bottom w:val="single" w:sz="4" w:space="0" w:color="000000"/>
              <w:right w:val="single" w:sz="4" w:space="0" w:color="000000"/>
            </w:tcBorders>
            <w:shd w:val="clear" w:color="auto" w:fill="D3D3D3"/>
          </w:tcPr>
          <w:p>
            <w:pPr/>
          </w:p>
        </w:tc>
        <w:tc>
          <w:tcPr>
            <w:tcW w:w="18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447" w:type="dxa"/>
            <w:vMerge/>
            <w:tcBorders>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8"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25,673,631.61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80.05%</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1,283,681.58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8,545,297.13</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48.12%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426,949.86</w:t>
            </w: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25,673,631.61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80.05%</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1,283,681.58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8,545,297.13</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48.12%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426,949.86</w:t>
            </w: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3,456,258.18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10.78%</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345,625.82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2,828,614.66</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15.93%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282,861.47</w:t>
            </w: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2,820,314.66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564,062.93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1,622,813.00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324,562.60</w:t>
            </w: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122,683.00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0.38%</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61,341.50</w:t>
            </w:r>
          </w:p>
        </w:tc>
        <w:tc>
          <w:tcPr>
            <w:tcW w:w="145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122,683.00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0.38%</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61,341.50</w:t>
            </w:r>
          </w:p>
        </w:tc>
        <w:tc>
          <w:tcPr>
            <w:tcW w:w="1450"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32,072,887.45</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4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2,254,711.83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12,996,724.79</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1,034,373.93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6"/>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line="338" w:lineRule="auto" w:before="40"/>
        <w:ind w:left="154" w:right="52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期末单项金额虽不重大但单项计提坏账准备的其他应收款</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）其他应收款金额前五名单位情况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25"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中科软科技股份有限公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18,103,772.95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56.45%</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北京北航科技园有限公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物业公司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1,640,307.00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5.11%</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北京唯实酒店管理有限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物业公司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1,332,684.00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甘肃省卫生厅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861,840.00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北京工商经济信息中心</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651,225.00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22,589,828.95</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79"/>
        <w:gridCol w:w="3199"/>
        <w:gridCol w:w="1062"/>
        <w:gridCol w:w="3054"/>
        <w:gridCol w:w="1062"/>
      </w:tblGrid>
      <w:tr>
        <w:trPr>
          <w:trHeight w:val="207" w:hRule="exact"/>
        </w:trPr>
        <w:tc>
          <w:tcPr>
            <w:tcW w:w="1179" w:type="dxa"/>
            <w:tcBorders>
              <w:top w:val="single" w:sz="4" w:space="0" w:color="000000"/>
              <w:left w:val="single" w:sz="4" w:space="0" w:color="000000"/>
              <w:bottom w:val="nil" w:sz="6" w:space="0" w:color="auto"/>
              <w:right w:val="single" w:sz="4" w:space="0" w:color="000000"/>
            </w:tcBorders>
            <w:shd w:val="clear" w:color="auto" w:fill="D3D3D3"/>
          </w:tcPr>
          <w:p>
            <w:pPr/>
          </w:p>
        </w:tc>
        <w:tc>
          <w:tcPr>
            <w:tcW w:w="426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5" w:hRule="exact"/>
        </w:trPr>
        <w:tc>
          <w:tcPr>
            <w:tcW w:w="117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261" w:type="dxa"/>
            <w:gridSpan w:val="2"/>
            <w:vMerge/>
            <w:tcBorders>
              <w:left w:val="single" w:sz="4" w:space="0" w:color="000000"/>
              <w:bottom w:val="single" w:sz="4" w:space="0" w:color="000000"/>
              <w:right w:val="single" w:sz="4" w:space="0" w:color="000000"/>
            </w:tcBorders>
            <w:shd w:val="clear" w:color="auto" w:fill="D3D3D3"/>
          </w:tcPr>
          <w:p>
            <w:pPr/>
          </w:p>
        </w:tc>
        <w:tc>
          <w:tcPr>
            <w:tcW w:w="4116"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179" w:type="dxa"/>
            <w:vMerge/>
            <w:tcBorders>
              <w:left w:val="single" w:sz="4" w:space="0" w:color="000000"/>
              <w:bottom w:val="nil" w:sz="6" w:space="0" w:color="auto"/>
              <w:right w:val="single" w:sz="4" w:space="0" w:color="000000"/>
            </w:tcBorders>
            <w:shd w:val="clear" w:color="auto" w:fill="D3D3D3"/>
          </w:tcPr>
          <w:p>
            <w:pPr/>
          </w:p>
        </w:tc>
        <w:tc>
          <w:tcPr>
            <w:tcW w:w="31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5" w:hRule="exact"/>
        </w:trPr>
        <w:tc>
          <w:tcPr>
            <w:tcW w:w="1179"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9"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3054"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32,550,541.52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98.87%</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6,294,834.82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5" w:right="0"/>
              <w:jc w:val="left"/>
              <w:rPr>
                <w:rFonts w:ascii="Times New Roman" w:hAnsi="Times New Roman" w:cs="Times New Roman" w:eastAsia="Times New Roman" w:hint="default"/>
                <w:sz w:val="18"/>
                <w:szCs w:val="18"/>
              </w:rPr>
            </w:pPr>
            <w:r>
              <w:rPr>
                <w:rFonts w:ascii="Times New Roman"/>
                <w:sz w:val="18"/>
              </w:rPr>
              <w:t>89.54%</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332,574.92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1.01%</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735,004.00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5" w:right="0"/>
              <w:jc w:val="left"/>
              <w:rPr>
                <w:rFonts w:ascii="Times New Roman" w:hAnsi="Times New Roman" w:cs="Times New Roman" w:eastAsia="Times New Roman" w:hint="default"/>
                <w:sz w:val="18"/>
                <w:szCs w:val="18"/>
              </w:rPr>
            </w:pPr>
            <w:r>
              <w:rPr>
                <w:rFonts w:ascii="Times New Roman"/>
                <w:sz w:val="18"/>
              </w:rPr>
              <w:t>10.46%</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0.12%</w:t>
            </w:r>
          </w:p>
        </w:tc>
        <w:tc>
          <w:tcPr>
            <w:tcW w:w="305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32,923,116.44</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305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7,029,838.82</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466"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北京中科金财信息技术 有限公司（筹）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拟设子公司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新设子公司，尚未完成 登记</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赞华（中国）电子系统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5,245,063.00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预付货款，未到货</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深圳市怡亚通供应链股 份有限公司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3,958,500.00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预付货款，未到货</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北京兴润佳源科技有限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3,127,137.80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预付货款，未到货</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上海惠普有限公司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2,022,312.28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预付货款，未到货</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21,353,013.08</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408" w:lineRule="auto" w:before="63"/>
        <w:ind w:left="574" w:right="0" w:hanging="420"/>
        <w:jc w:val="left"/>
      </w:pPr>
      <w:r>
        <w:rPr/>
        <w:t>预付款项主要单位的说明 </w:t>
      </w:r>
      <w:r>
        <w:rPr>
          <w:spacing w:val="-1"/>
        </w:rPr>
        <w:t>截止2012年12月31日，公司出资设立的北京中科金财信息技术有限公司（筹）尚未完成工商登记。北</w:t>
      </w:r>
    </w:p>
    <w:p>
      <w:pPr>
        <w:pStyle w:val="BodyText"/>
        <w:spacing w:line="240" w:lineRule="auto"/>
        <w:ind w:right="0"/>
        <w:jc w:val="left"/>
      </w:pPr>
      <w:r>
        <w:rPr/>
        <w:t>京中科金财信息技术有限公司完成工商登记的日期为2013年2月1日。</w:t>
      </w:r>
    </w:p>
    <w:p>
      <w:pPr>
        <w:pStyle w:val="BodyText"/>
        <w:spacing w:line="610" w:lineRule="atLeast" w:before="97"/>
        <w:ind w:left="574" w:right="150" w:hanging="421"/>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）预付款项的说明</w:t>
      </w:r>
      <w:r>
        <w:rPr>
          <w:rFonts w:ascii="宋体" w:hAnsi="宋体" w:cs="宋体" w:eastAsia="宋体" w:hint="default"/>
          <w:b/>
          <w:bCs/>
          <w:spacing w:val="1"/>
          <w:w w:val="99"/>
        </w:rPr>
        <w:t> </w:t>
      </w:r>
      <w:r>
        <w:rPr>
          <w:spacing w:val="-2"/>
        </w:rPr>
        <w:t>预付款项较年初增加</w:t>
      </w:r>
      <w:r>
        <w:rPr>
          <w:rFonts w:ascii="Times New Roman" w:hAnsi="Times New Roman" w:cs="Times New Roman" w:eastAsia="Times New Roman" w:hint="default"/>
          <w:spacing w:val="-2"/>
        </w:rPr>
        <w:t>25,893,277.62</w:t>
      </w:r>
      <w:r>
        <w:rPr>
          <w:spacing w:val="-2"/>
        </w:rPr>
        <w:t>元，增加比例为</w:t>
      </w:r>
      <w:r>
        <w:rPr>
          <w:rFonts w:ascii="Times New Roman" w:hAnsi="Times New Roman" w:cs="Times New Roman" w:eastAsia="Times New Roman" w:hint="default"/>
          <w:spacing w:val="-2"/>
        </w:rPr>
        <w:t>368.33%</w:t>
      </w:r>
      <w:r>
        <w:rPr>
          <w:spacing w:val="-2"/>
        </w:rPr>
        <w:t>，主要系销售规模增大，预付的项目采购款</w:t>
      </w:r>
    </w:p>
    <w:p>
      <w:pPr>
        <w:pStyle w:val="BodyText"/>
        <w:spacing w:line="240" w:lineRule="auto" w:before="21"/>
        <w:ind w:right="0"/>
        <w:jc w:val="left"/>
      </w:pPr>
      <w:r>
        <w:rPr/>
        <w:t>增加。</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506" w:lineRule="auto" w:before="35"/>
        <w:ind w:right="8927"/>
        <w:jc w:val="left"/>
        <w:rPr>
          <w:b w:val="0"/>
          <w:bCs w:val="0"/>
        </w:rPr>
      </w:pPr>
      <w:r>
        <w:rPr>
          <w:rFonts w:ascii="Times New Roman" w:hAnsi="Times New Roman" w:cs="Times New Roman" w:eastAsia="Times New Roman" w:hint="default"/>
        </w:rPr>
        <w:t>6</w:t>
      </w:r>
      <w:r>
        <w:rPr/>
        <w:t>、存货</w:t>
      </w:r>
      <w:r>
        <w:rPr>
          <w:spacing w:val="1"/>
          <w:w w:val="99"/>
        </w:rPr>
        <w:t> </w:t>
      </w:r>
      <w:r>
        <w:rPr/>
        <w:t>存货分类</w:t>
      </w:r>
      <w:r>
        <w:rPr>
          <w:b w:val="0"/>
          <w:bCs w:val="0"/>
        </w:rPr>
      </w:r>
    </w:p>
    <w:p>
      <w:pPr>
        <w:spacing w:before="13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6"/>
        <w:gridCol w:w="1461"/>
        <w:gridCol w:w="1194"/>
        <w:gridCol w:w="1330"/>
        <w:gridCol w:w="1327"/>
        <w:gridCol w:w="1330"/>
        <w:gridCol w:w="1328"/>
      </w:tblGrid>
      <w:tr>
        <w:trPr>
          <w:trHeight w:val="207" w:hRule="exact"/>
        </w:trPr>
        <w:tc>
          <w:tcPr>
            <w:tcW w:w="1586" w:type="dxa"/>
            <w:tcBorders>
              <w:top w:val="single" w:sz="4" w:space="0" w:color="000000"/>
              <w:left w:val="single" w:sz="4" w:space="0" w:color="000000"/>
              <w:bottom w:val="nil" w:sz="6" w:space="0" w:color="auto"/>
              <w:right w:val="single" w:sz="4" w:space="0" w:color="000000"/>
            </w:tcBorders>
            <w:shd w:val="clear" w:color="auto" w:fill="D3D3D3"/>
          </w:tcPr>
          <w:p>
            <w:pPr/>
          </w:p>
        </w:tc>
        <w:tc>
          <w:tcPr>
            <w:tcW w:w="398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5" w:hRule="exact"/>
        </w:trPr>
        <w:tc>
          <w:tcPr>
            <w:tcW w:w="15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gridSpan w:val="3"/>
            <w:vMerge/>
            <w:tcBorders>
              <w:left w:val="single" w:sz="4" w:space="0" w:color="000000"/>
              <w:bottom w:val="single" w:sz="4" w:space="0" w:color="000000"/>
              <w:right w:val="single" w:sz="4" w:space="0" w:color="000000"/>
            </w:tcBorders>
            <w:shd w:val="clear" w:color="auto" w:fill="D3D3D3"/>
          </w:tcPr>
          <w:p>
            <w:pPr/>
          </w:p>
        </w:tc>
        <w:tc>
          <w:tcPr>
            <w:tcW w:w="3985"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586" w:type="dxa"/>
            <w:vMerge/>
            <w:tcBorders>
              <w:left w:val="single" w:sz="4" w:space="0" w:color="000000"/>
              <w:bottom w:val="nil" w:sz="6" w:space="0" w:color="auto"/>
              <w:right w:val="single" w:sz="4" w:space="0" w:color="000000"/>
            </w:tcBorders>
            <w:shd w:val="clear" w:color="auto" w:fill="D3D3D3"/>
          </w:tcPr>
          <w:p>
            <w:pPr/>
          </w:p>
        </w:tc>
        <w:tc>
          <w:tcPr>
            <w:tcW w:w="14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586"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1" w:type="dxa"/>
            <w:vMerge/>
            <w:tcBorders>
              <w:left w:val="single" w:sz="4" w:space="0" w:color="000000"/>
              <w:bottom w:val="single" w:sz="4" w:space="0" w:color="000000"/>
              <w:right w:val="single" w:sz="4" w:space="0" w:color="000000"/>
            </w:tcBorders>
            <w:shd w:val="clear" w:color="auto" w:fill="D3D3D3"/>
          </w:tcPr>
          <w:p>
            <w:pPr/>
          </w:p>
        </w:tc>
        <w:tc>
          <w:tcPr>
            <w:tcW w:w="1194"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27"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2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86,178,076.93</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86,178,076.93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13,003,173.09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13,003,173.09</w:t>
            </w: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663,872.36</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663,872.36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156,475.79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156,475.79</w:t>
            </w: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217,716,011.38</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217,716,011.38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65,079,001.23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65,079,001.23</w:t>
            </w:r>
          </w:p>
        </w:tc>
      </w:tr>
      <w:tr>
        <w:trPr>
          <w:trHeight w:val="403"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304,557,960.67</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304,557,960.67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78,238,650.11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78,238,650.11</w:t>
            </w:r>
          </w:p>
        </w:tc>
      </w:tr>
    </w:tbl>
    <w:p>
      <w:pPr>
        <w:pStyle w:val="BodyText"/>
        <w:spacing w:line="240" w:lineRule="auto" w:before="63"/>
        <w:ind w:right="0"/>
        <w:jc w:val="left"/>
      </w:pPr>
      <w:r>
        <w:rPr/>
        <w:t>存货的说明</w:t>
      </w:r>
    </w:p>
    <w:p>
      <w:pPr>
        <w:spacing w:line="240" w:lineRule="auto" w:before="10"/>
        <w:rPr>
          <w:rFonts w:ascii="宋体" w:hAnsi="宋体" w:cs="宋体" w:eastAsia="宋体" w:hint="default"/>
          <w:sz w:val="14"/>
          <w:szCs w:val="14"/>
        </w:rPr>
      </w:pPr>
    </w:p>
    <w:p>
      <w:pPr>
        <w:pStyle w:val="BodyText"/>
        <w:spacing w:line="408" w:lineRule="auto" w:before="0"/>
        <w:ind w:right="215" w:firstLine="420"/>
        <w:jc w:val="left"/>
      </w:pPr>
      <w:r>
        <w:rPr/>
        <w:t>1.存货较上年同期增长289.27%，主要系随着公司业务规模的扩大，年末已发货未完成验收的项目增 多，使发出商品增加幅度较大。</w:t>
      </w:r>
    </w:p>
    <w:p>
      <w:pPr>
        <w:pStyle w:val="BodyText"/>
        <w:spacing w:line="240" w:lineRule="auto"/>
        <w:ind w:left="574" w:right="0"/>
        <w:jc w:val="left"/>
      </w:pPr>
      <w:r>
        <w:rPr/>
        <w:t>2.截止2012年12月31日，公司无用于抵押或担保的存货。</w:t>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r>
        <w:rPr>
          <w:rFonts w:ascii="Times New Roman" w:hAnsi="Times New Roman" w:cs="Times New Roman" w:eastAsia="Times New Roman" w:hint="default"/>
        </w:rPr>
        <w:t>7</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17"/>
        <w:gridCol w:w="1473"/>
        <w:gridCol w:w="1316"/>
        <w:gridCol w:w="1595"/>
        <w:gridCol w:w="1582"/>
        <w:gridCol w:w="1473"/>
      </w:tblGrid>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1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pacing w:val="-1"/>
                <w:sz w:val="18"/>
              </w:rPr>
              <w:t>81,280,450.23</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42" w:right="0"/>
              <w:jc w:val="left"/>
              <w:rPr>
                <w:rFonts w:ascii="Times New Roman" w:hAnsi="Times New Roman" w:cs="Times New Roman" w:eastAsia="Times New Roman" w:hint="default"/>
                <w:sz w:val="18"/>
                <w:szCs w:val="18"/>
              </w:rPr>
            </w:pPr>
            <w:r>
              <w:rPr>
                <w:rFonts w:ascii="Times New Roman"/>
                <w:sz w:val="18"/>
              </w:rPr>
              <w:t>53,583,990.02</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134,864,440.25</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pacing w:val="-1"/>
                <w:sz w:val="18"/>
              </w:rPr>
              <w:t>3,872,121.03</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32" w:right="0"/>
              <w:jc w:val="left"/>
              <w:rPr>
                <w:rFonts w:ascii="Times New Roman" w:hAnsi="Times New Roman" w:cs="Times New Roman" w:eastAsia="Times New Roman" w:hint="default"/>
                <w:sz w:val="18"/>
                <w:szCs w:val="18"/>
              </w:rPr>
            </w:pPr>
            <w:r>
              <w:rPr>
                <w:rFonts w:ascii="Times New Roman"/>
                <w:sz w:val="18"/>
              </w:rPr>
              <w:t>4,781,543.01</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8,653,664.04</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pacing w:val="-1"/>
                <w:sz w:val="18"/>
              </w:rPr>
              <w:t>77,408,329.20</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42" w:right="0"/>
              <w:jc w:val="left"/>
              <w:rPr>
                <w:rFonts w:ascii="Times New Roman" w:hAnsi="Times New Roman" w:cs="Times New Roman" w:eastAsia="Times New Roman" w:hint="default"/>
                <w:sz w:val="18"/>
                <w:szCs w:val="18"/>
              </w:rPr>
            </w:pPr>
            <w:r>
              <w:rPr>
                <w:rFonts w:ascii="Times New Roman"/>
                <w:sz w:val="18"/>
              </w:rPr>
              <w:t>48,802,447.01</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126,210,776.21</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7"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pacing w:val="-1"/>
                <w:sz w:val="18"/>
              </w:rPr>
              <w:t>15,826,711.55</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20,787,061.73</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36,613,773.28</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pacing w:val="-1"/>
                <w:sz w:val="18"/>
              </w:rPr>
              <w:t>1,104,623.65</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1,085,998.58</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2,190,622.23</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pacing w:val="-1"/>
                <w:sz w:val="18"/>
              </w:rPr>
              <w:t>14,722,087.90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19,701,063.15</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34,423,151.05</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面净值合计</w:t>
            </w:r>
          </w:p>
        </w:tc>
        <w:tc>
          <w:tcPr>
            <w:tcW w:w="1473"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65,453,738.68</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98,250,666.97</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2,767,497.38</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6,463,041.81</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473"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62,686,241.30</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91,787,625.16</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473" w:type="dxa"/>
            <w:tcBorders>
              <w:top w:val="single" w:sz="4" w:space="0" w:color="000000"/>
              <w:left w:val="single" w:sz="4" w:space="0" w:color="000000"/>
              <w:bottom w:val="single" w:sz="4" w:space="0" w:color="000000"/>
              <w:right w:val="single" w:sz="9" w:space="0" w:color="D3D3D3"/>
            </w:tcBorders>
          </w:tcPr>
          <w:p>
            <w:pP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面价值合计</w:t>
            </w:r>
          </w:p>
        </w:tc>
        <w:tc>
          <w:tcPr>
            <w:tcW w:w="1473"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65,453,738.68</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98,250,666.97</w:t>
            </w:r>
          </w:p>
        </w:tc>
      </w:tr>
      <w:tr>
        <w:trPr>
          <w:trHeight w:val="403"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2,767,497.38</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6,463,041.81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29"/>
        <w:gridCol w:w="1462"/>
        <w:gridCol w:w="4516"/>
        <w:gridCol w:w="1462"/>
      </w:tblGrid>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3" w:right="0"/>
              <w:jc w:val="left"/>
              <w:rPr>
                <w:rFonts w:ascii="Times New Roman" w:hAnsi="Times New Roman" w:cs="Times New Roman" w:eastAsia="Times New Roman" w:hint="default"/>
                <w:sz w:val="18"/>
                <w:szCs w:val="18"/>
              </w:rPr>
            </w:pPr>
            <w:r>
              <w:rPr>
                <w:rFonts w:ascii="Times New Roman"/>
                <w:sz w:val="18"/>
              </w:rPr>
              <w:t>62,686,241.30</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3" w:right="0"/>
              <w:jc w:val="left"/>
              <w:rPr>
                <w:rFonts w:ascii="Times New Roman" w:hAnsi="Times New Roman" w:cs="Times New Roman" w:eastAsia="Times New Roman" w:hint="default"/>
                <w:sz w:val="18"/>
                <w:szCs w:val="18"/>
              </w:rPr>
            </w:pPr>
            <w:r>
              <w:rPr>
                <w:rFonts w:ascii="Times New Roman"/>
                <w:sz w:val="18"/>
              </w:rPr>
              <w:t>91,787,625.16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本期折旧额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20,787,061.73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元；本期由在建工程转入固定资产原价为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BodyText"/>
        <w:spacing w:line="240" w:lineRule="auto" w:before="155"/>
        <w:ind w:right="0"/>
        <w:jc w:val="left"/>
      </w:pPr>
      <w:r>
        <w:rPr/>
        <w:t>固定资产说明</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spacing w:val="-1"/>
        </w:rPr>
        <w:t>固定资产原值较年初增加65.92%，，主要系公司对包括募投项目在内的多个研发项目实施需要增加固</w:t>
      </w:r>
      <w:r>
        <w:rPr/>
        <w:t> 定资产投入所致。</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8</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38,653,944.12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39,044,475.00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77,698,419.12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38,653,944.12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39,044,475.00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77,698,419.12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17,948,417.84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9,014,939.89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26,963,357.73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17,948,417.84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9,014,939.89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26,963,357.73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20,705,526.28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30,029,535.11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50,735,061.39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20,705,526.28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30,029,535.11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50,735,061.39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20,705,526.28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30,029,535.11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50,735,061.39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20,705,526.28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30,029,535.11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50,735,061.39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9,014,939.89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8"/>
        <w:gridCol w:w="1596"/>
        <w:gridCol w:w="1592"/>
        <w:gridCol w:w="1594"/>
        <w:gridCol w:w="1592"/>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596" w:type="dxa"/>
            <w:vMerge/>
            <w:tcBorders>
              <w:left w:val="single" w:sz="4" w:space="0" w:color="000000"/>
              <w:bottom w:val="single" w:sz="4" w:space="0" w:color="000000"/>
              <w:right w:val="single" w:sz="4" w:space="0" w:color="000000"/>
            </w:tcBorders>
            <w:shd w:val="clear" w:color="auto" w:fill="D3D3D3"/>
          </w:tcPr>
          <w:p>
            <w:pPr/>
          </w:p>
        </w:tc>
        <w:tc>
          <w:tcPr>
            <w:tcW w:w="159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服务综合业务管 理系统项目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7,603,326.54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7,603,326.54</w:t>
            </w: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多渠道服务整合系 统</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2,139,148.97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2,139,148.97</w:t>
            </w:r>
          </w:p>
        </w:tc>
      </w:tr>
      <w:tr>
        <w:trPr>
          <w:trHeight w:val="71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基础组件支撑平台</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8,191,902.39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8,191,902.39</w:t>
            </w: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5"/>
              <w:jc w:val="left"/>
              <w:rPr>
                <w:rFonts w:ascii="宋体" w:hAnsi="宋体" w:cs="宋体" w:eastAsia="宋体" w:hint="default"/>
                <w:sz w:val="18"/>
                <w:szCs w:val="18"/>
              </w:rPr>
            </w:pPr>
            <w:r>
              <w:rPr>
                <w:rFonts w:ascii="宋体" w:hAnsi="宋体" w:cs="宋体" w:eastAsia="宋体" w:hint="default"/>
                <w:sz w:val="18"/>
                <w:szCs w:val="18"/>
              </w:rPr>
              <w:t>票据自助受理系统 项目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1,800,806.08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1,800,806.08</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区域医疗全科医生</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1,246,410.42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1,246,410.42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8"/>
        <w:gridCol w:w="1596"/>
        <w:gridCol w:w="1592"/>
        <w:gridCol w:w="1594"/>
        <w:gridCol w:w="1592"/>
        <w:gridCol w:w="1594"/>
      </w:tblGrid>
      <w:tr>
        <w:trPr>
          <w:trHeight w:val="36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服务平台项目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数据综合应用支撑 平台项目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1,136,561.86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1,136,561.86</w:t>
            </w: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影像集中作业平台</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9,021,837.03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9,021,837.03</w:t>
            </w: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中科金财</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BSM</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业务 服务管理平台</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2,988,654.28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2,988,654.28</w:t>
            </w: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商户营销平台及手 机支付平台</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4,229,273.71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4,229,273.71</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38,357,921.28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38,357,921.28</w:t>
            </w:r>
          </w:p>
        </w:tc>
      </w:tr>
    </w:tbl>
    <w:p>
      <w:pPr>
        <w:spacing w:line="340" w:lineRule="auto"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本期开发支出占本期研究开发项目支出总额的比例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37.41%</w:t>
      </w:r>
      <w:r>
        <w:rPr>
          <w:rFonts w:ascii="宋体" w:hAnsi="宋体" w:cs="宋体" w:eastAsia="宋体" w:hint="default"/>
          <w:sz w:val="18"/>
          <w:szCs w:val="18"/>
        </w:rPr>
        <w:t>。 通过公司内部研发形成的无形资产占无形资产期末账面价值的比例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p>
    <w:p>
      <w:pPr>
        <w:pStyle w:val="Heading3"/>
        <w:spacing w:line="408" w:lineRule="auto" w:before="70"/>
        <w:ind w:right="133"/>
        <w:jc w:val="left"/>
        <w:rPr>
          <w:b w:val="0"/>
          <w:bCs w:val="0"/>
        </w:rPr>
      </w:pPr>
      <w:r>
        <w:rPr/>
        <w:t>公司开发项目的说明，包括本期发生的单项价值在</w:t>
      </w:r>
      <w:r>
        <w:rPr>
          <w:spacing w:val="-84"/>
        </w:rPr>
        <w:t> </w:t>
      </w:r>
      <w:r>
        <w:rPr/>
        <w:t>100</w:t>
      </w:r>
      <w:r>
        <w:rPr>
          <w:spacing w:val="-84"/>
        </w:rPr>
        <w:t> </w:t>
      </w:r>
      <w:r>
        <w:rPr/>
        <w:t>万元以上且以评估值为入账依据的，应披露评估机</w:t>
      </w:r>
      <w:r>
        <w:rPr>
          <w:spacing w:val="1"/>
          <w:w w:val="99"/>
        </w:rPr>
        <w:t> </w:t>
      </w:r>
      <w:r>
        <w:rPr/>
        <w:t>构名称、评估方法</w:t>
      </w:r>
      <w:r>
        <w:rPr>
          <w:b w:val="0"/>
          <w:bCs w:val="0"/>
        </w:rPr>
      </w:r>
    </w:p>
    <w:p>
      <w:pPr>
        <w:pStyle w:val="BodyText"/>
        <w:spacing w:line="408" w:lineRule="auto"/>
        <w:ind w:right="215" w:firstLine="420"/>
        <w:jc w:val="left"/>
      </w:pPr>
      <w:r>
        <w:rPr/>
        <w:t>1.开发支出较上年同期增长100.00%，主要系2012年按照会计准则和公司《研发项目管理制度》的相 关规定，对符合要求的开发阶段支出在“开发支出”科目中进行归集。</w:t>
      </w:r>
    </w:p>
    <w:p>
      <w:pPr>
        <w:pStyle w:val="BodyText"/>
        <w:spacing w:line="408" w:lineRule="auto"/>
        <w:ind w:right="215" w:firstLine="420"/>
        <w:jc w:val="left"/>
      </w:pPr>
      <w:r>
        <w:rPr/>
        <w:t>2.无形资产原值较上年同期增长101.01%，主要系公司对包括募投项目在内的多个研发项目实施需要 增加无形资产投入所致。</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9</w:t>
      </w:r>
      <w:r>
        <w:rPr/>
        <w:t>、长期待摊费用</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1"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办公楼装修费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156,749.96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4,568,545.00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813,154.04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9" w:right="0"/>
              <w:jc w:val="left"/>
              <w:rPr>
                <w:rFonts w:ascii="Times New Roman" w:hAnsi="Times New Roman" w:cs="Times New Roman" w:eastAsia="Times New Roman" w:hint="default"/>
                <w:sz w:val="18"/>
                <w:szCs w:val="18"/>
              </w:rPr>
            </w:pPr>
            <w:r>
              <w:rPr>
                <w:rFonts w:ascii="Times New Roman"/>
                <w:sz w:val="18"/>
              </w:rPr>
              <w:t>3,912,140.92</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156,749.96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4,568,545.00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813,154.04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9" w:right="0"/>
              <w:jc w:val="left"/>
              <w:rPr>
                <w:rFonts w:ascii="Times New Roman" w:hAnsi="Times New Roman" w:cs="Times New Roman" w:eastAsia="Times New Roman" w:hint="default"/>
                <w:sz w:val="18"/>
                <w:szCs w:val="18"/>
              </w:rPr>
            </w:pPr>
            <w:r>
              <w:rPr>
                <w:rFonts w:ascii="Times New Roman"/>
                <w:sz w:val="18"/>
              </w:rPr>
              <w:t>3,912,140.92</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408" w:lineRule="auto" w:before="63"/>
        <w:ind w:right="950"/>
        <w:jc w:val="left"/>
      </w:pPr>
      <w:r>
        <w:rPr/>
        <w:t>长期待摊费用的说明 长期待摊费用较年初余额增加3,755,390.96元，主要系公司增加办公场地，装修费用增加所致。</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10</w:t>
      </w:r>
      <w:r>
        <w:rPr/>
        <w:t>、递延所得税资产和递延所得税负债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已确认的递延所得税资产和递延所得税负债</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2923"/>
        <w:gridCol w:w="2893"/>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953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2"/>
        <w:gridCol w:w="2923"/>
        <w:gridCol w:w="2922"/>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755,448.76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615,272.85</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其他非流动负债（递延收益）</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2,482,530.00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1,938,000.00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内部购销形成无形资产</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-11,538.46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5,769.23</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工资已计提未支付</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1,170,960.64</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无形资产摊销（年限）</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2,198,211.75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1,525,865.93</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6,595,612.69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4,084,908.01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应纳税差异和可抵扣差异项目明细</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6"/>
        <w:gridCol w:w="2923"/>
        <w:gridCol w:w="2789"/>
      </w:tblGrid>
      <w:tr>
        <w:trPr>
          <w:trHeight w:val="402" w:hRule="exact"/>
        </w:trPr>
        <w:tc>
          <w:tcPr>
            <w:tcW w:w="38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3" w:hRule="exact"/>
        </w:trPr>
        <w:tc>
          <w:tcPr>
            <w:tcW w:w="3856" w:type="dxa"/>
            <w:vMerge/>
            <w:tcBorders>
              <w:left w:val="single" w:sz="4" w:space="0" w:color="000000"/>
              <w:bottom w:val="single" w:sz="4" w:space="0" w:color="000000"/>
              <w:right w:val="single" w:sz="4" w:space="0" w:color="000000"/>
            </w:tcBorders>
            <w:shd w:val="clear" w:color="auto" w:fill="D3D3D3"/>
          </w:tcPr>
          <w:p>
            <w:pP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2,781,613.20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3,067,445.04</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2,254,711.83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1,034,373.93</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其他非流动负债（递延收益）</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16,550,200.00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12,920,000.00</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内部购销形成无形资产</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-76,923.07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38,461.53</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工资已计提未支付</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7,806,404.29</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无形资产摊销（年限）</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14,654,744.99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10,172,439.53</w:t>
            </w:r>
          </w:p>
        </w:tc>
      </w:tr>
      <w:tr>
        <w:trPr>
          <w:trHeight w:val="403"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43,970,751.24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27,232,720.03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互抵后的递延所得税资产及负债的组成项目</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073"/>
        <w:gridCol w:w="1615"/>
        <w:gridCol w:w="1627"/>
        <w:gridCol w:w="1627"/>
        <w:gridCol w:w="1616"/>
      </w:tblGrid>
      <w:tr>
        <w:trPr>
          <w:trHeight w:val="318" w:hRule="exact"/>
        </w:trPr>
        <w:tc>
          <w:tcPr>
            <w:tcW w:w="3073" w:type="dxa"/>
            <w:tcBorders>
              <w:top w:val="single" w:sz="4" w:space="0" w:color="000000"/>
              <w:left w:val="single" w:sz="4" w:space="0" w:color="000000"/>
              <w:bottom w:val="nil" w:sz="6" w:space="0" w:color="auto"/>
              <w:right w:val="single" w:sz="4" w:space="0" w:color="000000"/>
            </w:tcBorders>
            <w:shd w:val="clear" w:color="auto" w:fill="D3D3D3"/>
          </w:tcPr>
          <w:p>
            <w:pPr/>
          </w:p>
        </w:tc>
        <w:tc>
          <w:tcPr>
            <w:tcW w:w="161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76" w:right="87"/>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88" w:right="87"/>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88" w:right="87"/>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1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89" w:right="75"/>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1" w:hRule="exact"/>
        </w:trPr>
        <w:tc>
          <w:tcPr>
            <w:tcW w:w="307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5" w:type="dxa"/>
            <w:vMerge/>
            <w:tcBorders>
              <w:left w:val="single" w:sz="4" w:space="0" w:color="000000"/>
              <w:right w:val="single" w:sz="4" w:space="0" w:color="000000"/>
            </w:tcBorders>
            <w:shd w:val="clear" w:color="auto" w:fill="D3D3D3"/>
          </w:tcPr>
          <w:p>
            <w:pPr/>
          </w:p>
        </w:tc>
        <w:tc>
          <w:tcPr>
            <w:tcW w:w="1627" w:type="dxa"/>
            <w:vMerge/>
            <w:tcBorders>
              <w:left w:val="single" w:sz="4" w:space="0" w:color="000000"/>
              <w:right w:val="single" w:sz="4" w:space="0" w:color="000000"/>
            </w:tcBorders>
            <w:shd w:val="clear" w:color="auto" w:fill="D3D3D3"/>
          </w:tcPr>
          <w:p>
            <w:pPr/>
          </w:p>
        </w:tc>
        <w:tc>
          <w:tcPr>
            <w:tcW w:w="1627" w:type="dxa"/>
            <w:vMerge/>
            <w:tcBorders>
              <w:left w:val="single" w:sz="4" w:space="0" w:color="000000"/>
              <w:right w:val="single" w:sz="4" w:space="0" w:color="000000"/>
            </w:tcBorders>
            <w:shd w:val="clear" w:color="auto" w:fill="D3D3D3"/>
          </w:tcPr>
          <w:p>
            <w:pPr/>
          </w:p>
        </w:tc>
        <w:tc>
          <w:tcPr>
            <w:tcW w:w="1616" w:type="dxa"/>
            <w:vMerge/>
            <w:tcBorders>
              <w:left w:val="single" w:sz="4" w:space="0" w:color="000000"/>
              <w:right w:val="single" w:sz="4" w:space="0" w:color="000000"/>
            </w:tcBorders>
            <w:shd w:val="clear" w:color="auto" w:fill="D3D3D3"/>
          </w:tcPr>
          <w:p>
            <w:pPr/>
          </w:p>
        </w:tc>
      </w:tr>
      <w:tr>
        <w:trPr>
          <w:trHeight w:val="317" w:hRule="exact"/>
        </w:trPr>
        <w:tc>
          <w:tcPr>
            <w:tcW w:w="3073" w:type="dxa"/>
            <w:tcBorders>
              <w:top w:val="nil" w:sz="6" w:space="0" w:color="auto"/>
              <w:left w:val="single" w:sz="4" w:space="0" w:color="000000"/>
              <w:bottom w:val="single" w:sz="4" w:space="0" w:color="000000"/>
              <w:right w:val="single" w:sz="4" w:space="0" w:color="000000"/>
            </w:tcBorders>
            <w:shd w:val="clear" w:color="auto" w:fill="D3D3D3"/>
          </w:tcPr>
          <w:p>
            <w:pPr/>
          </w:p>
        </w:tc>
        <w:tc>
          <w:tcPr>
            <w:tcW w:w="1615" w:type="dxa"/>
            <w:vMerge/>
            <w:tcBorders>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16"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3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1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left="630" w:right="0"/>
              <w:jc w:val="left"/>
              <w:rPr>
                <w:rFonts w:ascii="Times New Roman" w:hAnsi="Times New Roman" w:cs="Times New Roman" w:eastAsia="Times New Roman" w:hint="default"/>
                <w:sz w:val="18"/>
                <w:szCs w:val="18"/>
              </w:rPr>
            </w:pPr>
            <w:r>
              <w:rPr>
                <w:rFonts w:ascii="Times New Roman"/>
                <w:sz w:val="18"/>
              </w:rPr>
              <w:t>6,595,612.69</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9" w:right="0"/>
              <w:jc w:val="left"/>
              <w:rPr>
                <w:rFonts w:ascii="Times New Roman" w:hAnsi="Times New Roman" w:cs="Times New Roman" w:eastAsia="Times New Roman" w:hint="default"/>
                <w:sz w:val="18"/>
                <w:szCs w:val="18"/>
              </w:rPr>
            </w:pPr>
            <w:r>
              <w:rPr>
                <w:rFonts w:ascii="Times New Roman"/>
                <w:sz w:val="18"/>
              </w:rPr>
              <w:t>4,084,908.01</w:t>
            </w:r>
          </w:p>
        </w:tc>
        <w:tc>
          <w:tcPr>
            <w:tcW w:w="16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08" w:lineRule="auto" w:before="63"/>
        <w:ind w:right="1580"/>
        <w:jc w:val="left"/>
      </w:pPr>
      <w:r>
        <w:rPr/>
        <w:t>递延所得税资产和递延所得税负债的说明 递延所得税资产较年初增长了61.46%，主要系计提未支付的工资等时间性差异增加所致。</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11</w:t>
      </w:r>
      <w:r>
        <w:rPr/>
        <w:t>、资产减值准备明细</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6"/>
        <w:gridCol w:w="1528"/>
        <w:gridCol w:w="1528"/>
        <w:gridCol w:w="1398"/>
        <w:gridCol w:w="1398"/>
        <w:gridCol w:w="1452"/>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266" w:type="dxa"/>
            <w:vMerge/>
            <w:tcBorders>
              <w:left w:val="single" w:sz="4" w:space="0" w:color="000000"/>
              <w:bottom w:val="single" w:sz="4" w:space="0" w:color="000000"/>
              <w:right w:val="single" w:sz="4" w:space="0" w:color="000000"/>
            </w:tcBorders>
            <w:shd w:val="clear" w:color="auto" w:fill="D3D3D3"/>
          </w:tcPr>
          <w:p>
            <w:pPr/>
          </w:p>
        </w:tc>
        <w:tc>
          <w:tcPr>
            <w:tcW w:w="1528" w:type="dxa"/>
            <w:vMerge/>
            <w:tcBorders>
              <w:left w:val="single" w:sz="4" w:space="0" w:color="000000"/>
              <w:bottom w:val="single" w:sz="4" w:space="0" w:color="000000"/>
              <w:right w:val="single" w:sz="4" w:space="0" w:color="000000"/>
            </w:tcBorders>
            <w:shd w:val="clear" w:color="auto" w:fill="D3D3D3"/>
          </w:tcPr>
          <w:p>
            <w:pPr/>
          </w:p>
        </w:tc>
        <w:tc>
          <w:tcPr>
            <w:tcW w:w="1528" w:type="dxa"/>
            <w:vMerge/>
            <w:tcBorders>
              <w:left w:val="single" w:sz="4" w:space="0" w:color="000000"/>
              <w:bottom w:val="single" w:sz="4" w:space="0" w:color="000000"/>
              <w:right w:val="single" w:sz="4" w:space="0" w:color="000000"/>
            </w:tcBorders>
            <w:shd w:val="clear" w:color="auto" w:fill="D3D3D3"/>
          </w:tcPr>
          <w:p>
            <w:pPr/>
          </w:p>
        </w:tc>
        <w:tc>
          <w:tcPr>
            <w:tcW w:w="1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54"/>
        <w:gridCol w:w="1540"/>
        <w:gridCol w:w="1528"/>
        <w:gridCol w:w="1398"/>
        <w:gridCol w:w="1398"/>
        <w:gridCol w:w="1452"/>
      </w:tblGrid>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4,101,818.97</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934,506.06</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5,036,325.03</w:t>
            </w: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4,101,818.97</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934,506.06</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5,036,325.03</w:t>
            </w:r>
          </w:p>
        </w:tc>
      </w:tr>
    </w:tbl>
    <w:p>
      <w:pPr>
        <w:spacing w:before="51"/>
        <w:ind w:left="154" w:right="102" w:firstLine="0"/>
        <w:jc w:val="left"/>
        <w:rPr>
          <w:rFonts w:ascii="宋体" w:hAnsi="宋体" w:cs="宋体" w:eastAsia="宋体" w:hint="default"/>
          <w:sz w:val="18"/>
          <w:szCs w:val="18"/>
        </w:rPr>
      </w:pPr>
      <w:r>
        <w:rPr>
          <w:rFonts w:ascii="宋体" w:hAnsi="宋体" w:cs="宋体" w:eastAsia="宋体" w:hint="default"/>
          <w:sz w:val="18"/>
          <w:szCs w:val="18"/>
        </w:rPr>
        <w:t>资产减值明细情况的说明</w:t>
      </w:r>
    </w:p>
    <w:p>
      <w:pPr>
        <w:spacing w:line="240" w:lineRule="auto" w:before="11"/>
        <w:rPr>
          <w:rFonts w:ascii="宋体" w:hAnsi="宋体" w:cs="宋体" w:eastAsia="宋体" w:hint="default"/>
          <w:sz w:val="26"/>
          <w:szCs w:val="26"/>
        </w:rPr>
      </w:pPr>
    </w:p>
    <w:p>
      <w:pPr>
        <w:pStyle w:val="Heading3"/>
        <w:spacing w:line="240" w:lineRule="auto"/>
        <w:ind w:right="102"/>
        <w:jc w:val="left"/>
        <w:rPr>
          <w:b w:val="0"/>
          <w:bCs w:val="0"/>
        </w:rPr>
      </w:pPr>
      <w:r>
        <w:rPr>
          <w:rFonts w:ascii="Times New Roman" w:hAnsi="Times New Roman" w:cs="Times New Roman" w:eastAsia="Times New Roman" w:hint="default"/>
        </w:rPr>
        <w:t>12</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02"/>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67"/>
        <w:gridCol w:w="2934"/>
        <w:gridCol w:w="3055"/>
      </w:tblGrid>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118,739,665.00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62,000,000.00</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118,739,665.00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62,000,000.00</w:t>
            </w:r>
          </w:p>
        </w:tc>
      </w:tr>
    </w:tbl>
    <w:p>
      <w:pPr>
        <w:pStyle w:val="BodyText"/>
        <w:spacing w:line="408" w:lineRule="auto" w:before="63"/>
        <w:ind w:left="577" w:right="167"/>
        <w:jc w:val="left"/>
      </w:pPr>
      <w:r>
        <w:rPr/>
        <w:t>短期借款分类的说明 1、2011年4月27日，公司与招商银行股份有限公司北京分行签订授信协议，授信额度为3,000.00万，</w:t>
      </w:r>
    </w:p>
    <w:p>
      <w:pPr>
        <w:pStyle w:val="BodyText"/>
        <w:spacing w:line="408" w:lineRule="auto"/>
        <w:ind w:right="206"/>
        <w:jc w:val="both"/>
      </w:pPr>
      <w:r>
        <w:rPr/>
        <w:t>合同中担保条款约定由朱烨东、沈飒作为连带责任保证人。2011年4月28日，公司与招商银行北京分行签</w:t>
      </w:r>
      <w:r>
        <w:rPr>
          <w:spacing w:val="-35"/>
        </w:rPr>
        <w:t> </w:t>
      </w:r>
      <w:r>
        <w:rPr>
          <w:spacing w:val="-35"/>
        </w:rPr>
      </w:r>
      <w:r>
        <w:rPr/>
        <w:t>订借款合同，借款金额为2,000.00万，借款期限自2011年4月28日至2012年4月27日，公司已于2011年4月</w:t>
      </w:r>
      <w:r>
        <w:rPr>
          <w:spacing w:val="-43"/>
        </w:rPr>
        <w:t> </w:t>
      </w:r>
      <w:r>
        <w:rPr>
          <w:spacing w:val="-43"/>
        </w:rPr>
      </w:r>
      <w:r>
        <w:rPr/>
        <w:t>28日收到该笔贷款；2011年6月10日，公司与招商银行北京分行签订借款合同，借款金额为1,000.00万，</w:t>
      </w:r>
      <w:r>
        <w:rPr>
          <w:spacing w:val="-42"/>
        </w:rPr>
        <w:t> </w:t>
      </w:r>
      <w:r>
        <w:rPr>
          <w:spacing w:val="-42"/>
        </w:rPr>
      </w:r>
      <w:r>
        <w:rPr/>
        <w:t>借款期限自2011年6月10日至2012年6月9日，公司已于2011年6月10日收到该笔贷款。公司于2012年4月27</w:t>
      </w:r>
      <w:r>
        <w:rPr>
          <w:spacing w:val="-42"/>
        </w:rPr>
        <w:t> </w:t>
      </w:r>
      <w:r>
        <w:rPr>
          <w:spacing w:val="-42"/>
        </w:rPr>
      </w:r>
      <w:r>
        <w:rPr/>
        <w:t>日、2012年6月9日偿还上述两笔款项。</w:t>
      </w:r>
    </w:p>
    <w:p>
      <w:pPr>
        <w:pStyle w:val="BodyText"/>
        <w:spacing w:line="240" w:lineRule="auto"/>
        <w:ind w:left="577" w:right="102"/>
        <w:jc w:val="left"/>
      </w:pPr>
      <w:r>
        <w:rPr/>
        <w:t>2、2011年3月28日，公司与北京银行股份有限公司中关村海淀园支行签订综合授信合同，授信额度为</w:t>
      </w:r>
    </w:p>
    <w:p>
      <w:pPr>
        <w:spacing w:line="240" w:lineRule="auto" w:before="10"/>
        <w:rPr>
          <w:rFonts w:ascii="宋体" w:hAnsi="宋体" w:cs="宋体" w:eastAsia="宋体" w:hint="default"/>
          <w:sz w:val="14"/>
          <w:szCs w:val="14"/>
        </w:rPr>
      </w:pPr>
    </w:p>
    <w:p>
      <w:pPr>
        <w:pStyle w:val="BodyText"/>
        <w:spacing w:line="408" w:lineRule="auto" w:before="0"/>
        <w:ind w:right="206"/>
        <w:jc w:val="both"/>
      </w:pPr>
      <w:r>
        <w:rPr/>
        <w:t>3,000.00万。2011年3月28日，公司与北京银行股份有限公司中关村海淀园支行签订借款合同，借款金额</w:t>
      </w:r>
      <w:r>
        <w:rPr>
          <w:spacing w:val="-41"/>
        </w:rPr>
        <w:t> </w:t>
      </w:r>
      <w:r>
        <w:rPr>
          <w:spacing w:val="-41"/>
        </w:rPr>
      </w:r>
      <w:r>
        <w:rPr/>
        <w:t>为22,350,780.00元，借款期限为一年，公司已于2011年3月28日收到该笔贷款；2011年5月13日，公司与</w:t>
      </w:r>
      <w:r>
        <w:rPr>
          <w:spacing w:val="-45"/>
        </w:rPr>
        <w:t> </w:t>
      </w:r>
      <w:r>
        <w:rPr>
          <w:spacing w:val="-45"/>
        </w:rPr>
      </w:r>
      <w:r>
        <w:rPr>
          <w:spacing w:val="-2"/>
        </w:rPr>
        <w:t>北京银行股份有限公司中关村海淀园支行签订借款合同，借款金额为7,649,220.00元，借款期限为自首次</w:t>
      </w:r>
      <w:r>
        <w:rPr>
          <w:spacing w:val="-73"/>
        </w:rPr>
        <w:t> </w:t>
      </w:r>
      <w:r>
        <w:rPr>
          <w:spacing w:val="-73"/>
        </w:rPr>
      </w:r>
      <w:r>
        <w:rPr/>
        <w:t>提款日起12个月，公司已于2011年5月13日收到该笔贷款。公司分别于2012年3月28日、2012年5月13日偿</w:t>
      </w:r>
      <w:r>
        <w:rPr>
          <w:spacing w:val="-37"/>
        </w:rPr>
        <w:t> </w:t>
      </w:r>
      <w:r>
        <w:rPr>
          <w:spacing w:val="-37"/>
        </w:rPr>
      </w:r>
      <w:r>
        <w:rPr/>
        <w:t>还了上述两笔款项。</w:t>
      </w:r>
    </w:p>
    <w:p>
      <w:pPr>
        <w:pStyle w:val="BodyText"/>
        <w:spacing w:line="240" w:lineRule="auto"/>
        <w:ind w:left="577" w:right="102"/>
        <w:jc w:val="left"/>
      </w:pPr>
      <w:r>
        <w:rPr/>
        <w:t>3、2011年6月28日，中科商务与北京银行股份有限公司中关村海淀园支行签订借款合同，借款金额为</w:t>
      </w:r>
    </w:p>
    <w:p>
      <w:pPr>
        <w:spacing w:line="240" w:lineRule="auto" w:before="10"/>
        <w:rPr>
          <w:rFonts w:ascii="宋体" w:hAnsi="宋体" w:cs="宋体" w:eastAsia="宋体" w:hint="default"/>
          <w:sz w:val="14"/>
          <w:szCs w:val="14"/>
        </w:rPr>
      </w:pPr>
    </w:p>
    <w:p>
      <w:pPr>
        <w:pStyle w:val="BodyText"/>
        <w:spacing w:line="408" w:lineRule="auto" w:before="0"/>
        <w:ind w:right="102"/>
        <w:jc w:val="left"/>
      </w:pPr>
      <w:r>
        <w:rPr>
          <w:spacing w:val="-1"/>
        </w:rPr>
        <w:t>200.00万元，借款期限为一年，由朱烨东提供担保。中科商务公司于2011年6月28日收到贷款200.00万元。</w:t>
      </w:r>
      <w:r>
        <w:rPr>
          <w:spacing w:val="-79"/>
        </w:rPr>
        <w:t> </w:t>
      </w:r>
      <w:r>
        <w:rPr>
          <w:spacing w:val="-79"/>
        </w:rPr>
      </w:r>
      <w:r>
        <w:rPr/>
        <w:t>中科商务于2012年6月28日偿还了上述款项。</w:t>
      </w:r>
    </w:p>
    <w:p>
      <w:pPr>
        <w:pStyle w:val="BodyText"/>
        <w:spacing w:line="408" w:lineRule="auto"/>
        <w:ind w:right="188" w:firstLine="423"/>
        <w:jc w:val="both"/>
      </w:pPr>
      <w:r>
        <w:rPr>
          <w:spacing w:val="-7"/>
        </w:rPr>
        <w:t>4、2012年10月22日，公司与北京银行中关村科技园区支行签订《综合授信合同》，授信额度为5,000.00</w:t>
      </w:r>
      <w:r>
        <w:rPr/>
        <w:t> </w:t>
      </w:r>
      <w:r>
        <w:rPr>
          <w:spacing w:val="-1"/>
        </w:rPr>
        <w:t>万元。2012年10月29日，公司与北京银行中关村科技园区支行签订借款合同，分别借款6,355,121.00元、</w:t>
      </w:r>
      <w:r>
        <w:rPr>
          <w:spacing w:val="-67"/>
        </w:rPr>
        <w:t> </w:t>
      </w:r>
      <w:r>
        <w:rPr>
          <w:spacing w:val="-67"/>
        </w:rPr>
      </w:r>
      <w:r>
        <w:rPr/>
        <w:t>43,644,879.00元，借款期限一年，朱烨东、沈飒承担个人无限连带责任保证。</w:t>
      </w:r>
    </w:p>
    <w:p>
      <w:pPr>
        <w:pStyle w:val="BodyText"/>
        <w:spacing w:line="240" w:lineRule="auto"/>
        <w:ind w:left="577" w:right="102"/>
        <w:jc w:val="left"/>
      </w:pPr>
      <w:r>
        <w:rPr/>
        <w:t>5、2012年9月21日，公司与招商银行北京分行营业部签订《综合授信合同》，授信额度为5,000.00万</w:t>
      </w:r>
    </w:p>
    <w:p>
      <w:pPr>
        <w:spacing w:after="0" w:line="240"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4"/>
        <w:ind w:right="102"/>
        <w:jc w:val="left"/>
      </w:pPr>
      <w:r>
        <w:rPr/>
        <w:t>元。2012年9月21日，公司与招商银行北京分行营业部签订借款协议，借款金额为5,000.00万元，借款期</w:t>
      </w:r>
      <w:r>
        <w:rPr>
          <w:spacing w:val="-42"/>
        </w:rPr>
        <w:t> </w:t>
      </w:r>
      <w:r>
        <w:rPr>
          <w:spacing w:val="-42"/>
        </w:rPr>
      </w:r>
      <w:r>
        <w:rPr/>
        <w:t>限一年，朱烨东作为连带责任保证人提供无限连带担保。</w:t>
      </w:r>
    </w:p>
    <w:p>
      <w:pPr>
        <w:pStyle w:val="BodyText"/>
        <w:spacing w:line="240" w:lineRule="auto"/>
        <w:ind w:left="577" w:right="102"/>
        <w:jc w:val="left"/>
      </w:pPr>
      <w:r>
        <w:rPr>
          <w:spacing w:val="-4"/>
        </w:rPr>
        <w:t>6、2012年11月6日，公司与宁波银行北京分行营业部分别签订借款合同，借款金额为3,895,500.00元、</w:t>
      </w:r>
    </w:p>
    <w:p>
      <w:pPr>
        <w:spacing w:line="240" w:lineRule="auto" w:before="10"/>
        <w:rPr>
          <w:rFonts w:ascii="宋体" w:hAnsi="宋体" w:cs="宋体" w:eastAsia="宋体" w:hint="default"/>
          <w:sz w:val="14"/>
          <w:szCs w:val="14"/>
        </w:rPr>
      </w:pPr>
    </w:p>
    <w:p>
      <w:pPr>
        <w:spacing w:line="408" w:lineRule="auto" w:before="0"/>
        <w:ind w:left="153" w:right="1221" w:firstLine="0"/>
        <w:jc w:val="left"/>
        <w:rPr>
          <w:rFonts w:ascii="宋体" w:hAnsi="宋体" w:cs="宋体" w:eastAsia="宋体" w:hint="default"/>
          <w:sz w:val="21"/>
          <w:szCs w:val="21"/>
        </w:rPr>
      </w:pPr>
      <w:r>
        <w:rPr>
          <w:rFonts w:ascii="宋体" w:hAnsi="宋体" w:cs="宋体" w:eastAsia="宋体" w:hint="default"/>
          <w:sz w:val="21"/>
          <w:szCs w:val="21"/>
        </w:rPr>
        <w:t>14,844,165.00元，借款期限一年，朱烨东、沈飒作为连带责任保证人提供无限连带担保。 </w:t>
      </w:r>
      <w:r>
        <w:rPr>
          <w:rFonts w:ascii="宋体" w:hAnsi="宋体" w:cs="宋体" w:eastAsia="宋体" w:hint="default"/>
          <w:b/>
          <w:bCs/>
          <w:sz w:val="21"/>
          <w:szCs w:val="21"/>
        </w:rPr>
        <w:t>短期借款的说明，包括已到期短期借款获展期的，说明展期条件、新的到期日</w:t>
      </w:r>
      <w:r>
        <w:rPr>
          <w:rFonts w:ascii="宋体" w:hAnsi="宋体" w:cs="宋体" w:eastAsia="宋体" w:hint="default"/>
          <w:b/>
          <w:bCs/>
          <w:spacing w:val="1"/>
          <w:w w:val="99"/>
          <w:sz w:val="21"/>
          <w:szCs w:val="21"/>
        </w:rPr>
        <w:t> </w:t>
      </w:r>
      <w:r>
        <w:rPr>
          <w:rFonts w:ascii="宋体" w:hAnsi="宋体" w:cs="宋体" w:eastAsia="宋体" w:hint="default"/>
          <w:sz w:val="21"/>
          <w:szCs w:val="21"/>
        </w:rPr>
        <w:t>短期借款较年初增长91.52%，主要系随着公司业务的不断发展，对流动资金的需求增大所致。</w:t>
      </w:r>
    </w:p>
    <w:p>
      <w:pPr>
        <w:spacing w:line="240" w:lineRule="auto" w:before="8"/>
        <w:rPr>
          <w:rFonts w:ascii="宋体" w:hAnsi="宋体" w:cs="宋体" w:eastAsia="宋体" w:hint="default"/>
          <w:sz w:val="20"/>
          <w:szCs w:val="20"/>
        </w:rPr>
      </w:pPr>
    </w:p>
    <w:p>
      <w:pPr>
        <w:pStyle w:val="Heading3"/>
        <w:spacing w:line="240" w:lineRule="auto"/>
        <w:ind w:left="153" w:right="102"/>
        <w:jc w:val="left"/>
        <w:rPr>
          <w:b w:val="0"/>
          <w:bCs w:val="0"/>
        </w:rPr>
      </w:pPr>
      <w:r>
        <w:rPr>
          <w:rFonts w:ascii="Times New Roman" w:hAnsi="Times New Roman" w:cs="Times New Roman" w:eastAsia="Times New Roman" w:hint="default"/>
        </w:rPr>
        <w:t>13</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2"/>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87,401,097.72</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41,000,169.74</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3,182,848.69</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10,571,193.57</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6,714,307.26</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74,415.46</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74,415.46</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97,372,669.13</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51,645,778.77</w:t>
            </w:r>
          </w:p>
        </w:tc>
      </w:tr>
    </w:tbl>
    <w:p>
      <w:pPr>
        <w:spacing w:line="240" w:lineRule="auto" w:before="2"/>
        <w:rPr>
          <w:rFonts w:ascii="宋体" w:hAnsi="宋体" w:cs="宋体" w:eastAsia="宋体" w:hint="default"/>
          <w:sz w:val="19"/>
          <w:szCs w:val="19"/>
        </w:rPr>
      </w:pPr>
    </w:p>
    <w:p>
      <w:pPr>
        <w:pStyle w:val="Heading3"/>
        <w:spacing w:line="240" w:lineRule="auto" w:before="35"/>
        <w:ind w:right="102"/>
        <w:jc w:val="left"/>
        <w:rPr>
          <w:b w:val="0"/>
          <w:bCs w:val="0"/>
        </w:rPr>
      </w:pPr>
      <w:r>
        <w:rPr/>
        <w:t>（</w:t>
      </w:r>
      <w:r>
        <w:rPr>
          <w:rFonts w:ascii="Times New Roman" w:hAnsi="Times New Roman" w:cs="Times New Roman" w:eastAsia="Times New Roman" w:hint="default"/>
        </w:rPr>
        <w:t>2</w:t>
      </w:r>
      <w:r>
        <w:rPr/>
        <w:t>）账龄超过一年的大额应付账款情况的说明</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016"/>
        <w:gridCol w:w="1175"/>
        <w:gridCol w:w="1121"/>
        <w:gridCol w:w="3217"/>
      </w:tblGrid>
      <w:tr>
        <w:trPr>
          <w:trHeight w:val="355" w:hRule="exact"/>
        </w:trPr>
        <w:tc>
          <w:tcPr>
            <w:tcW w:w="30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1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1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21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b/>
                <w:bCs/>
                <w:sz w:val="18"/>
                <w:szCs w:val="18"/>
              </w:rPr>
              <w:t>未结转原因</w:t>
            </w:r>
            <w:r>
              <w:rPr>
                <w:rFonts w:ascii="宋体" w:hAnsi="宋体" w:cs="宋体" w:eastAsia="宋体" w:hint="default"/>
                <w:sz w:val="18"/>
                <w:szCs w:val="18"/>
              </w:rPr>
            </w:r>
          </w:p>
        </w:tc>
      </w:tr>
      <w:tr>
        <w:trPr>
          <w:trHeight w:val="352" w:hRule="exact"/>
        </w:trPr>
        <w:tc>
          <w:tcPr>
            <w:tcW w:w="3016"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大唐软件技术股份有限公司</w:t>
            </w:r>
          </w:p>
        </w:tc>
        <w:tc>
          <w:tcPr>
            <w:tcW w:w="11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left="106" w:right="0"/>
              <w:jc w:val="center"/>
              <w:rPr>
                <w:rFonts w:ascii="Times New Roman" w:hAnsi="Times New Roman" w:cs="Times New Roman" w:eastAsia="Times New Roman" w:hint="default"/>
                <w:sz w:val="20"/>
                <w:szCs w:val="20"/>
              </w:rPr>
            </w:pPr>
            <w:r>
              <w:rPr>
                <w:rFonts w:ascii="Times New Roman"/>
                <w:sz w:val="20"/>
              </w:rPr>
              <w:t>4,080,581.19</w:t>
            </w:r>
          </w:p>
        </w:tc>
        <w:tc>
          <w:tcPr>
            <w:tcW w:w="1121"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8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宋体" w:hAnsi="宋体" w:cs="宋体" w:eastAsia="宋体" w:hint="default"/>
                <w:sz w:val="20"/>
                <w:szCs w:val="20"/>
              </w:rPr>
              <w:t>年</w:t>
            </w:r>
          </w:p>
        </w:tc>
        <w:tc>
          <w:tcPr>
            <w:tcW w:w="3217" w:type="dxa"/>
            <w:tcBorders>
              <w:top w:val="single" w:sz="12" w:space="0" w:color="000000"/>
              <w:left w:val="single" w:sz="6" w:space="0" w:color="000000"/>
              <w:bottom w:val="single" w:sz="12" w:space="0" w:color="000000"/>
              <w:right w:val="nil" w:sz="6" w:space="0" w:color="auto"/>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对应销售项目尚未收款，暂缓付款</w:t>
            </w:r>
          </w:p>
        </w:tc>
      </w:tr>
      <w:tr>
        <w:trPr>
          <w:trHeight w:val="353" w:hRule="exact"/>
        </w:trPr>
        <w:tc>
          <w:tcPr>
            <w:tcW w:w="3016"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北京健行天下信息咨询有限公司</w:t>
            </w:r>
          </w:p>
        </w:tc>
        <w:tc>
          <w:tcPr>
            <w:tcW w:w="11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left="106" w:right="0"/>
              <w:jc w:val="center"/>
              <w:rPr>
                <w:rFonts w:ascii="Times New Roman" w:hAnsi="Times New Roman" w:cs="Times New Roman" w:eastAsia="Times New Roman" w:hint="default"/>
                <w:sz w:val="20"/>
                <w:szCs w:val="20"/>
              </w:rPr>
            </w:pPr>
            <w:r>
              <w:rPr>
                <w:rFonts w:ascii="Times New Roman"/>
                <w:sz w:val="20"/>
              </w:rPr>
              <w:t>1,731,435.90</w:t>
            </w:r>
          </w:p>
        </w:tc>
        <w:tc>
          <w:tcPr>
            <w:tcW w:w="1121"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8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宋体" w:hAnsi="宋体" w:cs="宋体" w:eastAsia="宋体" w:hint="default"/>
                <w:sz w:val="20"/>
                <w:szCs w:val="20"/>
              </w:rPr>
              <w:t>年</w:t>
            </w:r>
          </w:p>
        </w:tc>
        <w:tc>
          <w:tcPr>
            <w:tcW w:w="3217" w:type="dxa"/>
            <w:tcBorders>
              <w:top w:val="single" w:sz="12" w:space="0" w:color="000000"/>
              <w:left w:val="single" w:sz="6" w:space="0" w:color="000000"/>
              <w:bottom w:val="single" w:sz="12" w:space="0" w:color="000000"/>
              <w:right w:val="nil" w:sz="6" w:space="0" w:color="auto"/>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对应销售项目尚未收款，暂缓付款</w:t>
            </w:r>
          </w:p>
        </w:tc>
      </w:tr>
      <w:tr>
        <w:trPr>
          <w:trHeight w:val="352" w:hRule="exact"/>
        </w:trPr>
        <w:tc>
          <w:tcPr>
            <w:tcW w:w="3016"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1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3"/>
              <w:ind w:left="106" w:right="0"/>
              <w:jc w:val="center"/>
              <w:rPr>
                <w:rFonts w:ascii="Times New Roman" w:hAnsi="Times New Roman" w:cs="Times New Roman" w:eastAsia="Times New Roman" w:hint="default"/>
                <w:sz w:val="20"/>
                <w:szCs w:val="20"/>
              </w:rPr>
            </w:pPr>
            <w:r>
              <w:rPr>
                <w:rFonts w:ascii="Times New Roman"/>
                <w:b/>
                <w:sz w:val="20"/>
              </w:rPr>
              <w:t>5,812,017.09</w:t>
            </w:r>
            <w:r>
              <w:rPr>
                <w:rFonts w:ascii="Times New Roman"/>
                <w:sz w:val="20"/>
              </w:rPr>
            </w:r>
          </w:p>
        </w:tc>
        <w:tc>
          <w:tcPr>
            <w:tcW w:w="1121" w:type="dxa"/>
            <w:tcBorders>
              <w:top w:val="single" w:sz="12" w:space="0" w:color="000000"/>
              <w:left w:val="single" w:sz="6" w:space="0" w:color="000000"/>
              <w:bottom w:val="single" w:sz="12" w:space="0" w:color="000000"/>
              <w:right w:val="single" w:sz="6" w:space="0" w:color="000000"/>
            </w:tcBorders>
          </w:tcPr>
          <w:p>
            <w:pPr/>
          </w:p>
        </w:tc>
        <w:tc>
          <w:tcPr>
            <w:tcW w:w="3217" w:type="dxa"/>
            <w:tcBorders>
              <w:top w:val="single" w:sz="12" w:space="0" w:color="000000"/>
              <w:left w:val="single" w:sz="6" w:space="0" w:color="000000"/>
              <w:bottom w:val="single" w:sz="12" w:space="0" w:color="000000"/>
              <w:right w:val="nil" w:sz="6" w:space="0" w:color="auto"/>
            </w:tcBorders>
          </w:tcPr>
          <w:p>
            <w:pPr/>
          </w:p>
        </w:tc>
      </w:tr>
    </w:tbl>
    <w:p>
      <w:pPr>
        <w:pStyle w:val="BodyText"/>
        <w:spacing w:line="408" w:lineRule="auto" w:before="63"/>
        <w:ind w:right="102" w:firstLine="420"/>
        <w:jc w:val="left"/>
      </w:pPr>
      <w:r>
        <w:rPr>
          <w:spacing w:val="-1"/>
        </w:rPr>
        <w:t>应付账款较上年同期增长88.54%，主要系随着公司业务发展增加项目存货采购，公司在期末未到付款</w:t>
      </w:r>
      <w:r>
        <w:rPr/>
        <w:t> 期的应付款项比去年增加所致。</w:t>
      </w:r>
    </w:p>
    <w:p>
      <w:pPr>
        <w:spacing w:line="240" w:lineRule="auto" w:before="8"/>
        <w:rPr>
          <w:rFonts w:ascii="宋体" w:hAnsi="宋体" w:cs="宋体" w:eastAsia="宋体" w:hint="default"/>
          <w:sz w:val="20"/>
          <w:szCs w:val="20"/>
        </w:rPr>
      </w:pPr>
    </w:p>
    <w:p>
      <w:pPr>
        <w:pStyle w:val="Heading3"/>
        <w:spacing w:line="240" w:lineRule="auto"/>
        <w:ind w:left="153" w:right="102"/>
        <w:jc w:val="left"/>
        <w:rPr>
          <w:b w:val="0"/>
          <w:bCs w:val="0"/>
        </w:rPr>
      </w:pPr>
      <w:r>
        <w:rPr>
          <w:rFonts w:ascii="Times New Roman" w:hAnsi="Times New Roman" w:cs="Times New Roman" w:eastAsia="Times New Roman" w:hint="default"/>
        </w:rPr>
        <w:t>14</w:t>
      </w:r>
      <w:r>
        <w:rPr/>
        <w:t>、预收账款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2"/>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22"/>
      </w:tblGrid>
      <w:tr>
        <w:trPr>
          <w:trHeight w:val="401"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130,510,326.16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9,824,580.30</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2,017,218.30</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132,527,544.46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9,824,580.30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20"/>
        </w:sectPr>
      </w:pPr>
    </w:p>
    <w:p>
      <w:pPr>
        <w:spacing w:line="240" w:lineRule="auto" w:before="10"/>
        <w:rPr>
          <w:rFonts w:ascii="宋体" w:hAnsi="宋体" w:cs="宋体" w:eastAsia="宋体" w:hint="default"/>
          <w:sz w:val="24"/>
          <w:szCs w:val="24"/>
        </w:rPr>
      </w:pPr>
    </w:p>
    <w:p>
      <w:pPr>
        <w:spacing w:line="520" w:lineRule="auto" w:before="35"/>
        <w:ind w:left="154" w:right="740" w:hanging="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）账龄超过一年的大额预收账款情况的说明</w:t>
      </w:r>
      <w:r>
        <w:rPr>
          <w:rFonts w:ascii="宋体" w:hAnsi="宋体" w:cs="宋体" w:eastAsia="宋体" w:hint="default"/>
          <w:b/>
          <w:bCs/>
          <w:w w:val="99"/>
          <w:sz w:val="21"/>
          <w:szCs w:val="21"/>
        </w:rPr>
        <w:t> </w:t>
      </w:r>
      <w:r>
        <w:rPr>
          <w:rFonts w:ascii="宋体" w:hAnsi="宋体" w:cs="宋体" w:eastAsia="宋体" w:hint="default"/>
          <w:sz w:val="21"/>
          <w:szCs w:val="21"/>
        </w:rPr>
        <w:t>预收款项较上年同期增长1248.94%，主要系收到客户款项而相应销售项目尚未完成最终验收所致。 </w:t>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before="7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7"/>
        <w:gridCol w:w="1861"/>
        <w:gridCol w:w="1993"/>
        <w:gridCol w:w="2257"/>
        <w:gridCol w:w="1860"/>
      </w:tblGrid>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613,785.62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88,219,259.47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81,026,640.80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7,806,404.29</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1" w:type="dxa"/>
            <w:tcBorders>
              <w:top w:val="single" w:sz="4" w:space="0" w:color="000000"/>
              <w:left w:val="single" w:sz="13" w:space="0" w:color="D3D3D3"/>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213,315.50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213,315.50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1" w:type="dxa"/>
            <w:tcBorders>
              <w:top w:val="single" w:sz="4" w:space="0" w:color="000000"/>
              <w:left w:val="single" w:sz="13" w:space="0" w:color="D3D3D3"/>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10,256,140.53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10,256,140.53</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医疗保险费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3,268,107.36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3,268,107.36</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5,837,073.55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5,837,073.55</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318,175.51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318,175.51</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209,034.53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209,034.53</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238,944.85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238,944.85</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补充医疗保险</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384,804.73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384,804.73</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3,494,103.60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3,494,103.60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188,947.38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3,834,751.16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3,445,809.34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577,889.20</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2"/>
              <w:jc w:val="left"/>
              <w:rPr>
                <w:rFonts w:ascii="宋体" w:hAnsi="宋体" w:cs="宋体" w:eastAsia="宋体" w:hint="default"/>
                <w:sz w:val="18"/>
                <w:szCs w:val="18"/>
              </w:rPr>
            </w:pPr>
            <w:r>
              <w:rPr>
                <w:rFonts w:ascii="宋体" w:hAnsi="宋体" w:cs="宋体" w:eastAsia="宋体" w:hint="default"/>
                <w:sz w:val="18"/>
                <w:szCs w:val="18"/>
              </w:rPr>
              <w:t>工会经费和职工教 育经费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188,947.38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3,834,751.16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3,445,809.34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577,889.20</w:t>
            </w:r>
          </w:p>
        </w:tc>
      </w:tr>
      <w:tr>
        <w:trPr>
          <w:trHeight w:val="403"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802,733.00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106,017,570.26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98,436,009.77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8,384,293.49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应付职工薪酬中属于拖欠性质的金额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工会经费和职工教育经费金额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577,889.20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元，非货币性福利金额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元，因解除劳动关系给予补偿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BodyText"/>
        <w:spacing w:line="408" w:lineRule="auto" w:before="155"/>
        <w:ind w:left="577" w:right="212" w:hanging="424"/>
        <w:jc w:val="left"/>
      </w:pPr>
      <w:r>
        <w:rPr/>
        <w:t>应付职工薪酬说明 应付职工薪酬较上年同期增长944.47%，主要系公司2012年业务快速发展导致人员增加，计提的应付</w:t>
      </w:r>
    </w:p>
    <w:p>
      <w:pPr>
        <w:pStyle w:val="BodyText"/>
        <w:spacing w:line="240" w:lineRule="auto"/>
        <w:ind w:left="153" w:right="0"/>
        <w:jc w:val="left"/>
      </w:pPr>
      <w:r>
        <w:rPr/>
        <w:t>职工薪酬增加所致。</w:t>
      </w:r>
    </w:p>
    <w:p>
      <w:pPr>
        <w:spacing w:line="240" w:lineRule="auto" w:before="0"/>
        <w:rPr>
          <w:rFonts w:ascii="宋体" w:hAnsi="宋体" w:cs="宋体" w:eastAsia="宋体" w:hint="default"/>
          <w:sz w:val="20"/>
          <w:szCs w:val="20"/>
        </w:rPr>
      </w:pPr>
    </w:p>
    <w:p>
      <w:pPr>
        <w:pStyle w:val="Heading3"/>
        <w:spacing w:line="240" w:lineRule="auto" w:before="154"/>
        <w:ind w:left="153" w:right="0"/>
        <w:jc w:val="left"/>
        <w:rPr>
          <w:b w:val="0"/>
          <w:bCs w:val="0"/>
        </w:rPr>
      </w:pPr>
      <w:r>
        <w:rPr>
          <w:rFonts w:ascii="Times New Roman" w:hAnsi="Times New Roman" w:cs="Times New Roman" w:eastAsia="Times New Roman" w:hint="default"/>
        </w:rPr>
        <w:t>16</w:t>
      </w:r>
      <w:r>
        <w:rPr/>
        <w:t>、应交税费</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099"/>
        <w:gridCol w:w="2800"/>
        <w:gridCol w:w="2657"/>
      </w:tblGrid>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-27,486,497.37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3,526,176.71</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750,385.78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1,052,168.54</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3,984,198.85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3,835,277.09</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681,279.95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283,321.03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122"/>
        <w:gridCol w:w="2789"/>
        <w:gridCol w:w="2657"/>
      </w:tblGrid>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190,938.86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477,383.46</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118,790.29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204,592.90</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-21,760,903.64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9,378,919.73</w:t>
            </w:r>
          </w:p>
        </w:tc>
      </w:tr>
    </w:tbl>
    <w:p>
      <w:pPr>
        <w:pStyle w:val="BodyText"/>
        <w:spacing w:line="240" w:lineRule="auto" w:before="63"/>
        <w:ind w:right="0"/>
        <w:jc w:val="left"/>
      </w:pPr>
      <w:r>
        <w:rPr/>
        <w:t>应交税费说明</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t>应交税费较上年同期减少332.02%，主要系销售项目尚未完成终验，预收款项尚未结转销售而导致应 </w:t>
      </w:r>
      <w:r>
        <w:rPr>
          <w:spacing w:val="-1"/>
        </w:rPr>
        <w:t>交销项税下降，同时，公司为在执行项目采购存货及为研发项目采购固定资产，对应的可抵扣进项税金大</w:t>
      </w:r>
      <w:r>
        <w:rPr>
          <w:spacing w:val="-83"/>
        </w:rPr>
        <w:t> </w:t>
      </w:r>
      <w:r>
        <w:rPr>
          <w:spacing w:val="-83"/>
        </w:rPr>
      </w:r>
      <w:r>
        <w:rPr/>
        <w:t>幅增加所致。</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17</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7,476,475.63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2,760,254.94</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241,087.18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171,962.18</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165,000.00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7,882,562.81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2,932,217.12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18</w:t>
      </w:r>
      <w:r>
        <w:rPr/>
        <w:t>、其他非流动负债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2790"/>
        <w:gridCol w:w="3055"/>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票据影像交换平台项目专项资金</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基于影像可配置的金融集中作业系统项目资金</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情报信息系统软件研发专项资金</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服务管理系统软件项目专项资金</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互联网情报搜索系统项目资金</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海淀区促进非公有制和中小企业发展专项资金</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300,000.00</w:t>
            </w:r>
          </w:p>
        </w:tc>
      </w:tr>
      <w:tr>
        <w:trPr>
          <w:trHeight w:val="714"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面向云计算基于虚拟化技术的分布式计算管理 系统平台项目</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移动电子商务公共服务平台项目</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4,420,000.00</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综合运维管理软件</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海淀科委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XBRL</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基本计划</w:t>
            </w:r>
          </w:p>
        </w:tc>
        <w:tc>
          <w:tcPr>
            <w:tcW w:w="2790" w:type="dxa"/>
            <w:tcBorders>
              <w:top w:val="single" w:sz="4" w:space="0" w:color="000000"/>
              <w:left w:val="single" w:sz="4" w:space="0" w:color="000000"/>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北京市科技计划项目</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移动支付安全中间件产业</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800,000.00</w:t>
            </w:r>
          </w:p>
        </w:tc>
        <w:tc>
          <w:tcPr>
            <w:tcW w:w="30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2"/>
        <w:gridCol w:w="2790"/>
        <w:gridCol w:w="3055"/>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语言的软件应用软件开发</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430,200.00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16,550,200.00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88" w:right="0"/>
              <w:jc w:val="left"/>
              <w:rPr>
                <w:rFonts w:ascii="Times New Roman" w:hAnsi="Times New Roman" w:cs="Times New Roman" w:eastAsia="Times New Roman" w:hint="default"/>
                <w:sz w:val="18"/>
                <w:szCs w:val="18"/>
              </w:rPr>
            </w:pPr>
            <w:r>
              <w:rPr>
                <w:rFonts w:ascii="Times New Roman"/>
                <w:sz w:val="18"/>
              </w:rPr>
              <w:t>12,920,000.00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其他非流动负债说明</w:t>
      </w:r>
    </w:p>
    <w:p>
      <w:pPr>
        <w:spacing w:line="240" w:lineRule="auto" w:before="12"/>
        <w:rPr>
          <w:rFonts w:ascii="宋体" w:hAnsi="宋体" w:cs="宋体" w:eastAsia="宋体" w:hint="default"/>
          <w:sz w:val="12"/>
          <w:szCs w:val="12"/>
        </w:rPr>
      </w:pPr>
    </w:p>
    <w:p>
      <w:pPr>
        <w:pStyle w:val="BodyText"/>
        <w:spacing w:line="408" w:lineRule="auto" w:before="0"/>
        <w:ind w:right="147" w:firstLine="423"/>
        <w:jc w:val="both"/>
      </w:pPr>
      <w:r>
        <w:rPr/>
        <w:t>1.2007年4月，中关村科技园区海淀园管理委员会拨付子公司中科商务的面向现代化商业银行的票据</w:t>
      </w:r>
      <w:r>
        <w:rPr>
          <w:spacing w:val="2"/>
        </w:rPr>
        <w:t> </w:t>
      </w:r>
      <w:r>
        <w:rPr/>
        <w:t>影像交换平台项目资金70.00万元。</w:t>
      </w:r>
    </w:p>
    <w:p>
      <w:pPr>
        <w:pStyle w:val="BodyText"/>
        <w:spacing w:line="408" w:lineRule="auto"/>
        <w:ind w:right="147" w:firstLine="423"/>
        <w:jc w:val="both"/>
      </w:pPr>
      <w:r>
        <w:rPr/>
        <w:t>2.2010年1月，北京市海淀区财政局拨付子公司中科商务的基于影像可配置的金融集中作业系统项目</w:t>
      </w:r>
      <w:r>
        <w:rPr>
          <w:spacing w:val="2"/>
        </w:rPr>
        <w:t> </w:t>
      </w:r>
      <w:r>
        <w:rPr/>
        <w:t>资金40.00万元。</w:t>
      </w:r>
    </w:p>
    <w:p>
      <w:pPr>
        <w:pStyle w:val="BodyText"/>
        <w:spacing w:line="408" w:lineRule="auto"/>
        <w:ind w:right="148" w:firstLine="423"/>
        <w:jc w:val="both"/>
      </w:pPr>
      <w:r>
        <w:rPr>
          <w:spacing w:val="-1"/>
        </w:rPr>
        <w:t>3.2007年11月，北京市工业促进局与公司签定《北京市产业技术成果转化资金拨款项目合同书》，北</w:t>
      </w:r>
      <w:r>
        <w:rPr/>
        <w:t> </w:t>
      </w:r>
      <w:r>
        <w:rPr>
          <w:spacing w:val="-3"/>
        </w:rPr>
        <w:t>京市工业促进局拨付公司基于智能搜索技术的情报信息系统软件专项资金200.00万元。2008年5月根据《北</w:t>
      </w:r>
      <w:r>
        <w:rPr>
          <w:spacing w:val="-80"/>
        </w:rPr>
        <w:t> </w:t>
      </w:r>
      <w:r>
        <w:rPr>
          <w:spacing w:val="-80"/>
        </w:rPr>
      </w:r>
      <w:r>
        <w:rPr/>
        <w:t>京市产业技术成果转化资金拨款项目合同书》约定，北京市工业促进局加拨专项资金50.00万元。</w:t>
      </w:r>
    </w:p>
    <w:p>
      <w:pPr>
        <w:pStyle w:val="BodyText"/>
        <w:spacing w:line="240" w:lineRule="auto"/>
        <w:ind w:left="577" w:right="0"/>
        <w:jc w:val="left"/>
      </w:pPr>
      <w:r>
        <w:rPr/>
        <w:t>4.2007年12月，北京市海淀区发展和改革委员会拨付公司IT服务管理系统软件项目专项资金30.00万</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元。</w:t>
      </w:r>
    </w:p>
    <w:p>
      <w:pPr>
        <w:spacing w:line="240" w:lineRule="auto" w:before="10"/>
        <w:rPr>
          <w:rFonts w:ascii="宋体" w:hAnsi="宋体" w:cs="宋体" w:eastAsia="宋体" w:hint="default"/>
          <w:sz w:val="14"/>
          <w:szCs w:val="14"/>
        </w:rPr>
      </w:pPr>
    </w:p>
    <w:p>
      <w:pPr>
        <w:pStyle w:val="BodyText"/>
        <w:spacing w:line="408" w:lineRule="auto" w:before="0"/>
        <w:ind w:right="150" w:firstLine="423"/>
        <w:jc w:val="both"/>
      </w:pPr>
      <w:r>
        <w:rPr>
          <w:spacing w:val="-1"/>
        </w:rPr>
        <w:t>5.2007年12月，中关村科技园区海淀园管理委员会拨付公司基于聚类分析技术的互联网情报搜索系统</w:t>
      </w:r>
      <w:r>
        <w:rPr/>
        <w:t> 项目资金70.00万元。</w:t>
      </w:r>
    </w:p>
    <w:p>
      <w:pPr>
        <w:pStyle w:val="BodyText"/>
        <w:spacing w:line="408" w:lineRule="auto"/>
        <w:ind w:right="150" w:firstLine="423"/>
        <w:jc w:val="both"/>
      </w:pPr>
      <w:r>
        <w:rPr/>
        <w:t>6.2008年12月，北京市海淀区财政局拨付海淀区促进非公有制和中小企业发展专项资金30.00万元， 用于银行提回票据集中自动处理系统项目。</w:t>
      </w:r>
    </w:p>
    <w:p>
      <w:pPr>
        <w:pStyle w:val="BodyText"/>
        <w:spacing w:line="408" w:lineRule="auto"/>
        <w:ind w:right="150" w:firstLine="423"/>
        <w:jc w:val="both"/>
      </w:pPr>
      <w:r>
        <w:rPr>
          <w:spacing w:val="-1"/>
        </w:rPr>
        <w:t>7.2010年12月，根据2010年海淀区促进重点创新型企业发展专项资金支持企业名单，公司获得产业化</w:t>
      </w:r>
      <w:r>
        <w:rPr/>
        <w:t> </w:t>
      </w:r>
      <w:r>
        <w:rPr>
          <w:spacing w:val="-2"/>
        </w:rPr>
        <w:t>资助200.00万元，用于面向云计算基于虚拟化技术的分布式计算管理系统平台项目。公司于2010年12月29</w:t>
      </w:r>
      <w:r>
        <w:rPr>
          <w:spacing w:val="-72"/>
        </w:rPr>
        <w:t> </w:t>
      </w:r>
      <w:r>
        <w:rPr>
          <w:spacing w:val="-72"/>
        </w:rPr>
      </w:r>
      <w:r>
        <w:rPr/>
        <w:t>日收到此笔款项。</w:t>
      </w:r>
    </w:p>
    <w:p>
      <w:pPr>
        <w:pStyle w:val="BodyText"/>
        <w:spacing w:line="240" w:lineRule="auto"/>
        <w:ind w:left="577" w:right="0"/>
        <w:jc w:val="left"/>
      </w:pPr>
      <w:r>
        <w:rPr>
          <w:spacing w:val="5"/>
        </w:rPr>
        <w:t>8.2011年6月21日，根据京发改[2011]1008号文件，北京市发展和改革委员会办公室拨付补助资金</w:t>
      </w:r>
      <w:r>
        <w:rPr/>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442.00万元，公司于2011年12月7日收到此笔款项，该项目建设期为两年。</w:t>
      </w:r>
    </w:p>
    <w:p>
      <w:pPr>
        <w:spacing w:line="240" w:lineRule="auto" w:before="10"/>
        <w:rPr>
          <w:rFonts w:ascii="宋体" w:hAnsi="宋体" w:cs="宋体" w:eastAsia="宋体" w:hint="default"/>
          <w:sz w:val="14"/>
          <w:szCs w:val="14"/>
        </w:rPr>
      </w:pPr>
    </w:p>
    <w:p>
      <w:pPr>
        <w:pStyle w:val="BodyText"/>
        <w:spacing w:line="408" w:lineRule="auto" w:before="0"/>
        <w:ind w:right="151" w:firstLine="423"/>
        <w:jc w:val="both"/>
      </w:pPr>
      <w:r>
        <w:rPr/>
        <w:t>9.2011年11月4日，根据中关村科技园管理委员会第18次专题会研究决定支付公司100.00万元，作为 发展综合运维管理软件的专项资金，公司于2011年12月2日收到此笔款项。</w:t>
      </w:r>
    </w:p>
    <w:p>
      <w:pPr>
        <w:pStyle w:val="BodyText"/>
        <w:spacing w:line="408" w:lineRule="auto"/>
        <w:ind w:right="147" w:firstLine="423"/>
        <w:jc w:val="both"/>
      </w:pPr>
      <w:r>
        <w:rPr/>
        <w:t>10.2011年11月24日，根据北京市海淀区科学技术委员会海科发[2011]96号文件，海淀区科学技术委</w:t>
      </w:r>
      <w:r>
        <w:rPr>
          <w:spacing w:val="2"/>
        </w:rPr>
        <w:t> </w:t>
      </w:r>
      <w:r>
        <w:rPr/>
        <w:t>员会拨付公司60.00万，用于海淀科委XBRL基本计划，公司于2011年12月15日收到此笔款项。2012年9月3</w:t>
      </w:r>
      <w:r>
        <w:rPr>
          <w:spacing w:val="-42"/>
        </w:rPr>
        <w:t> </w:t>
      </w:r>
      <w:r>
        <w:rPr>
          <w:spacing w:val="-42"/>
        </w:rPr>
      </w:r>
      <w:r>
        <w:rPr/>
        <w:t>日，北京市海淀区科学技术委员会已对该项目进行了相应的验收。</w:t>
      </w:r>
    </w:p>
    <w:p>
      <w:pPr>
        <w:pStyle w:val="BodyText"/>
        <w:spacing w:line="408" w:lineRule="auto"/>
        <w:ind w:right="149" w:firstLine="423"/>
        <w:jc w:val="both"/>
      </w:pPr>
      <w:r>
        <w:rPr>
          <w:spacing w:val="-1"/>
        </w:rPr>
        <w:t>11.2012年7月，北京市科学技术委员会与公司签订《北京市科技计划课题任务书》，北京市科技技术</w:t>
      </w:r>
      <w:r>
        <w:rPr/>
        <w:t> </w:t>
      </w:r>
      <w:r>
        <w:rPr>
          <w:spacing w:val="-1"/>
        </w:rPr>
        <w:t>委员会拨付基于云计算的海量数据智能处理关键技术研发及示范应用科技经费300.00万元，公司于2012年</w:t>
      </w:r>
      <w:r>
        <w:rPr>
          <w:spacing w:val="-78"/>
        </w:rPr>
        <w:t> </w:t>
      </w:r>
      <w:r>
        <w:rPr>
          <w:spacing w:val="-78"/>
        </w:rPr>
      </w:r>
      <w:r>
        <w:rPr/>
        <w:t>12月收到此笔款项。</w:t>
      </w:r>
    </w:p>
    <w:p>
      <w:pPr>
        <w:pStyle w:val="BodyText"/>
        <w:spacing w:line="240" w:lineRule="auto"/>
        <w:ind w:left="577" w:right="0"/>
        <w:jc w:val="left"/>
      </w:pPr>
      <w:r>
        <w:rPr/>
        <w:t>12.2012年11月，科技部火炬高技术产业开发中心与公司签订《科技开发项目任务书》，拨付基于移</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4"/>
        <w:ind w:left="577" w:right="0" w:hanging="424"/>
        <w:jc w:val="left"/>
      </w:pPr>
      <w:r>
        <w:rPr/>
        <w:t>动支付安全中间件产业化预算款80.00万元，公司于2012年9月收到此笔款项。 </w:t>
      </w:r>
      <w:r>
        <w:rPr>
          <w:spacing w:val="-1"/>
        </w:rPr>
        <w:t>13.2012年1月，中华人民共和国科学技术部与公司签订《国家科技重大专项课题任务合同书》，拨付</w:t>
      </w:r>
    </w:p>
    <w:p>
      <w:pPr>
        <w:pStyle w:val="BodyText"/>
        <w:spacing w:line="240" w:lineRule="auto"/>
        <w:ind w:right="0"/>
        <w:jc w:val="left"/>
      </w:pPr>
      <w:r>
        <w:rPr/>
        <w:t>基于C语言的移动应用软件开发118.94万元，公司于2012年11月收到43.02万项目款。</w:t>
      </w:r>
    </w:p>
    <w:p>
      <w:pPr>
        <w:spacing w:line="240" w:lineRule="auto" w:before="0"/>
        <w:rPr>
          <w:rFonts w:ascii="宋体" w:hAnsi="宋体" w:cs="宋体" w:eastAsia="宋体" w:hint="default"/>
          <w:sz w:val="20"/>
          <w:szCs w:val="20"/>
        </w:rPr>
      </w:pPr>
    </w:p>
    <w:p>
      <w:pPr>
        <w:pStyle w:val="Heading3"/>
        <w:spacing w:line="240" w:lineRule="auto" w:before="154"/>
        <w:ind w:left="153" w:right="0"/>
        <w:jc w:val="left"/>
        <w:rPr>
          <w:b w:val="0"/>
          <w:bCs w:val="0"/>
        </w:rPr>
      </w:pPr>
      <w:r>
        <w:rPr>
          <w:rFonts w:ascii="Times New Roman" w:hAnsi="Times New Roman" w:cs="Times New Roman" w:eastAsia="Times New Roman" w:hint="default"/>
        </w:rPr>
        <w:t>19</w:t>
      </w:r>
      <w:r>
        <w:rPr/>
        <w:t>、股本</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5"/>
        <w:gridCol w:w="1207"/>
        <w:gridCol w:w="1184"/>
        <w:gridCol w:w="1196"/>
        <w:gridCol w:w="1196"/>
        <w:gridCol w:w="1196"/>
        <w:gridCol w:w="1184"/>
        <w:gridCol w:w="1207"/>
      </w:tblGrid>
      <w:tr>
        <w:trPr>
          <w:trHeight w:val="206" w:hRule="exact"/>
        </w:trPr>
        <w:tc>
          <w:tcPr>
            <w:tcW w:w="11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207" w:type="dxa"/>
            <w:tcBorders>
              <w:top w:val="single" w:sz="4" w:space="0" w:color="000000"/>
              <w:left w:val="single" w:sz="4" w:space="0" w:color="000000"/>
              <w:bottom w:val="nil" w:sz="6" w:space="0" w:color="auto"/>
              <w:right w:val="single" w:sz="4" w:space="0" w:color="000000"/>
            </w:tcBorders>
            <w:shd w:val="clear" w:color="auto" w:fill="D3D3D3"/>
          </w:tcPr>
          <w:p>
            <w:pPr/>
          </w:p>
        </w:tc>
        <w:tc>
          <w:tcPr>
            <w:tcW w:w="5957"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20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6" w:hRule="exact"/>
        </w:trPr>
        <w:tc>
          <w:tcPr>
            <w:tcW w:w="1185" w:type="dxa"/>
            <w:vMerge w:val="restart"/>
            <w:tcBorders>
              <w:top w:val="nil" w:sz="6" w:space="0" w:color="auto"/>
              <w:left w:val="single" w:sz="4" w:space="0" w:color="000000"/>
              <w:right w:val="single" w:sz="4" w:space="0" w:color="000000"/>
            </w:tcBorders>
            <w:shd w:val="clear" w:color="auto" w:fill="D3D3D3"/>
          </w:tcPr>
          <w:p>
            <w:pPr/>
          </w:p>
        </w:tc>
        <w:tc>
          <w:tcPr>
            <w:tcW w:w="120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57" w:type="dxa"/>
            <w:gridSpan w:val="5"/>
            <w:vMerge/>
            <w:tcBorders>
              <w:left w:val="single" w:sz="4" w:space="0" w:color="000000"/>
              <w:bottom w:val="single" w:sz="4" w:space="0" w:color="000000"/>
              <w:right w:val="single" w:sz="4" w:space="0" w:color="000000"/>
            </w:tcBorders>
            <w:shd w:val="clear" w:color="auto" w:fill="D3D3D3"/>
          </w:tcPr>
          <w:p>
            <w:pPr/>
          </w:p>
        </w:tc>
        <w:tc>
          <w:tcPr>
            <w:tcW w:w="120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7" w:hRule="exact"/>
        </w:trPr>
        <w:tc>
          <w:tcPr>
            <w:tcW w:w="1185" w:type="dxa"/>
            <w:vMerge/>
            <w:tcBorders>
              <w:left w:val="single" w:sz="4" w:space="0" w:color="000000"/>
              <w:bottom w:val="nil" w:sz="6" w:space="0" w:color="auto"/>
              <w:right w:val="single" w:sz="4" w:space="0" w:color="000000"/>
            </w:tcBorders>
            <w:shd w:val="clear" w:color="auto" w:fill="D3D3D3"/>
          </w:tcPr>
          <w:p>
            <w:pPr/>
          </w:p>
        </w:tc>
        <w:tc>
          <w:tcPr>
            <w:tcW w:w="1207" w:type="dxa"/>
            <w:vMerge/>
            <w:tcBorders>
              <w:left w:val="single" w:sz="4" w:space="0" w:color="000000"/>
              <w:bottom w:val="nil" w:sz="6" w:space="0" w:color="auto"/>
              <w:right w:val="single" w:sz="4" w:space="0" w:color="000000"/>
            </w:tcBorders>
            <w:shd w:val="clear" w:color="auto" w:fill="D3D3D3"/>
          </w:tcPr>
          <w:p>
            <w:pPr/>
          </w:p>
        </w:tc>
        <w:tc>
          <w:tcPr>
            <w:tcW w:w="11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3D3D3"/>
          </w:tcPr>
          <w:p>
            <w:pPr/>
          </w:p>
        </w:tc>
      </w:tr>
      <w:tr>
        <w:trPr>
          <w:trHeight w:val="205" w:hRule="exact"/>
        </w:trPr>
        <w:tc>
          <w:tcPr>
            <w:tcW w:w="11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7"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4"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84" w:type="dxa"/>
            <w:vMerge/>
            <w:tcBorders>
              <w:left w:val="single" w:sz="4" w:space="0" w:color="000000"/>
              <w:bottom w:val="single" w:sz="4" w:space="0" w:color="000000"/>
              <w:right w:val="single" w:sz="4" w:space="0" w:color="000000"/>
            </w:tcBorders>
            <w:shd w:val="clear" w:color="auto" w:fill="D3D3D3"/>
          </w:tcPr>
          <w:p>
            <w:pPr/>
          </w:p>
        </w:tc>
        <w:tc>
          <w:tcPr>
            <w:tcW w:w="120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1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116" w:right="0"/>
              <w:jc w:val="left"/>
              <w:rPr>
                <w:rFonts w:ascii="Times New Roman" w:hAnsi="Times New Roman" w:cs="Times New Roman" w:eastAsia="Times New Roman" w:hint="default"/>
                <w:sz w:val="18"/>
                <w:szCs w:val="18"/>
              </w:rPr>
            </w:pPr>
            <w:r>
              <w:rPr>
                <w:rFonts w:ascii="Times New Roman"/>
                <w:sz w:val="18"/>
              </w:rPr>
              <w:t>52,347,534.00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17,450,000.00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17,450,000.00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left"/>
              <w:rPr>
                <w:rFonts w:ascii="Times New Roman" w:hAnsi="Times New Roman" w:cs="Times New Roman" w:eastAsia="Times New Roman" w:hint="default"/>
                <w:sz w:val="18"/>
                <w:szCs w:val="18"/>
              </w:rPr>
            </w:pPr>
            <w:r>
              <w:rPr>
                <w:rFonts w:ascii="Times New Roman"/>
                <w:sz w:val="18"/>
              </w:rPr>
              <w:t>69,797,534.00</w:t>
            </w:r>
          </w:p>
        </w:tc>
      </w:tr>
    </w:tbl>
    <w:p>
      <w:pPr>
        <w:pStyle w:val="BodyText"/>
        <w:spacing w:line="374" w:lineRule="auto" w:before="26"/>
        <w:ind w:left="577" w:right="0" w:hanging="424"/>
        <w:jc w:val="left"/>
      </w:pPr>
      <w:r>
        <w:rPr/>
        <w:t>股本变动情况说明 2012年2月，根据公司2011年度第一次临时股东大会决议及修改后的公司章程，经中国证券监督管理</w:t>
      </w:r>
    </w:p>
    <w:p>
      <w:pPr>
        <w:pStyle w:val="BodyText"/>
        <w:spacing w:line="408" w:lineRule="auto" w:before="75"/>
        <w:ind w:left="153" w:right="125"/>
        <w:jc w:val="both"/>
      </w:pPr>
      <w:r>
        <w:rPr/>
        <w:t>委员会证监许可（2012）152号文《关于核准北京中科金财科技股份有限公司首次公开发行股票的批复》</w:t>
      </w:r>
      <w:r>
        <w:rPr>
          <w:spacing w:val="-38"/>
        </w:rPr>
        <w:t> </w:t>
      </w:r>
      <w:r>
        <w:rPr>
          <w:spacing w:val="-38"/>
        </w:rPr>
      </w:r>
      <w:r>
        <w:rPr/>
        <w:t>核准，公司向社会公开发行人民币普通股股票1,745.00万股，发行方式为采用网下向询价对象询价配售与</w:t>
      </w:r>
      <w:r>
        <w:rPr/>
        <w:t> </w:t>
      </w:r>
      <w:r>
        <w:rPr>
          <w:spacing w:val="22"/>
        </w:rPr>
        <w:t>网上资金申购发行相结合的方式，每股发行价格为人民币</w:t>
      </w:r>
      <w:r>
        <w:rPr>
          <w:spacing w:val="-82"/>
        </w:rPr>
        <w:t> </w:t>
      </w:r>
      <w:r>
        <w:rPr/>
        <w:t>22.00</w:t>
      </w:r>
      <w:r>
        <w:rPr>
          <w:spacing w:val="-80"/>
        </w:rPr>
        <w:t> </w:t>
      </w:r>
      <w:r>
        <w:rPr>
          <w:spacing w:val="21"/>
        </w:rPr>
        <w:t>元，变更后的注册资本为人民币</w:t>
      </w:r>
      <w:r>
        <w:rPr>
          <w:spacing w:val="-103"/>
        </w:rPr>
        <w:t> </w:t>
      </w:r>
      <w:r>
        <w:rPr/>
        <w:t>69,797,534.00元。实际募集股款为人民币333,733,517.24元高于新增注册资本的316,283,517.24元计入</w:t>
      </w:r>
      <w:r>
        <w:rPr>
          <w:spacing w:val="-50"/>
        </w:rPr>
        <w:t> </w:t>
      </w:r>
      <w:r>
        <w:rPr>
          <w:spacing w:val="-50"/>
        </w:rPr>
      </w:r>
      <w:r>
        <w:rPr>
          <w:spacing w:val="16"/>
        </w:rPr>
        <w:t>资本公积。</w:t>
      </w:r>
      <w:r>
        <w:rPr>
          <w:spacing w:val="-83"/>
        </w:rPr>
        <w:t> </w:t>
      </w:r>
      <w:r>
        <w:rPr>
          <w:spacing w:val="18"/>
        </w:rPr>
        <w:t>增资后的股权结构为：</w:t>
      </w:r>
      <w:r>
        <w:rPr>
          <w:spacing w:val="-83"/>
        </w:rPr>
        <w:t> </w:t>
      </w:r>
      <w:r>
        <w:rPr>
          <w:spacing w:val="15"/>
        </w:rPr>
        <w:t>沈飒持有</w:t>
      </w:r>
      <w:r>
        <w:rPr>
          <w:spacing w:val="-84"/>
        </w:rPr>
        <w:t> </w:t>
      </w:r>
      <w:r>
        <w:rPr/>
        <w:t>15,859,144.00</w:t>
      </w:r>
      <w:r>
        <w:rPr>
          <w:spacing w:val="-86"/>
        </w:rPr>
        <w:t> </w:t>
      </w:r>
      <w:r>
        <w:rPr>
          <w:spacing w:val="10"/>
        </w:rPr>
        <w:t>股，</w:t>
      </w:r>
      <w:r>
        <w:rPr>
          <w:spacing w:val="-84"/>
        </w:rPr>
        <w:t> </w:t>
      </w:r>
      <w:r>
        <w:rPr>
          <w:spacing w:val="17"/>
        </w:rPr>
        <w:t>占股本总额的</w:t>
      </w:r>
      <w:r>
        <w:rPr>
          <w:spacing w:val="-84"/>
        </w:rPr>
        <w:t> </w:t>
      </w:r>
      <w:r>
        <w:rPr>
          <w:spacing w:val="2"/>
        </w:rPr>
        <w:t>22.72%；</w:t>
      </w:r>
      <w:r>
        <w:rPr>
          <w:spacing w:val="-84"/>
        </w:rPr>
        <w:t> </w:t>
      </w:r>
      <w:r>
        <w:rPr>
          <w:spacing w:val="16"/>
        </w:rPr>
        <w:t>陈绪华持有</w:t>
      </w:r>
      <w:r>
        <w:rPr>
          <w:spacing w:val="-103"/>
        </w:rPr>
        <w:t> </w:t>
      </w:r>
      <w:r>
        <w:rPr>
          <w:spacing w:val="2"/>
        </w:rPr>
        <w:t>9,942,465.00股，占股本总额的14.25%；蔡迦持有8,509,041.00股，占股本总额的12.19%；李彤彤持有</w:t>
      </w:r>
    </w:p>
    <w:p>
      <w:pPr>
        <w:pStyle w:val="BodyText"/>
        <w:spacing w:line="240" w:lineRule="auto"/>
        <w:ind w:left="153" w:right="0"/>
        <w:jc w:val="both"/>
      </w:pPr>
      <w:r>
        <w:rPr>
          <w:spacing w:val="6"/>
        </w:rPr>
        <w:t>6,099,672.00股，占股本总额的8.74%；盖洪涛持有2,287,376.00股，占股本总额的3.28%；达晨持有</w:t>
      </w:r>
      <w:r>
        <w:rPr/>
      </w:r>
    </w:p>
    <w:p>
      <w:pPr>
        <w:spacing w:line="240" w:lineRule="auto" w:before="10"/>
        <w:rPr>
          <w:rFonts w:ascii="宋体" w:hAnsi="宋体" w:cs="宋体" w:eastAsia="宋体" w:hint="default"/>
          <w:sz w:val="14"/>
          <w:szCs w:val="14"/>
        </w:rPr>
      </w:pPr>
    </w:p>
    <w:p>
      <w:pPr>
        <w:pStyle w:val="BodyText"/>
        <w:spacing w:line="240" w:lineRule="auto" w:before="0"/>
        <w:ind w:left="153" w:right="0"/>
        <w:jc w:val="both"/>
      </w:pPr>
      <w:r>
        <w:rPr/>
        <w:t>4,400,000.00股，占股本总额的6.30%；常春藤持有3,850,000.00股，占股本总额的5.52%；力鼎投资持有</w:t>
      </w:r>
    </w:p>
    <w:p>
      <w:pPr>
        <w:spacing w:line="240" w:lineRule="auto" w:before="10"/>
        <w:rPr>
          <w:rFonts w:ascii="宋体" w:hAnsi="宋体" w:cs="宋体" w:eastAsia="宋体" w:hint="default"/>
          <w:sz w:val="14"/>
          <w:szCs w:val="14"/>
        </w:rPr>
      </w:pPr>
    </w:p>
    <w:p>
      <w:pPr>
        <w:pStyle w:val="BodyText"/>
        <w:spacing w:line="408" w:lineRule="auto" w:before="0"/>
        <w:ind w:left="153" w:right="147"/>
        <w:jc w:val="both"/>
      </w:pPr>
      <w:r>
        <w:rPr>
          <w:spacing w:val="-1"/>
        </w:rPr>
        <w:t>1,069,836.00股，占股本总额的1.53%；孚威创投持有330,000.00股，占股本总额的0.47%；社会公众股股</w:t>
      </w:r>
      <w:r>
        <w:rPr>
          <w:spacing w:val="-96"/>
        </w:rPr>
        <w:t> </w:t>
      </w:r>
      <w:r>
        <w:rPr>
          <w:spacing w:val="-96"/>
        </w:rPr>
      </w:r>
      <w:r>
        <w:rPr/>
        <w:t>东持有17,450,000.00股，占股本总额的25.00%。此次增资业经立信会计师事务所（特殊普通合伙）2012</w:t>
      </w:r>
      <w:r>
        <w:rPr>
          <w:spacing w:val="-45"/>
        </w:rPr>
        <w:t> </w:t>
      </w:r>
      <w:r>
        <w:rPr>
          <w:spacing w:val="-45"/>
        </w:rPr>
      </w:r>
      <w:r>
        <w:rPr/>
        <w:t>年2月23日出具的“信会师报字（2012）第210034号”验资报告验证。</w:t>
      </w:r>
    </w:p>
    <w:p>
      <w:pPr>
        <w:spacing w:line="240" w:lineRule="auto" w:before="8"/>
        <w:rPr>
          <w:rFonts w:ascii="宋体" w:hAnsi="宋体" w:cs="宋体" w:eastAsia="宋体" w:hint="default"/>
          <w:sz w:val="20"/>
          <w:szCs w:val="20"/>
        </w:rPr>
      </w:pPr>
    </w:p>
    <w:p>
      <w:pPr>
        <w:pStyle w:val="Heading3"/>
        <w:spacing w:line="240" w:lineRule="auto"/>
        <w:ind w:left="153" w:right="0"/>
        <w:jc w:val="both"/>
        <w:rPr>
          <w:b w:val="0"/>
          <w:bCs w:val="0"/>
        </w:rPr>
      </w:pPr>
      <w:r>
        <w:rPr>
          <w:rFonts w:ascii="Times New Roman" w:hAnsi="Times New Roman" w:cs="Times New Roman" w:eastAsia="Times New Roman" w:hint="default"/>
        </w:rPr>
        <w:t>20</w:t>
      </w:r>
      <w:r>
        <w:rPr/>
        <w:t>、资本公积</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1"/>
        <w:gridCol w:w="1871"/>
        <w:gridCol w:w="1994"/>
        <w:gridCol w:w="1726"/>
        <w:gridCol w:w="1594"/>
      </w:tblGrid>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43,441,133.28</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316,283,517.24</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359,724,650.52</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31,326.20</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31,326.20</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43,472,459.48</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316,283,517.24</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359,755,976.72</w:t>
            </w:r>
          </w:p>
        </w:tc>
      </w:tr>
    </w:tbl>
    <w:p>
      <w:pPr>
        <w:pStyle w:val="BodyText"/>
        <w:spacing w:line="240" w:lineRule="auto" w:before="63"/>
        <w:ind w:right="0"/>
        <w:jc w:val="left"/>
      </w:pPr>
      <w:r>
        <w:rPr/>
        <w:t>资本公积说明</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t>2012年2月，根据公司2011年度第一次临时股东大会决议及修改后的公司章程，经中国证券监督管理</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4"/>
        <w:ind w:left="153" w:right="0"/>
        <w:jc w:val="left"/>
      </w:pPr>
      <w:r>
        <w:rPr/>
        <w:t>委员会证监许可（2012）152号文《关于核准北京中科金财科技股份有限公司首次公开发行股票的批复》 </w:t>
      </w:r>
      <w:r>
        <w:rPr>
          <w:spacing w:val="-1"/>
        </w:rPr>
        <w:t>核准，公司向社会公开发行人民币普通股股票1,745.00万股，发行方式为采用网下向询价对象询价配售与</w:t>
      </w:r>
      <w:r>
        <w:rPr>
          <w:spacing w:val="-79"/>
        </w:rPr>
        <w:t> </w:t>
      </w:r>
      <w:r>
        <w:rPr>
          <w:spacing w:val="-79"/>
        </w:rPr>
      </w:r>
      <w:r>
        <w:rPr/>
        <w:t>网上资金申购发行相结合的方式，每股发行价格为人民币22.00元，变更后的注册资本为人民币</w:t>
      </w:r>
      <w:r>
        <w:rPr/>
        <w:t> 69,797,534.00元。实际募集股款为人民币333,733,517.24元高于新增注册资本的316,283,517.24元计入 资本公积。</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r>
        <w:rPr>
          <w:rFonts w:ascii="Times New Roman" w:hAnsi="Times New Roman" w:cs="Times New Roman" w:eastAsia="Times New Roman" w:hint="default"/>
        </w:rPr>
        <w:t>21</w:t>
      </w:r>
      <w:r>
        <w:rPr/>
        <w:t>、盈余公积</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1"/>
        <w:gridCol w:w="1871"/>
        <w:gridCol w:w="1994"/>
        <w:gridCol w:w="1726"/>
        <w:gridCol w:w="1594"/>
      </w:tblGrid>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16,622,866.07</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5,960,005.13</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22,582,871.20</w:t>
            </w:r>
          </w:p>
        </w:tc>
      </w:tr>
      <w:tr>
        <w:trPr>
          <w:trHeight w:val="403"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16,622,866.07</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5,960,005.13</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22,582,871.20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5"/>
        <w:ind w:right="0"/>
        <w:jc w:val="left"/>
        <w:rPr>
          <w:b w:val="0"/>
          <w:bCs w:val="0"/>
        </w:rPr>
      </w:pPr>
      <w:r>
        <w:rPr>
          <w:rFonts w:ascii="Times New Roman" w:hAnsi="Times New Roman" w:cs="Times New Roman" w:eastAsia="Times New Roman" w:hint="default"/>
        </w:rPr>
        <w:t>22</w:t>
      </w:r>
      <w:r>
        <w:rPr/>
        <w:t>、未分配利润</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94"/>
        <w:gridCol w:w="3740"/>
        <w:gridCol w:w="2110"/>
      </w:tblGrid>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25"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0"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149,072,235.63</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0"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149,072,235.63</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0"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63,372,945.76</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5,960,005.13</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0"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206,485,176.26</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23</w:t>
      </w:r>
      <w:r>
        <w:rPr/>
        <w:t>、营业收入、营业成本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99"/>
        <w:gridCol w:w="3069"/>
        <w:gridCol w:w="3190"/>
      </w:tblGrid>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518,551,596.94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452,894,490.06</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3,125,060.05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5,998,997.63</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288,296,990.59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293,000,939.95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307,939,476.92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124,698,872.89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284,410,496.34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157,132,050.72</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119,370,905.29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84,890,160.61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96,991,528.80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79,305,109.45</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71,249,502.72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57,033,897.87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69,981,157.22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50,812,161.14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19,991,712.01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18,918,978.92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1,511,307.70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670,503.44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518,551,596.94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285,541,910.29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452,894,490.06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287,919,824.75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服务管理解决方案</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141,665,610.38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25,743,687.95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97,878,455.66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26,544,375.86</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数据中心综合建设解决方案</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300,351,998.72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226,404,571.61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287,670,935.53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219,416,263.69</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银行影像解决方案</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76,533,987.84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33,393,650.73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67,345,098.87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41,959,185.20</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518,551,596.94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285,541,910.29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452,894,490.06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287,919,824.75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6,199,927.55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5,955,661.43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21,292,538.97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19,977,263.50</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436,310,560.55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222,300,955.22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395,667,776.34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252,071,709.09</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32,420,735.13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25,925,877.17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16,630,250.41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5,716,773.51</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6,321,023.59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4,529,122.92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1,359,202.57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596,037.59</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11,374,762.19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11,215,646.16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199,886.09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30,164.73</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24,536,216.89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14,857,386.56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15,685,177.12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7,996,830.61</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1,361,956.87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751,768.35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2,043,222.82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1,527,379.10</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26,414.17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5,492.48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16,435.74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3,666.62</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518,551,596.94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285,541,910.29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452,894,490.06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287,919,824.75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94"/>
        <w:gridCol w:w="2848"/>
        <w:gridCol w:w="4127"/>
      </w:tblGrid>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94"/>
        <w:gridCol w:w="2848"/>
        <w:gridCol w:w="4127"/>
      </w:tblGrid>
      <w:tr>
        <w:trPr>
          <w:trHeight w:val="714"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中经网（北京）数据科技发展有 限公司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71,237,666.12</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13.66%</w:t>
            </w:r>
          </w:p>
        </w:tc>
      </w:tr>
      <w:tr>
        <w:trPr>
          <w:trHeight w:val="714"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北京艾瑞信系统工程技术有限责 任公司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39,318,316.30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7.54%</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华夏银行股份有限公司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34,475,461.84</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6.61%</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中科软科技股份有限公司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25,667,680.69</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陕西航天信息有限公司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22,263,675.25</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192,962,800.20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r>
        <w:rPr>
          <w:rFonts w:ascii="Times New Roman" w:hAnsi="Times New Roman" w:cs="Times New Roman" w:eastAsia="Times New Roman" w:hint="default"/>
        </w:rPr>
        <w:t>24</w:t>
      </w:r>
      <w:r>
        <w:rPr/>
        <w:t>、营业税金及附加</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70"/>
        <w:gridCol w:w="2004"/>
        <w:gridCol w:w="1861"/>
        <w:gridCol w:w="2921"/>
      </w:tblGrid>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1,114,393.77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3,194,655.42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应税收入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1,829,379.42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1,466,653.30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应交流转税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1,158,596.10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628,565.70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应交流转税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w:t>
            </w: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4,102,369.29</w:t>
            </w:r>
          </w:p>
        </w:tc>
        <w:tc>
          <w:tcPr>
            <w:tcW w:w="1861"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5,289,874.42</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r>
        <w:rPr>
          <w:rFonts w:ascii="Times New Roman" w:hAnsi="Times New Roman" w:cs="Times New Roman" w:eastAsia="Times New Roman" w:hint="default"/>
        </w:rPr>
        <w:t>25</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工资及社保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23,358,128.13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6,459,616.52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7,405,642.17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2,371,801.39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3,162,794.58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1,783,452.94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1,112,967.93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781,287.70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1,378,005.57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777,296.63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3,120,926.27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1,495,543.66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39,538,464.65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13,668,998.84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26</w:t>
      </w:r>
      <w:r>
        <w:rPr/>
        <w:t>、管理费用</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工资及社保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48,041,157.19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42,637,155.99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8,367,049.59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7,309,929.47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10,794,505.45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8,596,403.04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7,181,506.40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4,644,289.36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13,140,786.43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2,873,196.41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16,912,710.37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10,525,365.99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6,576,610.51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2,601,777.41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5,385,809.10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3,053,725.90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7,184,140.57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3,816,857.42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3,205,435.62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2,256,613.02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10,539,189.03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3,393,297.55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137,328,900.26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91,708,611.56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27</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2,910,373.47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3,914,355.96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-3,709,039.02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-728,115.93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189,545.06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72,150.57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-609,120.49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3,258,390.60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28</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231"/>
        <w:gridCol w:w="2536"/>
        <w:gridCol w:w="2789"/>
      </w:tblGrid>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934,506.06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2,545,066.68</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934,506.06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2,545,066.68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29</w:t>
      </w:r>
      <w:r>
        <w:rPr/>
        <w:t>、营业外收入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3"/>
        <w:gridCol w:w="1955"/>
        <w:gridCol w:w="2172"/>
        <w:gridCol w:w="2137"/>
      </w:tblGrid>
      <w:tr>
        <w:trPr>
          <w:trHeight w:val="162" w:hRule="exact"/>
        </w:trPr>
        <w:tc>
          <w:tcPr>
            <w:tcW w:w="329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55" w:type="dxa"/>
            <w:tcBorders>
              <w:top w:val="single" w:sz="4" w:space="0" w:color="000000"/>
              <w:left w:val="single" w:sz="4" w:space="0" w:color="000000"/>
              <w:bottom w:val="nil" w:sz="6" w:space="0" w:color="auto"/>
              <w:right w:val="single" w:sz="4" w:space="0" w:color="000000"/>
            </w:tcBorders>
            <w:shd w:val="clear" w:color="auto" w:fill="D3D3D3"/>
          </w:tcPr>
          <w:p>
            <w:pPr/>
          </w:p>
        </w:tc>
        <w:tc>
          <w:tcPr>
            <w:tcW w:w="2172" w:type="dxa"/>
            <w:tcBorders>
              <w:top w:val="single" w:sz="4" w:space="0" w:color="000000"/>
              <w:left w:val="single" w:sz="4" w:space="0" w:color="000000"/>
              <w:bottom w:val="nil" w:sz="6" w:space="0" w:color="auto"/>
              <w:right w:val="single" w:sz="4" w:space="0" w:color="000000"/>
            </w:tcBorders>
            <w:shd w:val="clear" w:color="auto" w:fill="D3D3D3"/>
          </w:tcPr>
          <w:p>
            <w:pPr/>
          </w:p>
        </w:tc>
        <w:tc>
          <w:tcPr>
            <w:tcW w:w="213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83" w:right="71"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0" w:hRule="exact"/>
        </w:trPr>
        <w:tc>
          <w:tcPr>
            <w:tcW w:w="32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2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37" w:type="dxa"/>
            <w:vMerge/>
            <w:tcBorders>
              <w:left w:val="single" w:sz="4" w:space="0" w:color="000000"/>
              <w:right w:val="single" w:sz="4" w:space="0" w:color="000000"/>
            </w:tcBorders>
            <w:shd w:val="clear" w:color="auto" w:fill="D3D3D3"/>
          </w:tcPr>
          <w:p>
            <w:pPr/>
          </w:p>
        </w:tc>
      </w:tr>
      <w:tr>
        <w:trPr>
          <w:trHeight w:val="161" w:hRule="exact"/>
        </w:trPr>
        <w:tc>
          <w:tcPr>
            <w:tcW w:w="329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55" w:type="dxa"/>
            <w:tcBorders>
              <w:top w:val="nil" w:sz="6" w:space="0" w:color="auto"/>
              <w:left w:val="single" w:sz="4" w:space="0" w:color="000000"/>
              <w:bottom w:val="single" w:sz="4" w:space="0" w:color="000000"/>
              <w:right w:val="single" w:sz="4" w:space="0" w:color="000000"/>
            </w:tcBorders>
            <w:shd w:val="clear" w:color="auto" w:fill="D3D3D3"/>
          </w:tcPr>
          <w:p>
            <w:pPr/>
          </w:p>
        </w:tc>
        <w:tc>
          <w:tcPr>
            <w:tcW w:w="2172" w:type="dxa"/>
            <w:tcBorders>
              <w:top w:val="nil" w:sz="6" w:space="0" w:color="auto"/>
              <w:left w:val="single" w:sz="4" w:space="0" w:color="000000"/>
              <w:bottom w:val="single" w:sz="4" w:space="0" w:color="000000"/>
              <w:right w:val="single" w:sz="4" w:space="0" w:color="000000"/>
            </w:tcBorders>
            <w:shd w:val="clear" w:color="auto" w:fill="D3D3D3"/>
          </w:tcPr>
          <w:p>
            <w:pPr/>
          </w:p>
        </w:tc>
        <w:tc>
          <w:tcPr>
            <w:tcW w:w="213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left="880" w:right="0"/>
              <w:jc w:val="left"/>
              <w:rPr>
                <w:rFonts w:ascii="Times New Roman" w:hAnsi="Times New Roman" w:cs="Times New Roman" w:eastAsia="Times New Roman" w:hint="default"/>
                <w:sz w:val="18"/>
                <w:szCs w:val="18"/>
              </w:rPr>
            </w:pPr>
            <w:r>
              <w:rPr>
                <w:rFonts w:ascii="Times New Roman"/>
                <w:sz w:val="18"/>
              </w:rPr>
              <w:t>17,044,401.75</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1"/>
              <w:jc w:val="right"/>
              <w:rPr>
                <w:rFonts w:ascii="Times New Roman" w:hAnsi="Times New Roman" w:cs="Times New Roman" w:eastAsia="Times New Roman" w:hint="default"/>
                <w:sz w:val="18"/>
                <w:szCs w:val="18"/>
              </w:rPr>
            </w:pPr>
            <w:r>
              <w:rPr>
                <w:rFonts w:ascii="Times New Roman"/>
                <w:spacing w:val="-1"/>
                <w:sz w:val="18"/>
              </w:rPr>
              <w:t>14,737,552.25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1" w:right="0"/>
              <w:jc w:val="left"/>
              <w:rPr>
                <w:rFonts w:ascii="Times New Roman" w:hAnsi="Times New Roman" w:cs="Times New Roman" w:eastAsia="Times New Roman" w:hint="default"/>
                <w:sz w:val="18"/>
                <w:szCs w:val="18"/>
              </w:rPr>
            </w:pPr>
            <w:r>
              <w:rPr>
                <w:rFonts w:ascii="Times New Roman"/>
                <w:sz w:val="18"/>
              </w:rPr>
              <w:t>2,685,534.19</w:t>
            </w:r>
          </w:p>
        </w:tc>
      </w:tr>
      <w:tr>
        <w:trPr>
          <w:trHeight w:val="40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5"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1"/>
              <w:jc w:val="right"/>
              <w:rPr>
                <w:rFonts w:ascii="Times New Roman" w:hAnsi="Times New Roman" w:cs="Times New Roman" w:eastAsia="Times New Roman" w:hint="default"/>
                <w:sz w:val="18"/>
                <w:szCs w:val="18"/>
              </w:rPr>
            </w:pPr>
            <w:r>
              <w:rPr>
                <w:rFonts w:ascii="Times New Roman"/>
                <w:sz w:val="18"/>
              </w:rPr>
              <w:t>2,000.00</w:t>
            </w:r>
          </w:p>
        </w:tc>
        <w:tc>
          <w:tcPr>
            <w:tcW w:w="21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81"/>
        <w:gridCol w:w="1966"/>
        <w:gridCol w:w="2160"/>
        <w:gridCol w:w="2160"/>
      </w:tblGrid>
      <w:tr>
        <w:trPr>
          <w:trHeight w:val="402"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6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17,044,401.75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2" w:right="0"/>
              <w:jc w:val="left"/>
              <w:rPr>
                <w:rFonts w:ascii="Times New Roman" w:hAnsi="Times New Roman" w:cs="Times New Roman" w:eastAsia="Times New Roman" w:hint="default"/>
                <w:sz w:val="18"/>
                <w:szCs w:val="18"/>
              </w:rPr>
            </w:pPr>
            <w:r>
              <w:rPr>
                <w:rFonts w:ascii="Times New Roman"/>
                <w:sz w:val="18"/>
              </w:rPr>
              <w:t>14,739,552.25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3" w:right="0"/>
              <w:jc w:val="left"/>
              <w:rPr>
                <w:rFonts w:ascii="Times New Roman" w:hAnsi="Times New Roman" w:cs="Times New Roman" w:eastAsia="Times New Roman" w:hint="default"/>
                <w:sz w:val="18"/>
                <w:szCs w:val="18"/>
              </w:rPr>
            </w:pPr>
            <w:r>
              <w:rPr>
                <w:rFonts w:ascii="Times New Roman"/>
                <w:sz w:val="18"/>
              </w:rPr>
              <w:t>2,685,534.19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0"/>
        <w:gridCol w:w="1993"/>
        <w:gridCol w:w="1993"/>
        <w:gridCol w:w="2921"/>
      </w:tblGrid>
      <w:tr>
        <w:trPr>
          <w:trHeight w:val="402"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增值税返还（注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14,358,867.56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9,026,688.50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713,695.86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385,863.75</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专项应付款（注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1,371,838.33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825,000.00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17,044,401.75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14,737,552.25</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408" w:lineRule="auto" w:before="63"/>
        <w:ind w:right="145" w:firstLine="423"/>
        <w:jc w:val="both"/>
      </w:pPr>
      <w:r>
        <w:rPr/>
        <w:t>注1：根据《关于鼓励软件产业和集成电路产业发展有关税收政策问题的通知》（财税[2000]25号） 文件规定：增值税一般纳税人销售其自行开发生产的软件产品，按17%的法定税率征收增值税后，对其增</w:t>
      </w:r>
      <w:r>
        <w:rPr>
          <w:spacing w:val="-35"/>
        </w:rPr>
        <w:t> </w:t>
      </w:r>
      <w:r>
        <w:rPr>
          <w:spacing w:val="-35"/>
        </w:rPr>
      </w:r>
      <w:r>
        <w:rPr/>
        <w:t>值税实际税负超过3%的部分实行即征即退政策。</w:t>
      </w:r>
    </w:p>
    <w:p>
      <w:pPr>
        <w:pStyle w:val="BodyText"/>
        <w:spacing w:line="408" w:lineRule="auto"/>
        <w:ind w:right="149" w:firstLine="423"/>
        <w:jc w:val="both"/>
      </w:pPr>
      <w:r>
        <w:rPr/>
        <w:t>注2：2011年11月24日，根据北京市海淀区科学技术委员会海科发[2011]96号文件，海淀区科学技术 </w:t>
      </w:r>
      <w:r>
        <w:rPr>
          <w:spacing w:val="-1"/>
        </w:rPr>
        <w:t>委员会拨付公司60.00万，用于海淀科委XBRL基本计划，公司于2011年12月15日收到此笔款项。2012年9月</w:t>
      </w:r>
      <w:r>
        <w:rPr>
          <w:spacing w:val="-80"/>
        </w:rPr>
        <w:t> </w:t>
      </w:r>
      <w:r>
        <w:rPr>
          <w:spacing w:val="-80"/>
        </w:rPr>
      </w:r>
      <w:r>
        <w:rPr/>
        <w:t>3日，北京市海淀区科学技术委员会已对该项目进行了相应的验收。</w:t>
      </w:r>
    </w:p>
    <w:p>
      <w:pPr>
        <w:pStyle w:val="BodyText"/>
        <w:spacing w:line="240" w:lineRule="auto"/>
        <w:ind w:left="577" w:right="0"/>
        <w:jc w:val="left"/>
      </w:pPr>
      <w:r>
        <w:rPr/>
        <w:t>注3：其他主要为2012年收到的租金补贴、保增长补贴、企业发展基金等。</w:t>
      </w:r>
    </w:p>
    <w:p>
      <w:pPr>
        <w:spacing w:line="240" w:lineRule="auto" w:before="0"/>
        <w:rPr>
          <w:rFonts w:ascii="宋体" w:hAnsi="宋体" w:cs="宋体" w:eastAsia="宋体" w:hint="default"/>
          <w:sz w:val="20"/>
          <w:szCs w:val="20"/>
        </w:rPr>
      </w:pPr>
    </w:p>
    <w:p>
      <w:pPr>
        <w:pStyle w:val="Heading3"/>
        <w:spacing w:line="240" w:lineRule="auto" w:before="154"/>
        <w:ind w:left="153" w:right="0"/>
        <w:jc w:val="left"/>
        <w:rPr>
          <w:b w:val="0"/>
          <w:bCs w:val="0"/>
        </w:rPr>
      </w:pPr>
      <w:r>
        <w:rPr>
          <w:rFonts w:ascii="Times New Roman" w:hAnsi="Times New Roman" w:cs="Times New Roman" w:eastAsia="Times New Roman" w:hint="default"/>
        </w:rPr>
        <w:t>30</w:t>
      </w:r>
      <w:r>
        <w:rPr/>
        <w:t>、营业外支出</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97"/>
        <w:gridCol w:w="2032"/>
        <w:gridCol w:w="1914"/>
        <w:gridCol w:w="1914"/>
      </w:tblGrid>
      <w:tr>
        <w:trPr>
          <w:trHeight w:val="161" w:hRule="exact"/>
        </w:trPr>
        <w:tc>
          <w:tcPr>
            <w:tcW w:w="3697" w:type="dxa"/>
            <w:tcBorders>
              <w:top w:val="single" w:sz="4" w:space="0" w:color="000000"/>
              <w:left w:val="single" w:sz="4" w:space="0" w:color="000000"/>
              <w:bottom w:val="nil" w:sz="6" w:space="0" w:color="auto"/>
              <w:right w:val="single" w:sz="4" w:space="0" w:color="000000"/>
            </w:tcBorders>
            <w:shd w:val="clear" w:color="auto" w:fill="D3D3D3"/>
          </w:tcPr>
          <w:p>
            <w:pPr/>
          </w:p>
        </w:tc>
        <w:tc>
          <w:tcPr>
            <w:tcW w:w="2032"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681" w:right="50"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2" w:hRule="exact"/>
        </w:trPr>
        <w:tc>
          <w:tcPr>
            <w:tcW w:w="36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3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56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vMerge/>
            <w:tcBorders>
              <w:left w:val="single" w:sz="4" w:space="0" w:color="000000"/>
              <w:right w:val="single" w:sz="4" w:space="0" w:color="000000"/>
            </w:tcBorders>
            <w:shd w:val="clear" w:color="auto" w:fill="D3D3D3"/>
          </w:tcPr>
          <w:p>
            <w:pPr/>
          </w:p>
        </w:tc>
      </w:tr>
      <w:tr>
        <w:trPr>
          <w:trHeight w:val="161" w:hRule="exact"/>
        </w:trPr>
        <w:tc>
          <w:tcPr>
            <w:tcW w:w="3697" w:type="dxa"/>
            <w:tcBorders>
              <w:top w:val="nil" w:sz="6" w:space="0" w:color="auto"/>
              <w:left w:val="single" w:sz="4" w:space="0" w:color="000000"/>
              <w:bottom w:val="single" w:sz="4" w:space="0" w:color="000000"/>
              <w:right w:val="single" w:sz="4" w:space="0" w:color="000000"/>
            </w:tcBorders>
            <w:shd w:val="clear" w:color="auto" w:fill="D3D3D3"/>
          </w:tcPr>
          <w:p>
            <w:pPr/>
          </w:p>
        </w:tc>
        <w:tc>
          <w:tcPr>
            <w:tcW w:w="2032"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32"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64,386.26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32"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64,386.26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32"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64,386.26</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5"/>
        <w:ind w:right="0"/>
        <w:jc w:val="left"/>
        <w:rPr>
          <w:b w:val="0"/>
          <w:bCs w:val="0"/>
        </w:rPr>
      </w:pPr>
      <w:r>
        <w:rPr>
          <w:rFonts w:ascii="Times New Roman" w:hAnsi="Times New Roman" w:cs="Times New Roman" w:eastAsia="Times New Roman" w:hint="default"/>
        </w:rPr>
        <w:t>31</w:t>
      </w:r>
      <w:r>
        <w:rPr/>
        <w:t>、所得税费用</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632"/>
        <w:gridCol w:w="2535"/>
        <w:gridCol w:w="2389"/>
      </w:tblGrid>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11,339,319.93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8,429,583.71</w:t>
            </w:r>
          </w:p>
        </w:tc>
      </w:tr>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-2,510,704.68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-1,039,239.51</w:t>
            </w:r>
          </w:p>
        </w:tc>
      </w:tr>
      <w:tr>
        <w:trPr>
          <w:trHeight w:val="403"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8,828,615.25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7,390,344.20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102"/>
        <w:jc w:val="left"/>
        <w:rPr>
          <w:b w:val="0"/>
          <w:bCs w:val="0"/>
        </w:rPr>
      </w:pPr>
      <w:r>
        <w:rPr>
          <w:rFonts w:ascii="Times New Roman" w:hAnsi="Times New Roman" w:cs="Times New Roman" w:eastAsia="Times New Roman" w:hint="default"/>
        </w:rPr>
        <w:t>32</w:t>
      </w:r>
      <w:r>
        <w:rPr/>
        <w:t>、基本每股收益和稀释每股收益的计算过程</w:t>
      </w:r>
      <w:r>
        <w:rPr>
          <w:b w:val="0"/>
          <w:bCs w:val="0"/>
        </w:rPr>
      </w:r>
    </w:p>
    <w:p>
      <w:pPr>
        <w:spacing w:line="240" w:lineRule="auto" w:before="7"/>
        <w:rPr>
          <w:rFonts w:ascii="宋体" w:hAnsi="宋体" w:cs="宋体" w:eastAsia="宋体" w:hint="default"/>
          <w:b/>
          <w:bCs/>
          <w:sz w:val="30"/>
          <w:szCs w:val="30"/>
        </w:rPr>
      </w:pPr>
    </w:p>
    <w:p>
      <w:pPr>
        <w:spacing w:line="408" w:lineRule="auto" w:before="0"/>
        <w:ind w:left="153" w:right="6879" w:firstLine="0"/>
        <w:jc w:val="left"/>
        <w:rPr>
          <w:rFonts w:ascii="宋体" w:hAnsi="宋体" w:cs="宋体" w:eastAsia="宋体" w:hint="default"/>
          <w:sz w:val="21"/>
          <w:szCs w:val="21"/>
        </w:rPr>
      </w:pPr>
      <w:r>
        <w:rPr>
          <w:rFonts w:ascii="宋体" w:hAnsi="宋体" w:cs="宋体" w:eastAsia="宋体" w:hint="default"/>
          <w:b/>
          <w:bCs/>
          <w:sz w:val="21"/>
          <w:szCs w:val="21"/>
        </w:rPr>
        <w:t>基本每股收益的计算公式如下：</w:t>
      </w:r>
      <w:r>
        <w:rPr>
          <w:rFonts w:ascii="宋体" w:hAnsi="宋体" w:cs="宋体" w:eastAsia="宋体" w:hint="default"/>
          <w:b/>
          <w:bCs/>
          <w:spacing w:val="1"/>
          <w:w w:val="99"/>
          <w:sz w:val="21"/>
          <w:szCs w:val="21"/>
        </w:rPr>
        <w:t> </w:t>
      </w:r>
      <w:r>
        <w:rPr>
          <w:rFonts w:ascii="宋体" w:hAnsi="宋体" w:cs="宋体" w:eastAsia="宋体" w:hint="default"/>
          <w:sz w:val="21"/>
          <w:szCs w:val="21"/>
        </w:rPr>
        <w:t>基本每股收益=P0÷S</w:t>
      </w:r>
    </w:p>
    <w:p>
      <w:pPr>
        <w:pStyle w:val="BodyText"/>
        <w:spacing w:line="240" w:lineRule="auto"/>
        <w:ind w:left="153" w:right="102"/>
        <w:jc w:val="left"/>
      </w:pPr>
      <w:r>
        <w:rPr/>
        <w:t>S= S0＋S1＋Si×Mi÷M0–</w:t>
      </w:r>
      <w:r>
        <w:rPr>
          <w:spacing w:val="-15"/>
        </w:rPr>
        <w:t> </w:t>
      </w:r>
      <w:r>
        <w:rPr/>
        <w:t>Sj×Mj÷M0-Sk</w:t>
      </w:r>
    </w:p>
    <w:p>
      <w:pPr>
        <w:spacing w:line="240" w:lineRule="auto" w:before="10"/>
        <w:rPr>
          <w:rFonts w:ascii="宋体" w:hAnsi="宋体" w:cs="宋体" w:eastAsia="宋体" w:hint="default"/>
          <w:sz w:val="14"/>
          <w:szCs w:val="14"/>
        </w:rPr>
      </w:pPr>
    </w:p>
    <w:p>
      <w:pPr>
        <w:pStyle w:val="BodyText"/>
        <w:spacing w:line="408" w:lineRule="auto" w:before="0"/>
        <w:ind w:left="153" w:right="102"/>
        <w:jc w:val="left"/>
      </w:pPr>
      <w:r>
        <w:rPr/>
        <w:t>其中：P0为归属于公司普通股股东的净利润或扣除非经常性损益后归属于普通股股东的净利润；S为发行</w:t>
      </w:r>
      <w:r>
        <w:rPr>
          <w:spacing w:val="-35"/>
        </w:rPr>
        <w:t> </w:t>
      </w:r>
      <w:r>
        <w:rPr>
          <w:spacing w:val="-35"/>
        </w:rPr>
      </w:r>
      <w:r>
        <w:rPr/>
        <w:t>在外的普通股加权平均数；S0为期初股份总数；S1为报告期因公积金转增股本或股票股利分配等增加股份</w:t>
      </w:r>
      <w:r>
        <w:rPr/>
        <w:t> </w:t>
      </w:r>
      <w:r>
        <w:rPr>
          <w:spacing w:val="-3"/>
        </w:rPr>
        <w:t>数；Si为报告期因发行新股或债转股等增加股份数；Sj为报告期因回购等减少股份数；Sk为报告期缩股数；</w:t>
      </w:r>
      <w:r>
        <w:rPr>
          <w:spacing w:val="-87"/>
        </w:rPr>
        <w:t> </w:t>
      </w:r>
      <w:r>
        <w:rPr>
          <w:spacing w:val="-87"/>
        </w:rPr>
      </w:r>
      <w:r>
        <w:rPr/>
        <w:t>M0报告期月份数；Mi为增加股份次月起至报告期期末的累计月数；Mj为减少股份次月起至报告期期末的累</w:t>
      </w:r>
      <w:r>
        <w:rPr/>
        <w:t> 计月数。</w:t>
      </w:r>
    </w:p>
    <w:p>
      <w:pPr>
        <w:pStyle w:val="BodyText"/>
        <w:spacing w:line="408" w:lineRule="auto"/>
        <w:ind w:left="153" w:right="171"/>
        <w:jc w:val="left"/>
      </w:pPr>
      <w:r>
        <w:rPr>
          <w:rFonts w:ascii="宋体" w:hAnsi="宋体" w:cs="宋体" w:eastAsia="宋体" w:hint="default"/>
          <w:b/>
          <w:bCs/>
        </w:rPr>
        <w:t>稀释每股收益的计算公式如下：</w:t>
      </w:r>
      <w:r>
        <w:rPr>
          <w:rFonts w:ascii="宋体" w:hAnsi="宋体" w:cs="宋体" w:eastAsia="宋体" w:hint="default"/>
          <w:b/>
          <w:bCs/>
          <w:spacing w:val="1"/>
          <w:w w:val="99"/>
        </w:rPr>
        <w:t> </w:t>
      </w:r>
      <w:r>
        <w:rPr/>
        <w:t>稀释每股收益=P1/（S0＋S1＋Si×Mi÷M0–Sj×Mj÷M0–Sk+认股权证、股份期权、可转换债券等增加的 普通股加权平均数） </w:t>
      </w:r>
      <w:r>
        <w:rPr>
          <w:spacing w:val="-1"/>
        </w:rPr>
        <w:t>其中，P1为归属于公司普通股股东的净利润或扣除非经常性损益后归属于公司普通股股东的净利润，并考</w:t>
      </w:r>
      <w:r>
        <w:rPr>
          <w:spacing w:val="-82"/>
        </w:rPr>
        <w:t> </w:t>
      </w:r>
      <w:r>
        <w:rPr>
          <w:spacing w:val="-82"/>
        </w:rPr>
      </w:r>
      <w:r>
        <w:rPr/>
        <w:t>虑稀释性潜在普通股对其影响，按《企业会计准则》及有关规定进行调整。公司在计算稀释每股收益时， </w:t>
      </w:r>
      <w:r>
        <w:rPr>
          <w:spacing w:val="3"/>
        </w:rPr>
        <w:t>应考虑所有稀释性潜在普通股对归属于公司普通股股东的净利润或扣除非经常性损益后归属于公司普通</w:t>
      </w:r>
      <w:r>
        <w:rPr>
          <w:spacing w:val="-78"/>
        </w:rPr>
        <w:t> </w:t>
      </w:r>
      <w:r>
        <w:rPr>
          <w:spacing w:val="-78"/>
        </w:rPr>
      </w:r>
      <w:r>
        <w:rPr>
          <w:spacing w:val="-1"/>
        </w:rPr>
        <w:t>股股东的净利润和加权平均股数的影响，按照其稀释程度从大到小的顺序计入稀释每股收益，直至稀释每</w:t>
      </w:r>
      <w:r>
        <w:rPr>
          <w:spacing w:val="-81"/>
        </w:rPr>
        <w:t> </w:t>
      </w:r>
      <w:r>
        <w:rPr>
          <w:spacing w:val="-81"/>
        </w:rPr>
      </w:r>
      <w:r>
        <w:rPr/>
        <w:t>股收益达到最小值。</w:t>
      </w:r>
    </w:p>
    <w:p>
      <w:pPr>
        <w:spacing w:line="240" w:lineRule="auto" w:before="8"/>
        <w:rPr>
          <w:rFonts w:ascii="宋体" w:hAnsi="宋体" w:cs="宋体" w:eastAsia="宋体" w:hint="default"/>
          <w:sz w:val="20"/>
          <w:szCs w:val="20"/>
        </w:rPr>
      </w:pPr>
    </w:p>
    <w:p>
      <w:pPr>
        <w:pStyle w:val="Heading3"/>
        <w:spacing w:line="240" w:lineRule="auto"/>
        <w:ind w:right="102"/>
        <w:jc w:val="left"/>
        <w:rPr>
          <w:b w:val="0"/>
          <w:bCs w:val="0"/>
        </w:rPr>
      </w:pPr>
      <w:r>
        <w:rPr>
          <w:rFonts w:ascii="Times New Roman" w:hAnsi="Times New Roman" w:cs="Times New Roman" w:eastAsia="Times New Roman" w:hint="default"/>
        </w:rPr>
        <w:t>33</w:t>
      </w:r>
      <w:r>
        <w:rPr/>
        <w:t>、现金流量表附注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2"/>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1"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政府及其他奖励资金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6,915,734.19</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收取保证金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41,866,185.54</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收回的往来款、代垫款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20,803,137.08</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864,879.18</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70,449,935.99</w:t>
            </w:r>
          </w:p>
        </w:tc>
      </w:tr>
    </w:tbl>
    <w:p>
      <w:pPr>
        <w:spacing w:line="240" w:lineRule="auto" w:before="2"/>
        <w:rPr>
          <w:rFonts w:ascii="宋体" w:hAnsi="宋体" w:cs="宋体" w:eastAsia="宋体" w:hint="default"/>
          <w:sz w:val="19"/>
          <w:szCs w:val="19"/>
        </w:rPr>
      </w:pPr>
    </w:p>
    <w:p>
      <w:pPr>
        <w:pStyle w:val="Heading3"/>
        <w:spacing w:line="240" w:lineRule="auto" w:before="35"/>
        <w:ind w:right="102"/>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2" w:top="1060" w:bottom="118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25,613,553.42</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52,606,632.46</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10,794,505.45</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12,671,427.27</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10,245,893.55</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7,181,506.40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7,646,216.44</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4,559,789.69</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856,765.30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10,144,768.54</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142,321,058.52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2,844,159.84</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2,844,159.84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公司首发上市相关的中介机构费用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5,924,482.76</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5,924,482.76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34</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5" w:type="dxa"/>
        <w:tblLayout w:type="fixed"/>
        <w:tblCellMar>
          <w:top w:w="0" w:type="dxa"/>
          <w:left w:w="0" w:type="dxa"/>
          <w:bottom w:w="0" w:type="dxa"/>
          <w:right w:w="0" w:type="dxa"/>
        </w:tblCellMar>
        <w:tblLook w:val="01E0"/>
      </w:tblPr>
      <w:tblGrid>
        <w:gridCol w:w="4373"/>
        <w:gridCol w:w="2523"/>
        <w:gridCol w:w="2644"/>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7"/>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60,300,333.13</w:t>
            </w:r>
          </w:p>
        </w:tc>
        <w:tc>
          <w:tcPr>
            <w:tcW w:w="2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56,706,427.43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934,506.06</w:t>
            </w:r>
          </w:p>
        </w:tc>
        <w:tc>
          <w:tcPr>
            <w:tcW w:w="2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2,545,066.68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361"/>
        <w:gridCol w:w="2540"/>
        <w:gridCol w:w="2656"/>
      </w:tblGrid>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20,787,061.73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10,525,948.34</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9,014,939.89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7,309,929.47</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813,154.04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172,180.63</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0" w:type="dxa"/>
            <w:tcBorders>
              <w:top w:val="single" w:sz="4" w:space="0" w:color="000000"/>
              <w:left w:val="single" w:sz="13"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64,386.26</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66,213.63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3,914,355.96</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-2,510,704.68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-1,039,239.51</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-226,319,310.56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17,818,056.76</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-22,425,640.62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-35,054,348.77</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149,464,782.54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1,482,109.66</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-9,874,664.84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64,444,872.91</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13" w:right="0"/>
              <w:jc w:val="lef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13" w:right="0"/>
              <w:jc w:val="lef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401,686,050.99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156,319,601.03</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156,319,601.03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162,410,224.86</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245,366,449.96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-6,090,623.83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4"/>
        <w:gridCol w:w="2536"/>
        <w:gridCol w:w="2657"/>
      </w:tblGrid>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401,686,050.99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156,319,601.03</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153,936.99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304,480.90</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399,467,364.70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155,305,120.13</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2,064,749.30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710,000.00</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401,686,050.99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156,319,601.03</w:t>
            </w:r>
          </w:p>
        </w:tc>
      </w:tr>
    </w:tbl>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九、关联方及关联交易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、本企业的子公司情况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9"/>
        <w:gridCol w:w="956"/>
        <w:gridCol w:w="958"/>
        <w:gridCol w:w="956"/>
        <w:gridCol w:w="956"/>
        <w:gridCol w:w="956"/>
        <w:gridCol w:w="956"/>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33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北京中科金 财电子商务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主要从事移 动支付及移 动电子商务 业务及服务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Times New Roman"/>
                <w:sz w:val="18"/>
              </w:rPr>
              <w:t>97%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Times New Roman"/>
                <w:sz w:val="18"/>
              </w:rPr>
              <w:t>97%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74939488-1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关联担保情况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13"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北京中科金财科技 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北京汇冠金财科技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北京中科金财科技 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北京中科金财科技 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北京中科金财科技 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北京中科金财电子 商务有限公司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北京中科金财科技 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北京中科金财科技 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北京中科金财科技 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408" w:lineRule="auto" w:before="63"/>
        <w:ind w:left="573" w:right="321" w:hanging="420"/>
        <w:jc w:val="left"/>
      </w:pPr>
      <w:r>
        <w:rPr/>
        <w:t>关联担保情况说明 担保方提供的保证期间均为依照主合同而确定的债务履行期限届满之日起两年，截止2012年12月31</w:t>
      </w:r>
    </w:p>
    <w:p>
      <w:pPr>
        <w:pStyle w:val="BodyText"/>
        <w:spacing w:line="240" w:lineRule="auto"/>
        <w:ind w:left="153" w:right="0"/>
        <w:jc w:val="left"/>
      </w:pPr>
      <w:r>
        <w:rPr/>
        <w:t>日，上表中前6项贷款累计贷款额9,700万元已全部归还。</w:t>
      </w:r>
    </w:p>
    <w:p>
      <w:pPr>
        <w:spacing w:line="240" w:lineRule="auto" w:before="0"/>
        <w:rPr>
          <w:rFonts w:ascii="宋体" w:hAnsi="宋体" w:cs="宋体" w:eastAsia="宋体" w:hint="default"/>
          <w:sz w:val="20"/>
          <w:szCs w:val="20"/>
        </w:rPr>
      </w:pPr>
    </w:p>
    <w:p>
      <w:pPr>
        <w:pStyle w:val="Heading2"/>
        <w:spacing w:line="240" w:lineRule="auto" w:before="131"/>
        <w:ind w:right="0"/>
        <w:jc w:val="left"/>
        <w:rPr>
          <w:b w:val="0"/>
          <w:bCs w:val="0"/>
        </w:rPr>
      </w:pPr>
      <w:r>
        <w:rPr/>
        <w:t>十、母公司财务报表主要项目注释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9"/>
        <w:gridCol w:w="1194"/>
        <w:gridCol w:w="530"/>
        <w:gridCol w:w="1328"/>
        <w:gridCol w:w="665"/>
        <w:gridCol w:w="1194"/>
        <w:gridCol w:w="665"/>
        <w:gridCol w:w="1328"/>
        <w:gridCol w:w="665"/>
      </w:tblGrid>
      <w:tr>
        <w:trPr>
          <w:trHeight w:val="401" w:hRule="exact"/>
        </w:trPr>
        <w:tc>
          <w:tcPr>
            <w:tcW w:w="19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9" w:type="dxa"/>
            <w:vMerge/>
            <w:tcBorders>
              <w:left w:val="single" w:sz="4" w:space="0" w:color="000000"/>
              <w:right w:val="single" w:sz="4" w:space="0" w:color="000000"/>
            </w:tcBorders>
            <w:shd w:val="clear" w:color="auto" w:fill="D3D3D3"/>
          </w:tcPr>
          <w:p>
            <w:pPr/>
          </w:p>
        </w:tc>
        <w:tc>
          <w:tcPr>
            <w:tcW w:w="17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999" w:type="dxa"/>
            <w:vMerge/>
            <w:tcBorders>
              <w:left w:val="single" w:sz="4" w:space="0" w:color="000000"/>
              <w:bottom w:val="single" w:sz="4" w:space="0" w:color="000000"/>
              <w:right w:val="single" w:sz="4" w:space="0" w:color="000000"/>
            </w:tcBorders>
            <w:shd w:val="clear" w:color="auto" w:fill="D3D3D3"/>
          </w:tcPr>
          <w:p>
            <w:pP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9"/>
        <w:gridCol w:w="1194"/>
        <w:gridCol w:w="530"/>
        <w:gridCol w:w="1328"/>
        <w:gridCol w:w="665"/>
        <w:gridCol w:w="1194"/>
        <w:gridCol w:w="665"/>
        <w:gridCol w:w="1328"/>
        <w:gridCol w:w="665"/>
      </w:tblGrid>
      <w:tr>
        <w:trPr>
          <w:trHeight w:val="402"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44,557,717.24</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2,693,259.60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6.04%</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60,603,814.90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3,067,445.04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44,557,717.24</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2,693,259.60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6.04%</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60,603,814.90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3,067,445.04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44,557,717.24</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2,693,259.60</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60,603,814.90</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3,067,445.04</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360" w:lineRule="auto" w:before="51"/>
        <w:ind w:left="153" w:right="-19"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line="340" w:lineRule="auto" w:before="2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组合中，采用账龄分析法计提坏账准备的应收账款</w:t>
      </w:r>
    </w:p>
    <w:p>
      <w:pPr>
        <w:spacing w:before="40"/>
        <w:ind w:left="15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115" w:space="471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999"/>
        <w:gridCol w:w="665"/>
        <w:gridCol w:w="1462"/>
        <w:gridCol w:w="2126"/>
        <w:gridCol w:w="664"/>
        <w:gridCol w:w="1594"/>
      </w:tblGrid>
      <w:tr>
        <w:trPr>
          <w:trHeight w:val="402" w:hRule="exact"/>
        </w:trPr>
        <w:tc>
          <w:tcPr>
            <w:tcW w:w="10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4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2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0" w:type="dxa"/>
            <w:vMerge/>
            <w:tcBorders>
              <w:left w:val="single" w:sz="4" w:space="0" w:color="000000"/>
              <w:right w:val="single" w:sz="4" w:space="0" w:color="000000"/>
            </w:tcBorders>
            <w:shd w:val="clear" w:color="auto" w:fill="D3D3D3"/>
          </w:tcPr>
          <w:p>
            <w:pPr/>
          </w:p>
        </w:tc>
        <w:tc>
          <w:tcPr>
            <w:tcW w:w="266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060" w:type="dxa"/>
            <w:vMerge/>
            <w:tcBorders>
              <w:left w:val="single" w:sz="4" w:space="0" w:color="000000"/>
              <w:bottom w:val="single" w:sz="4" w:space="0" w:color="000000"/>
              <w:right w:val="single" w:sz="4" w:space="0" w:color="000000"/>
            </w:tcBorders>
            <w:shd w:val="clear" w:color="auto" w:fill="D3D3D3"/>
          </w:tcPr>
          <w:p>
            <w:pPr/>
          </w:p>
        </w:tc>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00000"/>
              <w:bottom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36,184,914.33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81.21%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1,809,245.72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60,000,728.99</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3,000,036.45</w:t>
            </w:r>
          </w:p>
        </w:tc>
      </w:tr>
      <w:tr>
        <w:trPr>
          <w:trHeight w:val="714" w:hRule="exact"/>
        </w:trPr>
        <w:tc>
          <w:tcPr>
            <w:tcW w:w="1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7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 计</w:t>
            </w:r>
          </w:p>
        </w:tc>
        <w:tc>
          <w:tcPr>
            <w:tcW w:w="19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36,184,914.33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81.21%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1,809,245.72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60,000,728.99</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3,000,036.45</w:t>
            </w:r>
          </w:p>
        </w:tc>
      </w:tr>
      <w:tr>
        <w:trPr>
          <w:trHeight w:val="402" w:hRule="exact"/>
        </w:trPr>
        <w:tc>
          <w:tcPr>
            <w:tcW w:w="1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7,905,467.00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17.74%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790,546.70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585,335.91</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58,533.59</w:t>
            </w:r>
          </w:p>
        </w:tc>
      </w:tr>
      <w:tr>
        <w:trPr>
          <w:trHeight w:val="402" w:hRule="exact"/>
        </w:trPr>
        <w:tc>
          <w:tcPr>
            <w:tcW w:w="1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467,335.91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6" w:right="0"/>
              <w:jc w:val="left"/>
              <w:rPr>
                <w:rFonts w:ascii="Times New Roman" w:hAnsi="Times New Roman" w:cs="Times New Roman" w:eastAsia="Times New Roman" w:hint="default"/>
                <w:sz w:val="18"/>
                <w:szCs w:val="18"/>
              </w:rPr>
            </w:pPr>
            <w:r>
              <w:rPr>
                <w:rFonts w:ascii="Times New Roman"/>
                <w:sz w:val="18"/>
              </w:rPr>
              <w:t>1.05%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93,467.18</w:t>
            </w:r>
          </w:p>
        </w:tc>
        <w:tc>
          <w:tcPr>
            <w:tcW w:w="212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99" w:type="dxa"/>
            <w:tcBorders>
              <w:top w:val="single" w:sz="4" w:space="0" w:color="000000"/>
              <w:left w:val="single" w:sz="13"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17,750.00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8,875.00</w:t>
            </w:r>
          </w:p>
        </w:tc>
      </w:tr>
      <w:tr>
        <w:trPr>
          <w:trHeight w:val="402" w:hRule="exact"/>
        </w:trPr>
        <w:tc>
          <w:tcPr>
            <w:tcW w:w="1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9" w:type="dxa"/>
            <w:tcBorders>
              <w:top w:val="single" w:sz="4" w:space="0" w:color="000000"/>
              <w:left w:val="single" w:sz="13"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17,750.00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8,875.00</w:t>
            </w:r>
          </w:p>
        </w:tc>
      </w:tr>
      <w:tr>
        <w:trPr>
          <w:trHeight w:val="402" w:hRule="exact"/>
        </w:trPr>
        <w:tc>
          <w:tcPr>
            <w:tcW w:w="1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44,557,717.24</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2,693,259.60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60,603,814.90</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3,067,445.04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54" w:right="59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340" w:lineRule="auto" w:before="42"/>
        <w:ind w:left="154" w:right="54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期末单项金额虽不重大但单项计提坏账准备的应收账款</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）应收账款中金额前五名单位情况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中国人寿保险股份有限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18,624,092.80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41.8%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陕西通信信息技术有限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15.15%</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北京网信未来信息技术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唐山中厚板材有限公司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东华软件股份公司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2,985,280.00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36,200,372.80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81.24%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70"/>
        <w:gridCol w:w="1454"/>
        <w:gridCol w:w="528"/>
        <w:gridCol w:w="1321"/>
        <w:gridCol w:w="528"/>
        <w:gridCol w:w="1322"/>
        <w:gridCol w:w="528"/>
        <w:gridCol w:w="1188"/>
        <w:gridCol w:w="516"/>
      </w:tblGrid>
      <w:tr>
        <w:trPr>
          <w:trHeight w:val="402" w:hRule="exact"/>
        </w:trPr>
        <w:tc>
          <w:tcPr>
            <w:tcW w:w="21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5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170" w:type="dxa"/>
            <w:vMerge/>
            <w:tcBorders>
              <w:left w:val="single" w:sz="4" w:space="0" w:color="000000"/>
              <w:right w:val="single" w:sz="4" w:space="0" w:color="000000"/>
            </w:tcBorders>
            <w:shd w:val="clear" w:color="auto" w:fill="D3D3D3"/>
          </w:tcPr>
          <w:p>
            <w:pP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2170" w:type="dxa"/>
            <w:vMerge/>
            <w:tcBorders>
              <w:left w:val="single" w:sz="4" w:space="0" w:color="000000"/>
              <w:bottom w:val="single" w:sz="4" w:space="0" w:color="000000"/>
              <w:right w:val="single" w:sz="4" w:space="0" w:color="000000"/>
            </w:tcBorders>
            <w:shd w:val="clear" w:color="auto" w:fill="D3D3D3"/>
          </w:tcPr>
          <w:p>
            <w:pP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3"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3"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3"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56"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4"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31,778,733.32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2,232,460.79</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7.03%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12,679,771.92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72.71</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1,016,092.95</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8.01%</w:t>
            </w:r>
          </w:p>
        </w:tc>
      </w:tr>
      <w:tr>
        <w:trPr>
          <w:trHeight w:val="714"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45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4,760,000.00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27.29</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31,778,733.32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2,232,460.79</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7.03%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17,439,771.92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1,016,092.95</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5.83%</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31,778,733.32</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2,232,460.79</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17,439,771.92</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1,016,092.95</w:t>
            </w:r>
          </w:p>
        </w:tc>
        <w:tc>
          <w:tcPr>
            <w:tcW w:w="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360" w:lineRule="auto" w:before="51"/>
        <w:ind w:left="153" w:right="-19"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line="338" w:lineRule="auto" w:before="2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组合中，采用账龄分析法计提坏账准备的其他应收款</w:t>
      </w:r>
    </w:p>
    <w:p>
      <w:pPr>
        <w:spacing w:before="43"/>
        <w:ind w:left="15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5"/>
        <w:gridCol w:w="1594"/>
        <w:gridCol w:w="1861"/>
        <w:gridCol w:w="665"/>
        <w:gridCol w:w="1726"/>
      </w:tblGrid>
      <w:tr>
        <w:trPr>
          <w:trHeight w:val="402" w:hRule="exact"/>
        </w:trPr>
        <w:tc>
          <w:tcPr>
            <w:tcW w:w="1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0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66" w:type="dxa"/>
            <w:vMerge/>
            <w:tcBorders>
              <w:left w:val="single" w:sz="4" w:space="0" w:color="000000"/>
              <w:right w:val="single" w:sz="4" w:space="0" w:color="000000"/>
            </w:tcBorders>
            <w:shd w:val="clear" w:color="auto" w:fill="D3D3D3"/>
          </w:tcPr>
          <w:p>
            <w:pPr/>
          </w:p>
        </w:tc>
        <w:tc>
          <w:tcPr>
            <w:tcW w:w="24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266" w:type="dxa"/>
            <w:vMerge/>
            <w:tcBorders>
              <w:left w:val="single" w:sz="4" w:space="0" w:color="000000"/>
              <w:bottom w:val="single" w:sz="4" w:space="0" w:color="000000"/>
              <w:right w:val="single" w:sz="4" w:space="0" w:color="000000"/>
            </w:tcBorders>
            <w:shd w:val="clear" w:color="auto" w:fill="D3D3D3"/>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5" w:right="0"/>
              <w:jc w:val="left"/>
              <w:rPr>
                <w:rFonts w:ascii="Times New Roman" w:hAnsi="Times New Roman" w:cs="Times New Roman" w:eastAsia="Times New Roman" w:hint="default"/>
                <w:sz w:val="18"/>
                <w:szCs w:val="18"/>
              </w:rPr>
            </w:pPr>
            <w:r>
              <w:rPr>
                <w:rFonts w:ascii="Times New Roman"/>
                <w:sz w:val="18"/>
              </w:rPr>
              <w:t>25,433,010.82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left"/>
              <w:rPr>
                <w:rFonts w:ascii="Times New Roman" w:hAnsi="Times New Roman" w:cs="Times New Roman" w:eastAsia="Times New Roman" w:hint="default"/>
                <w:sz w:val="18"/>
                <w:szCs w:val="18"/>
              </w:rPr>
            </w:pPr>
            <w:r>
              <w:rPr>
                <w:rFonts w:ascii="Times New Roman"/>
                <w:sz w:val="18"/>
              </w:rPr>
              <w:t>80.03%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6" w:right="0"/>
              <w:jc w:val="left"/>
              <w:rPr>
                <w:rFonts w:ascii="Times New Roman" w:hAnsi="Times New Roman" w:cs="Times New Roman" w:eastAsia="Times New Roman" w:hint="default"/>
                <w:sz w:val="18"/>
                <w:szCs w:val="18"/>
              </w:rPr>
            </w:pPr>
            <w:r>
              <w:rPr>
                <w:rFonts w:ascii="Times New Roman"/>
                <w:sz w:val="18"/>
              </w:rPr>
              <w:t>1,271,650.54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3" w:right="0"/>
              <w:jc w:val="left"/>
              <w:rPr>
                <w:rFonts w:ascii="Times New Roman" w:hAnsi="Times New Roman" w:cs="Times New Roman" w:eastAsia="Times New Roman" w:hint="default"/>
                <w:sz w:val="18"/>
                <w:szCs w:val="18"/>
              </w:rPr>
            </w:pPr>
            <w:r>
              <w:rPr>
                <w:rFonts w:ascii="Times New Roman"/>
                <w:sz w:val="18"/>
              </w:rPr>
              <w:t>8,277,010.92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left"/>
              <w:rPr>
                <w:rFonts w:ascii="Times New Roman" w:hAnsi="Times New Roman" w:cs="Times New Roman" w:eastAsia="Times New Roman" w:hint="default"/>
                <w:sz w:val="18"/>
                <w:szCs w:val="18"/>
              </w:rPr>
            </w:pPr>
            <w:r>
              <w:rPr>
                <w:rFonts w:ascii="Times New Roman"/>
                <w:sz w:val="18"/>
              </w:rPr>
              <w:t>47.46%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3" w:right="0"/>
              <w:jc w:val="left"/>
              <w:rPr>
                <w:rFonts w:ascii="Times New Roman" w:hAnsi="Times New Roman" w:cs="Times New Roman" w:eastAsia="Times New Roman" w:hint="default"/>
                <w:sz w:val="18"/>
                <w:szCs w:val="18"/>
              </w:rPr>
            </w:pPr>
            <w:r>
              <w:rPr>
                <w:rFonts w:ascii="Times New Roman"/>
                <w:sz w:val="18"/>
              </w:rPr>
              <w:t>413,535.55</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5"/>
        <w:gridCol w:w="1594"/>
        <w:gridCol w:w="1861"/>
        <w:gridCol w:w="665"/>
        <w:gridCol w:w="1726"/>
      </w:tblGrid>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25,433,010.82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80.03%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1,271,650.54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8,277,010.92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413,535.55</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3,451,391.50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10.86%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345,139.15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2,779,948.00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277,994.80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2,771,648.00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554,329.60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1,622,813.00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324,562.60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122,683.00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61,341.50</w:t>
            </w:r>
          </w:p>
        </w:tc>
        <w:tc>
          <w:tcPr>
            <w:tcW w:w="186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122,683.00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61,341.50</w:t>
            </w:r>
          </w:p>
        </w:tc>
        <w:tc>
          <w:tcPr>
            <w:tcW w:w="186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31,778,733.32</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2,232,460.79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12,679,771.92</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1,016,092.95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line="338" w:lineRule="auto" w:before="43"/>
        <w:ind w:left="154" w:right="52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期末单项金额虽不重大但单项计提坏账准备的其他应收款</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）其他应收款金额前五名单位情况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25"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中科软科技股份有限公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18,103,772.95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56.97%</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北京北航科技园有限公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物业公司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1,640,307.00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5.16%</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北京唯实酒店管理有限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物业公司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1,332,684.00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甘肃省卫生厅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861,840.00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北京工商经济信息中心</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651,225.00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22,589,828.95</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7"/>
      </w:tblGrid>
      <w:tr>
        <w:trPr>
          <w:trHeight w:val="358" w:hRule="exact"/>
        </w:trPr>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52"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 w:right="32"/>
              <w:jc w:val="both"/>
              <w:rPr>
                <w:rFonts w:ascii="宋体" w:hAnsi="宋体" w:cs="宋体" w:eastAsia="宋体" w:hint="default"/>
                <w:sz w:val="18"/>
                <w:szCs w:val="18"/>
              </w:rPr>
            </w:pPr>
            <w:r>
              <w:rPr>
                <w:rFonts w:ascii="宋体" w:hAnsi="宋体" w:cs="宋体" w:eastAsia="宋体" w:hint="default"/>
                <w:sz w:val="18"/>
                <w:szCs w:val="18"/>
              </w:rPr>
              <w:t>单位持股 比例与表 决权比例 不一致的</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说明</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5"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1"/>
              <w:jc w:val="left"/>
              <w:rPr>
                <w:rFonts w:ascii="宋体" w:hAnsi="宋体" w:cs="宋体" w:eastAsia="宋体" w:hint="default"/>
                <w:sz w:val="18"/>
                <w:szCs w:val="18"/>
              </w:rPr>
            </w:pPr>
            <w:r>
              <w:rPr>
                <w:rFonts w:ascii="宋体" w:hAnsi="宋体" w:cs="宋体" w:eastAsia="宋体" w:hint="default"/>
                <w:sz w:val="18"/>
                <w:szCs w:val="18"/>
              </w:rPr>
              <w:t>北京中科 金财电子</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107,474,4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10.57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6,674,410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100,800,0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107,474,4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10.57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97%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67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商务有限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107,474,4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10.57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6,674,410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100,800,0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107,474,4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10.57</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right="0"/>
        <w:jc w:val="left"/>
      </w:pPr>
      <w:r>
        <w:rPr/>
        <w:t>长期股权投资的说明</w:t>
      </w:r>
    </w:p>
    <w:p>
      <w:pPr>
        <w:pStyle w:val="BodyText"/>
        <w:spacing w:line="386" w:lineRule="auto" w:before="154"/>
        <w:ind w:left="153" w:right="216" w:firstLine="42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日，北京中科金财电子商务有限公司申请增加注册资本</w:t>
      </w:r>
      <w:r>
        <w:rPr>
          <w:rFonts w:ascii="Times New Roman" w:hAnsi="Times New Roman" w:cs="Times New Roman" w:eastAsia="Times New Roman" w:hint="default"/>
        </w:rPr>
        <w:t>9,000.00</w:t>
      </w:r>
      <w:r>
        <w:rPr/>
        <w:t>万元，由公司以货币资 金出资，此次出资业经立信会计师事务所（特殊普通合伙）</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日出具的信会师报字[</w:t>
      </w:r>
      <w:r>
        <w:rPr>
          <w:rFonts w:ascii="Times New Roman" w:hAnsi="Times New Roman" w:cs="Times New Roman" w:eastAsia="Times New Roman" w:hint="default"/>
        </w:rPr>
        <w:t>2012</w:t>
      </w:r>
      <w:r>
        <w:rPr/>
        <w:t>]第 </w:t>
      </w:r>
      <w:r>
        <w:rPr>
          <w:rFonts w:ascii="Times New Roman" w:hAnsi="Times New Roman" w:cs="Times New Roman" w:eastAsia="Times New Roman" w:hint="default"/>
        </w:rPr>
        <w:t>210658</w:t>
      </w:r>
      <w:r>
        <w:rPr/>
        <w:t>号验资报告验证。</w:t>
      </w:r>
    </w:p>
    <w:p>
      <w:pPr>
        <w:spacing w:line="240" w:lineRule="auto" w:before="10"/>
        <w:rPr>
          <w:rFonts w:ascii="宋体" w:hAnsi="宋体" w:cs="宋体" w:eastAsia="宋体" w:hint="default"/>
          <w:sz w:val="19"/>
          <w:szCs w:val="19"/>
        </w:rPr>
      </w:pPr>
    </w:p>
    <w:p>
      <w:pPr>
        <w:pStyle w:val="Heading3"/>
        <w:spacing w:line="240" w:lineRule="auto"/>
        <w:ind w:left="153"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02"/>
        <w:gridCol w:w="3466"/>
        <w:gridCol w:w="3588"/>
      </w:tblGrid>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491,883,755.74</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435,844,274.61</w:t>
            </w:r>
          </w:p>
        </w:tc>
      </w:tr>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3,125,060.05</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5,998,997.63</w:t>
            </w:r>
          </w:p>
        </w:tc>
      </w:tr>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495,008,815.79</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441,843,272.24</w:t>
            </w:r>
          </w:p>
        </w:tc>
      </w:tr>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287,868,258.31</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291,410,015.41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291,419,010.12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124,948,705.17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267,468,503.11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155,568,586.94</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109,223,530.89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84,211,596.05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96,883,306.58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79,277,648.69</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71,249,502.72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57,033,897.87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69,981,157.22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50,812,161.14</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19,991,712.01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18,918,978.92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1,511,307.70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670,503.44</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491,883,755.74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285,113,178.01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435,844,274.61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286,328,900.21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服务管理解决方案</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141,665,610.38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1" w:right="0"/>
              <w:jc w:val="left"/>
              <w:rPr>
                <w:rFonts w:ascii="Times New Roman" w:hAnsi="Times New Roman" w:cs="Times New Roman" w:eastAsia="Times New Roman" w:hint="default"/>
                <w:sz w:val="18"/>
                <w:szCs w:val="18"/>
              </w:rPr>
            </w:pPr>
            <w:r>
              <w:rPr>
                <w:rFonts w:ascii="Times New Roman"/>
                <w:sz w:val="18"/>
              </w:rPr>
              <w:t>25,743,687.95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3" w:right="0"/>
              <w:jc w:val="left"/>
              <w:rPr>
                <w:rFonts w:ascii="Times New Roman" w:hAnsi="Times New Roman" w:cs="Times New Roman" w:eastAsia="Times New Roman" w:hint="default"/>
                <w:sz w:val="18"/>
                <w:szCs w:val="18"/>
              </w:rPr>
            </w:pPr>
            <w:r>
              <w:rPr>
                <w:rFonts w:ascii="Times New Roman"/>
                <w:sz w:val="18"/>
              </w:rPr>
              <w:t>95,121,019.73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8" w:right="0"/>
              <w:jc w:val="left"/>
              <w:rPr>
                <w:rFonts w:ascii="Times New Roman" w:hAnsi="Times New Roman" w:cs="Times New Roman" w:eastAsia="Times New Roman" w:hint="default"/>
                <w:sz w:val="18"/>
                <w:szCs w:val="18"/>
              </w:rPr>
            </w:pPr>
            <w:r>
              <w:rPr>
                <w:rFonts w:ascii="Times New Roman"/>
                <w:sz w:val="18"/>
              </w:rPr>
              <w:t>26,544,375.86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数据中心综合建设解决方案</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281,758,648.61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226,532,395.28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275,948,856.81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217,851,427.60</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银行影像解决方案</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68,459,496.75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32,837,094.78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64,774,398.07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41,933,096.75</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491,883,755.74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285,113,178.01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435,844,274.61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286,328,900.21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6,199,927.55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5,955,661.43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21,292,538.97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19,977,263.50</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409,642,719.35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221,994,631.54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383,919,569.04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252,252,856.41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32,420,735.13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25,803,468.57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11,328,242.26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3,950,251.65</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6,321,023.59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4,529,122.92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1,359,202.57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596,037.59</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11,374,762.19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11,215,646.16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199,886.09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30,164.73</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24,536,216.89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14,857,386.56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15,685,177.12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7,996,830.61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1,361,956.87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751,768.35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2,043,222.82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1,521,829.10</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26,414.17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5,492.48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16,435.74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3,666.62</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491,883,755.74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285,113,178.01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435,844,274.61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286,328,900.21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2921"/>
        <w:gridCol w:w="1862"/>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10" w:right="24" w:hanging="58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中经网（北京）数据科技发展有限公司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64,194,269.92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12.97%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北京艾瑞信系统工程技术有限责任公司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39,318,316.30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华夏银行股份有限公司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34,177,861.84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中科软科技股份有限公司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25,667,680.69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陕西航天信息有限公司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22,263,675.25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185,621,804.00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041"/>
        <w:gridCol w:w="2258"/>
        <w:gridCol w:w="2246"/>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1178" w:right="0"/>
              <w:jc w:val="left"/>
              <w:rPr>
                <w:rFonts w:ascii="Times New Roman" w:hAnsi="Times New Roman" w:cs="Times New Roman" w:eastAsia="Times New Roman" w:hint="default"/>
                <w:sz w:val="18"/>
                <w:szCs w:val="18"/>
              </w:rPr>
            </w:pPr>
            <w:r>
              <w:rPr>
                <w:rFonts w:ascii="Times New Roman"/>
                <w:sz w:val="18"/>
              </w:rPr>
              <w:t>59,600,051.30</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90" w:right="0"/>
              <w:jc w:val="left"/>
              <w:rPr>
                <w:rFonts w:ascii="Times New Roman" w:hAnsi="Times New Roman" w:cs="Times New Roman" w:eastAsia="Times New Roman" w:hint="default"/>
                <w:sz w:val="18"/>
                <w:szCs w:val="18"/>
              </w:rPr>
            </w:pPr>
            <w:r>
              <w:rPr>
                <w:rFonts w:ascii="Times New Roman"/>
                <w:sz w:val="18"/>
              </w:rPr>
              <w:t>55,131,092.62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029"/>
        <w:gridCol w:w="2270"/>
        <w:gridCol w:w="2257"/>
      </w:tblGrid>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842,182.40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2,569,081.03</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20,253,299.22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10,163,887.55</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5,722,453.47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4,679,020.76</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813,154.04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172,180.63</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35,574.10</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-48,079.70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3,673,166.56</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-2,147,267.77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-954,202.34</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-226,496,462.59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17,597,988.19</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-20,681,367.36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-35,534,935.88</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149,910,768.83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702,876.23</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-12,231,268.16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58,235,729.45</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6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6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322,346,338.83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146,366,658.01</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146,366,658.01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154,615,319.90</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175,979,680.82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-8,248,661.89</w:t>
            </w:r>
          </w:p>
        </w:tc>
      </w:tr>
    </w:tbl>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十一、补充资料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27"/>
        <w:gridCol w:w="2178"/>
        <w:gridCol w:w="1914"/>
        <w:gridCol w:w="1938"/>
      </w:tblGrid>
      <w:tr>
        <w:trPr>
          <w:trHeight w:val="206" w:hRule="exact"/>
        </w:trPr>
        <w:tc>
          <w:tcPr>
            <w:tcW w:w="3527" w:type="dxa"/>
            <w:tcBorders>
              <w:top w:val="single" w:sz="4" w:space="0" w:color="000000"/>
              <w:left w:val="single" w:sz="4" w:space="0" w:color="000000"/>
              <w:bottom w:val="nil" w:sz="6" w:space="0" w:color="auto"/>
              <w:right w:val="single" w:sz="4" w:space="0" w:color="000000"/>
            </w:tcBorders>
            <w:shd w:val="clear" w:color="auto" w:fill="D3D3D3"/>
          </w:tcPr>
          <w:p>
            <w:pPr/>
          </w:p>
        </w:tc>
        <w:tc>
          <w:tcPr>
            <w:tcW w:w="21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352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8" w:type="dxa"/>
            <w:vMerge/>
            <w:tcBorders>
              <w:left w:val="single" w:sz="4" w:space="0" w:color="000000"/>
              <w:right w:val="single" w:sz="4" w:space="0" w:color="000000"/>
            </w:tcBorders>
            <w:shd w:val="clear" w:color="auto" w:fill="D3D3D3"/>
          </w:tcPr>
          <w:p>
            <w:pPr/>
          </w:p>
        </w:tc>
        <w:tc>
          <w:tcPr>
            <w:tcW w:w="3852" w:type="dxa"/>
            <w:gridSpan w:val="2"/>
            <w:vMerge/>
            <w:tcBorders>
              <w:left w:val="single" w:sz="4" w:space="0" w:color="000000"/>
              <w:bottom w:val="single" w:sz="4" w:space="0" w:color="000000"/>
              <w:right w:val="single" w:sz="4" w:space="0" w:color="000000"/>
            </w:tcBorders>
            <w:shd w:val="clear" w:color="auto" w:fill="D3D3D3"/>
          </w:tcPr>
          <w:p>
            <w:pPr/>
          </w:p>
        </w:tc>
      </w:tr>
      <w:tr>
        <w:trPr>
          <w:trHeight w:val="201" w:hRule="exact"/>
        </w:trPr>
        <w:tc>
          <w:tcPr>
            <w:tcW w:w="3527" w:type="dxa"/>
            <w:vMerge/>
            <w:tcBorders>
              <w:left w:val="single" w:sz="4" w:space="0" w:color="000000"/>
              <w:bottom w:val="nil" w:sz="6" w:space="0" w:color="auto"/>
              <w:right w:val="single" w:sz="4" w:space="0" w:color="000000"/>
            </w:tcBorders>
            <w:shd w:val="clear" w:color="auto" w:fill="D3D3D3"/>
          </w:tcPr>
          <w:p>
            <w:pPr/>
          </w:p>
        </w:tc>
        <w:tc>
          <w:tcPr>
            <w:tcW w:w="2178" w:type="dxa"/>
            <w:vMerge/>
            <w:tcBorders>
              <w:left w:val="single" w:sz="4" w:space="0" w:color="000000"/>
              <w:right w:val="single" w:sz="4" w:space="0" w:color="000000"/>
            </w:tcBorders>
            <w:shd w:val="clear" w:color="auto" w:fill="D3D3D3"/>
          </w:tcPr>
          <w:p>
            <w:pP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411"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42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206" w:hRule="exact"/>
        </w:trPr>
        <w:tc>
          <w:tcPr>
            <w:tcW w:w="3527" w:type="dxa"/>
            <w:tcBorders>
              <w:top w:val="nil" w:sz="6" w:space="0" w:color="auto"/>
              <w:left w:val="single" w:sz="4" w:space="0" w:color="000000"/>
              <w:bottom w:val="single" w:sz="4" w:space="0" w:color="000000"/>
              <w:right w:val="single" w:sz="4" w:space="0" w:color="000000"/>
            </w:tcBorders>
            <w:shd w:val="clear" w:color="auto" w:fill="D3D3D3"/>
          </w:tcPr>
          <w:p>
            <w:pPr/>
          </w:p>
        </w:tc>
        <w:tc>
          <w:tcPr>
            <w:tcW w:w="2178"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3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8" w:type="dxa"/>
            <w:tcBorders>
              <w:top w:val="single" w:sz="22" w:space="0" w:color="D3D3D3"/>
              <w:left w:val="single" w:sz="9" w:space="0" w:color="D3D3D3"/>
              <w:bottom w:val="single" w:sz="4" w:space="0" w:color="000000"/>
              <w:right w:val="single" w:sz="4" w:space="0" w:color="000000"/>
            </w:tcBorders>
          </w:tcPr>
          <w:p>
            <w:pPr>
              <w:pStyle w:val="TableParagraph"/>
              <w:spacing w:line="240" w:lineRule="auto" w:before="69"/>
              <w:ind w:right="22"/>
              <w:jc w:val="right"/>
              <w:rPr>
                <w:rFonts w:ascii="Times New Roman" w:hAnsi="Times New Roman" w:cs="Times New Roman" w:eastAsia="Times New Roman" w:hint="default"/>
                <w:sz w:val="18"/>
                <w:szCs w:val="18"/>
              </w:rPr>
            </w:pPr>
            <w:r>
              <w:rPr>
                <w:rFonts w:ascii="Times New Roman"/>
                <w:spacing w:val="-2"/>
                <w:sz w:val="18"/>
              </w:rPr>
              <w:t>11.06%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0.95</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0.95</w:t>
            </w:r>
          </w:p>
        </w:tc>
      </w:tr>
      <w:tr>
        <w:trPr>
          <w:trHeight w:val="714" w:hRule="exact"/>
        </w:trPr>
        <w:tc>
          <w:tcPr>
            <w:tcW w:w="3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8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0.91</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0.91</w:t>
            </w:r>
          </w:p>
        </w:tc>
      </w:tr>
    </w:tbl>
    <w:p>
      <w:pPr>
        <w:spacing w:line="240" w:lineRule="auto" w:before="2"/>
        <w:rPr>
          <w:rFonts w:ascii="宋体" w:hAnsi="宋体" w:cs="宋体" w:eastAsia="宋体" w:hint="default"/>
          <w:sz w:val="19"/>
          <w:szCs w:val="19"/>
        </w:rPr>
      </w:pPr>
    </w:p>
    <w:p>
      <w:pPr>
        <w:spacing w:line="506" w:lineRule="auto" w:before="35"/>
        <w:ind w:left="154" w:right="5028"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、公司主要会计报表项目的异常情况及原因的说明</w:t>
      </w:r>
      <w:r>
        <w:rPr>
          <w:rFonts w:ascii="宋体" w:hAnsi="宋体" w:cs="宋体" w:eastAsia="宋体" w:hint="default"/>
          <w:b/>
          <w:bCs/>
          <w:w w:val="99"/>
          <w:sz w:val="21"/>
          <w:szCs w:val="21"/>
        </w:rPr>
        <w:t> </w:t>
      </w:r>
      <w:r>
        <w:rPr>
          <w:rFonts w:ascii="宋体" w:hAnsi="宋体" w:cs="宋体" w:eastAsia="宋体" w:hint="default"/>
          <w:sz w:val="21"/>
          <w:szCs w:val="21"/>
        </w:rPr>
        <w:t>报告期内，公司主要会计报表项目无异常情况。</w:t>
      </w:r>
    </w:p>
    <w:p>
      <w:pPr>
        <w:spacing w:after="0" w:line="506" w:lineRule="auto"/>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0"/>
        <w:jc w:val="left"/>
        <w:rPr>
          <w:b w:val="0"/>
          <w:bCs w:val="0"/>
        </w:rPr>
      </w:pPr>
      <w:bookmarkStart w:name="_TOC_250000" w:id="11"/>
      <w:r>
        <w:rPr/>
        <w:t>第十一节</w:t>
      </w:r>
      <w:r>
        <w:rPr>
          <w:spacing w:val="-9"/>
        </w:rPr>
        <w:t> </w:t>
      </w:r>
      <w:r>
        <w:rPr/>
        <w:t>备查文件目录</w:t>
      </w:r>
      <w:bookmarkEnd w:id="11"/>
      <w:r>
        <w:rPr>
          <w:b w:val="0"/>
          <w:bCs w:val="0"/>
        </w:rPr>
      </w:r>
    </w:p>
    <w:p>
      <w:pPr>
        <w:spacing w:line="240" w:lineRule="auto" w:before="7"/>
        <w:rPr>
          <w:rFonts w:ascii="宋体" w:hAnsi="宋体" w:cs="宋体" w:eastAsia="宋体" w:hint="default"/>
          <w:b/>
          <w:bCs/>
          <w:sz w:val="46"/>
          <w:szCs w:val="46"/>
        </w:rPr>
      </w:pPr>
    </w:p>
    <w:p>
      <w:pPr>
        <w:pStyle w:val="BodyText"/>
        <w:spacing w:line="240" w:lineRule="auto" w:before="0"/>
        <w:ind w:right="0"/>
        <w:jc w:val="left"/>
      </w:pPr>
      <w:r>
        <w:rPr/>
        <w:t>（一）载有法定代表人、财务负责人、会计机构负责人签名并盖章的财务报表。</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（二）载有会计师事务所盖章、注册会计师签名并盖章的审计报告原件。</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（三）报告期内在中国证监会指定报纸上公开披露过的所有公司文件的正本及公告原稿。</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（四）载有董事长签名的2012</w:t>
      </w:r>
      <w:r>
        <w:rPr>
          <w:spacing w:val="-2"/>
        </w:rPr>
        <w:t> </w:t>
      </w:r>
      <w:r>
        <w:rPr/>
        <w:t>年年度报告文本原件。</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（五）以上备查文件的备置地点：公司董事会办公室。</w:t>
      </w:r>
    </w:p>
    <w:sectPr>
      <w:pgSz w:w="11910" w:h="16840"/>
      <w:pgMar w:header="747"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S Gothic">
    <w:altName w:val="MS Gothic"/>
    <w:charset w:val="0"/>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6712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671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671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671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671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671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6711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671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19995pt;margin-top:36.325325pt;width:204.5pt;height:11.5pt;mso-position-horizontal-relative:page;mso-position-vertical-relative:page;z-index:-6712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北京中科金财科技股份有限公司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53"/>
    </w:pPr>
    <w:rPr>
      <w:rFonts w:ascii="宋体" w:hAnsi="宋体" w:eastAsia="宋体"/>
      <w:sz w:val="18"/>
      <w:szCs w:val="18"/>
    </w:rPr>
  </w:style>
  <w:style w:styleId="BodyText" w:type="paragraph">
    <w:name w:val="Body Text"/>
    <w:basedOn w:val="Normal"/>
    <w:uiPriority w:val="1"/>
    <w:qFormat/>
    <w:pPr>
      <w:spacing w:before="46"/>
      <w:ind w:left="154"/>
    </w:pPr>
    <w:rPr>
      <w:rFonts w:ascii="宋体" w:hAnsi="宋体" w:eastAsia="宋体"/>
      <w:sz w:val="21"/>
      <w:szCs w:val="21"/>
    </w:rPr>
  </w:style>
  <w:style w:styleId="Heading1" w:type="paragraph">
    <w:name w:val="Heading 1"/>
    <w:basedOn w:val="Normal"/>
    <w:uiPriority w:val="1"/>
    <w:qFormat/>
    <w:pPr>
      <w:spacing w:before="1"/>
      <w:ind w:left="2422"/>
      <w:outlineLvl w:val="1"/>
    </w:pPr>
    <w:rPr>
      <w:rFonts w:ascii="宋体" w:hAnsi="宋体" w:eastAsia="宋体"/>
      <w:b/>
      <w:bCs/>
      <w:sz w:val="32"/>
      <w:szCs w:val="32"/>
    </w:rPr>
  </w:style>
  <w:style w:styleId="Heading2" w:type="paragraph">
    <w:name w:val="Heading 2"/>
    <w:basedOn w:val="Normal"/>
    <w:uiPriority w:val="1"/>
    <w:qFormat/>
    <w:pPr>
      <w:spacing w:before="26"/>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sinodata.net.cn/" TargetMode="External"/><Relationship Id="rId10" Type="http://schemas.openxmlformats.org/officeDocument/2006/relationships/hyperlink" Target="mailto:zkjc@sinodata.net.cn"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hyperlink" Target="http://www.cninfo.co/" TargetMode="Externa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AR2012002657b定期报告全文(Word中文版)[1].doc</dc:title>
  <dcterms:created xsi:type="dcterms:W3CDTF">2020-05-04T01:27:00Z</dcterms:created>
  <dcterms:modified xsi:type="dcterms:W3CDTF">2020-05-04T01:27:00Z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2013-04-17T00:00:00Z</vt:filetime>
  </property>
  <property fmtid="{D5CDD505-2E9C-101B-9397-08002B2CF9AE}" pid="3" name="Creator">
    <vt:lpwstr>PScript5.dll Version 5.2.2</vt:lpwstr>
  </property>
  <property fmtid="{D5CDD505-2E9C-101B-9397-08002B2CF9AE}" pid="4" name="LastSaved">
    <vt:filetime>2020-05-03T00:00:00Z</vt:filetime>
  </property>
</Properties>
</file>